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imes New Roman" w:hAnsi="Times New Roman" w:eastAsia="黑体" w:cs="Times New Roman"/>
          <w:sz w:val="30"/>
          <w:szCs w:val="30"/>
        </w:rPr>
      </w:pPr>
      <w:bookmarkStart w:id="0" w:name="_GoBack"/>
      <w:r>
        <w:rPr>
          <w:rFonts w:hint="eastAsia" w:ascii="Times New Roman" w:hAnsi="Times New Roman" w:eastAsia="黑体" w:cs="Times New Roman"/>
          <w:sz w:val="30"/>
          <w:szCs w:val="30"/>
        </w:rPr>
        <w:t>全省16个地级市空气质量排名</w:t>
      </w:r>
    </w:p>
    <w:bookmarkEnd w:id="0"/>
    <w:p>
      <w:pPr>
        <w:spacing w:line="460" w:lineRule="exact"/>
        <w:jc w:val="center"/>
        <w:rPr>
          <w:rFonts w:ascii="Times New Roman" w:hAnsi="Times New Roman" w:eastAsia="黑体" w:cs="Times New Roman"/>
          <w:sz w:val="30"/>
          <w:szCs w:val="30"/>
        </w:rPr>
      </w:pPr>
      <w:r>
        <w:rPr>
          <w:rFonts w:ascii="Times New Roman" w:hAnsi="Times New Roman" w:eastAsia="黑体" w:cs="Times New Roman"/>
          <w:sz w:val="32"/>
          <w:szCs w:val="32"/>
        </w:rPr>
        <w:t>（</w:t>
      </w:r>
      <w:r>
        <w:rPr>
          <w:rFonts w:ascii="Times New Roman" w:hAnsi="Times New Roman" w:eastAsia="黑体" w:cs="Times New Roman"/>
          <w:sz w:val="30"/>
          <w:szCs w:val="30"/>
        </w:rPr>
        <w:t>2020年</w:t>
      </w:r>
      <w:r>
        <w:rPr>
          <w:rFonts w:hint="eastAsia" w:ascii="Times New Roman" w:hAnsi="Times New Roman" w:eastAsia="黑体" w:cs="Times New Roman"/>
          <w:sz w:val="30"/>
          <w:szCs w:val="30"/>
        </w:rPr>
        <w:t>1</w:t>
      </w:r>
      <w:r>
        <w:rPr>
          <w:rFonts w:ascii="Times New Roman" w:hAnsi="Times New Roman" w:eastAsia="黑体" w:cs="Times New Roman"/>
          <w:sz w:val="30"/>
          <w:szCs w:val="30"/>
        </w:rPr>
        <w:t>-4月）</w:t>
      </w:r>
    </w:p>
    <w:p>
      <w:pPr>
        <w:spacing w:line="320" w:lineRule="exact"/>
        <w:jc w:val="right"/>
        <w:rPr>
          <w:rFonts w:ascii="Times New Roman" w:hAnsi="Times New Roman" w:eastAsia="黑体" w:cs="Times New Roman"/>
          <w:sz w:val="20"/>
          <w:szCs w:val="36"/>
        </w:rPr>
      </w:pPr>
      <w:r>
        <w:rPr>
          <w:rFonts w:hint="eastAsia" w:ascii="Times New Roman" w:hAnsi="Times New Roman" w:eastAsia="黑体" w:cs="Times New Roman"/>
          <w:sz w:val="20"/>
          <w:szCs w:val="36"/>
        </w:rPr>
        <w:t>PM</w:t>
      </w:r>
      <w:r>
        <w:rPr>
          <w:rFonts w:hint="eastAsia" w:ascii="Times New Roman" w:hAnsi="Times New Roman" w:eastAsia="黑体" w:cs="Times New Roman"/>
          <w:sz w:val="20"/>
          <w:szCs w:val="36"/>
          <w:vertAlign w:val="subscript"/>
        </w:rPr>
        <w:t>2.5</w:t>
      </w:r>
      <w:r>
        <w:rPr>
          <w:rFonts w:hint="eastAsia" w:ascii="Times New Roman" w:hAnsi="Times New Roman" w:eastAsia="黑体" w:cs="Times New Roman"/>
          <w:sz w:val="20"/>
          <w:szCs w:val="36"/>
        </w:rPr>
        <w:t>浓度单位：微克/立方米</w:t>
      </w:r>
    </w:p>
    <w:tbl>
      <w:tblPr>
        <w:tblStyle w:val="3"/>
        <w:tblW w:w="904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598"/>
        <w:gridCol w:w="1458"/>
        <w:gridCol w:w="1885"/>
        <w:gridCol w:w="1192"/>
        <w:gridCol w:w="179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22"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排名</w:t>
            </w:r>
          </w:p>
        </w:tc>
        <w:tc>
          <w:tcPr>
            <w:tcW w:w="1598" w:type="dxa"/>
            <w:vAlign w:val="center"/>
          </w:tcPr>
          <w:p>
            <w:pPr>
              <w:widowControl/>
              <w:spacing w:line="4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城市名称</w:t>
            </w:r>
          </w:p>
        </w:tc>
        <w:tc>
          <w:tcPr>
            <w:tcW w:w="1458" w:type="dxa"/>
            <w:vAlign w:val="center"/>
          </w:tcPr>
          <w:p>
            <w:pPr>
              <w:widowControl/>
              <w:jc w:val="center"/>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rPr>
              <w:t>空气质量</w:t>
            </w:r>
          </w:p>
          <w:p>
            <w:pPr>
              <w:widowControl/>
              <w:jc w:val="center"/>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rPr>
              <w:t>综合指数</w:t>
            </w:r>
          </w:p>
        </w:tc>
        <w:tc>
          <w:tcPr>
            <w:tcW w:w="1885" w:type="dxa"/>
            <w:vAlign w:val="center"/>
          </w:tcPr>
          <w:p>
            <w:pPr>
              <w:widowControl/>
              <w:jc w:val="center"/>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rPr>
              <w:t>综合指数同比变化率（%）</w:t>
            </w:r>
          </w:p>
        </w:tc>
        <w:tc>
          <w:tcPr>
            <w:tcW w:w="1192" w:type="dxa"/>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PM</w:t>
            </w:r>
            <w:r>
              <w:rPr>
                <w:rFonts w:ascii="Times New Roman" w:hAnsi="Times New Roman" w:cs="Times New Roman"/>
                <w:color w:val="000000"/>
                <w:kern w:val="0"/>
                <w:sz w:val="24"/>
                <w:szCs w:val="24"/>
                <w:vertAlign w:val="subscript"/>
              </w:rPr>
              <w:t>2.5</w:t>
            </w:r>
          </w:p>
        </w:tc>
        <w:tc>
          <w:tcPr>
            <w:tcW w:w="1791" w:type="dxa"/>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优良天数比例(%)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1598" w:type="dxa"/>
            <w:vAlign w:val="center"/>
          </w:tcPr>
          <w:p>
            <w:pPr>
              <w:widowControl/>
              <w:jc w:val="center"/>
              <w:rPr>
                <w:rFonts w:ascii="Calibri" w:hAnsi="Calibri"/>
                <w:sz w:val="24"/>
                <w:szCs w:val="28"/>
              </w:rPr>
            </w:pPr>
            <w:r>
              <w:rPr>
                <w:rFonts w:ascii="Calibri" w:hAnsi="Calibri"/>
                <w:sz w:val="24"/>
                <w:szCs w:val="28"/>
              </w:rPr>
              <w:t>黄山</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2.92</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-7.0</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25</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1598" w:type="dxa"/>
            <w:vAlign w:val="center"/>
          </w:tcPr>
          <w:p>
            <w:pPr>
              <w:jc w:val="center"/>
              <w:rPr>
                <w:rFonts w:ascii="Calibri" w:hAnsi="Calibri"/>
                <w:sz w:val="24"/>
                <w:szCs w:val="28"/>
              </w:rPr>
            </w:pPr>
            <w:r>
              <w:rPr>
                <w:rFonts w:ascii="Calibri" w:hAnsi="Calibri"/>
                <w:sz w:val="24"/>
                <w:szCs w:val="28"/>
              </w:rPr>
              <w:t>池州</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3.67</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-27.0</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39</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92.2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1598" w:type="dxa"/>
            <w:vAlign w:val="center"/>
          </w:tcPr>
          <w:p>
            <w:pPr>
              <w:jc w:val="center"/>
              <w:rPr>
                <w:rFonts w:ascii="Calibri" w:hAnsi="Calibri"/>
                <w:sz w:val="24"/>
                <w:szCs w:val="28"/>
              </w:rPr>
            </w:pPr>
            <w:r>
              <w:rPr>
                <w:rFonts w:ascii="Calibri" w:hAnsi="Calibri"/>
                <w:sz w:val="24"/>
                <w:szCs w:val="28"/>
              </w:rPr>
              <w:t>宣城</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3.77</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-18.9</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41</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92.4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1598" w:type="dxa"/>
            <w:vAlign w:val="center"/>
          </w:tcPr>
          <w:p>
            <w:pPr>
              <w:jc w:val="center"/>
              <w:rPr>
                <w:rFonts w:ascii="Calibri" w:hAnsi="Calibri"/>
                <w:sz w:val="24"/>
                <w:szCs w:val="28"/>
              </w:rPr>
            </w:pPr>
            <w:r>
              <w:rPr>
                <w:rFonts w:ascii="Calibri" w:hAnsi="Calibri"/>
                <w:sz w:val="24"/>
                <w:szCs w:val="28"/>
              </w:rPr>
              <w:t>安庆</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3.83</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-20.9</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43</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89.2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598" w:type="dxa"/>
            <w:vAlign w:val="center"/>
          </w:tcPr>
          <w:p>
            <w:pPr>
              <w:jc w:val="center"/>
              <w:rPr>
                <w:rFonts w:ascii="Calibri" w:hAnsi="Calibri"/>
                <w:sz w:val="24"/>
                <w:szCs w:val="28"/>
              </w:rPr>
            </w:pPr>
            <w:r>
              <w:rPr>
                <w:rFonts w:ascii="Calibri" w:hAnsi="Calibri"/>
                <w:sz w:val="24"/>
                <w:szCs w:val="28"/>
              </w:rPr>
              <w:t>六安</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4.15</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-17.3</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46</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86.8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vAlign w:val="center"/>
          </w:tcPr>
          <w:p>
            <w:pPr>
              <w:jc w:val="center"/>
              <w:rPr>
                <w:rFonts w:ascii="Calibri" w:hAnsi="Calibri"/>
                <w:sz w:val="24"/>
                <w:szCs w:val="28"/>
              </w:rPr>
            </w:pPr>
            <w:r>
              <w:rPr>
                <w:rFonts w:ascii="Calibri" w:hAnsi="Calibri"/>
                <w:sz w:val="24"/>
                <w:szCs w:val="28"/>
              </w:rPr>
              <w:t>芜湖</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4.17</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-21.9</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44</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88.4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vAlign w:val="center"/>
          </w:tcPr>
          <w:p>
            <w:pPr>
              <w:jc w:val="center"/>
              <w:rPr>
                <w:rFonts w:ascii="Calibri" w:hAnsi="Calibri"/>
                <w:sz w:val="24"/>
                <w:szCs w:val="28"/>
              </w:rPr>
            </w:pPr>
            <w:r>
              <w:rPr>
                <w:rFonts w:ascii="Calibri" w:hAnsi="Calibri"/>
                <w:sz w:val="24"/>
                <w:szCs w:val="28"/>
              </w:rPr>
              <w:t>合肥</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4.17</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-20.3</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42</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85.1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8</w:t>
            </w:r>
          </w:p>
        </w:tc>
        <w:tc>
          <w:tcPr>
            <w:tcW w:w="1598" w:type="dxa"/>
            <w:vAlign w:val="center"/>
          </w:tcPr>
          <w:p>
            <w:pPr>
              <w:jc w:val="center"/>
              <w:rPr>
                <w:rFonts w:ascii="Calibri" w:hAnsi="Calibri"/>
                <w:sz w:val="24"/>
                <w:szCs w:val="28"/>
              </w:rPr>
            </w:pPr>
            <w:r>
              <w:rPr>
                <w:rFonts w:ascii="Calibri" w:hAnsi="Calibri"/>
                <w:sz w:val="24"/>
                <w:szCs w:val="28"/>
              </w:rPr>
              <w:t>马鞍山</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4.26</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-20.1</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46</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87.6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9</w:t>
            </w:r>
          </w:p>
        </w:tc>
        <w:tc>
          <w:tcPr>
            <w:tcW w:w="1598" w:type="dxa"/>
            <w:vAlign w:val="center"/>
          </w:tcPr>
          <w:p>
            <w:pPr>
              <w:jc w:val="center"/>
              <w:rPr>
                <w:rFonts w:ascii="Calibri" w:hAnsi="Calibri"/>
                <w:sz w:val="24"/>
                <w:szCs w:val="28"/>
              </w:rPr>
            </w:pPr>
            <w:r>
              <w:rPr>
                <w:rFonts w:ascii="Calibri" w:hAnsi="Calibri"/>
                <w:sz w:val="24"/>
                <w:szCs w:val="28"/>
              </w:rPr>
              <w:t>铜陵</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4.40</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-18.7</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42</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90.7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1"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1598" w:type="dxa"/>
            <w:vAlign w:val="center"/>
          </w:tcPr>
          <w:p>
            <w:pPr>
              <w:jc w:val="center"/>
              <w:rPr>
                <w:rFonts w:ascii="Calibri" w:hAnsi="Calibri"/>
                <w:sz w:val="24"/>
                <w:szCs w:val="28"/>
              </w:rPr>
            </w:pPr>
            <w:r>
              <w:rPr>
                <w:rFonts w:ascii="Calibri" w:hAnsi="Calibri"/>
                <w:sz w:val="24"/>
                <w:szCs w:val="28"/>
              </w:rPr>
              <w:t>滁州</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4.43</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-21.7</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49</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84.3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1"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w:t>
            </w:r>
          </w:p>
        </w:tc>
        <w:tc>
          <w:tcPr>
            <w:tcW w:w="1598" w:type="dxa"/>
            <w:vAlign w:val="center"/>
          </w:tcPr>
          <w:p>
            <w:pPr>
              <w:jc w:val="center"/>
              <w:rPr>
                <w:rFonts w:ascii="Calibri" w:hAnsi="Calibri"/>
                <w:sz w:val="24"/>
                <w:szCs w:val="28"/>
              </w:rPr>
            </w:pPr>
            <w:r>
              <w:rPr>
                <w:rFonts w:ascii="Calibri" w:hAnsi="Calibri"/>
                <w:sz w:val="24"/>
                <w:szCs w:val="28"/>
              </w:rPr>
              <w:t>蚌埠</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4.71</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-19.5</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53</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79.3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w:t>
            </w:r>
          </w:p>
        </w:tc>
        <w:tc>
          <w:tcPr>
            <w:tcW w:w="1598" w:type="dxa"/>
            <w:vAlign w:val="center"/>
          </w:tcPr>
          <w:p>
            <w:pPr>
              <w:jc w:val="center"/>
              <w:rPr>
                <w:rFonts w:ascii="Calibri" w:hAnsi="Calibri"/>
                <w:sz w:val="24"/>
                <w:szCs w:val="28"/>
              </w:rPr>
            </w:pPr>
            <w:r>
              <w:rPr>
                <w:rFonts w:ascii="Calibri" w:hAnsi="Calibri"/>
                <w:sz w:val="24"/>
                <w:szCs w:val="28"/>
              </w:rPr>
              <w:t>宿州</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4.76</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-13.6</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59</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73.6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w:t>
            </w:r>
          </w:p>
        </w:tc>
        <w:tc>
          <w:tcPr>
            <w:tcW w:w="1598" w:type="dxa"/>
            <w:vAlign w:val="center"/>
          </w:tcPr>
          <w:p>
            <w:pPr>
              <w:jc w:val="center"/>
              <w:rPr>
                <w:rFonts w:ascii="Calibri" w:hAnsi="Calibri"/>
                <w:sz w:val="24"/>
                <w:szCs w:val="28"/>
              </w:rPr>
            </w:pPr>
            <w:r>
              <w:rPr>
                <w:rFonts w:ascii="Calibri" w:hAnsi="Calibri"/>
                <w:sz w:val="24"/>
                <w:szCs w:val="28"/>
              </w:rPr>
              <w:t>淮南</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4.92</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-17.6</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59</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75.2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c>
          <w:tcPr>
            <w:tcW w:w="1598" w:type="dxa"/>
            <w:vAlign w:val="center"/>
          </w:tcPr>
          <w:p>
            <w:pPr>
              <w:jc w:val="center"/>
              <w:rPr>
                <w:rFonts w:ascii="Calibri" w:hAnsi="Calibri"/>
                <w:sz w:val="24"/>
                <w:szCs w:val="28"/>
              </w:rPr>
            </w:pPr>
            <w:r>
              <w:rPr>
                <w:rFonts w:ascii="Calibri" w:hAnsi="Calibri"/>
                <w:sz w:val="24"/>
                <w:szCs w:val="28"/>
              </w:rPr>
              <w:t>阜阳</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5.02</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-13.0</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65</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15</w:t>
            </w:r>
          </w:p>
        </w:tc>
        <w:tc>
          <w:tcPr>
            <w:tcW w:w="1598" w:type="dxa"/>
            <w:vAlign w:val="center"/>
          </w:tcPr>
          <w:p>
            <w:pPr>
              <w:jc w:val="center"/>
              <w:rPr>
                <w:rFonts w:ascii="Calibri" w:hAnsi="Calibri"/>
                <w:sz w:val="24"/>
                <w:szCs w:val="28"/>
              </w:rPr>
            </w:pPr>
            <w:r>
              <w:rPr>
                <w:rFonts w:ascii="Calibri" w:hAnsi="Calibri"/>
                <w:sz w:val="24"/>
                <w:szCs w:val="28"/>
              </w:rPr>
              <w:t>淮北</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5.24</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-14.1</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65</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2" w:hRule="exact"/>
          <w:jc w:val="center"/>
        </w:trPr>
        <w:tc>
          <w:tcPr>
            <w:tcW w:w="1122" w:type="dxa"/>
            <w:vAlign w:val="center"/>
          </w:tcPr>
          <w:p>
            <w:pPr>
              <w:jc w:val="center"/>
              <w:rPr>
                <w:rFonts w:ascii="Times New Roman" w:hAnsi="Times New Roman" w:cs="Times New Roman"/>
                <w:sz w:val="24"/>
                <w:szCs w:val="24"/>
              </w:rPr>
            </w:pPr>
            <w:r>
              <w:rPr>
                <w:rFonts w:ascii="Times New Roman" w:hAnsi="Times New Roman" w:cs="Times New Roman"/>
                <w:sz w:val="24"/>
                <w:szCs w:val="24"/>
              </w:rPr>
              <w:t>16</w:t>
            </w:r>
          </w:p>
        </w:tc>
        <w:tc>
          <w:tcPr>
            <w:tcW w:w="1598" w:type="dxa"/>
            <w:vAlign w:val="center"/>
          </w:tcPr>
          <w:p>
            <w:pPr>
              <w:jc w:val="center"/>
              <w:rPr>
                <w:rFonts w:ascii="Calibri" w:hAnsi="Calibri"/>
                <w:sz w:val="24"/>
                <w:szCs w:val="28"/>
              </w:rPr>
            </w:pPr>
            <w:r>
              <w:rPr>
                <w:rFonts w:ascii="Calibri" w:hAnsi="Calibri"/>
                <w:sz w:val="24"/>
                <w:szCs w:val="28"/>
              </w:rPr>
              <w:t>亳州</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5.25</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-10.1</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68</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jc w:val="center"/>
        </w:trPr>
        <w:tc>
          <w:tcPr>
            <w:tcW w:w="2720" w:type="dxa"/>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全省平均</w:t>
            </w:r>
          </w:p>
        </w:tc>
        <w:tc>
          <w:tcPr>
            <w:tcW w:w="14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4.34</w:t>
            </w:r>
          </w:p>
        </w:tc>
        <w:tc>
          <w:tcPr>
            <w:tcW w:w="18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-18.1</w:t>
            </w:r>
          </w:p>
        </w:tc>
        <w:tc>
          <w:tcPr>
            <w:tcW w:w="1192" w:type="dxa"/>
            <w:vAlign w:val="center"/>
          </w:tcPr>
          <w:p>
            <w:pPr>
              <w:jc w:val="center"/>
              <w:rPr>
                <w:rFonts w:ascii="Times New Roman" w:hAnsi="Times New Roman" w:cs="Times New Roman"/>
                <w:sz w:val="24"/>
                <w:szCs w:val="24"/>
              </w:rPr>
            </w:pPr>
            <w:r>
              <w:rPr>
                <w:rFonts w:ascii="Times New Roman" w:hAnsi="Times New Roman" w:cs="Times New Roman"/>
                <w:sz w:val="24"/>
                <w:szCs w:val="24"/>
              </w:rPr>
              <w:t>49</w:t>
            </w:r>
          </w:p>
        </w:tc>
        <w:tc>
          <w:tcPr>
            <w:tcW w:w="17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82.9</w:t>
            </w:r>
          </w:p>
        </w:tc>
      </w:tr>
    </w:tbl>
    <w:p>
      <w:pPr>
        <w:spacing w:line="440" w:lineRule="exact"/>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注：</w:t>
      </w:r>
      <w:r>
        <w:rPr>
          <w:rFonts w:hint="eastAsia" w:ascii="Times New Roman" w:hAnsi="Times New Roman" w:eastAsia="黑体" w:cs="Times New Roman"/>
          <w:sz w:val="24"/>
          <w:szCs w:val="24"/>
        </w:rPr>
        <w:t>（1）</w:t>
      </w:r>
      <w:r>
        <w:rPr>
          <w:rFonts w:ascii="Times New Roman" w:hAnsi="Times New Roman" w:eastAsia="黑体" w:cs="Times New Roman"/>
          <w:sz w:val="24"/>
          <w:szCs w:val="24"/>
        </w:rPr>
        <w:t>空气质量排名采用</w:t>
      </w:r>
      <w:r>
        <w:rPr>
          <w:rFonts w:hint="eastAsia" w:ascii="Times New Roman" w:hAnsi="Times New Roman" w:eastAsia="黑体" w:cs="Times New Roman"/>
          <w:sz w:val="24"/>
          <w:szCs w:val="24"/>
        </w:rPr>
        <w:t>空气质量综合指数大小</w:t>
      </w:r>
      <w:r>
        <w:rPr>
          <w:rFonts w:ascii="Times New Roman" w:hAnsi="Times New Roman" w:eastAsia="黑体" w:cs="Times New Roman"/>
          <w:sz w:val="24"/>
          <w:szCs w:val="24"/>
        </w:rPr>
        <w:t>来确定，</w:t>
      </w:r>
      <w:r>
        <w:rPr>
          <w:rFonts w:hint="eastAsia" w:ascii="Times New Roman" w:hAnsi="Times New Roman" w:eastAsia="黑体" w:cs="Times New Roman"/>
          <w:sz w:val="24"/>
          <w:szCs w:val="24"/>
        </w:rPr>
        <w:t>指数越小表明空气质量越好，指数相同的城市以并列计。（2）空气质量综合指数是指评价时段内，参与评价的各项污染物的单项质量指数之和（单项指标评价时段内平均浓度与该指标二级标准限值的比值，</w:t>
      </w:r>
      <w:r>
        <w:rPr>
          <w:rFonts w:ascii="Times New Roman" w:hAnsi="Times New Roman" w:eastAsia="黑体" w:cs="Times New Roman"/>
          <w:sz w:val="24"/>
          <w:szCs w:val="24"/>
        </w:rPr>
        <w:t>SO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、NO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、PM</w:t>
      </w:r>
      <w:r>
        <w:rPr>
          <w:rFonts w:ascii="Times New Roman" w:hAnsi="Times New Roman" w:eastAsia="黑体" w:cs="Times New Roman"/>
          <w:sz w:val="24"/>
          <w:szCs w:val="24"/>
          <w:vertAlign w:val="subscript"/>
        </w:rPr>
        <w:t>10</w:t>
      </w:r>
      <w:r>
        <w:rPr>
          <w:rFonts w:ascii="Times New Roman" w:hAnsi="Times New Roman" w:eastAsia="黑体" w:cs="Times New Roman"/>
          <w:sz w:val="24"/>
          <w:szCs w:val="24"/>
        </w:rPr>
        <w:t>及PM</w:t>
      </w:r>
      <w:r>
        <w:rPr>
          <w:rFonts w:ascii="Times New Roman" w:hAnsi="Times New Roman" w:eastAsia="黑体" w:cs="Times New Roman"/>
          <w:sz w:val="24"/>
          <w:szCs w:val="24"/>
          <w:vertAlign w:val="subscript"/>
        </w:rPr>
        <w:t>2.5</w:t>
      </w:r>
      <w:r>
        <w:rPr>
          <w:rFonts w:hint="eastAsia" w:ascii="Times New Roman" w:hAnsi="Times New Roman" w:eastAsia="黑体" w:cs="Times New Roman"/>
          <w:sz w:val="24"/>
          <w:szCs w:val="24"/>
        </w:rPr>
        <w:t>采用年均浓度二级标准限值、</w:t>
      </w:r>
      <w:r>
        <w:rPr>
          <w:rFonts w:ascii="Times New Roman" w:hAnsi="Times New Roman" w:eastAsia="黑体" w:cs="Times New Roman"/>
          <w:sz w:val="24"/>
          <w:szCs w:val="24"/>
        </w:rPr>
        <w:t>O</w:t>
      </w:r>
      <w:r>
        <w:rPr>
          <w:rFonts w:ascii="Times New Roman" w:hAnsi="Times New Roman" w:eastAsia="黑体" w:cs="Times New Roman"/>
          <w:sz w:val="24"/>
          <w:szCs w:val="24"/>
          <w:vertAlign w:val="subscript"/>
        </w:rPr>
        <w:t>3</w:t>
      </w:r>
      <w:r>
        <w:rPr>
          <w:rFonts w:hint="eastAsia" w:ascii="Times New Roman" w:hAnsi="Times New Roman" w:eastAsia="黑体" w:cs="Times New Roman"/>
          <w:sz w:val="24"/>
          <w:szCs w:val="24"/>
        </w:rPr>
        <w:t>和</w:t>
      </w:r>
      <w:r>
        <w:rPr>
          <w:rFonts w:ascii="Times New Roman" w:hAnsi="Times New Roman" w:eastAsia="黑体" w:cs="Times New Roman"/>
          <w:sz w:val="24"/>
          <w:szCs w:val="24"/>
        </w:rPr>
        <w:t>CO</w:t>
      </w:r>
      <w:r>
        <w:rPr>
          <w:rFonts w:hint="eastAsia" w:ascii="Times New Roman" w:hAnsi="Times New Roman" w:eastAsia="黑体" w:cs="Times New Roman"/>
          <w:sz w:val="24"/>
          <w:szCs w:val="24"/>
        </w:rPr>
        <w:t>采用日均浓度二级标准限值），指数越大表明城市空气污染程度越重。（3）空气质量综合指数同比变化率指本年度评价时段内空气质量综合指数与上年同期变化幅度，变化率</w:t>
      </w:r>
      <w:r>
        <w:rPr>
          <w:rFonts w:ascii="Times New Roman" w:hAnsi="Times New Roman" w:eastAsia="黑体" w:cs="Times New Roman"/>
          <w:sz w:val="24"/>
          <w:szCs w:val="24"/>
        </w:rPr>
        <w:t>大于0代表空气质量恶化</w:t>
      </w:r>
      <w:r>
        <w:rPr>
          <w:rFonts w:hint="eastAsia" w:ascii="Times New Roman" w:hAnsi="Times New Roman" w:eastAsia="黑体" w:cs="Times New Roman"/>
          <w:sz w:val="24"/>
          <w:szCs w:val="24"/>
        </w:rPr>
        <w:t>、</w:t>
      </w:r>
      <w:r>
        <w:rPr>
          <w:rFonts w:ascii="Times New Roman" w:hAnsi="Times New Roman" w:eastAsia="黑体" w:cs="Times New Roman"/>
          <w:sz w:val="24"/>
          <w:szCs w:val="24"/>
        </w:rPr>
        <w:t>小于0代表改善</w:t>
      </w:r>
      <w:r>
        <w:rPr>
          <w:rFonts w:hint="eastAsia" w:ascii="Times New Roman" w:hAnsi="Times New Roman" w:eastAsia="黑体" w:cs="Times New Roman"/>
          <w:sz w:val="24"/>
          <w:szCs w:val="24"/>
        </w:rPr>
        <w:t>、</w:t>
      </w:r>
      <w:r>
        <w:rPr>
          <w:rFonts w:ascii="Times New Roman" w:hAnsi="Times New Roman" w:eastAsia="黑体" w:cs="Times New Roman"/>
          <w:sz w:val="24"/>
          <w:szCs w:val="24"/>
        </w:rPr>
        <w:t>等于0代表持平</w:t>
      </w:r>
      <w:r>
        <w:rPr>
          <w:rFonts w:hint="eastAsia" w:ascii="Times New Roman" w:hAnsi="Times New Roman" w:eastAsia="黑体" w:cs="Times New Roman"/>
          <w:sz w:val="24"/>
          <w:szCs w:val="24"/>
        </w:rPr>
        <w:t>。</w:t>
      </w:r>
    </w:p>
    <w:p>
      <w:pPr>
        <w:spacing w:line="440" w:lineRule="exact"/>
        <w:rPr>
          <w:rFonts w:ascii="Times New Roman" w:hAnsi="Times New Roman" w:eastAsia="黑体" w:cs="Times New Roman"/>
          <w:sz w:val="24"/>
          <w:szCs w:val="24"/>
        </w:rPr>
      </w:pPr>
    </w:p>
    <w:p>
      <w:pPr>
        <w:spacing w:line="440" w:lineRule="exact"/>
        <w:rPr>
          <w:rFonts w:ascii="Times New Roman" w:hAnsi="Times New Roman" w:eastAsia="黑体" w:cs="Times New Roman"/>
          <w:sz w:val="24"/>
          <w:szCs w:val="24"/>
        </w:rPr>
      </w:pPr>
    </w:p>
    <w:p>
      <w:pPr>
        <w:jc w:val="right"/>
        <w:rPr>
          <w:rFonts w:ascii="Times New Roman" w:hAnsi="Times New Roman" w:eastAsia="黑体" w:cs="Times New Roman"/>
          <w:sz w:val="24"/>
          <w:szCs w:val="24"/>
        </w:rPr>
      </w:pPr>
      <w:r>
        <w:rPr>
          <w:rFonts w:ascii="Times New Roman" w:hAnsi="Times New Roman" w:eastAsia="黑体" w:cs="Times New Roman"/>
          <w:sz w:val="24"/>
          <w:szCs w:val="24"/>
        </w:rPr>
        <w:t>安徽省</w:t>
      </w:r>
      <w:r>
        <w:rPr>
          <w:rFonts w:hint="eastAsia" w:ascii="Times New Roman" w:hAnsi="Times New Roman" w:eastAsia="黑体" w:cs="Times New Roman"/>
          <w:sz w:val="24"/>
          <w:szCs w:val="24"/>
        </w:rPr>
        <w:t>生态环境</w:t>
      </w:r>
      <w:r>
        <w:rPr>
          <w:rFonts w:ascii="Times New Roman" w:hAnsi="Times New Roman" w:eastAsia="黑体" w:cs="Times New Roman"/>
          <w:sz w:val="24"/>
          <w:szCs w:val="24"/>
        </w:rPr>
        <w:t>厅</w:t>
      </w:r>
    </w:p>
    <w:p/>
    <w:sectPr>
      <w:pgSz w:w="11906" w:h="16838"/>
      <w:pgMar w:top="1440" w:right="1800" w:bottom="1276" w:left="12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312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杨阳</cp:lastModifiedBy>
  <cp:lastPrinted>2020-05-21T00:28:11Z</cp:lastPrinted>
  <dcterms:modified xsi:type="dcterms:W3CDTF">2020-05-21T00:29:04Z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