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降尘监测结果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第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Times New Roman" w:hAnsi="Times New Roman" w:eastAsia="黑体" w:cs="Times New Roman"/>
          <w:sz w:val="30"/>
          <w:szCs w:val="30"/>
        </w:rPr>
        <w:t>季度</w:t>
      </w:r>
      <w:r>
        <w:rPr>
          <w:rFonts w:ascii="Times New Roman" w:hAnsi="Times New Roman" w:eastAsia="黑体" w:cs="Times New Roman"/>
          <w:sz w:val="30"/>
          <w:szCs w:val="30"/>
        </w:rPr>
        <w:t>）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20" w:lineRule="exact"/>
        <w:ind w:right="240"/>
        <w:jc w:val="right"/>
        <w:rPr>
          <w:rFonts w:ascii="Times New Roman" w:hAnsi="Times New Roman" w:eastAsia="黑体" w:cs="Times New Roman"/>
          <w:sz w:val="22"/>
          <w:szCs w:val="44"/>
        </w:rPr>
      </w:pPr>
      <w:r>
        <w:rPr>
          <w:rFonts w:hint="eastAsia" w:ascii="Times New Roman" w:hAnsi="Times New Roman" w:eastAsia="黑体" w:cs="Times New Roman"/>
          <w:sz w:val="22"/>
          <w:szCs w:val="44"/>
        </w:rPr>
        <w:t>单位：吨/平方千米·月</w:t>
      </w: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349"/>
        <w:gridCol w:w="2347"/>
        <w:gridCol w:w="24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1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234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监测点位数</w:t>
            </w:r>
          </w:p>
        </w:tc>
        <w:tc>
          <w:tcPr>
            <w:tcW w:w="234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降尘量范围</w:t>
            </w:r>
          </w:p>
        </w:tc>
        <w:tc>
          <w:tcPr>
            <w:tcW w:w="24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平均降尘量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淮北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亳州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宿州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蚌埠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阜阳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淮南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滁州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六安</w:t>
            </w:r>
          </w:p>
        </w:tc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马鞍山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.9~5.1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芜湖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.0~6.1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宣城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.1~2.8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铜陵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.9~5.6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池州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安庆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黄山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</w:tbl>
    <w:p>
      <w:pPr>
        <w:ind w:left="-420" w:leftChars="-200" w:right="-512" w:rightChars="-244" w:firstLine="0" w:firstLineChars="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注：（1）降尘量范围采用城区降尘点位的最小值和最大值来确定；（2）平均降尘量采用城区降尘点位降尘量平均来确定。</w:t>
      </w:r>
    </w:p>
    <w:p>
      <w:pPr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right="240"/>
        <w:jc w:val="right"/>
        <w:rPr>
          <w:rFonts w:hint="eastAsia" w:eastAsiaTheme="minorEastAsia"/>
          <w:lang w:val="en-US" w:eastAsia="zh-CN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42F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2020-07-28T01:22:08Z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