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1-10月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2.8488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3.1370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3.3182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3.5865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3.6412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3.8058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3.8461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4.1787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5.0506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5.2221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5.2270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5.5627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6.0774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6.1359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6.4817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6.9049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-1.07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D68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2020-11-18T00:27:19Z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