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2021年1-2月）</w:t>
      </w:r>
    </w:p>
    <w:p>
      <w:pPr>
        <w:spacing w:line="320" w:lineRule="exact"/>
        <w:jc w:val="right"/>
        <w:rPr>
          <w:rFonts w:ascii="Times New Roman" w:hAnsi="Times New Roman" w:eastAsia="黑体" w:cs="Times New Roman"/>
          <w:sz w:val="20"/>
          <w:szCs w:val="36"/>
        </w:rPr>
      </w:pPr>
      <w:r>
        <w:rPr>
          <w:rFonts w:ascii="Times New Roman" w:hAnsi="Times New Roman" w:eastAsia="黑体" w:cs="Times New Roman"/>
          <w:sz w:val="20"/>
          <w:szCs w:val="36"/>
        </w:rPr>
        <w:t>PM</w:t>
      </w:r>
      <w:r>
        <w:rPr>
          <w:rFonts w:ascii="Times New Roman" w:hAnsi="Times New Roman" w:eastAsia="黑体" w:cs="Times New Roman"/>
          <w:sz w:val="20"/>
          <w:szCs w:val="36"/>
          <w:vertAlign w:val="subscript"/>
        </w:rPr>
        <w:t>2.5</w:t>
      </w:r>
      <w:r>
        <w:rPr>
          <w:rFonts w:ascii="Times New Roman" w:hAnsi="Times New Roman" w:eastAsia="黑体" w:cs="Times New Roman"/>
          <w:sz w:val="20"/>
          <w:szCs w:val="36"/>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517"/>
        <w:gridCol w:w="1253"/>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84" w:hRule="atLeast"/>
          <w:jc w:val="center"/>
        </w:trPr>
        <w:tc>
          <w:tcPr>
            <w:tcW w:w="1385" w:type="dxa"/>
            <w:tcMar>
              <w:top w:w="8" w:type="dxa"/>
              <w:left w:w="8" w:type="dxa"/>
              <w:bottom w:w="8" w:type="dxa"/>
              <w:right w:w="5"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排名</w:t>
            </w:r>
          </w:p>
        </w:tc>
        <w:tc>
          <w:tcPr>
            <w:tcW w:w="1385" w:type="dxa"/>
            <w:tcMar>
              <w:top w:w="8" w:type="dxa"/>
              <w:left w:w="8" w:type="dxa"/>
              <w:bottom w:w="8" w:type="dxa"/>
              <w:right w:w="5"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城市名称</w:t>
            </w:r>
          </w:p>
        </w:tc>
        <w:tc>
          <w:tcPr>
            <w:tcW w:w="1384" w:type="dxa"/>
            <w:tcMar>
              <w:top w:w="8" w:type="dxa"/>
              <w:left w:w="8" w:type="dxa"/>
              <w:bottom w:w="8" w:type="dxa"/>
              <w:right w:w="5"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空气质量综合指数</w:t>
            </w:r>
          </w:p>
        </w:tc>
        <w:tc>
          <w:tcPr>
            <w:tcW w:w="1517" w:type="dxa"/>
            <w:tcMar>
              <w:top w:w="8" w:type="dxa"/>
              <w:left w:w="8" w:type="dxa"/>
              <w:bottom w:w="8" w:type="dxa"/>
              <w:right w:w="5"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综合指数同比变化率（%）</w:t>
            </w:r>
          </w:p>
        </w:tc>
        <w:tc>
          <w:tcPr>
            <w:tcW w:w="1253" w:type="dxa"/>
            <w:tcMar>
              <w:top w:w="8" w:type="dxa"/>
              <w:left w:w="8" w:type="dxa"/>
              <w:bottom w:w="8" w:type="dxa"/>
              <w:right w:w="5"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382"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宋体" w:cs="Times New Roman"/>
                <w:color w:val="000000"/>
                <w:sz w:val="24"/>
                <w:szCs w:val="24"/>
              </w:rPr>
              <w:t>优良天数比例</w:t>
            </w:r>
            <w:r>
              <w:rPr>
                <w:rFonts w:ascii="Times New Roman" w:hAnsi="Times New Roman" w:eastAsia="MS UI Gothic" w:cs="Times New Roman"/>
                <w:color w:val="000000"/>
                <w:sz w:val="24"/>
                <w:szCs w:val="24"/>
              </w:rPr>
              <w:t>（</w:t>
            </w:r>
            <w:r>
              <w:rPr>
                <w:rFonts w:ascii="Times New Roman" w:hAnsi="Times New Roman" w:eastAsia="Times New Roman" w:cs="Times New Roman"/>
                <w:color w:val="000000"/>
                <w:sz w:val="24"/>
                <w:szCs w:val="24"/>
              </w:rPr>
              <w:t>%</w:t>
            </w:r>
            <w:r>
              <w:rPr>
                <w:rFonts w:ascii="Times New Roman" w:hAnsi="Times New Roman" w:eastAsia="MS UI Gothic" w:cs="Times New Roman"/>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shd w:val="clear" w:color="auto" w:fill="auto"/>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85" w:type="dxa"/>
            <w:shd w:val="clear" w:color="auto" w:fill="auto"/>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Times New Roman" w:hAnsi="Times New Roman" w:cs="Times New Roman"/>
                <w:sz w:val="24"/>
                <w:szCs w:val="24"/>
              </w:rPr>
              <w:t>黄山</w:t>
            </w:r>
          </w:p>
        </w:tc>
        <w:tc>
          <w:tcPr>
            <w:tcW w:w="1384" w:type="dxa"/>
            <w:shd w:val="clear" w:color="auto" w:fill="FFFFFF"/>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3.21</w:t>
            </w:r>
          </w:p>
        </w:tc>
        <w:tc>
          <w:tcPr>
            <w:tcW w:w="1517" w:type="dxa"/>
            <w:shd w:val="clear" w:color="auto" w:fill="FFFFFF"/>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24.4</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33</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98.3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shd w:val="clear" w:color="auto" w:fill="auto"/>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85" w:type="dxa"/>
            <w:shd w:val="clear" w:color="auto" w:fill="auto"/>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Times New Roman" w:hAnsi="Times New Roman" w:cs="Times New Roman"/>
                <w:sz w:val="24"/>
                <w:szCs w:val="24"/>
              </w:rPr>
              <w:t>宣城</w:t>
            </w:r>
          </w:p>
        </w:tc>
        <w:tc>
          <w:tcPr>
            <w:tcW w:w="1384" w:type="dxa"/>
            <w:shd w:val="clear" w:color="auto" w:fill="FFFFFF"/>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4.00</w:t>
            </w:r>
          </w:p>
        </w:tc>
        <w:tc>
          <w:tcPr>
            <w:tcW w:w="1517" w:type="dxa"/>
            <w:shd w:val="clear" w:color="auto" w:fill="FFFFFF"/>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6.1</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45</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87.7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Times New Roman" w:hAnsi="Times New Roman" w:cs="Times New Roman"/>
                <w:sz w:val="24"/>
                <w:szCs w:val="24"/>
              </w:rPr>
              <w:t>安庆</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4.37</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14.4</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52</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池州</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4.39</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20.3</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49</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合肥</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4.52</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12.2</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49</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83.1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六安</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4.57</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10.4</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50</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马鞍山</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4.63</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6.9</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51</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81.4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芜湖</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4.64</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11.3</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52</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滁州</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4.86</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7.3</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52</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76.3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铜陵</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4.91</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12.1</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50</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81.4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蚌埠</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5.14</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4.3</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58</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淮南</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5.16</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-0.6</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64</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宿州</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5.17</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0.2</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65</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亳州</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5.24</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-12.4</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61</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淮北</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5.28</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-7.5</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62</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cs="Times New Roman"/>
                <w:color w:val="000000"/>
                <w:sz w:val="24"/>
                <w:szCs w:val="24"/>
              </w:rPr>
              <w:t>阜阳</w:t>
            </w:r>
          </w:p>
        </w:tc>
        <w:tc>
          <w:tcPr>
            <w:tcW w:w="1384"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5.50</w:t>
            </w:r>
          </w:p>
        </w:tc>
        <w:tc>
          <w:tcPr>
            <w:tcW w:w="1517"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-1.4</w:t>
            </w:r>
          </w:p>
        </w:tc>
        <w:tc>
          <w:tcPr>
            <w:tcW w:w="1253"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71</w:t>
            </w:r>
          </w:p>
        </w:tc>
        <w:tc>
          <w:tcPr>
            <w:tcW w:w="1382" w:type="dxa"/>
            <w:tcMar>
              <w:top w:w="8" w:type="dxa"/>
              <w:left w:w="8" w:type="dxa"/>
              <w:bottom w:w="8" w:type="dxa"/>
              <w:right w:w="8" w:type="dxa"/>
            </w:tcMar>
            <w:vAlign w:val="center"/>
          </w:tcPr>
          <w:p>
            <w:pPr>
              <w:jc w:val="center"/>
              <w:rPr>
                <w:rFonts w:ascii="Times New Roman" w:hAnsi="Times New Roman" w:eastAsia="等线" w:cs="Times New Roman"/>
                <w:sz w:val="24"/>
                <w:szCs w:val="24"/>
              </w:rPr>
            </w:pPr>
            <w:r>
              <w:rPr>
                <w:rFonts w:ascii="Times New Roman" w:hAnsi="Times New Roman" w:eastAsia="等线" w:cs="Times New Roman"/>
                <w:sz w:val="24"/>
                <w:szCs w:val="24"/>
              </w:rPr>
              <w:t>64.4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全省</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4.73</w:t>
            </w:r>
          </w:p>
        </w:tc>
        <w:tc>
          <w:tcPr>
            <w:tcW w:w="1517" w:type="dxa"/>
            <w:tcMar>
              <w:top w:w="8" w:type="dxa"/>
              <w:left w:w="8" w:type="dxa"/>
              <w:bottom w:w="8" w:type="dxa"/>
              <w:right w:w="8" w:type="dxa"/>
            </w:tcMar>
            <w:vAlign w:val="center"/>
          </w:tcPr>
          <w:p>
            <w:pPr>
              <w:widowControl/>
              <w:jc w:val="center"/>
              <w:rPr>
                <w:rFonts w:ascii="Times New Roman" w:hAnsi="Times New Roman" w:eastAsia="等线" w:cs="Times New Roman"/>
                <w:sz w:val="24"/>
                <w:szCs w:val="24"/>
              </w:rPr>
            </w:pPr>
            <w:r>
              <w:rPr>
                <w:rFonts w:ascii="Times New Roman" w:hAnsi="Times New Roman" w:eastAsia="等线" w:cs="Times New Roman"/>
                <w:sz w:val="24"/>
                <w:szCs w:val="24"/>
              </w:rPr>
              <w:t>6.1</w:t>
            </w:r>
          </w:p>
        </w:tc>
        <w:tc>
          <w:tcPr>
            <w:tcW w:w="1253"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c>
          <w:tcPr>
            <w:tcW w:w="1382" w:type="dxa"/>
            <w:tcMar>
              <w:top w:w="8" w:type="dxa"/>
              <w:left w:w="8" w:type="dxa"/>
              <w:bottom w:w="8" w:type="dxa"/>
              <w:right w:w="8" w:type="dxa"/>
            </w:tcMar>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76.5</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1）城市空气质量排名采用空气质量综合指数大小来确定，指数越小表明空气质量越好，指数相同的城市以并列计。（2）空气质量综合指数是指评价时段内，参与评价的各项污染物的单项质量指数之和（单项指标评价时段内平均浓度与该指标二级标准限值的比值，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ascii="Times New Roman" w:hAnsi="Times New Roman" w:eastAsia="黑体" w:cs="Times New Roman"/>
          <w:sz w:val="24"/>
          <w:szCs w:val="24"/>
        </w:rPr>
        <w:t>采用年均浓度二级标准限值、O</w:t>
      </w:r>
      <w:r>
        <w:rPr>
          <w:rFonts w:ascii="Times New Roman" w:hAnsi="Times New Roman" w:eastAsia="黑体" w:cs="Times New Roman"/>
          <w:sz w:val="24"/>
          <w:szCs w:val="24"/>
          <w:vertAlign w:val="subscript"/>
        </w:rPr>
        <w:t>3</w:t>
      </w:r>
      <w:r>
        <w:rPr>
          <w:rFonts w:ascii="Times New Roman" w:hAnsi="Times New Roman" w:eastAsia="黑体" w:cs="Times New Roman"/>
          <w:sz w:val="24"/>
          <w:szCs w:val="24"/>
        </w:rPr>
        <w:t>和CO采用日均浓度二级标准限值），指数越大表明城市空气污染程度越重。（3）空气质量综合指数同比变化率指本年度评价时段内空气质量综合指数与上年同期变化幅度，变化率大于0代表空气质量恶化、小于0代表改善、等于0代表持平。</w:t>
      </w:r>
    </w:p>
    <w:p>
      <w:pPr>
        <w:jc w:val="right"/>
      </w:pPr>
      <w:r>
        <w:rPr>
          <w:rFonts w:ascii="Times New Roman" w:hAnsi="Times New Roman" w:eastAsia="黑体" w:cs="Times New Roman"/>
          <w:sz w:val="24"/>
          <w:szCs w:val="30"/>
        </w:rPr>
        <w:t>安徽省生态环境厅</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swiss"/>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DF01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customStyle="1" w:styleId="4">
    <w:name w:val="MsoNormalTable"/>
    <w:basedOn w:val="3"/>
    <w:qFormat/>
    <w:uiPriority w:val="0"/>
    <w:tblPr>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杨阳</cp:lastModifiedBy>
  <dcterms:modified xsi:type="dcterms:W3CDTF">2021-03-26T00:49:47Z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