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（2021年1-8月）</w:t>
      </w:r>
    </w:p>
    <w:p>
      <w:pPr>
        <w:spacing w:line="320" w:lineRule="exact"/>
        <w:jc w:val="right"/>
        <w:rPr>
          <w:rFonts w:ascii="Times New Roman" w:hAnsi="Times New Roman" w:eastAsia="黑体" w:cs="Times New Roman"/>
          <w:szCs w:val="40"/>
        </w:rPr>
      </w:pPr>
      <w:r>
        <w:rPr>
          <w:rFonts w:ascii="Times New Roman" w:hAnsi="Times New Roman" w:eastAsia="黑体" w:cs="Times New Roman"/>
          <w:szCs w:val="40"/>
        </w:rPr>
        <w:t>PM</w:t>
      </w:r>
      <w:r>
        <w:rPr>
          <w:rFonts w:ascii="Times New Roman" w:hAnsi="Times New Roman" w:eastAsia="黑体" w:cs="Times New Roman"/>
          <w:szCs w:val="40"/>
          <w:vertAlign w:val="subscript"/>
        </w:rPr>
        <w:t>2.5</w:t>
      </w:r>
      <w:r>
        <w:rPr>
          <w:rFonts w:ascii="Times New Roman" w:hAnsi="Times New Roman" w:eastAsia="黑体" w:cs="Times New Roman"/>
          <w:szCs w:val="40"/>
        </w:rPr>
        <w:t>浓度单位：微克/立方米</w:t>
      </w:r>
    </w:p>
    <w:tbl>
      <w:tblPr>
        <w:tblStyle w:val="4"/>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388"/>
        <w:gridCol w:w="1388"/>
        <w:gridCol w:w="1386"/>
        <w:gridCol w:w="1520"/>
        <w:gridCol w:w="1255"/>
        <w:gridCol w:w="13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834" w:type="pct"/>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排名</w:t>
            </w:r>
          </w:p>
        </w:tc>
        <w:tc>
          <w:tcPr>
            <w:tcW w:w="834" w:type="pct"/>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城市名称</w:t>
            </w:r>
          </w:p>
        </w:tc>
        <w:tc>
          <w:tcPr>
            <w:tcW w:w="833" w:type="pct"/>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空气质量综合指数</w:t>
            </w:r>
          </w:p>
        </w:tc>
        <w:tc>
          <w:tcPr>
            <w:tcW w:w="913" w:type="pct"/>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综合指数同比变化率（%）</w:t>
            </w:r>
          </w:p>
        </w:tc>
        <w:tc>
          <w:tcPr>
            <w:tcW w:w="754" w:type="pct"/>
            <w:tcMar>
              <w:top w:w="8" w:type="dxa"/>
              <w:left w:w="8" w:type="dxa"/>
              <w:bottom w:w="8" w:type="dxa"/>
              <w:right w:w="5"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kern w:val="0"/>
                <w:sz w:val="24"/>
              </w:rPr>
              <w:t>PM</w:t>
            </w:r>
            <w:r>
              <w:rPr>
                <w:rFonts w:ascii="Times New Roman" w:hAnsi="Times New Roman"/>
                <w:color w:val="000000"/>
                <w:kern w:val="0"/>
                <w:sz w:val="24"/>
                <w:vertAlign w:val="subscript"/>
              </w:rPr>
              <w:t>2.5</w:t>
            </w:r>
          </w:p>
        </w:tc>
        <w:tc>
          <w:tcPr>
            <w:tcW w:w="832" w:type="pct"/>
            <w:tcMar>
              <w:top w:w="8" w:type="dxa"/>
              <w:left w:w="8" w:type="dxa"/>
              <w:bottom w:w="8" w:type="dxa"/>
              <w:right w:w="8" w:type="dxa"/>
            </w:tcMar>
            <w:vAlign w:val="center"/>
          </w:tcPr>
          <w:p>
            <w:pPr>
              <w:jc w:val="center"/>
              <w:rPr>
                <w:rFonts w:cs="Times New Roman" w:asciiTheme="majorEastAsia" w:hAnsiTheme="majorEastAsia" w:eastAsiaTheme="majorEastAsia"/>
                <w:color w:val="000000"/>
                <w:sz w:val="24"/>
                <w:szCs w:val="24"/>
              </w:rPr>
            </w:pPr>
            <w:r>
              <w:rPr>
                <w:rFonts w:ascii="Times New Roman" w:hAnsi="Times New Roman"/>
                <w:color w:val="000000"/>
                <w:sz w:val="24"/>
              </w:rPr>
              <w:t>优良天数比例（%）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黄山</w:t>
            </w:r>
          </w:p>
        </w:tc>
        <w:tc>
          <w:tcPr>
            <w:tcW w:w="0" w:type="auto"/>
            <w:shd w:val="clear" w:color="auto" w:fill="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2.37</w:t>
            </w:r>
          </w:p>
        </w:tc>
        <w:tc>
          <w:tcPr>
            <w:tcW w:w="913" w:type="pct"/>
            <w:shd w:val="clear" w:color="auto" w:fill="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-2.1</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宣城</w:t>
            </w:r>
          </w:p>
        </w:tc>
        <w:tc>
          <w:tcPr>
            <w:tcW w:w="0" w:type="auto"/>
            <w:shd w:val="clear" w:color="auto" w:fill="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3.26</w:t>
            </w:r>
          </w:p>
        </w:tc>
        <w:tc>
          <w:tcPr>
            <w:tcW w:w="913" w:type="pct"/>
            <w:shd w:val="clear" w:color="auto" w:fill="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0.6</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安庆</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3.36</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-1.2</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池州</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3.43</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6.2</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六安</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3.61</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2.6</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芜湖</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3.79</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2.7</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合肥</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3.88</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5.1</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亳州</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3.89</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-8.7</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铜陵</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4.00</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2.8</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宿州</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4.06</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1.5</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马鞍山</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4.06</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5.7</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淮北</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4.07</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-7.1</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蚌埠</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4.09</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1.5</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阜阳</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4.09</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2.5</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滁州</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4.11</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7.3</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0" w:type="auto"/>
            <w:tcMar>
              <w:top w:w="8" w:type="dxa"/>
              <w:left w:w="8" w:type="dxa"/>
              <w:bottom w:w="8" w:type="dxa"/>
              <w:right w:w="8" w:type="dxa"/>
            </w:tcMar>
            <w:vAlign w:val="center"/>
          </w:tcPr>
          <w:p>
            <w:pPr>
              <w:jc w:val="center"/>
              <w:rPr>
                <w:rFonts w:ascii="Times New Roman" w:hAnsi="Times New Roman"/>
                <w:color w:val="000000"/>
                <w:sz w:val="24"/>
              </w:rPr>
            </w:pPr>
            <w:r>
              <w:rPr>
                <w:rFonts w:ascii="Times New Roman" w:hAnsi="Times New Roman"/>
                <w:color w:val="000000"/>
                <w:sz w:val="24"/>
              </w:rPr>
              <w:t>淮南</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4.19</w:t>
            </w:r>
          </w:p>
        </w:tc>
        <w:tc>
          <w:tcPr>
            <w:tcW w:w="913"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-0.2</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gridSpan w:val="2"/>
            <w:tcMar>
              <w:top w:w="8" w:type="dxa"/>
              <w:left w:w="8" w:type="dxa"/>
              <w:bottom w:w="8" w:type="dxa"/>
              <w:right w:w="8" w:type="dxa"/>
            </w:tcMar>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全</w:t>
            </w:r>
            <w:r>
              <w:rPr>
                <w:rFonts w:hint="eastAsia" w:ascii="宋体" w:hAnsi="宋体" w:eastAsia="宋体" w:cs="Times New Roman"/>
                <w:color w:val="000000"/>
                <w:sz w:val="24"/>
                <w:szCs w:val="24"/>
              </w:rPr>
              <w:t xml:space="preserve"> </w:t>
            </w:r>
            <w:r>
              <w:rPr>
                <w:rFonts w:ascii="宋体" w:hAnsi="宋体" w:eastAsia="宋体" w:cs="Times New Roman"/>
                <w:color w:val="000000"/>
                <w:sz w:val="24"/>
                <w:szCs w:val="24"/>
              </w:rPr>
              <w:t xml:space="preserve"> 省</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3.77</w:t>
            </w:r>
          </w:p>
        </w:tc>
        <w:tc>
          <w:tcPr>
            <w:tcW w:w="913" w:type="pct"/>
            <w:tcMar>
              <w:top w:w="8" w:type="dxa"/>
              <w:left w:w="8" w:type="dxa"/>
              <w:bottom w:w="8" w:type="dxa"/>
              <w:right w:w="8" w:type="dxa"/>
            </w:tcMar>
            <w:vAlign w:val="center"/>
          </w:tcPr>
          <w:p>
            <w:pPr>
              <w:widowControl/>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0.8</w:t>
            </w:r>
          </w:p>
        </w:tc>
        <w:tc>
          <w:tcPr>
            <w:tcW w:w="754" w:type="pct"/>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33</w:t>
            </w:r>
          </w:p>
        </w:tc>
        <w:tc>
          <w:tcPr>
            <w:tcW w:w="0" w:type="auto"/>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84.9</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1）城市空气质量排名采用空气质量综合指数大小来确定，指数越小表明空气质量越好，指数相同的城市以并列计。（2）空气质量综合指数是指评价时段内，参与评价的各项污染物的单项质量指数之和（单项指标评价时段内平均浓度与该指标二级标准限值的比值，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ascii="Times New Roman" w:hAnsi="Times New Roman" w:eastAsia="黑体" w:cs="Times New Roman"/>
          <w:sz w:val="24"/>
          <w:szCs w:val="24"/>
        </w:rPr>
        <w:t>采用年均浓度二级标准限值、O</w:t>
      </w:r>
      <w:r>
        <w:rPr>
          <w:rFonts w:ascii="Times New Roman" w:hAnsi="Times New Roman" w:eastAsia="黑体" w:cs="Times New Roman"/>
          <w:sz w:val="24"/>
          <w:szCs w:val="24"/>
          <w:vertAlign w:val="subscript"/>
        </w:rPr>
        <w:t>3</w:t>
      </w:r>
      <w:r>
        <w:rPr>
          <w:rFonts w:ascii="Times New Roman" w:hAnsi="Times New Roman" w:eastAsia="黑体" w:cs="Times New Roman"/>
          <w:sz w:val="24"/>
          <w:szCs w:val="24"/>
        </w:rPr>
        <w:t>和CO采用日均浓度二级标准限值），指数越大表明城市空气污染程度越重。（3）空气质量综合指数同比变化率指本年度评价时段内空气质量综合指数与上年同期变化幅度，变化率大于0代表空气质量恶化、小于0代表改善、等于0代表持平。</w:t>
      </w:r>
      <w:r>
        <w:rPr>
          <w:rFonts w:hint="eastAsia" w:ascii="Times New Roman" w:hAnsi="Times New Roman" w:eastAsia="黑体" w:cs="Times New Roman"/>
          <w:sz w:val="24"/>
          <w:szCs w:val="24"/>
        </w:rPr>
        <w:t>（4）2</w:t>
      </w:r>
      <w:r>
        <w:rPr>
          <w:rFonts w:ascii="Times New Roman" w:hAnsi="Times New Roman" w:eastAsia="黑体" w:cs="Times New Roman"/>
          <w:sz w:val="24"/>
          <w:szCs w:val="24"/>
        </w:rPr>
        <w:t>020</w:t>
      </w:r>
      <w:r>
        <w:rPr>
          <w:rFonts w:hint="eastAsia" w:ascii="Times New Roman" w:hAnsi="Times New Roman" w:eastAsia="黑体" w:cs="Times New Roman"/>
          <w:sz w:val="24"/>
          <w:szCs w:val="24"/>
        </w:rPr>
        <w:t>年同期数据采用“十三五”监测点位进行评价。</w:t>
      </w:r>
    </w:p>
    <w:p>
      <w:pPr>
        <w:jc w:val="right"/>
        <w:rPr>
          <w:rFonts w:hint="default"/>
          <w:lang w:val="en"/>
        </w:rPr>
      </w:pPr>
      <w:r>
        <w:rPr>
          <w:rFonts w:ascii="Times New Roman" w:hAnsi="Times New Roman" w:eastAsia="黑体" w:cs="Times New Roman"/>
          <w:sz w:val="24"/>
          <w:szCs w:val="30"/>
        </w:rPr>
        <w:t>安徽省生态环境厅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91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MsoNormalTabl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2021-09-26T07:17:19Z</dcterms:created>
  <dc:creator>yy</dc:creator>
  <cp:lastModifiedBy>系统维护</cp:lastModifiedBy>
  <dcterms:modified xsi:type="dcterms:W3CDTF">2021-09-26T07:17:30Z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2052-11.8.2.8967</vt:lpwstr>
  </property>
</Properties>
</file>