
<file path=[Content_Types].xml><?xml version="1.0" encoding="utf-8"?>
<Types xmlns="http://schemas.openxmlformats.org/package/2006/content-types">
  <Default Extension="xml" ContentType="application/xml"/>
  <Default Extension="xlsx" ContentType="application/vnd.openxmlformats-officedocument.spreadsheetml.sheet"/>
  <Default Extension="bin" ContentType="application/vnd.openxmlformats-officedocument.oleObject"/>
  <Default Extension="png" ContentType="image/png"/>
  <Default Extension="jpeg" ContentType="image/jpeg"/>
  <Default Extension="wmf" ContentType="image/x-wmf"/>
  <Default Extension="emf" ContentType="image/x-emf"/>
  <Default Extension="wdp" ContentType="image/vnd.ms-photo"/>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ind w:firstLine="0" w:firstLineChars="0"/>
        <w:rPr>
          <w:rFonts w:ascii="Times New Roman" w:hAnsi="Times New Roman" w:cs="Times New Roman"/>
          <w:color w:val="auto"/>
          <w:sz w:val="30"/>
          <w:szCs w:val="30"/>
        </w:rPr>
      </w:pPr>
      <w:r>
        <w:rPr>
          <w:rFonts w:ascii="Times New Roman" w:hAnsi="Times New Roman" w:cs="Times New Roman"/>
          <w:color w:val="auto"/>
          <w:sz w:val="30"/>
          <w:szCs w:val="30"/>
        </w:rPr>
        <w:t xml:space="preserve">   </w:t>
      </w:r>
      <w:bookmarkStart w:id="0" w:name="_Hlk104370912"/>
      <w:r>
        <w:rPr>
          <w:rFonts w:ascii="Times New Roman" w:hAnsi="Times New Roman" w:cs="Times New Roman"/>
          <w:color w:val="auto"/>
          <w:sz w:val="30"/>
          <w:szCs w:val="30"/>
        </w:rPr>
        <w:t xml:space="preserve">                 </w:t>
      </w:r>
    </w:p>
    <w:p>
      <w:pPr>
        <w:adjustRightInd/>
        <w:ind w:firstLine="480"/>
        <w:rPr>
          <w:rFonts w:ascii="Times New Roman" w:hAnsi="Times New Roman" w:cs="Times New Roman"/>
          <w:color w:val="auto"/>
        </w:rPr>
      </w:pPr>
    </w:p>
    <w:p>
      <w:pPr>
        <w:adjustRightInd/>
        <w:ind w:firstLine="480"/>
        <w:rPr>
          <w:rFonts w:ascii="Times New Roman" w:hAnsi="Times New Roman" w:cs="Times New Roman"/>
          <w:color w:val="auto"/>
        </w:rPr>
      </w:pPr>
    </w:p>
    <w:p>
      <w:pPr>
        <w:adjustRightInd/>
        <w:ind w:firstLine="480"/>
        <w:rPr>
          <w:rFonts w:ascii="Times New Roman" w:hAnsi="Times New Roman" w:cs="Times New Roman"/>
          <w:color w:val="auto"/>
        </w:rPr>
      </w:pPr>
    </w:p>
    <w:p>
      <w:pPr>
        <w:tabs>
          <w:tab w:val="left" w:pos="3270"/>
        </w:tabs>
        <w:adjustRightInd/>
        <w:ind w:firstLine="480"/>
        <w:rPr>
          <w:rFonts w:ascii="Times New Roman" w:hAnsi="Times New Roman" w:cs="Times New Roman"/>
          <w:color w:val="auto"/>
        </w:rPr>
      </w:pPr>
      <w:r>
        <w:rPr>
          <w:rFonts w:ascii="Times New Roman" w:hAnsi="Times New Roman" w:cs="Times New Roman"/>
          <w:color w:val="auto"/>
        </w:rPr>
        <w:tab/>
      </w:r>
    </w:p>
    <w:p>
      <w:pPr>
        <w:pStyle w:val="42"/>
        <w:pBdr>
          <w:bottom w:val="none" w:color="auto" w:sz="0" w:space="0"/>
        </w:pBdr>
        <w:spacing w:line="312" w:lineRule="auto"/>
        <w:ind w:firstLine="0" w:firstLineChars="0"/>
        <w:rPr>
          <w:rFonts w:ascii="Times New Roman" w:hAnsi="Times New Roman" w:eastAsia="楷体" w:cs="Times New Roman"/>
          <w:b/>
          <w:color w:val="auto"/>
          <w:w w:val="90"/>
          <w:sz w:val="52"/>
          <w:szCs w:val="52"/>
        </w:rPr>
      </w:pPr>
      <w:bookmarkStart w:id="1" w:name="_Hlk104361361"/>
      <w:bookmarkStart w:id="2" w:name="_Hlk104729049"/>
      <w:r>
        <w:rPr>
          <w:rFonts w:ascii="Times New Roman" w:hAnsi="Times New Roman" w:eastAsia="楷体" w:cs="Times New Roman"/>
          <w:b/>
          <w:color w:val="auto"/>
          <w:w w:val="90"/>
          <w:sz w:val="52"/>
          <w:szCs w:val="52"/>
        </w:rPr>
        <w:t>合肥东航码头工程</w:t>
      </w:r>
      <w:bookmarkEnd w:id="1"/>
      <w:r>
        <w:rPr>
          <w:rFonts w:ascii="Times New Roman" w:hAnsi="Times New Roman" w:eastAsia="楷体" w:cs="Times New Roman"/>
          <w:b/>
          <w:color w:val="auto"/>
          <w:w w:val="90"/>
          <w:sz w:val="52"/>
          <w:szCs w:val="52"/>
        </w:rPr>
        <w:t>项目</w:t>
      </w:r>
    </w:p>
    <w:p>
      <w:pPr>
        <w:pStyle w:val="42"/>
        <w:pBdr>
          <w:bottom w:val="none" w:color="auto" w:sz="0" w:space="0"/>
        </w:pBdr>
        <w:spacing w:line="312" w:lineRule="auto"/>
        <w:ind w:firstLine="0" w:firstLineChars="0"/>
        <w:rPr>
          <w:rFonts w:ascii="Times New Roman" w:hAnsi="Times New Roman" w:eastAsia="华文新魏" w:cs="Times New Roman"/>
          <w:b/>
          <w:color w:val="auto"/>
          <w:sz w:val="72"/>
          <w:szCs w:val="52"/>
        </w:rPr>
      </w:pPr>
      <w:r>
        <w:rPr>
          <w:rFonts w:ascii="Times New Roman" w:hAnsi="Times New Roman" w:eastAsia="华文新魏" w:cs="Times New Roman"/>
          <w:b/>
          <w:color w:val="auto"/>
          <w:sz w:val="72"/>
          <w:szCs w:val="52"/>
        </w:rPr>
        <w:t>环境影响报告书</w:t>
      </w:r>
      <w:bookmarkEnd w:id="2"/>
    </w:p>
    <w:p>
      <w:pPr>
        <w:pStyle w:val="42"/>
        <w:pBdr>
          <w:bottom w:val="none" w:color="auto" w:sz="0" w:space="0"/>
        </w:pBdr>
        <w:spacing w:line="312" w:lineRule="auto"/>
        <w:ind w:firstLine="0" w:firstLineChars="0"/>
        <w:rPr>
          <w:rFonts w:ascii="Times New Roman" w:hAnsi="Times New Roman" w:eastAsia="华文新魏" w:cs="Times New Roman"/>
          <w:b/>
          <w:color w:val="auto"/>
          <w:sz w:val="44"/>
          <w:szCs w:val="52"/>
        </w:rPr>
      </w:pPr>
      <w:r>
        <w:rPr>
          <w:rFonts w:ascii="Times New Roman" w:hAnsi="Times New Roman" w:eastAsia="华文新魏" w:cs="Times New Roman"/>
          <w:b/>
          <w:color w:val="auto"/>
          <w:sz w:val="44"/>
          <w:szCs w:val="52"/>
        </w:rPr>
        <w:t>（送审稿）</w:t>
      </w:r>
    </w:p>
    <w:p>
      <w:pPr>
        <w:pStyle w:val="42"/>
        <w:pBdr>
          <w:bottom w:val="none" w:color="auto" w:sz="0" w:space="0"/>
        </w:pBdr>
        <w:spacing w:line="312" w:lineRule="auto"/>
        <w:ind w:firstLine="643"/>
        <w:rPr>
          <w:rFonts w:ascii="Times New Roman" w:hAnsi="Times New Roman" w:cs="Times New Roman"/>
          <w:b/>
          <w:color w:val="auto"/>
          <w:sz w:val="32"/>
          <w:szCs w:val="52"/>
        </w:rPr>
      </w:pPr>
    </w:p>
    <w:p>
      <w:pPr>
        <w:pStyle w:val="42"/>
        <w:pBdr>
          <w:bottom w:val="none" w:color="auto" w:sz="0" w:space="0"/>
        </w:pBdr>
        <w:spacing w:line="312" w:lineRule="auto"/>
        <w:ind w:firstLine="360"/>
      </w:pPr>
    </w:p>
    <w:p>
      <w:pPr>
        <w:pStyle w:val="42"/>
        <w:pBdr>
          <w:bottom w:val="none" w:color="auto" w:sz="0" w:space="0"/>
        </w:pBdr>
        <w:spacing w:line="312" w:lineRule="auto"/>
        <w:ind w:firstLine="360"/>
      </w:pPr>
    </w:p>
    <w:p>
      <w:pPr>
        <w:pStyle w:val="42"/>
        <w:pBdr>
          <w:bottom w:val="none" w:color="auto" w:sz="0" w:space="0"/>
        </w:pBdr>
        <w:spacing w:line="312" w:lineRule="auto"/>
        <w:ind w:firstLine="360"/>
      </w:pPr>
    </w:p>
    <w:p>
      <w:pPr>
        <w:pStyle w:val="42"/>
        <w:pBdr>
          <w:bottom w:val="none" w:color="auto" w:sz="0" w:space="0"/>
        </w:pBdr>
        <w:spacing w:line="312" w:lineRule="auto"/>
        <w:ind w:firstLine="360"/>
      </w:pPr>
    </w:p>
    <w:p>
      <w:pPr>
        <w:pStyle w:val="42"/>
        <w:pBdr>
          <w:bottom w:val="none" w:color="auto" w:sz="0" w:space="0"/>
        </w:pBdr>
        <w:spacing w:line="312" w:lineRule="auto"/>
        <w:ind w:firstLine="360"/>
      </w:pPr>
    </w:p>
    <w:p>
      <w:pPr>
        <w:pStyle w:val="42"/>
        <w:pBdr>
          <w:bottom w:val="none" w:color="auto" w:sz="0" w:space="0"/>
        </w:pBdr>
        <w:spacing w:line="312" w:lineRule="auto"/>
        <w:ind w:firstLine="360"/>
      </w:pPr>
    </w:p>
    <w:p>
      <w:pPr>
        <w:pStyle w:val="42"/>
        <w:pBdr>
          <w:bottom w:val="none" w:color="auto" w:sz="0" w:space="0"/>
        </w:pBdr>
        <w:spacing w:line="312" w:lineRule="auto"/>
        <w:ind w:firstLine="360"/>
      </w:pPr>
    </w:p>
    <w:p>
      <w:pPr>
        <w:pStyle w:val="42"/>
        <w:pBdr>
          <w:bottom w:val="none" w:color="auto" w:sz="0" w:space="0"/>
        </w:pBdr>
        <w:spacing w:line="312" w:lineRule="auto"/>
        <w:ind w:firstLine="360"/>
      </w:pPr>
    </w:p>
    <w:p>
      <w:pPr>
        <w:pStyle w:val="42"/>
        <w:pBdr>
          <w:bottom w:val="none" w:color="auto" w:sz="0" w:space="0"/>
        </w:pBdr>
        <w:spacing w:line="312" w:lineRule="auto"/>
        <w:ind w:firstLine="360"/>
      </w:pPr>
    </w:p>
    <w:p>
      <w:pPr>
        <w:pStyle w:val="42"/>
        <w:pBdr>
          <w:bottom w:val="none" w:color="auto" w:sz="0" w:space="0"/>
        </w:pBdr>
        <w:spacing w:line="312" w:lineRule="auto"/>
        <w:ind w:firstLine="360"/>
      </w:pPr>
    </w:p>
    <w:p>
      <w:pPr>
        <w:pStyle w:val="42"/>
        <w:pBdr>
          <w:bottom w:val="none" w:color="auto" w:sz="0" w:space="0"/>
        </w:pBdr>
        <w:spacing w:line="312" w:lineRule="auto"/>
        <w:ind w:firstLine="643"/>
        <w:rPr>
          <w:rFonts w:ascii="Times New Roman" w:hAnsi="Times New Roman" w:cs="Times New Roman"/>
          <w:b/>
          <w:color w:val="auto"/>
          <w:sz w:val="32"/>
          <w:szCs w:val="52"/>
        </w:rPr>
      </w:pPr>
    </w:p>
    <w:p>
      <w:pPr>
        <w:pStyle w:val="42"/>
        <w:pBdr>
          <w:bottom w:val="none" w:color="auto" w:sz="0" w:space="0"/>
        </w:pBdr>
        <w:spacing w:line="312" w:lineRule="auto"/>
        <w:ind w:firstLine="643"/>
        <w:rPr>
          <w:rFonts w:ascii="Times New Roman" w:hAnsi="Times New Roman" w:cs="Times New Roman"/>
          <w:b/>
          <w:color w:val="auto"/>
          <w:sz w:val="32"/>
          <w:szCs w:val="52"/>
        </w:rPr>
      </w:pPr>
    </w:p>
    <w:p>
      <w:pPr>
        <w:pStyle w:val="42"/>
        <w:pBdr>
          <w:bottom w:val="none" w:color="auto" w:sz="0" w:space="0"/>
        </w:pBdr>
        <w:spacing w:line="312" w:lineRule="auto"/>
        <w:ind w:firstLine="643"/>
        <w:rPr>
          <w:rFonts w:ascii="Times New Roman" w:hAnsi="Times New Roman" w:cs="Times New Roman"/>
          <w:b/>
          <w:color w:val="auto"/>
          <w:sz w:val="32"/>
          <w:szCs w:val="52"/>
        </w:rPr>
      </w:pPr>
    </w:p>
    <w:p>
      <w:pPr>
        <w:pStyle w:val="42"/>
        <w:pBdr>
          <w:bottom w:val="none" w:color="auto" w:sz="0" w:space="0"/>
        </w:pBdr>
        <w:spacing w:line="312" w:lineRule="auto"/>
        <w:ind w:firstLine="643"/>
        <w:rPr>
          <w:rFonts w:ascii="Times New Roman" w:hAnsi="Times New Roman" w:cs="Times New Roman"/>
          <w:b/>
          <w:color w:val="auto"/>
          <w:sz w:val="32"/>
          <w:szCs w:val="52"/>
        </w:rPr>
      </w:pPr>
    </w:p>
    <w:p>
      <w:pPr>
        <w:pStyle w:val="42"/>
        <w:pBdr>
          <w:bottom w:val="none" w:color="auto" w:sz="0" w:space="0"/>
        </w:pBdr>
        <w:spacing w:line="312" w:lineRule="auto"/>
        <w:ind w:firstLine="643"/>
        <w:rPr>
          <w:rFonts w:ascii="Times New Roman" w:hAnsi="Times New Roman" w:cs="Times New Roman"/>
          <w:b/>
          <w:color w:val="auto"/>
          <w:sz w:val="32"/>
          <w:szCs w:val="52"/>
        </w:rPr>
      </w:pPr>
    </w:p>
    <w:p>
      <w:pPr>
        <w:pStyle w:val="42"/>
        <w:pBdr>
          <w:bottom w:val="none" w:color="auto" w:sz="0" w:space="0"/>
        </w:pBdr>
        <w:spacing w:line="312" w:lineRule="auto"/>
        <w:ind w:firstLine="643"/>
        <w:rPr>
          <w:rFonts w:ascii="Times New Roman" w:hAnsi="Times New Roman" w:cs="Times New Roman"/>
          <w:b/>
          <w:color w:val="auto"/>
          <w:sz w:val="32"/>
          <w:szCs w:val="52"/>
        </w:rPr>
      </w:pPr>
    </w:p>
    <w:p>
      <w:pPr>
        <w:pStyle w:val="42"/>
        <w:pBdr>
          <w:bottom w:val="none" w:color="auto" w:sz="0" w:space="0"/>
        </w:pBdr>
        <w:spacing w:line="312" w:lineRule="auto"/>
        <w:ind w:firstLine="643"/>
        <w:rPr>
          <w:rFonts w:ascii="Times New Roman" w:hAnsi="Times New Roman" w:cs="Times New Roman"/>
          <w:b/>
          <w:color w:val="auto"/>
          <w:sz w:val="32"/>
          <w:szCs w:val="52"/>
        </w:rPr>
      </w:pPr>
    </w:p>
    <w:p>
      <w:pPr>
        <w:pStyle w:val="42"/>
        <w:pBdr>
          <w:bottom w:val="none" w:color="auto" w:sz="0" w:space="0"/>
        </w:pBdr>
        <w:spacing w:line="312" w:lineRule="auto"/>
        <w:ind w:firstLine="0" w:firstLineChars="0"/>
        <w:rPr>
          <w:rFonts w:ascii="Times New Roman" w:hAnsi="Times New Roman" w:eastAsia="楷体" w:cs="Times New Roman"/>
          <w:b/>
          <w:color w:val="auto"/>
          <w:sz w:val="32"/>
          <w:szCs w:val="52"/>
        </w:rPr>
      </w:pPr>
      <w:r>
        <w:rPr>
          <w:rFonts w:ascii="Times New Roman" w:hAnsi="Times New Roman" w:eastAsia="楷体" w:cs="Times New Roman"/>
          <w:b/>
          <w:color w:val="auto"/>
          <w:sz w:val="32"/>
          <w:szCs w:val="52"/>
        </w:rPr>
        <w:t>建设单位：安徽港航物流有限公司</w:t>
      </w:r>
    </w:p>
    <w:p>
      <w:pPr>
        <w:pStyle w:val="42"/>
        <w:pBdr>
          <w:bottom w:val="none" w:color="auto" w:sz="0" w:space="0"/>
        </w:pBdr>
        <w:spacing w:line="312" w:lineRule="auto"/>
        <w:ind w:firstLine="0" w:firstLineChars="0"/>
        <w:rPr>
          <w:rFonts w:ascii="Times New Roman" w:hAnsi="Times New Roman" w:eastAsia="楷体" w:cs="Times New Roman"/>
          <w:b/>
          <w:color w:val="auto"/>
          <w:sz w:val="32"/>
          <w:szCs w:val="52"/>
        </w:rPr>
      </w:pPr>
      <w:r>
        <w:rPr>
          <w:rFonts w:hint="eastAsia" w:ascii="Times New Roman" w:hAnsi="Times New Roman" w:eastAsia="楷体" w:cs="Times New Roman"/>
          <w:b/>
          <w:color w:val="auto"/>
          <w:sz w:val="32"/>
          <w:szCs w:val="52"/>
        </w:rPr>
        <w:t>评价</w:t>
      </w:r>
      <w:r>
        <w:rPr>
          <w:rFonts w:ascii="Times New Roman" w:hAnsi="Times New Roman" w:eastAsia="楷体" w:cs="Times New Roman"/>
          <w:b/>
          <w:color w:val="auto"/>
          <w:sz w:val="32"/>
          <w:szCs w:val="52"/>
        </w:rPr>
        <w:t>单位：安徽睿晟环境科技有限公司</w:t>
      </w:r>
    </w:p>
    <w:p>
      <w:pPr>
        <w:pStyle w:val="42"/>
        <w:pBdr>
          <w:bottom w:val="none" w:color="auto" w:sz="0" w:space="0"/>
        </w:pBdr>
        <w:spacing w:line="312" w:lineRule="auto"/>
        <w:ind w:firstLine="0" w:firstLineChars="0"/>
        <w:rPr>
          <w:rFonts w:ascii="Times New Roman" w:hAnsi="Times New Roman" w:eastAsia="楷体" w:cs="Times New Roman"/>
          <w:b/>
          <w:color w:val="auto"/>
          <w:sz w:val="32"/>
          <w:szCs w:val="52"/>
        </w:rPr>
      </w:pPr>
      <w:r>
        <w:rPr>
          <w:rFonts w:ascii="Times New Roman" w:hAnsi="Times New Roman" w:eastAsia="楷体" w:cs="Times New Roman"/>
          <w:b/>
          <w:color w:val="auto"/>
          <w:sz w:val="32"/>
          <w:szCs w:val="52"/>
        </w:rPr>
        <w:t>2022年6月</w:t>
      </w:r>
    </w:p>
    <w:p>
      <w:pPr>
        <w:pStyle w:val="42"/>
        <w:pBdr>
          <w:bottom w:val="none" w:color="auto" w:sz="0" w:space="0"/>
        </w:pBdr>
        <w:tabs>
          <w:tab w:val="left" w:pos="-284"/>
        </w:tabs>
        <w:spacing w:line="312" w:lineRule="auto"/>
        <w:ind w:left="-283" w:leftChars="-118" w:firstLine="0" w:firstLineChars="0"/>
        <w:rPr>
          <w:rFonts w:ascii="Times New Roman" w:hAnsi="Times New Roman" w:eastAsia="楷体" w:cs="Times New Roman"/>
          <w:b/>
          <w:color w:val="auto"/>
          <w:sz w:val="32"/>
          <w:szCs w:val="52"/>
        </w:rPr>
      </w:pPr>
      <w:r>
        <w:rPr>
          <w:rFonts w:ascii="Times New Roman" w:hAnsi="Times New Roman" w:eastAsia="楷体" w:cs="Times New Roman"/>
          <w:b/>
          <w:color w:val="auto"/>
          <w:sz w:val="32"/>
          <w:szCs w:val="52"/>
        </w:rPr>
        <w:t xml:space="preserve"> </w:t>
      </w:r>
      <w:r>
        <w:drawing>
          <wp:inline distT="0" distB="0" distL="0" distR="0">
            <wp:extent cx="6012815" cy="8515350"/>
            <wp:effectExtent l="0" t="0" r="6985" b="0"/>
            <wp:docPr id="921" name="图片 9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21" name="图片 921"/>
                    <pic:cNvPicPr>
                      <a:picLocks noChangeAspect="true"/>
                    </pic:cNvPicPr>
                  </pic:nvPicPr>
                  <pic:blipFill>
                    <a:blip r:embed="rId22"/>
                    <a:stretch>
                      <a:fillRect/>
                    </a:stretch>
                  </pic:blipFill>
                  <pic:spPr>
                    <a:xfrm>
                      <a:off x="0" y="0"/>
                      <a:ext cx="6016515" cy="8520331"/>
                    </a:xfrm>
                    <a:prstGeom prst="rect">
                      <a:avLst/>
                    </a:prstGeom>
                  </pic:spPr>
                </pic:pic>
              </a:graphicData>
            </a:graphic>
          </wp:inline>
        </w:drawing>
      </w:r>
    </w:p>
    <w:p>
      <w:pPr>
        <w:ind w:firstLine="480"/>
        <w:rPr>
          <w:rFonts w:ascii="Times New Roman" w:hAnsi="Times New Roman" w:cs="Times New Roman"/>
          <w:color w:val="auto"/>
        </w:rPr>
      </w:pPr>
    </w:p>
    <w:bookmarkEnd w:id="0"/>
    <w:p>
      <w:pPr>
        <w:tabs>
          <w:tab w:val="right" w:leader="dot" w:pos="9071"/>
        </w:tabs>
        <w:spacing w:line="480" w:lineRule="auto"/>
        <w:ind w:firstLine="0" w:firstLineChars="0"/>
        <w:jc w:val="center"/>
        <w:rPr>
          <w:rFonts w:ascii="Times New Roman" w:hAnsi="Times New Roman" w:cs="Times New Roman"/>
          <w:b/>
          <w:color w:val="auto"/>
          <w:spacing w:val="-2"/>
          <w:kern w:val="0"/>
          <w:szCs w:val="24"/>
        </w:rPr>
        <w:sectPr>
          <w:headerReference r:id="rId7" w:type="first"/>
          <w:footerReference r:id="rId10" w:type="first"/>
          <w:headerReference r:id="rId5" w:type="default"/>
          <w:footerReference r:id="rId8" w:type="default"/>
          <w:headerReference r:id="rId6" w:type="even"/>
          <w:footerReference r:id="rId9" w:type="even"/>
          <w:pgSz w:w="11906" w:h="16838"/>
          <w:pgMar w:top="1418" w:right="1701" w:bottom="1418" w:left="1701" w:header="851" w:footer="992" w:gutter="0"/>
          <w:cols w:space="720" w:num="1"/>
          <w:docGrid w:type="lines" w:linePitch="333" w:charSpace="0"/>
        </w:sectPr>
      </w:pPr>
    </w:p>
    <w:p>
      <w:pPr>
        <w:pStyle w:val="43"/>
        <w:tabs>
          <w:tab w:val="right" w:leader="dot" w:pos="9062"/>
        </w:tabs>
        <w:ind w:firstLine="562"/>
        <w:jc w:val="center"/>
        <w:rPr>
          <w:rFonts w:ascii="Times New Roman" w:hAnsi="Times New Roman" w:cs="Times New Roman"/>
          <w:color w:val="auto"/>
          <w:sz w:val="28"/>
          <w:szCs w:val="28"/>
        </w:rPr>
      </w:pPr>
      <w:r>
        <w:rPr>
          <w:rFonts w:ascii="Times New Roman" w:hAnsi="Times New Roman" w:cs="Times New Roman"/>
          <w:color w:val="auto"/>
          <w:sz w:val="28"/>
          <w:szCs w:val="28"/>
        </w:rPr>
        <w:t>目录</w:t>
      </w:r>
    </w:p>
    <w:p>
      <w:pPr>
        <w:ind w:firstLine="440"/>
        <w:rPr>
          <w:rFonts w:ascii="Times New Roman" w:hAnsi="Times New Roman" w:cs="Times New Roman"/>
          <w:color w:val="auto"/>
          <w:sz w:val="22"/>
          <w:szCs w:val="21"/>
        </w:rPr>
      </w:pPr>
    </w:p>
    <w:p>
      <w:pPr>
        <w:pStyle w:val="43"/>
        <w:tabs>
          <w:tab w:val="right" w:leader="dot" w:pos="9062"/>
        </w:tabs>
        <w:spacing w:line="240" w:lineRule="auto"/>
        <w:ind w:firstLine="188" w:firstLineChars="94"/>
        <w:rPr>
          <w:rFonts w:ascii="Times New Roman" w:hAnsi="Times New Roman" w:eastAsia="黑体" w:cs="Times New Roman"/>
          <w:b w:val="0"/>
          <w:color w:val="auto"/>
          <w:sz w:val="22"/>
          <w:szCs w:val="24"/>
        </w:rPr>
      </w:pPr>
      <w:r>
        <w:rPr>
          <w:rFonts w:ascii="Times New Roman" w:hAnsi="Times New Roman" w:eastAsia="黑体" w:cs="Times New Roman"/>
          <w:sz w:val="20"/>
          <w:szCs w:val="20"/>
        </w:rPr>
        <w:fldChar w:fldCharType="begin"/>
      </w:r>
      <w:r>
        <w:rPr>
          <w:rFonts w:ascii="Times New Roman" w:hAnsi="Times New Roman" w:eastAsia="黑体" w:cs="Times New Roman"/>
          <w:sz w:val="20"/>
          <w:szCs w:val="20"/>
        </w:rPr>
        <w:instrText xml:space="preserve"> TOC \o "1-3" \h \z \u </w:instrText>
      </w:r>
      <w:r>
        <w:rPr>
          <w:rFonts w:ascii="Times New Roman" w:hAnsi="Times New Roman" w:eastAsia="黑体" w:cs="Times New Roman"/>
          <w:sz w:val="20"/>
          <w:szCs w:val="20"/>
        </w:rPr>
        <w:fldChar w:fldCharType="separate"/>
      </w:r>
      <w:r>
        <w:fldChar w:fldCharType="begin"/>
      </w:r>
      <w:r>
        <w:instrText xml:space="preserve"> HYPERLINK \l "_Toc104733286" </w:instrText>
      </w:r>
      <w:r>
        <w:fldChar w:fldCharType="separate"/>
      </w:r>
      <w:r>
        <w:rPr>
          <w:rStyle w:val="85"/>
          <w:rFonts w:ascii="Times New Roman" w:hAnsi="Times New Roman" w:eastAsia="黑体" w:cs="Times New Roman"/>
        </w:rPr>
        <w:t>1 概述</w:t>
      </w:r>
      <w:r>
        <w:rPr>
          <w:rFonts w:ascii="Times New Roman" w:hAnsi="Times New Roman" w:eastAsia="黑体" w:cs="Times New Roman"/>
        </w:rPr>
        <w:tab/>
      </w:r>
      <w:r>
        <w:rPr>
          <w:rFonts w:ascii="Times New Roman" w:hAnsi="Times New Roman" w:eastAsia="黑体" w:cs="Times New Roman"/>
        </w:rPr>
        <w:fldChar w:fldCharType="begin"/>
      </w:r>
      <w:r>
        <w:rPr>
          <w:rFonts w:ascii="Times New Roman" w:hAnsi="Times New Roman" w:eastAsia="黑体" w:cs="Times New Roman"/>
        </w:rPr>
        <w:instrText xml:space="preserve"> PAGEREF _Toc104733286 \h </w:instrText>
      </w:r>
      <w:r>
        <w:rPr>
          <w:rFonts w:ascii="Times New Roman" w:hAnsi="Times New Roman" w:eastAsia="黑体" w:cs="Times New Roman"/>
        </w:rPr>
        <w:fldChar w:fldCharType="separate"/>
      </w:r>
      <w:r>
        <w:rPr>
          <w:rFonts w:ascii="Times New Roman" w:hAnsi="Times New Roman" w:eastAsia="黑体" w:cs="Times New Roman"/>
        </w:rPr>
        <w:t>1</w:t>
      </w:r>
      <w:r>
        <w:rPr>
          <w:rFonts w:ascii="Times New Roman" w:hAnsi="Times New Roman" w:eastAsia="黑体" w:cs="Times New Roman"/>
        </w:rPr>
        <w:fldChar w:fldCharType="end"/>
      </w:r>
      <w:r>
        <w:rPr>
          <w:rFonts w:ascii="Times New Roman" w:hAnsi="Times New Roman" w:eastAsia="黑体" w:cs="Times New Roman"/>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"_Toc104733287" </w:instrText>
      </w:r>
      <w:r>
        <w:fldChar w:fldCharType="separate"/>
      </w:r>
      <w:r>
        <w:rPr>
          <w:rStyle w:val="85"/>
          <w:rFonts w:ascii="Times New Roman" w:hAnsi="Times New Roman" w:eastAsia="黑体" w:cs="Times New Roman"/>
          <w:sz w:val="22"/>
          <w:szCs w:val="21"/>
        </w:rPr>
        <w:t>1.1项目由来</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_Toc104733287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"_Toc104733290" </w:instrText>
      </w:r>
      <w:r>
        <w:fldChar w:fldCharType="separate"/>
      </w:r>
      <w:r>
        <w:rPr>
          <w:rStyle w:val="85"/>
          <w:rFonts w:ascii="Times New Roman" w:hAnsi="Times New Roman" w:eastAsia="黑体" w:cs="Times New Roman"/>
          <w:sz w:val="22"/>
          <w:szCs w:val="21"/>
        </w:rPr>
        <w:t>1.2环境影响评价工作过程</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_Toc104733290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3</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"_Toc104733291" </w:instrText>
      </w:r>
      <w:r>
        <w:fldChar w:fldCharType="separate"/>
      </w:r>
      <w:r>
        <w:rPr>
          <w:rStyle w:val="85"/>
          <w:rFonts w:ascii="Times New Roman" w:hAnsi="Times New Roman" w:eastAsia="黑体" w:cs="Times New Roman"/>
          <w:sz w:val="22"/>
          <w:szCs w:val="21"/>
        </w:rPr>
        <w:t>1.3分析判定相关情况</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_Toc104733291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5</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"_Toc104733292" </w:instrText>
      </w:r>
      <w:r>
        <w:fldChar w:fldCharType="separate"/>
      </w:r>
      <w:r>
        <w:rPr>
          <w:rStyle w:val="85"/>
          <w:rFonts w:ascii="Times New Roman" w:hAnsi="Times New Roman" w:eastAsia="黑体" w:cs="Times New Roman"/>
          <w:sz w:val="22"/>
          <w:szCs w:val="21"/>
        </w:rPr>
        <w:t>1.4关注的主要环境问题</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_Toc104733292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5</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"_Toc104733293" </w:instrText>
      </w:r>
      <w:r>
        <w:fldChar w:fldCharType="separate"/>
      </w:r>
      <w:r>
        <w:rPr>
          <w:rStyle w:val="85"/>
          <w:rFonts w:ascii="Times New Roman" w:hAnsi="Times New Roman" w:eastAsia="黑体" w:cs="Times New Roman"/>
          <w:sz w:val="22"/>
          <w:szCs w:val="21"/>
        </w:rPr>
        <w:t>1.5环境影响报告书的主要结论</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_Toc104733293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6</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43"/>
        <w:tabs>
          <w:tab w:val="right" w:leader="dot" w:pos="9062"/>
        </w:tabs>
        <w:spacing w:line="240" w:lineRule="auto"/>
        <w:ind w:firstLine="226" w:firstLineChars="94"/>
        <w:rPr>
          <w:rStyle w:val="85"/>
          <w:rFonts w:ascii="Times New Roman" w:hAnsi="Times New Roman" w:cs="Times New Roman"/>
        </w:rPr>
      </w:pPr>
      <w:r>
        <w:fldChar w:fldCharType="begin"/>
      </w:r>
      <w:r>
        <w:instrText xml:space="preserve"> HYPERLINK \l "_Toc104733294" </w:instrText>
      </w:r>
      <w:r>
        <w:fldChar w:fldCharType="separate"/>
      </w:r>
      <w:r>
        <w:rPr>
          <w:rStyle w:val="85"/>
          <w:rFonts w:ascii="Times New Roman" w:hAnsi="Times New Roman" w:eastAsia="黑体" w:cs="Times New Roman"/>
        </w:rPr>
        <w:t>2 总则</w:t>
      </w:r>
      <w:r>
        <w:rPr>
          <w:rStyle w:val="85"/>
          <w:rFonts w:ascii="Times New Roman" w:hAnsi="Times New Roman" w:cs="Times New Roman"/>
        </w:rPr>
        <w:tab/>
      </w:r>
      <w:r>
        <w:rPr>
          <w:rStyle w:val="85"/>
          <w:rFonts w:ascii="Times New Roman" w:hAnsi="Times New Roman" w:cs="Times New Roman"/>
        </w:rPr>
        <w:fldChar w:fldCharType="begin"/>
      </w:r>
      <w:r>
        <w:rPr>
          <w:rStyle w:val="85"/>
          <w:rFonts w:ascii="Times New Roman" w:hAnsi="Times New Roman" w:cs="Times New Roman"/>
        </w:rPr>
        <w:instrText xml:space="preserve"> PAGEREF _Toc104733294 \h </w:instrText>
      </w:r>
      <w:r>
        <w:rPr>
          <w:rStyle w:val="85"/>
          <w:rFonts w:ascii="Times New Roman" w:hAnsi="Times New Roman" w:cs="Times New Roman"/>
        </w:rPr>
        <w:fldChar w:fldCharType="separate"/>
      </w:r>
      <w:r>
        <w:rPr>
          <w:rStyle w:val="85"/>
          <w:rFonts w:ascii="Times New Roman" w:hAnsi="Times New Roman" w:cs="Times New Roman"/>
        </w:rPr>
        <w:t>7</w:t>
      </w:r>
      <w:r>
        <w:rPr>
          <w:rStyle w:val="85"/>
          <w:rFonts w:ascii="Times New Roman" w:hAnsi="Times New Roman" w:cs="Times New Roman"/>
        </w:rPr>
        <w:fldChar w:fldCharType="end"/>
      </w:r>
      <w:r>
        <w:rPr>
          <w:rStyle w:val="85"/>
          <w:rFonts w:ascii="Times New Roman" w:hAnsi="Times New Roman" w:cs="Times New Roman"/>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"_Toc104733295" </w:instrText>
      </w:r>
      <w:r>
        <w:fldChar w:fldCharType="separate"/>
      </w:r>
      <w:r>
        <w:rPr>
          <w:rStyle w:val="85"/>
          <w:rFonts w:ascii="Times New Roman" w:hAnsi="Times New Roman" w:eastAsia="黑体" w:cs="Times New Roman"/>
          <w:sz w:val="22"/>
          <w:szCs w:val="21"/>
        </w:rPr>
        <w:t>2.1编制依据</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_Toc104733295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7</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"_Toc104733300" </w:instrText>
      </w:r>
      <w:r>
        <w:fldChar w:fldCharType="separate"/>
      </w:r>
      <w:r>
        <w:rPr>
          <w:rStyle w:val="85"/>
          <w:rFonts w:ascii="Times New Roman" w:hAnsi="Times New Roman" w:eastAsia="黑体" w:cs="Times New Roman"/>
          <w:sz w:val="22"/>
          <w:szCs w:val="21"/>
        </w:rPr>
        <w:t>2.2评价因子与评价标准</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_Toc104733300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13</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"_Toc104733305" </w:instrText>
      </w:r>
      <w:r>
        <w:fldChar w:fldCharType="separate"/>
      </w:r>
      <w:r>
        <w:rPr>
          <w:rStyle w:val="85"/>
          <w:rFonts w:ascii="Times New Roman" w:hAnsi="Times New Roman" w:eastAsia="黑体" w:cs="Times New Roman"/>
          <w:sz w:val="22"/>
          <w:szCs w:val="21"/>
        </w:rPr>
        <w:t>2.3评价工作等级和评价范围</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_Toc104733305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18</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"_Toc104733308" </w:instrText>
      </w:r>
      <w:r>
        <w:fldChar w:fldCharType="separate"/>
      </w:r>
      <w:r>
        <w:rPr>
          <w:rStyle w:val="85"/>
          <w:rFonts w:ascii="Times New Roman" w:hAnsi="Times New Roman" w:eastAsia="黑体" w:cs="Times New Roman"/>
          <w:sz w:val="22"/>
          <w:szCs w:val="21"/>
        </w:rPr>
        <w:t>2.4产业政策及规划选址合理性分析</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_Toc104733308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28</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"_Toc104733314" </w:instrText>
      </w:r>
      <w:r>
        <w:fldChar w:fldCharType="separate"/>
      </w:r>
      <w:r>
        <w:rPr>
          <w:rStyle w:val="85"/>
          <w:rFonts w:ascii="Times New Roman" w:hAnsi="Times New Roman" w:eastAsia="黑体" w:cs="Times New Roman"/>
          <w:sz w:val="22"/>
          <w:szCs w:val="21"/>
        </w:rPr>
        <w:t>2.5“三线一单”相符性分析</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_Toc104733314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69</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"_Toc104733315" </w:instrText>
      </w:r>
      <w:r>
        <w:fldChar w:fldCharType="separate"/>
      </w:r>
      <w:r>
        <w:rPr>
          <w:rStyle w:val="85"/>
          <w:rFonts w:ascii="Times New Roman" w:hAnsi="Times New Roman" w:eastAsia="黑体" w:cs="Times New Roman"/>
          <w:sz w:val="22"/>
          <w:szCs w:val="21"/>
        </w:rPr>
        <w:t>2.6与《港口建设项目环境影响评价文件审批原则》相符性分析</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_Toc104733315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81</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"_Toc104733316" </w:instrText>
      </w:r>
      <w:r>
        <w:fldChar w:fldCharType="separate"/>
      </w:r>
      <w:r>
        <w:rPr>
          <w:rStyle w:val="85"/>
          <w:rFonts w:ascii="Times New Roman" w:hAnsi="Times New Roman" w:eastAsia="黑体" w:cs="Times New Roman"/>
          <w:sz w:val="22"/>
          <w:szCs w:val="21"/>
        </w:rPr>
        <w:t>2.7与《挥发性有机物治理实用手册（第二版）》、《油品储运销挥发性有机物治理实用手册》的相符性分析</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_Toc104733316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82</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"_Toc104733317" </w:instrText>
      </w:r>
      <w:r>
        <w:fldChar w:fldCharType="separate"/>
      </w:r>
      <w:r>
        <w:rPr>
          <w:rStyle w:val="85"/>
          <w:rFonts w:ascii="Times New Roman" w:hAnsi="Times New Roman" w:eastAsia="黑体" w:cs="Times New Roman"/>
          <w:sz w:val="22"/>
          <w:szCs w:val="21"/>
        </w:rPr>
        <w:t>2.8主要环境保护目标</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_Toc104733317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90</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"_Toc104733318" </w:instrText>
      </w:r>
      <w:r>
        <w:fldChar w:fldCharType="separate"/>
      </w:r>
      <w:r>
        <w:rPr>
          <w:rStyle w:val="85"/>
          <w:rFonts w:ascii="Times New Roman" w:hAnsi="Times New Roman" w:eastAsia="黑体" w:cs="Times New Roman"/>
          <w:sz w:val="22"/>
          <w:szCs w:val="21"/>
        </w:rPr>
        <w:t>2.9重要生态环境保护目标</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_Toc104733318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94</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43"/>
        <w:tabs>
          <w:tab w:val="right" w:leader="dot" w:pos="9062"/>
        </w:tabs>
        <w:spacing w:line="240" w:lineRule="auto"/>
        <w:ind w:firstLine="197" w:firstLineChars="82"/>
        <w:rPr>
          <w:rFonts w:ascii="Times New Roman" w:hAnsi="Times New Roman" w:eastAsia="黑体" w:cs="Times New Roman"/>
          <w:b w:val="0"/>
          <w:color w:val="auto"/>
          <w:sz w:val="21"/>
        </w:rPr>
      </w:pPr>
      <w:r>
        <w:fldChar w:fldCharType="begin"/>
      </w:r>
      <w:r>
        <w:instrText xml:space="preserve"> HYPERLINK \l "_Toc104733319" </w:instrText>
      </w:r>
      <w:r>
        <w:fldChar w:fldCharType="separate"/>
      </w:r>
      <w:r>
        <w:rPr>
          <w:rStyle w:val="85"/>
          <w:rFonts w:ascii="Times New Roman" w:hAnsi="Times New Roman" w:eastAsia="黑体" w:cs="Times New Roman"/>
          <w:bCs/>
        </w:rPr>
        <w:t>3 工程分析</w:t>
      </w:r>
      <w:r>
        <w:rPr>
          <w:rFonts w:ascii="Times New Roman" w:hAnsi="Times New Roman" w:eastAsia="黑体" w:cs="Times New Roman"/>
        </w:rPr>
        <w:tab/>
      </w:r>
      <w:r>
        <w:rPr>
          <w:rFonts w:ascii="Times New Roman" w:hAnsi="Times New Roman" w:eastAsia="黑体" w:cs="Times New Roman"/>
        </w:rPr>
        <w:fldChar w:fldCharType="begin"/>
      </w:r>
      <w:r>
        <w:rPr>
          <w:rFonts w:ascii="Times New Roman" w:hAnsi="Times New Roman" w:eastAsia="黑体" w:cs="Times New Roman"/>
        </w:rPr>
        <w:instrText xml:space="preserve"> PAGEREF _Toc104733319 \h </w:instrText>
      </w:r>
      <w:r>
        <w:rPr>
          <w:rFonts w:ascii="Times New Roman" w:hAnsi="Times New Roman" w:eastAsia="黑体" w:cs="Times New Roman"/>
        </w:rPr>
        <w:fldChar w:fldCharType="separate"/>
      </w:r>
      <w:r>
        <w:rPr>
          <w:rFonts w:ascii="Times New Roman" w:hAnsi="Times New Roman" w:eastAsia="黑体" w:cs="Times New Roman"/>
        </w:rPr>
        <w:t>102</w:t>
      </w:r>
      <w:r>
        <w:rPr>
          <w:rFonts w:ascii="Times New Roman" w:hAnsi="Times New Roman" w:eastAsia="黑体" w:cs="Times New Roman"/>
        </w:rPr>
        <w:fldChar w:fldCharType="end"/>
      </w:r>
      <w:r>
        <w:rPr>
          <w:rFonts w:ascii="Times New Roman" w:hAnsi="Times New Roman" w:eastAsia="黑体" w:cs="Times New Roman"/>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"_Toc104733320" </w:instrText>
      </w:r>
      <w:r>
        <w:fldChar w:fldCharType="separate"/>
      </w:r>
      <w:r>
        <w:rPr>
          <w:rStyle w:val="85"/>
          <w:rFonts w:ascii="Times New Roman" w:hAnsi="Times New Roman" w:eastAsia="黑体" w:cs="Times New Roman"/>
          <w:sz w:val="22"/>
          <w:szCs w:val="21"/>
        </w:rPr>
        <w:t>3.1项目概述</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_Toc104733320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102</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"_Toc104733323" </w:instrText>
      </w:r>
      <w:r>
        <w:fldChar w:fldCharType="separate"/>
      </w:r>
      <w:r>
        <w:rPr>
          <w:rStyle w:val="85"/>
          <w:rFonts w:ascii="Times New Roman" w:hAnsi="Times New Roman" w:eastAsia="黑体" w:cs="Times New Roman"/>
          <w:sz w:val="22"/>
          <w:szCs w:val="21"/>
        </w:rPr>
        <w:t>3.2设计船型及吞吐量</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_Toc104733323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110</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"_Toc104733326" </w:instrText>
      </w:r>
      <w:r>
        <w:fldChar w:fldCharType="separate"/>
      </w:r>
      <w:r>
        <w:rPr>
          <w:rStyle w:val="85"/>
          <w:rFonts w:ascii="Times New Roman" w:hAnsi="Times New Roman" w:eastAsia="黑体" w:cs="Times New Roman"/>
          <w:sz w:val="22"/>
          <w:szCs w:val="21"/>
        </w:rPr>
        <w:t>3.3码头主要建设内容</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_Toc104733326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111</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"_Toc104733329" </w:instrText>
      </w:r>
      <w:r>
        <w:fldChar w:fldCharType="separate"/>
      </w:r>
      <w:r>
        <w:rPr>
          <w:rStyle w:val="85"/>
          <w:rFonts w:ascii="Times New Roman" w:hAnsi="Times New Roman" w:eastAsia="黑体" w:cs="Times New Roman"/>
          <w:sz w:val="22"/>
          <w:szCs w:val="21"/>
        </w:rPr>
        <w:t>3.4陆域主要建设内容</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_Toc104733329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113</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"_Toc104733335" </w:instrText>
      </w:r>
      <w:r>
        <w:fldChar w:fldCharType="separate"/>
      </w:r>
      <w:r>
        <w:rPr>
          <w:rStyle w:val="85"/>
          <w:rFonts w:ascii="Times New Roman" w:hAnsi="Times New Roman" w:eastAsia="黑体" w:cs="Times New Roman"/>
          <w:sz w:val="22"/>
          <w:szCs w:val="21"/>
        </w:rPr>
        <w:t>3.5装卸工艺</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_Toc104733335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116</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"_Toc104733340" </w:instrText>
      </w:r>
      <w:r>
        <w:fldChar w:fldCharType="separate"/>
      </w:r>
      <w:r>
        <w:rPr>
          <w:rStyle w:val="85"/>
          <w:rFonts w:ascii="Times New Roman" w:hAnsi="Times New Roman" w:eastAsia="黑体" w:cs="Times New Roman"/>
          <w:sz w:val="22"/>
          <w:szCs w:val="21"/>
        </w:rPr>
        <w:t>3.6码头主要装卸设备</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_Toc104733340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122</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"_Toc104733341" </w:instrText>
      </w:r>
      <w:r>
        <w:fldChar w:fldCharType="separate"/>
      </w:r>
      <w:r>
        <w:rPr>
          <w:rStyle w:val="85"/>
          <w:rFonts w:ascii="Times New Roman" w:hAnsi="Times New Roman" w:eastAsia="黑体" w:cs="Times New Roman"/>
          <w:sz w:val="22"/>
          <w:szCs w:val="21"/>
        </w:rPr>
        <w:t>3.7配套工程</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_Toc104733341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123</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"_Toc104733342" </w:instrText>
      </w:r>
      <w:r>
        <w:fldChar w:fldCharType="separate"/>
      </w:r>
      <w:r>
        <w:rPr>
          <w:rStyle w:val="85"/>
          <w:rFonts w:ascii="Times New Roman" w:hAnsi="Times New Roman" w:eastAsia="黑体" w:cs="Times New Roman"/>
          <w:sz w:val="22"/>
          <w:szCs w:val="21"/>
        </w:rPr>
        <w:t>3.8辅助设施</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_Toc104733342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133</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"_Toc104733343" </w:instrText>
      </w:r>
      <w:r>
        <w:fldChar w:fldCharType="separate"/>
      </w:r>
      <w:r>
        <w:rPr>
          <w:rStyle w:val="85"/>
          <w:rFonts w:ascii="Times New Roman" w:hAnsi="Times New Roman" w:eastAsia="黑体" w:cs="Times New Roman"/>
          <w:sz w:val="22"/>
          <w:szCs w:val="21"/>
        </w:rPr>
        <w:t>3.9油气回收</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_Toc104733343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135</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"_Toc104733344" </w:instrText>
      </w:r>
      <w:r>
        <w:fldChar w:fldCharType="separate"/>
      </w:r>
      <w:r>
        <w:rPr>
          <w:rStyle w:val="85"/>
          <w:rFonts w:ascii="Times New Roman" w:hAnsi="Times New Roman" w:eastAsia="黑体" w:cs="Times New Roman"/>
          <w:sz w:val="22"/>
          <w:szCs w:val="21"/>
        </w:rPr>
        <w:t>3.9船舶生活污水、油污水接收设施及船舶生活垃圾接收设施</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_Toc104733344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147</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"_Toc104733345" </w:instrText>
      </w:r>
      <w:r>
        <w:fldChar w:fldCharType="separate"/>
      </w:r>
      <w:r>
        <w:rPr>
          <w:rStyle w:val="85"/>
          <w:rFonts w:ascii="Times New Roman" w:hAnsi="Times New Roman" w:eastAsia="黑体" w:cs="Times New Roman"/>
          <w:sz w:val="22"/>
          <w:szCs w:val="21"/>
        </w:rPr>
        <w:t>3.10污染源分析</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_Toc104733345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148</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43"/>
        <w:tabs>
          <w:tab w:val="right" w:leader="dot" w:pos="9062"/>
        </w:tabs>
        <w:spacing w:line="240" w:lineRule="auto"/>
        <w:ind w:firstLine="197" w:firstLineChars="82"/>
        <w:rPr>
          <w:rFonts w:ascii="Times New Roman" w:hAnsi="Times New Roman" w:eastAsia="黑体" w:cs="Times New Roman"/>
          <w:b w:val="0"/>
          <w:color w:val="auto"/>
          <w:sz w:val="21"/>
        </w:rPr>
      </w:pPr>
      <w:r>
        <w:fldChar w:fldCharType="begin"/>
      </w:r>
      <w:r>
        <w:instrText xml:space="preserve"> HYPERLINK \l "_Toc104733364" </w:instrText>
      </w:r>
      <w:r>
        <w:fldChar w:fldCharType="separate"/>
      </w:r>
      <w:r>
        <w:rPr>
          <w:rStyle w:val="85"/>
          <w:rFonts w:ascii="Times New Roman" w:hAnsi="Times New Roman" w:eastAsia="黑体" w:cs="Times New Roman"/>
          <w:bCs/>
        </w:rPr>
        <w:t>4 环境现状调查与评价</w:t>
      </w:r>
      <w:r>
        <w:rPr>
          <w:rFonts w:ascii="Times New Roman" w:hAnsi="Times New Roman" w:eastAsia="黑体" w:cs="Times New Roman"/>
        </w:rPr>
        <w:tab/>
      </w:r>
      <w:r>
        <w:rPr>
          <w:rFonts w:ascii="Times New Roman" w:hAnsi="Times New Roman" w:eastAsia="黑体" w:cs="Times New Roman"/>
        </w:rPr>
        <w:fldChar w:fldCharType="begin"/>
      </w:r>
      <w:r>
        <w:rPr>
          <w:rFonts w:ascii="Times New Roman" w:hAnsi="Times New Roman" w:eastAsia="黑体" w:cs="Times New Roman"/>
        </w:rPr>
        <w:instrText xml:space="preserve"> PAGEREF _Toc104733364 \h </w:instrText>
      </w:r>
      <w:r>
        <w:rPr>
          <w:rFonts w:ascii="Times New Roman" w:hAnsi="Times New Roman" w:eastAsia="黑体" w:cs="Times New Roman"/>
        </w:rPr>
        <w:fldChar w:fldCharType="separate"/>
      </w:r>
      <w:r>
        <w:rPr>
          <w:rFonts w:ascii="Times New Roman" w:hAnsi="Times New Roman" w:eastAsia="黑体" w:cs="Times New Roman"/>
        </w:rPr>
        <w:t>188</w:t>
      </w:r>
      <w:r>
        <w:rPr>
          <w:rFonts w:ascii="Times New Roman" w:hAnsi="Times New Roman" w:eastAsia="黑体" w:cs="Times New Roman"/>
        </w:rPr>
        <w:fldChar w:fldCharType="end"/>
      </w:r>
      <w:r>
        <w:rPr>
          <w:rFonts w:ascii="Times New Roman" w:hAnsi="Times New Roman" w:eastAsia="黑体" w:cs="Times New Roman"/>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"_Toc104733365" </w:instrText>
      </w:r>
      <w:r>
        <w:fldChar w:fldCharType="separate"/>
      </w:r>
      <w:r>
        <w:rPr>
          <w:rStyle w:val="85"/>
          <w:rFonts w:ascii="Times New Roman" w:hAnsi="Times New Roman" w:eastAsia="黑体" w:cs="Times New Roman"/>
          <w:sz w:val="22"/>
          <w:szCs w:val="21"/>
        </w:rPr>
        <w:t>4.1自然环境概况</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_Toc104733365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188</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"_Toc104733371" </w:instrText>
      </w:r>
      <w:r>
        <w:fldChar w:fldCharType="separate"/>
      </w:r>
      <w:r>
        <w:rPr>
          <w:rStyle w:val="85"/>
          <w:rFonts w:ascii="Times New Roman" w:hAnsi="Times New Roman" w:eastAsia="黑体" w:cs="Times New Roman"/>
          <w:sz w:val="22"/>
          <w:szCs w:val="21"/>
        </w:rPr>
        <w:t>4.2大气环境质量现状调查与评价</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_Toc104733371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197</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"_Toc104733373" </w:instrText>
      </w:r>
      <w:r>
        <w:fldChar w:fldCharType="separate"/>
      </w:r>
      <w:r>
        <w:rPr>
          <w:rStyle w:val="85"/>
          <w:rFonts w:ascii="Times New Roman" w:hAnsi="Times New Roman" w:eastAsia="黑体" w:cs="Times New Roman"/>
          <w:sz w:val="22"/>
          <w:szCs w:val="21"/>
        </w:rPr>
        <w:t>4.3 地表水环境质量现状调查与评价</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_Toc104733373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200</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"_Toc104733376" </w:instrText>
      </w:r>
      <w:r>
        <w:fldChar w:fldCharType="separate"/>
      </w:r>
      <w:r>
        <w:rPr>
          <w:rStyle w:val="85"/>
          <w:rFonts w:ascii="Times New Roman" w:hAnsi="Times New Roman" w:eastAsia="黑体" w:cs="Times New Roman"/>
          <w:sz w:val="22"/>
          <w:szCs w:val="21"/>
        </w:rPr>
        <w:t>4.4 声环境现状调查</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_Toc104733376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204</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"_Toc104733379" </w:instrText>
      </w:r>
      <w:r>
        <w:fldChar w:fldCharType="separate"/>
      </w:r>
      <w:r>
        <w:rPr>
          <w:rStyle w:val="85"/>
          <w:rFonts w:ascii="Times New Roman" w:hAnsi="Times New Roman" w:eastAsia="黑体" w:cs="Times New Roman"/>
          <w:sz w:val="22"/>
          <w:szCs w:val="21"/>
        </w:rPr>
        <w:t>4.5地下水环境质量现状调查与评价</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_Toc104733379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205</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"_Toc104733380" </w:instrText>
      </w:r>
      <w:r>
        <w:fldChar w:fldCharType="separate"/>
      </w:r>
      <w:r>
        <w:rPr>
          <w:rStyle w:val="85"/>
          <w:rFonts w:ascii="Times New Roman" w:hAnsi="Times New Roman" w:eastAsia="黑体" w:cs="Times New Roman"/>
          <w:sz w:val="22"/>
          <w:szCs w:val="21"/>
        </w:rPr>
        <w:t>4.6土壤环境质量现状调查与评价</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_Toc104733380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212</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"_Toc104733383" </w:instrText>
      </w:r>
      <w:r>
        <w:fldChar w:fldCharType="separate"/>
      </w:r>
      <w:r>
        <w:rPr>
          <w:rStyle w:val="85"/>
          <w:rFonts w:ascii="Times New Roman" w:hAnsi="Times New Roman" w:eastAsia="黑体" w:cs="Times New Roman"/>
          <w:sz w:val="22"/>
          <w:szCs w:val="21"/>
        </w:rPr>
        <w:t>4.7底泥环境质量现状调查与评价</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_Toc104733383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217</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"_Toc104733384" </w:instrText>
      </w:r>
      <w:r>
        <w:fldChar w:fldCharType="separate"/>
      </w:r>
      <w:r>
        <w:rPr>
          <w:rStyle w:val="85"/>
          <w:rFonts w:ascii="Times New Roman" w:hAnsi="Times New Roman" w:eastAsia="黑体" w:cs="Times New Roman"/>
          <w:sz w:val="22"/>
          <w:szCs w:val="21"/>
        </w:rPr>
        <w:t>4.8区域生态环境现状调查</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_Toc104733384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219</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"_Toc104733387" </w:instrText>
      </w:r>
      <w:r>
        <w:fldChar w:fldCharType="separate"/>
      </w:r>
      <w:r>
        <w:rPr>
          <w:rStyle w:val="85"/>
          <w:rFonts w:ascii="Times New Roman" w:hAnsi="Times New Roman" w:eastAsia="黑体" w:cs="Times New Roman"/>
          <w:sz w:val="22"/>
          <w:szCs w:val="21"/>
        </w:rPr>
        <w:t>4.9环境质量现状评价结论</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_Toc104733387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274</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43"/>
        <w:tabs>
          <w:tab w:val="right" w:leader="dot" w:pos="9062"/>
        </w:tabs>
        <w:spacing w:line="240" w:lineRule="auto"/>
        <w:ind w:firstLine="197" w:firstLineChars="82"/>
        <w:rPr>
          <w:rFonts w:ascii="Times New Roman" w:hAnsi="Times New Roman" w:eastAsia="黑体" w:cs="Times New Roman"/>
          <w:b w:val="0"/>
          <w:color w:val="auto"/>
          <w:sz w:val="21"/>
        </w:rPr>
      </w:pPr>
      <w:r>
        <w:fldChar w:fldCharType="begin"/>
      </w:r>
      <w:r>
        <w:instrText xml:space="preserve"> HYPERLINK \l "_Toc104733388" </w:instrText>
      </w:r>
      <w:r>
        <w:fldChar w:fldCharType="separate"/>
      </w:r>
      <w:r>
        <w:rPr>
          <w:rStyle w:val="85"/>
          <w:rFonts w:ascii="Times New Roman" w:hAnsi="Times New Roman" w:eastAsia="黑体" w:cs="Times New Roman"/>
          <w:bCs/>
        </w:rPr>
        <w:t>5 环境影响预测与评价</w:t>
      </w:r>
      <w:r>
        <w:rPr>
          <w:rFonts w:ascii="Times New Roman" w:hAnsi="Times New Roman" w:eastAsia="黑体" w:cs="Times New Roman"/>
        </w:rPr>
        <w:tab/>
      </w:r>
      <w:r>
        <w:rPr>
          <w:rFonts w:ascii="Times New Roman" w:hAnsi="Times New Roman" w:eastAsia="黑体" w:cs="Times New Roman"/>
        </w:rPr>
        <w:fldChar w:fldCharType="begin"/>
      </w:r>
      <w:r>
        <w:rPr>
          <w:rFonts w:ascii="Times New Roman" w:hAnsi="Times New Roman" w:eastAsia="黑体" w:cs="Times New Roman"/>
        </w:rPr>
        <w:instrText xml:space="preserve"> PAGEREF _Toc104733388 \h </w:instrText>
      </w:r>
      <w:r>
        <w:rPr>
          <w:rFonts w:ascii="Times New Roman" w:hAnsi="Times New Roman" w:eastAsia="黑体" w:cs="Times New Roman"/>
        </w:rPr>
        <w:fldChar w:fldCharType="separate"/>
      </w:r>
      <w:r>
        <w:rPr>
          <w:rFonts w:ascii="Times New Roman" w:hAnsi="Times New Roman" w:eastAsia="黑体" w:cs="Times New Roman"/>
        </w:rPr>
        <w:t>276</w:t>
      </w:r>
      <w:r>
        <w:rPr>
          <w:rFonts w:ascii="Times New Roman" w:hAnsi="Times New Roman" w:eastAsia="黑体" w:cs="Times New Roman"/>
        </w:rPr>
        <w:fldChar w:fldCharType="end"/>
      </w:r>
      <w:r>
        <w:rPr>
          <w:rFonts w:ascii="Times New Roman" w:hAnsi="Times New Roman" w:eastAsia="黑体" w:cs="Times New Roman"/>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"_Toc104733389" </w:instrText>
      </w:r>
      <w:r>
        <w:fldChar w:fldCharType="separate"/>
      </w:r>
      <w:r>
        <w:rPr>
          <w:rStyle w:val="85"/>
          <w:rFonts w:ascii="Times New Roman" w:hAnsi="Times New Roman" w:eastAsia="黑体" w:cs="Times New Roman"/>
          <w:sz w:val="22"/>
          <w:szCs w:val="21"/>
        </w:rPr>
        <w:t>5.1 施工期环境影响分析</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_Toc104733389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276</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"_Toc104733395" </w:instrText>
      </w:r>
      <w:r>
        <w:fldChar w:fldCharType="separate"/>
      </w:r>
      <w:r>
        <w:rPr>
          <w:rStyle w:val="85"/>
          <w:rFonts w:ascii="Times New Roman" w:hAnsi="Times New Roman" w:eastAsia="黑体" w:cs="Times New Roman"/>
          <w:sz w:val="22"/>
          <w:szCs w:val="21"/>
        </w:rPr>
        <w:t>5.2 营运期大气环境影响预测与评价</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_Toc104733395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287</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"_Toc104733406" </w:instrText>
      </w:r>
      <w:r>
        <w:fldChar w:fldCharType="separate"/>
      </w:r>
      <w:r>
        <w:rPr>
          <w:rStyle w:val="85"/>
          <w:rFonts w:ascii="Times New Roman" w:hAnsi="Times New Roman" w:eastAsia="黑体" w:cs="Times New Roman"/>
          <w:sz w:val="22"/>
          <w:szCs w:val="21"/>
        </w:rPr>
        <w:t>5.3 营运期地表水环境影响预测与评价</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_Toc104733406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310</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"_Toc104733410" </w:instrText>
      </w:r>
      <w:r>
        <w:fldChar w:fldCharType="separate"/>
      </w:r>
      <w:r>
        <w:rPr>
          <w:rStyle w:val="85"/>
          <w:rFonts w:ascii="Times New Roman" w:hAnsi="Times New Roman" w:eastAsia="黑体" w:cs="Times New Roman"/>
          <w:sz w:val="22"/>
          <w:szCs w:val="21"/>
        </w:rPr>
        <w:t>5.4 营运期声环境影响预测与评价</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_Toc104733410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325</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"_Toc104733412" </w:instrText>
      </w:r>
      <w:r>
        <w:fldChar w:fldCharType="separate"/>
      </w:r>
      <w:r>
        <w:rPr>
          <w:rStyle w:val="85"/>
          <w:rFonts w:ascii="Times New Roman" w:hAnsi="Times New Roman" w:eastAsia="黑体" w:cs="Times New Roman"/>
          <w:sz w:val="22"/>
          <w:szCs w:val="21"/>
        </w:rPr>
        <w:t>5.5 营运期固废环境影响预测与评价</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_Toc104733412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328</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"_Toc104733413" </w:instrText>
      </w:r>
      <w:r>
        <w:fldChar w:fldCharType="separate"/>
      </w:r>
      <w:r>
        <w:rPr>
          <w:rStyle w:val="85"/>
          <w:rFonts w:ascii="Times New Roman" w:hAnsi="Times New Roman" w:eastAsia="黑体" w:cs="Times New Roman"/>
          <w:sz w:val="22"/>
          <w:szCs w:val="21"/>
        </w:rPr>
        <w:t>5.6地下水环境影响预测与评价</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_Toc104733413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329</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"_Toc104733419" </w:instrText>
      </w:r>
      <w:r>
        <w:fldChar w:fldCharType="separate"/>
      </w:r>
      <w:r>
        <w:rPr>
          <w:rStyle w:val="85"/>
          <w:rFonts w:ascii="Times New Roman" w:hAnsi="Times New Roman" w:eastAsia="黑体" w:cs="Times New Roman"/>
          <w:sz w:val="22"/>
          <w:szCs w:val="21"/>
        </w:rPr>
        <w:t>5.7土壤环境影响预测与评价</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_Toc104733419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342</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"_Toc104733423" </w:instrText>
      </w:r>
      <w:r>
        <w:fldChar w:fldCharType="separate"/>
      </w:r>
      <w:r>
        <w:rPr>
          <w:rStyle w:val="85"/>
          <w:rFonts w:ascii="Times New Roman" w:hAnsi="Times New Roman" w:eastAsia="黑体" w:cs="Times New Roman"/>
          <w:sz w:val="22"/>
          <w:szCs w:val="21"/>
        </w:rPr>
        <w:t>5.8运营期生态环境影响评价</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_Toc104733423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350</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43"/>
        <w:tabs>
          <w:tab w:val="right" w:leader="dot" w:pos="9062"/>
        </w:tabs>
        <w:spacing w:line="240" w:lineRule="auto"/>
        <w:ind w:firstLine="197" w:firstLineChars="82"/>
        <w:rPr>
          <w:rFonts w:ascii="Times New Roman" w:hAnsi="Times New Roman" w:eastAsia="黑体" w:cs="Times New Roman"/>
          <w:b w:val="0"/>
          <w:color w:val="auto"/>
          <w:sz w:val="21"/>
        </w:rPr>
      </w:pPr>
      <w:r>
        <w:fldChar w:fldCharType="begin"/>
      </w:r>
      <w:r>
        <w:instrText xml:space="preserve"> HYPERLINK \l "_Toc104733425" </w:instrText>
      </w:r>
      <w:r>
        <w:fldChar w:fldCharType="separate"/>
      </w:r>
      <w:r>
        <w:rPr>
          <w:rStyle w:val="85"/>
          <w:rFonts w:ascii="Times New Roman" w:hAnsi="Times New Roman" w:eastAsia="黑体" w:cs="Times New Roman"/>
        </w:rPr>
        <w:t>6   环境风险评价</w:t>
      </w:r>
      <w:r>
        <w:rPr>
          <w:rFonts w:ascii="Times New Roman" w:hAnsi="Times New Roman" w:eastAsia="黑体" w:cs="Times New Roman"/>
        </w:rPr>
        <w:tab/>
      </w:r>
      <w:r>
        <w:rPr>
          <w:rFonts w:ascii="Times New Roman" w:hAnsi="Times New Roman" w:eastAsia="黑体" w:cs="Times New Roman"/>
        </w:rPr>
        <w:fldChar w:fldCharType="begin"/>
      </w:r>
      <w:r>
        <w:rPr>
          <w:rFonts w:ascii="Times New Roman" w:hAnsi="Times New Roman" w:eastAsia="黑体" w:cs="Times New Roman"/>
        </w:rPr>
        <w:instrText xml:space="preserve"> PAGEREF _Toc104733425 \h </w:instrText>
      </w:r>
      <w:r>
        <w:rPr>
          <w:rFonts w:ascii="Times New Roman" w:hAnsi="Times New Roman" w:eastAsia="黑体" w:cs="Times New Roman"/>
        </w:rPr>
        <w:fldChar w:fldCharType="separate"/>
      </w:r>
      <w:r>
        <w:rPr>
          <w:rFonts w:ascii="Times New Roman" w:hAnsi="Times New Roman" w:eastAsia="黑体" w:cs="Times New Roman"/>
        </w:rPr>
        <w:t>355</w:t>
      </w:r>
      <w:r>
        <w:rPr>
          <w:rFonts w:ascii="Times New Roman" w:hAnsi="Times New Roman" w:eastAsia="黑体" w:cs="Times New Roman"/>
        </w:rPr>
        <w:fldChar w:fldCharType="end"/>
      </w:r>
      <w:r>
        <w:rPr>
          <w:rFonts w:ascii="Times New Roman" w:hAnsi="Times New Roman" w:eastAsia="黑体" w:cs="Times New Roman"/>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"_Toc104733426" </w:instrText>
      </w:r>
      <w:r>
        <w:fldChar w:fldCharType="separate"/>
      </w:r>
      <w:r>
        <w:rPr>
          <w:rStyle w:val="85"/>
          <w:rFonts w:ascii="Times New Roman" w:hAnsi="Times New Roman" w:eastAsia="黑体" w:cs="Times New Roman"/>
          <w:sz w:val="22"/>
          <w:szCs w:val="21"/>
        </w:rPr>
        <w:t>6.1环境风险等级具体判定过程</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_Toc104733426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355</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"_Toc104733440" </w:instrText>
      </w:r>
      <w:r>
        <w:fldChar w:fldCharType="separate"/>
      </w:r>
      <w:r>
        <w:rPr>
          <w:rStyle w:val="85"/>
          <w:rFonts w:ascii="Times New Roman" w:hAnsi="Times New Roman" w:eastAsia="黑体" w:cs="Times New Roman"/>
          <w:sz w:val="22"/>
          <w:szCs w:val="21"/>
        </w:rPr>
        <w:t>6.2风险识别</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_Toc104733440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360</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"_Toc104733448" </w:instrText>
      </w:r>
      <w:r>
        <w:fldChar w:fldCharType="separate"/>
      </w:r>
      <w:r>
        <w:rPr>
          <w:rStyle w:val="85"/>
          <w:rFonts w:ascii="Times New Roman" w:hAnsi="Times New Roman" w:eastAsia="黑体" w:cs="Times New Roman"/>
          <w:sz w:val="22"/>
          <w:szCs w:val="21"/>
        </w:rPr>
        <w:t>6.3危险物质向环境转移的途径识别</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_Toc104733448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374</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"_Toc104733450" </w:instrText>
      </w:r>
      <w:r>
        <w:fldChar w:fldCharType="separate"/>
      </w:r>
      <w:r>
        <w:rPr>
          <w:rStyle w:val="85"/>
          <w:rFonts w:ascii="Times New Roman" w:hAnsi="Times New Roman" w:eastAsia="黑体" w:cs="Times New Roman"/>
          <w:sz w:val="22"/>
          <w:szCs w:val="21"/>
        </w:rPr>
        <w:t>6.4源项分析</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_Toc104733450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377</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"_Toc104733456" </w:instrText>
      </w:r>
      <w:r>
        <w:fldChar w:fldCharType="separate"/>
      </w:r>
      <w:r>
        <w:rPr>
          <w:rStyle w:val="85"/>
          <w:rFonts w:ascii="Times New Roman" w:hAnsi="Times New Roman" w:eastAsia="黑体" w:cs="Times New Roman"/>
          <w:sz w:val="22"/>
          <w:szCs w:val="21"/>
        </w:rPr>
        <w:t>6.5风险预测</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_Toc104733456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387</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"_Toc104733459" </w:instrText>
      </w:r>
      <w:r>
        <w:fldChar w:fldCharType="separate"/>
      </w:r>
      <w:r>
        <w:rPr>
          <w:rStyle w:val="85"/>
          <w:rFonts w:ascii="Times New Roman" w:hAnsi="Times New Roman" w:eastAsia="黑体" w:cs="Times New Roman"/>
          <w:sz w:val="22"/>
          <w:szCs w:val="21"/>
        </w:rPr>
        <w:t>6.6码头风险防范措施</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_Toc104733459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414</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"_Toc104733468" </w:instrText>
      </w:r>
      <w:r>
        <w:fldChar w:fldCharType="separate"/>
      </w:r>
      <w:r>
        <w:rPr>
          <w:rStyle w:val="85"/>
          <w:rFonts w:ascii="Times New Roman" w:hAnsi="Times New Roman" w:eastAsia="黑体" w:cs="Times New Roman"/>
          <w:sz w:val="22"/>
          <w:szCs w:val="21"/>
        </w:rPr>
        <w:t>6.7船舶风险防范措施</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_Toc104733468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426</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"_Toc104733473" </w:instrText>
      </w:r>
      <w:r>
        <w:fldChar w:fldCharType="separate"/>
      </w:r>
      <w:r>
        <w:rPr>
          <w:rStyle w:val="85"/>
          <w:rFonts w:ascii="Times New Roman" w:hAnsi="Times New Roman" w:eastAsia="黑体" w:cs="Times New Roman"/>
          <w:sz w:val="22"/>
          <w:szCs w:val="21"/>
        </w:rPr>
        <w:t>6.8环境敏感目标风险事故保护对策</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_Toc104733473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434</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"_Toc104733474" </w:instrText>
      </w:r>
      <w:r>
        <w:fldChar w:fldCharType="separate"/>
      </w:r>
      <w:r>
        <w:rPr>
          <w:rStyle w:val="85"/>
          <w:rFonts w:ascii="Times New Roman" w:hAnsi="Times New Roman" w:eastAsia="黑体" w:cs="Times New Roman"/>
          <w:sz w:val="22"/>
          <w:szCs w:val="21"/>
        </w:rPr>
        <w:t>6.9环境风险应急预案</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_Toc104733474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435</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"_Toc104733480" </w:instrText>
      </w:r>
      <w:r>
        <w:fldChar w:fldCharType="separate"/>
      </w:r>
      <w:r>
        <w:rPr>
          <w:rStyle w:val="85"/>
          <w:rFonts w:ascii="Times New Roman" w:hAnsi="Times New Roman" w:eastAsia="黑体" w:cs="Times New Roman"/>
          <w:sz w:val="22"/>
          <w:szCs w:val="21"/>
        </w:rPr>
        <w:t>6.10风险评价结论与建议</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_Toc104733480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442</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43"/>
        <w:tabs>
          <w:tab w:val="right" w:leader="dot" w:pos="9062"/>
        </w:tabs>
        <w:spacing w:line="240" w:lineRule="auto"/>
        <w:ind w:firstLine="197" w:firstLineChars="82"/>
        <w:rPr>
          <w:rFonts w:ascii="Times New Roman" w:hAnsi="Times New Roman" w:eastAsia="黑体" w:cs="Times New Roman"/>
          <w:b w:val="0"/>
          <w:color w:val="auto"/>
          <w:sz w:val="21"/>
        </w:rPr>
      </w:pPr>
      <w:r>
        <w:fldChar w:fldCharType="begin"/>
      </w:r>
      <w:r>
        <w:instrText xml:space="preserve"> HYPERLINK \l "_Toc104733481" </w:instrText>
      </w:r>
      <w:r>
        <w:fldChar w:fldCharType="separate"/>
      </w:r>
      <w:r>
        <w:rPr>
          <w:rStyle w:val="85"/>
          <w:rFonts w:ascii="Times New Roman" w:hAnsi="Times New Roman" w:eastAsia="黑体" w:cs="Times New Roman"/>
          <w:bCs/>
        </w:rPr>
        <w:t>7 环境保护措施及其可行性论证</w:t>
      </w:r>
      <w:r>
        <w:rPr>
          <w:rFonts w:ascii="Times New Roman" w:hAnsi="Times New Roman" w:eastAsia="黑体" w:cs="Times New Roman"/>
        </w:rPr>
        <w:tab/>
      </w:r>
      <w:r>
        <w:rPr>
          <w:rFonts w:ascii="Times New Roman" w:hAnsi="Times New Roman" w:eastAsia="黑体" w:cs="Times New Roman"/>
        </w:rPr>
        <w:fldChar w:fldCharType="begin"/>
      </w:r>
      <w:r>
        <w:rPr>
          <w:rFonts w:ascii="Times New Roman" w:hAnsi="Times New Roman" w:eastAsia="黑体" w:cs="Times New Roman"/>
        </w:rPr>
        <w:instrText xml:space="preserve"> PAGEREF _Toc104733481 \h </w:instrText>
      </w:r>
      <w:r>
        <w:rPr>
          <w:rFonts w:ascii="Times New Roman" w:hAnsi="Times New Roman" w:eastAsia="黑体" w:cs="Times New Roman"/>
        </w:rPr>
        <w:fldChar w:fldCharType="separate"/>
      </w:r>
      <w:r>
        <w:rPr>
          <w:rFonts w:ascii="Times New Roman" w:hAnsi="Times New Roman" w:eastAsia="黑体" w:cs="Times New Roman"/>
        </w:rPr>
        <w:t>446</w:t>
      </w:r>
      <w:r>
        <w:rPr>
          <w:rFonts w:ascii="Times New Roman" w:hAnsi="Times New Roman" w:eastAsia="黑体" w:cs="Times New Roman"/>
        </w:rPr>
        <w:fldChar w:fldCharType="end"/>
      </w:r>
      <w:r>
        <w:rPr>
          <w:rFonts w:ascii="Times New Roman" w:hAnsi="Times New Roman" w:eastAsia="黑体" w:cs="Times New Roman"/>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"_Toc104733482" </w:instrText>
      </w:r>
      <w:r>
        <w:fldChar w:fldCharType="separate"/>
      </w:r>
      <w:r>
        <w:rPr>
          <w:rStyle w:val="85"/>
          <w:rFonts w:ascii="Times New Roman" w:hAnsi="Times New Roman" w:eastAsia="黑体" w:cs="Times New Roman"/>
          <w:kern w:val="0"/>
          <w:sz w:val="22"/>
          <w:szCs w:val="21"/>
          <w:shd w:val="clear" w:color="auto" w:fill="FFFFFF"/>
        </w:rPr>
        <w:t>7.1施工期污染防治措施</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_Toc104733482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446</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"_Toc104733488" </w:instrText>
      </w:r>
      <w:r>
        <w:fldChar w:fldCharType="separate"/>
      </w:r>
      <w:r>
        <w:rPr>
          <w:rStyle w:val="85"/>
          <w:rFonts w:ascii="Times New Roman" w:hAnsi="Times New Roman" w:eastAsia="黑体" w:cs="Times New Roman"/>
          <w:sz w:val="22"/>
          <w:szCs w:val="21"/>
          <w:lang w:val="zh-CN"/>
        </w:rPr>
        <w:t>7.2废气污染防治措施</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_Toc104733488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454</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"_Toc104733494" </w:instrText>
      </w:r>
      <w:r>
        <w:fldChar w:fldCharType="separate"/>
      </w:r>
      <w:r>
        <w:rPr>
          <w:rStyle w:val="85"/>
          <w:rFonts w:ascii="Times New Roman" w:hAnsi="Times New Roman" w:eastAsia="黑体" w:cs="Times New Roman"/>
          <w:sz w:val="22"/>
          <w:szCs w:val="21"/>
          <w:lang w:val="zh-CN"/>
        </w:rPr>
        <w:t>7.3废水污染防治措施</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_Toc104733494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467</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"_Toc104733497" </w:instrText>
      </w:r>
      <w:r>
        <w:fldChar w:fldCharType="separate"/>
      </w:r>
      <w:r>
        <w:rPr>
          <w:rStyle w:val="85"/>
          <w:rFonts w:ascii="Times New Roman" w:hAnsi="Times New Roman" w:eastAsia="黑体" w:cs="Times New Roman"/>
          <w:sz w:val="22"/>
          <w:szCs w:val="21"/>
          <w:lang w:val="zh-CN"/>
        </w:rPr>
        <w:t>7.3固废污染防治措施</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_Toc104733497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473</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"_Toc104733498" </w:instrText>
      </w:r>
      <w:r>
        <w:fldChar w:fldCharType="separate"/>
      </w:r>
      <w:r>
        <w:rPr>
          <w:rStyle w:val="85"/>
          <w:rFonts w:ascii="Times New Roman" w:hAnsi="Times New Roman" w:eastAsia="黑体" w:cs="Times New Roman"/>
          <w:sz w:val="22"/>
          <w:szCs w:val="21"/>
          <w:lang w:val="zh-CN"/>
        </w:rPr>
        <w:t>7.4噪声防治措施</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_Toc104733498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474</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"_Toc104733499" </w:instrText>
      </w:r>
      <w:r>
        <w:fldChar w:fldCharType="separate"/>
      </w:r>
      <w:r>
        <w:rPr>
          <w:rStyle w:val="85"/>
          <w:rFonts w:ascii="Times New Roman" w:hAnsi="Times New Roman" w:eastAsia="黑体" w:cs="Times New Roman"/>
          <w:sz w:val="22"/>
          <w:szCs w:val="21"/>
        </w:rPr>
        <w:t>7.5</w:t>
      </w:r>
      <w:r>
        <w:rPr>
          <w:rStyle w:val="85"/>
          <w:rFonts w:ascii="Times New Roman" w:hAnsi="Times New Roman" w:eastAsia="黑体" w:cs="Times New Roman"/>
          <w:sz w:val="22"/>
          <w:szCs w:val="21"/>
          <w:lang w:val="zh-CN"/>
        </w:rPr>
        <w:t>地下水及土壤污染防治措施</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_Toc104733499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475</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"_Toc104733500" </w:instrText>
      </w:r>
      <w:r>
        <w:fldChar w:fldCharType="separate"/>
      </w:r>
      <w:r>
        <w:rPr>
          <w:rStyle w:val="85"/>
          <w:rFonts w:ascii="Times New Roman" w:hAnsi="Times New Roman" w:eastAsia="黑体" w:cs="Times New Roman"/>
          <w:sz w:val="22"/>
          <w:szCs w:val="21"/>
        </w:rPr>
        <w:t>7.6运营期生态环境保护措施</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_Toc104733500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479</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"_Toc104733501" </w:instrText>
      </w:r>
      <w:r>
        <w:fldChar w:fldCharType="separate"/>
      </w:r>
      <w:r>
        <w:rPr>
          <w:rStyle w:val="85"/>
          <w:rFonts w:ascii="Times New Roman" w:hAnsi="Times New Roman" w:eastAsia="黑体" w:cs="Times New Roman"/>
          <w:sz w:val="22"/>
          <w:szCs w:val="21"/>
        </w:rPr>
        <w:t>7.7环保投资估算</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_Toc104733501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480</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"_Toc104733502" </w:instrText>
      </w:r>
      <w:r>
        <w:fldChar w:fldCharType="separate"/>
      </w:r>
      <w:r>
        <w:rPr>
          <w:rStyle w:val="85"/>
          <w:rFonts w:ascii="Times New Roman" w:hAnsi="Times New Roman" w:eastAsia="黑体" w:cs="Times New Roman"/>
          <w:sz w:val="22"/>
          <w:szCs w:val="21"/>
        </w:rPr>
        <w:t>7.8合肥港总体规划范围内的环境影响正效益分析及相关环境保护要求</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_Toc104733502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484</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43"/>
        <w:tabs>
          <w:tab w:val="right" w:leader="dot" w:pos="9062"/>
        </w:tabs>
        <w:spacing w:line="240" w:lineRule="auto"/>
        <w:ind w:firstLine="197" w:firstLineChars="82"/>
        <w:rPr>
          <w:rFonts w:ascii="Times New Roman" w:hAnsi="Times New Roman" w:eastAsia="黑体" w:cs="Times New Roman"/>
          <w:b w:val="0"/>
          <w:color w:val="auto"/>
          <w:sz w:val="21"/>
        </w:rPr>
      </w:pPr>
      <w:r>
        <w:fldChar w:fldCharType="begin"/>
      </w:r>
      <w:r>
        <w:instrText xml:space="preserve"> HYPERLINK \l "_Toc104733506" </w:instrText>
      </w:r>
      <w:r>
        <w:fldChar w:fldCharType="separate"/>
      </w:r>
      <w:r>
        <w:rPr>
          <w:rStyle w:val="85"/>
          <w:rFonts w:ascii="Times New Roman" w:hAnsi="Times New Roman" w:eastAsia="黑体" w:cs="Times New Roman"/>
          <w:bCs/>
        </w:rPr>
        <w:t>8  环境影响经济损益分析</w:t>
      </w:r>
      <w:r>
        <w:rPr>
          <w:rFonts w:ascii="Times New Roman" w:hAnsi="Times New Roman" w:eastAsia="黑体" w:cs="Times New Roman"/>
        </w:rPr>
        <w:tab/>
      </w:r>
      <w:r>
        <w:rPr>
          <w:rFonts w:ascii="Times New Roman" w:hAnsi="Times New Roman" w:eastAsia="黑体" w:cs="Times New Roman"/>
        </w:rPr>
        <w:fldChar w:fldCharType="begin"/>
      </w:r>
      <w:r>
        <w:rPr>
          <w:rFonts w:ascii="Times New Roman" w:hAnsi="Times New Roman" w:eastAsia="黑体" w:cs="Times New Roman"/>
        </w:rPr>
        <w:instrText xml:space="preserve"> PAGEREF _Toc104733506 \h </w:instrText>
      </w:r>
      <w:r>
        <w:rPr>
          <w:rFonts w:ascii="Times New Roman" w:hAnsi="Times New Roman" w:eastAsia="黑体" w:cs="Times New Roman"/>
        </w:rPr>
        <w:fldChar w:fldCharType="separate"/>
      </w:r>
      <w:r>
        <w:rPr>
          <w:rFonts w:ascii="Times New Roman" w:hAnsi="Times New Roman" w:eastAsia="黑体" w:cs="Times New Roman"/>
        </w:rPr>
        <w:t>488</w:t>
      </w:r>
      <w:r>
        <w:rPr>
          <w:rFonts w:ascii="Times New Roman" w:hAnsi="Times New Roman" w:eastAsia="黑体" w:cs="Times New Roman"/>
        </w:rPr>
        <w:fldChar w:fldCharType="end"/>
      </w:r>
      <w:r>
        <w:rPr>
          <w:rFonts w:ascii="Times New Roman" w:hAnsi="Times New Roman" w:eastAsia="黑体" w:cs="Times New Roman"/>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"_Toc104733507" </w:instrText>
      </w:r>
      <w:r>
        <w:fldChar w:fldCharType="separate"/>
      </w:r>
      <w:r>
        <w:rPr>
          <w:rStyle w:val="85"/>
          <w:rFonts w:ascii="Times New Roman" w:hAnsi="Times New Roman" w:eastAsia="黑体" w:cs="Times New Roman"/>
          <w:sz w:val="22"/>
          <w:szCs w:val="21"/>
          <w:lang w:val="zh-CN"/>
        </w:rPr>
        <w:t>8.1经济效益分析</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_Toc104733507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488</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"_Toc104733508" </w:instrText>
      </w:r>
      <w:r>
        <w:fldChar w:fldCharType="separate"/>
      </w:r>
      <w:r>
        <w:rPr>
          <w:rStyle w:val="85"/>
          <w:rFonts w:ascii="Times New Roman" w:hAnsi="Times New Roman" w:eastAsia="黑体" w:cs="Times New Roman"/>
          <w:sz w:val="22"/>
          <w:szCs w:val="21"/>
          <w:lang w:val="zh-CN"/>
        </w:rPr>
        <w:t>8.2社会效益分析</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_Toc104733508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488</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"_Toc104733509" </w:instrText>
      </w:r>
      <w:r>
        <w:fldChar w:fldCharType="separate"/>
      </w:r>
      <w:r>
        <w:rPr>
          <w:rStyle w:val="85"/>
          <w:rFonts w:ascii="Times New Roman" w:hAnsi="Times New Roman" w:eastAsia="黑体" w:cs="Times New Roman"/>
          <w:sz w:val="22"/>
          <w:szCs w:val="21"/>
          <w:lang w:val="zh-CN"/>
        </w:rPr>
        <w:t>8.3环境效益分析</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_Toc104733509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488</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43"/>
        <w:tabs>
          <w:tab w:val="right" w:leader="dot" w:pos="9062"/>
        </w:tabs>
        <w:spacing w:line="240" w:lineRule="auto"/>
        <w:ind w:firstLine="197" w:firstLineChars="82"/>
        <w:rPr>
          <w:rFonts w:ascii="Times New Roman" w:hAnsi="Times New Roman" w:eastAsia="黑体" w:cs="Times New Roman"/>
          <w:b w:val="0"/>
          <w:color w:val="auto"/>
          <w:sz w:val="21"/>
        </w:rPr>
      </w:pPr>
      <w:r>
        <w:fldChar w:fldCharType="begin"/>
      </w:r>
      <w:r>
        <w:instrText xml:space="preserve"> HYPERLINK \l "_Toc104733512" </w:instrText>
      </w:r>
      <w:r>
        <w:fldChar w:fldCharType="separate"/>
      </w:r>
      <w:r>
        <w:rPr>
          <w:rStyle w:val="85"/>
          <w:rFonts w:ascii="Times New Roman" w:hAnsi="Times New Roman" w:eastAsia="黑体" w:cs="Times New Roman"/>
          <w:bCs/>
        </w:rPr>
        <w:t>9  环境管理与监测计划</w:t>
      </w:r>
      <w:r>
        <w:rPr>
          <w:rFonts w:ascii="Times New Roman" w:hAnsi="Times New Roman" w:eastAsia="黑体" w:cs="Times New Roman"/>
        </w:rPr>
        <w:tab/>
      </w:r>
      <w:r>
        <w:rPr>
          <w:rFonts w:ascii="Times New Roman" w:hAnsi="Times New Roman" w:eastAsia="黑体" w:cs="Times New Roman"/>
        </w:rPr>
        <w:fldChar w:fldCharType="begin"/>
      </w:r>
      <w:r>
        <w:rPr>
          <w:rFonts w:ascii="Times New Roman" w:hAnsi="Times New Roman" w:eastAsia="黑体" w:cs="Times New Roman"/>
        </w:rPr>
        <w:instrText xml:space="preserve"> PAGEREF _Toc104733512 \h </w:instrText>
      </w:r>
      <w:r>
        <w:rPr>
          <w:rFonts w:ascii="Times New Roman" w:hAnsi="Times New Roman" w:eastAsia="黑体" w:cs="Times New Roman"/>
        </w:rPr>
        <w:fldChar w:fldCharType="separate"/>
      </w:r>
      <w:r>
        <w:rPr>
          <w:rFonts w:ascii="Times New Roman" w:hAnsi="Times New Roman" w:eastAsia="黑体" w:cs="Times New Roman"/>
        </w:rPr>
        <w:t>490</w:t>
      </w:r>
      <w:r>
        <w:rPr>
          <w:rFonts w:ascii="Times New Roman" w:hAnsi="Times New Roman" w:eastAsia="黑体" w:cs="Times New Roman"/>
        </w:rPr>
        <w:fldChar w:fldCharType="end"/>
      </w:r>
      <w:r>
        <w:rPr>
          <w:rFonts w:ascii="Times New Roman" w:hAnsi="Times New Roman" w:eastAsia="黑体" w:cs="Times New Roman"/>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"_Toc104733513" </w:instrText>
      </w:r>
      <w:r>
        <w:fldChar w:fldCharType="separate"/>
      </w:r>
      <w:r>
        <w:rPr>
          <w:rStyle w:val="85"/>
          <w:rFonts w:ascii="Times New Roman" w:hAnsi="Times New Roman" w:eastAsia="黑体" w:cs="Times New Roman"/>
          <w:sz w:val="22"/>
          <w:szCs w:val="21"/>
          <w:lang w:val="zh-CN"/>
        </w:rPr>
        <w:t>9.1环境管理要求</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_Toc104733513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490</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"_Toc104733519" </w:instrText>
      </w:r>
      <w:r>
        <w:fldChar w:fldCharType="separate"/>
      </w:r>
      <w:r>
        <w:rPr>
          <w:rStyle w:val="85"/>
          <w:rFonts w:ascii="Times New Roman" w:hAnsi="Times New Roman" w:eastAsia="黑体" w:cs="Times New Roman"/>
          <w:sz w:val="22"/>
          <w:szCs w:val="21"/>
          <w:lang w:val="zh-CN"/>
        </w:rPr>
        <w:t>9.2环境信息公开制度</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_Toc104733519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498</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"_Toc104733520" </w:instrText>
      </w:r>
      <w:r>
        <w:fldChar w:fldCharType="separate"/>
      </w:r>
      <w:r>
        <w:rPr>
          <w:rStyle w:val="85"/>
          <w:rFonts w:ascii="Times New Roman" w:hAnsi="Times New Roman" w:eastAsia="黑体" w:cs="Times New Roman"/>
          <w:sz w:val="22"/>
          <w:szCs w:val="21"/>
          <w:lang w:val="zh-CN"/>
        </w:rPr>
        <w:t>9.3环境监测计划</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_Toc104733520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499</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"_Toc104733529" </w:instrText>
      </w:r>
      <w:r>
        <w:fldChar w:fldCharType="separate"/>
      </w:r>
      <w:r>
        <w:rPr>
          <w:rStyle w:val="85"/>
          <w:rFonts w:ascii="Times New Roman" w:hAnsi="Times New Roman" w:eastAsia="黑体" w:cs="Times New Roman"/>
          <w:sz w:val="22"/>
          <w:szCs w:val="21"/>
          <w:lang w:val="zh-CN"/>
        </w:rPr>
        <w:t>9.4排污口规范化</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_Toc104733529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503</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"_Toc104733530" </w:instrText>
      </w:r>
      <w:r>
        <w:fldChar w:fldCharType="separate"/>
      </w:r>
      <w:r>
        <w:rPr>
          <w:rStyle w:val="85"/>
          <w:rFonts w:ascii="Times New Roman" w:hAnsi="Times New Roman" w:eastAsia="黑体" w:cs="Times New Roman"/>
          <w:sz w:val="22"/>
          <w:szCs w:val="21"/>
          <w:lang w:val="zh-CN"/>
        </w:rPr>
        <w:t>9.5总量控制</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_Toc104733530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505</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"_Toc104733531" </w:instrText>
      </w:r>
      <w:r>
        <w:fldChar w:fldCharType="separate"/>
      </w:r>
      <w:r>
        <w:rPr>
          <w:rStyle w:val="85"/>
          <w:rFonts w:ascii="Times New Roman" w:hAnsi="Times New Roman" w:eastAsia="黑体" w:cs="Times New Roman"/>
          <w:sz w:val="22"/>
          <w:szCs w:val="21"/>
          <w:lang w:val="zh-CN"/>
        </w:rPr>
        <w:t>9.6“三同时”验收</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_Toc104733531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506</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43"/>
        <w:tabs>
          <w:tab w:val="right" w:leader="dot" w:pos="9062"/>
        </w:tabs>
        <w:spacing w:line="240" w:lineRule="auto"/>
        <w:ind w:firstLine="197" w:firstLineChars="82"/>
        <w:rPr>
          <w:rFonts w:ascii="Times New Roman" w:hAnsi="Times New Roman" w:eastAsia="黑体" w:cs="Times New Roman"/>
          <w:b w:val="0"/>
          <w:color w:val="auto"/>
          <w:sz w:val="21"/>
        </w:rPr>
      </w:pPr>
      <w:r>
        <w:fldChar w:fldCharType="begin"/>
      </w:r>
      <w:r>
        <w:instrText xml:space="preserve"> HYPERLINK \l "_Toc104733532" </w:instrText>
      </w:r>
      <w:r>
        <w:fldChar w:fldCharType="separate"/>
      </w:r>
      <w:r>
        <w:rPr>
          <w:rStyle w:val="85"/>
          <w:rFonts w:ascii="Times New Roman" w:hAnsi="Times New Roman" w:eastAsia="黑体" w:cs="Times New Roman"/>
          <w:bCs/>
        </w:rPr>
        <w:t>10 环境影响评价结论</w:t>
      </w:r>
      <w:r>
        <w:rPr>
          <w:rFonts w:ascii="Times New Roman" w:hAnsi="Times New Roman" w:eastAsia="黑体" w:cs="Times New Roman"/>
        </w:rPr>
        <w:tab/>
      </w:r>
      <w:r>
        <w:rPr>
          <w:rFonts w:ascii="Times New Roman" w:hAnsi="Times New Roman" w:eastAsia="黑体" w:cs="Times New Roman"/>
        </w:rPr>
        <w:fldChar w:fldCharType="begin"/>
      </w:r>
      <w:r>
        <w:rPr>
          <w:rFonts w:ascii="Times New Roman" w:hAnsi="Times New Roman" w:eastAsia="黑体" w:cs="Times New Roman"/>
        </w:rPr>
        <w:instrText xml:space="preserve"> PAGEREF _Toc104733532 \h </w:instrText>
      </w:r>
      <w:r>
        <w:rPr>
          <w:rFonts w:ascii="Times New Roman" w:hAnsi="Times New Roman" w:eastAsia="黑体" w:cs="Times New Roman"/>
        </w:rPr>
        <w:fldChar w:fldCharType="separate"/>
      </w:r>
      <w:r>
        <w:rPr>
          <w:rFonts w:ascii="Times New Roman" w:hAnsi="Times New Roman" w:eastAsia="黑体" w:cs="Times New Roman"/>
        </w:rPr>
        <w:t>510</w:t>
      </w:r>
      <w:r>
        <w:rPr>
          <w:rFonts w:ascii="Times New Roman" w:hAnsi="Times New Roman" w:eastAsia="黑体" w:cs="Times New Roman"/>
        </w:rPr>
        <w:fldChar w:fldCharType="end"/>
      </w:r>
      <w:r>
        <w:rPr>
          <w:rFonts w:ascii="Times New Roman" w:hAnsi="Times New Roman" w:eastAsia="黑体" w:cs="Times New Roman"/>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"_Toc104733533" </w:instrText>
      </w:r>
      <w:r>
        <w:fldChar w:fldCharType="separate"/>
      </w:r>
      <w:r>
        <w:rPr>
          <w:rStyle w:val="85"/>
          <w:rFonts w:ascii="Times New Roman" w:hAnsi="Times New Roman" w:eastAsia="黑体" w:cs="Times New Roman"/>
          <w:sz w:val="22"/>
          <w:szCs w:val="21"/>
          <w:lang w:val="zh-CN"/>
        </w:rPr>
        <w:t>10.1项目建设概况</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_Toc104733533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510</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"_Toc104733534" </w:instrText>
      </w:r>
      <w:r>
        <w:fldChar w:fldCharType="separate"/>
      </w:r>
      <w:r>
        <w:rPr>
          <w:rStyle w:val="85"/>
          <w:rFonts w:ascii="Times New Roman" w:hAnsi="Times New Roman" w:eastAsia="黑体" w:cs="Times New Roman"/>
          <w:sz w:val="22"/>
          <w:szCs w:val="21"/>
        </w:rPr>
        <w:t>10</w:t>
      </w:r>
      <w:r>
        <w:rPr>
          <w:rStyle w:val="85"/>
          <w:rFonts w:ascii="Times New Roman" w:hAnsi="Times New Roman" w:eastAsia="黑体" w:cs="Times New Roman"/>
          <w:sz w:val="22"/>
          <w:szCs w:val="21"/>
          <w:lang w:val="zh-CN"/>
        </w:rPr>
        <w:t>.2产业政策与相关规划符合性</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_Toc104733534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510</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"_Toc104733535" </w:instrText>
      </w:r>
      <w:r>
        <w:fldChar w:fldCharType="separate"/>
      </w:r>
      <w:r>
        <w:rPr>
          <w:rStyle w:val="85"/>
          <w:rFonts w:ascii="Times New Roman" w:hAnsi="Times New Roman" w:eastAsia="黑体" w:cs="Times New Roman"/>
          <w:sz w:val="22"/>
          <w:szCs w:val="21"/>
        </w:rPr>
        <w:t>10</w:t>
      </w:r>
      <w:r>
        <w:rPr>
          <w:rStyle w:val="85"/>
          <w:rFonts w:ascii="Times New Roman" w:hAnsi="Times New Roman" w:eastAsia="黑体" w:cs="Times New Roman"/>
          <w:sz w:val="22"/>
          <w:szCs w:val="21"/>
          <w:lang w:val="zh-CN"/>
        </w:rPr>
        <w:t>.3环境质量现状</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_Toc104733535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510</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"_Toc104733536" </w:instrText>
      </w:r>
      <w:r>
        <w:fldChar w:fldCharType="separate"/>
      </w:r>
      <w:r>
        <w:rPr>
          <w:rStyle w:val="85"/>
          <w:rFonts w:ascii="Times New Roman" w:hAnsi="Times New Roman" w:eastAsia="黑体" w:cs="Times New Roman"/>
          <w:sz w:val="22"/>
          <w:szCs w:val="21"/>
        </w:rPr>
        <w:t>10</w:t>
      </w:r>
      <w:r>
        <w:rPr>
          <w:rStyle w:val="85"/>
          <w:rFonts w:ascii="Times New Roman" w:hAnsi="Times New Roman" w:eastAsia="黑体" w:cs="Times New Roman"/>
          <w:sz w:val="22"/>
          <w:szCs w:val="21"/>
          <w:lang w:val="zh-CN"/>
        </w:rPr>
        <w:t>.4环境影响分析结论</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_Toc104733536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512</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"_Toc104733542" </w:instrText>
      </w:r>
      <w:r>
        <w:fldChar w:fldCharType="separate"/>
      </w:r>
      <w:r>
        <w:rPr>
          <w:rStyle w:val="85"/>
          <w:rFonts w:ascii="Times New Roman" w:hAnsi="Times New Roman" w:eastAsia="黑体" w:cs="Times New Roman"/>
          <w:sz w:val="22"/>
          <w:szCs w:val="21"/>
        </w:rPr>
        <w:t>10.5环境风险</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_Toc104733542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513</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"_Toc104733543" </w:instrText>
      </w:r>
      <w:r>
        <w:fldChar w:fldCharType="separate"/>
      </w:r>
      <w:r>
        <w:rPr>
          <w:rStyle w:val="85"/>
          <w:rFonts w:ascii="Times New Roman" w:hAnsi="Times New Roman" w:eastAsia="黑体" w:cs="Times New Roman"/>
          <w:sz w:val="22"/>
          <w:szCs w:val="21"/>
        </w:rPr>
        <w:t>10.6公众参与</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_Toc104733543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514</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pStyle w:val="52"/>
        <w:spacing w:line="240" w:lineRule="auto"/>
        <w:ind w:firstLine="482"/>
        <w:rPr>
          <w:rFonts w:ascii="Times New Roman" w:hAnsi="Times New Roman" w:eastAsia="黑体" w:cs="Times New Roman"/>
          <w:b w:val="0"/>
          <w:bCs w:val="0"/>
          <w:color w:val="auto"/>
          <w:sz w:val="20"/>
          <w:szCs w:val="21"/>
        </w:rPr>
      </w:pPr>
      <w:r>
        <w:fldChar w:fldCharType="begin"/>
      </w:r>
      <w:r>
        <w:instrText xml:space="preserve"> HYPERLINK \l "_Toc104733544" </w:instrText>
      </w:r>
      <w:r>
        <w:fldChar w:fldCharType="separate"/>
      </w:r>
      <w:r>
        <w:rPr>
          <w:rStyle w:val="85"/>
          <w:rFonts w:ascii="Times New Roman" w:hAnsi="Times New Roman" w:eastAsia="黑体" w:cs="Times New Roman"/>
          <w:sz w:val="22"/>
          <w:szCs w:val="21"/>
        </w:rPr>
        <w:t>10.7结论</w:t>
      </w:r>
      <w:r>
        <w:rPr>
          <w:rFonts w:ascii="Times New Roman" w:hAnsi="Times New Roman" w:eastAsia="黑体" w:cs="Times New Roman"/>
          <w:sz w:val="22"/>
          <w:szCs w:val="21"/>
        </w:rPr>
        <w:tab/>
      </w:r>
      <w:r>
        <w:rPr>
          <w:rFonts w:ascii="Times New Roman" w:hAnsi="Times New Roman" w:eastAsia="黑体" w:cs="Times New Roman"/>
          <w:sz w:val="22"/>
          <w:szCs w:val="21"/>
        </w:rPr>
        <w:fldChar w:fldCharType="begin"/>
      </w:r>
      <w:r>
        <w:rPr>
          <w:rFonts w:ascii="Times New Roman" w:hAnsi="Times New Roman" w:eastAsia="黑体" w:cs="Times New Roman"/>
          <w:sz w:val="22"/>
          <w:szCs w:val="21"/>
        </w:rPr>
        <w:instrText xml:space="preserve"> PAGEREF _Toc104733544 \h </w:instrText>
      </w:r>
      <w:r>
        <w:rPr>
          <w:rFonts w:ascii="Times New Roman" w:hAnsi="Times New Roman" w:eastAsia="黑体" w:cs="Times New Roman"/>
          <w:sz w:val="22"/>
          <w:szCs w:val="21"/>
        </w:rPr>
        <w:fldChar w:fldCharType="separate"/>
      </w:r>
      <w:r>
        <w:rPr>
          <w:rFonts w:ascii="Times New Roman" w:hAnsi="Times New Roman" w:eastAsia="黑体" w:cs="Times New Roman"/>
          <w:sz w:val="22"/>
          <w:szCs w:val="21"/>
        </w:rPr>
        <w:t>514</w:t>
      </w:r>
      <w:r>
        <w:rPr>
          <w:rFonts w:ascii="Times New Roman" w:hAnsi="Times New Roman" w:eastAsia="黑体" w:cs="Times New Roman"/>
          <w:sz w:val="22"/>
          <w:szCs w:val="21"/>
        </w:rPr>
        <w:fldChar w:fldCharType="end"/>
      </w:r>
      <w:r>
        <w:rPr>
          <w:rFonts w:ascii="Times New Roman" w:hAnsi="Times New Roman" w:eastAsia="黑体" w:cs="Times New Roman"/>
          <w:sz w:val="22"/>
          <w:szCs w:val="21"/>
        </w:rPr>
        <w:fldChar w:fldCharType="end"/>
      </w:r>
    </w:p>
    <w:p>
      <w:pPr>
        <w:spacing w:line="240" w:lineRule="auto"/>
        <w:ind w:firstLine="402"/>
        <w:rPr>
          <w:rFonts w:ascii="Times New Roman" w:hAnsi="Times New Roman" w:cs="Times New Roman"/>
        </w:rPr>
      </w:pPr>
      <w:r>
        <w:rPr>
          <w:rFonts w:ascii="Times New Roman" w:hAnsi="Times New Roman" w:eastAsia="黑体" w:cs="Times New Roman"/>
          <w:b/>
          <w:bCs/>
          <w:sz w:val="20"/>
          <w:szCs w:val="20"/>
          <w:lang w:val="zh-CN"/>
        </w:rPr>
        <w:fldChar w:fldCharType="end"/>
      </w:r>
    </w:p>
    <w:p>
      <w:pPr>
        <w:pStyle w:val="2"/>
        <w:numPr>
          <w:ilvl w:val="0"/>
          <w:numId w:val="0"/>
        </w:numPr>
        <w:rPr>
          <w:rFonts w:ascii="Times New Roman" w:hAnsi="Times New Roman" w:cs="Times New Roman"/>
          <w:color w:val="auto"/>
        </w:rPr>
      </w:pPr>
    </w:p>
    <w:p>
      <w:pPr>
        <w:ind w:firstLine="480"/>
        <w:rPr>
          <w:rFonts w:ascii="Times New Roman" w:hAnsi="Times New Roman" w:cs="Times New Roman"/>
          <w:color w:val="auto"/>
        </w:rPr>
      </w:pPr>
    </w:p>
    <w:p>
      <w:pPr>
        <w:ind w:firstLine="480"/>
        <w:rPr>
          <w:rFonts w:ascii="Times New Roman" w:hAnsi="Times New Roman" w:cs="Times New Roman"/>
          <w:color w:val="auto"/>
        </w:rPr>
      </w:pPr>
    </w:p>
    <w:p>
      <w:pPr>
        <w:ind w:left="141" w:leftChars="59" w:firstLine="0" w:firstLineChars="0"/>
        <w:rPr>
          <w:rFonts w:ascii="Times New Roman" w:hAnsi="Times New Roman" w:cs="Times New Roman"/>
          <w:b/>
          <w:bCs/>
          <w:color w:val="auto"/>
        </w:rPr>
      </w:pPr>
      <w:r>
        <w:rPr>
          <w:rFonts w:ascii="Times New Roman" w:hAnsi="Times New Roman" w:cs="Times New Roman"/>
          <w:b/>
          <w:bCs/>
          <w:color w:val="auto"/>
        </w:rPr>
        <w:t>附件:</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附件1：委托书</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附件2：合肥市发改委关于本项目备案的通知</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附件3：安徽省发改委关于本项目5-7#液体油品专用泊位的核准批复</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附件4：合肥市自然资源和规划局关于本项目的用地预审审查意见</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附件5：安徽省自然资源厅关于本项目的用地预审及规划选址意见</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附件6：合肥市地方海事（港航）管理服务中心关于本项目的岸线使用选址意见</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附件7：安徽省交通运输厅关于本项目的岸线使用许可决定书</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附件8：安徽省交通运输厅关于本项目的航道通航条件影响评价的审核意见</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附件9：安徽省交通运输厅关于本项目的工程安全条件审查的批复</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附件10：交通运输部、安徽省人民政府关于合肥港总体规划《2035年》的批复</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附件11：生态环境部关于《合肥港总体规划（2016-2040年）环境影响报告书》的审查意见</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附件12：原合肥市环保局关于《合肥循环经济示范园总体规划环境影响报告书》的审查意见</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附件13：肥东县人民政府关于同意本项目建设的复函</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附件14：本项目社会稳定风险评估报告备案证明</w:t>
      </w:r>
    </w:p>
    <w:p>
      <w:pPr>
        <w:pStyle w:val="98"/>
        <w:ind w:left="141" w:leftChars="59"/>
        <w:rPr>
          <w:rFonts w:hint="eastAsia" w:ascii="Times New Roman" w:hAnsi="Times New Roman" w:cs="Times New Roman"/>
          <w:sz w:val="21"/>
          <w:szCs w:val="21"/>
        </w:rPr>
      </w:pPr>
      <w:r>
        <w:rPr>
          <w:rFonts w:ascii="Times New Roman" w:hAnsi="Times New Roman" w:cs="Times New Roman"/>
          <w:sz w:val="21"/>
          <w:szCs w:val="21"/>
        </w:rPr>
        <w:t>附件15：本项目</w:t>
      </w:r>
      <w:r>
        <w:rPr>
          <w:rFonts w:hint="eastAsia" w:ascii="Times New Roman" w:hAnsi="Times New Roman" w:cs="Times New Roman"/>
          <w:sz w:val="21"/>
          <w:szCs w:val="21"/>
        </w:rPr>
        <w:t>施工期取弃土协议</w:t>
      </w:r>
    </w:p>
    <w:p>
      <w:pPr>
        <w:pStyle w:val="98"/>
        <w:ind w:left="141" w:leftChars="59"/>
        <w:rPr>
          <w:rFonts w:ascii="Times New Roman" w:hAnsi="Times New Roman" w:cs="Times New Roman"/>
          <w:sz w:val="21"/>
          <w:szCs w:val="21"/>
        </w:rPr>
      </w:pPr>
      <w:r>
        <w:rPr>
          <w:rFonts w:ascii="Times New Roman" w:hAnsi="Times New Roman" w:cs="Times New Roman"/>
          <w:sz w:val="21"/>
          <w:szCs w:val="21"/>
        </w:rPr>
        <w:t>附件16：本项目环境现状监测报告</w:t>
      </w:r>
    </w:p>
    <w:p>
      <w:pPr>
        <w:pStyle w:val="98"/>
        <w:rPr>
          <w:rFonts w:ascii="Times New Roman" w:hAnsi="Times New Roman" w:cs="Times New Roman"/>
          <w:sz w:val="21"/>
          <w:szCs w:val="21"/>
        </w:rPr>
      </w:pPr>
    </w:p>
    <w:p>
      <w:pPr>
        <w:pStyle w:val="98"/>
        <w:rPr>
          <w:rFonts w:ascii="Times New Roman" w:hAnsi="Times New Roman" w:cs="Times New Roman"/>
        </w:rPr>
      </w:pPr>
    </w:p>
    <w:p>
      <w:pPr>
        <w:pStyle w:val="98"/>
        <w:rPr>
          <w:rFonts w:ascii="Times New Roman" w:hAnsi="Times New Roman" w:cs="Times New Roman"/>
        </w:rPr>
      </w:pPr>
    </w:p>
    <w:p>
      <w:pPr>
        <w:pStyle w:val="98"/>
        <w:rPr>
          <w:rFonts w:ascii="Times New Roman" w:hAnsi="Times New Roman" w:cs="Times New Roman"/>
        </w:rPr>
      </w:pPr>
    </w:p>
    <w:p>
      <w:pPr>
        <w:pStyle w:val="88"/>
        <w:ind w:firstLine="320"/>
        <w:rPr>
          <w:rFonts w:hint="default" w:ascii="Times New Roman" w:hAnsi="Times New Roman" w:eastAsia="等线" w:cs="Times New Roman"/>
          <w:color w:val="auto"/>
          <w:lang w:eastAsia="zh-CN"/>
        </w:rPr>
        <w:sectPr>
          <w:headerReference r:id="rId11" w:type="default"/>
          <w:footerReference r:id="rId12" w:type="default"/>
          <w:pgSz w:w="11906" w:h="16838"/>
          <w:pgMar w:top="1417" w:right="1417" w:bottom="1417" w:left="1417" w:header="850" w:footer="992" w:gutter="0"/>
          <w:pgNumType w:fmt="upperRoman" w:start="1"/>
          <w:cols w:space="720" w:num="1"/>
          <w:docGrid w:type="lines" w:linePitch="333" w:charSpace="0"/>
        </w:sectPr>
      </w:pPr>
    </w:p>
    <w:p>
      <w:pPr>
        <w:pStyle w:val="2"/>
        <w:keepNext w:val="0"/>
        <w:keepLines w:val="0"/>
        <w:pageBreakBefore/>
        <w:widowControl w:val="0"/>
        <w:numPr>
          <w:ilvl w:val="0"/>
          <w:numId w:val="0"/>
        </w:numPr>
        <w:jc w:val="center"/>
        <w:rPr>
          <w:rFonts w:ascii="Times New Roman" w:hAnsi="Times New Roman" w:cs="Times New Roman"/>
          <w:color w:val="auto"/>
          <w:kern w:val="2"/>
          <w:sz w:val="36"/>
          <w:szCs w:val="36"/>
        </w:rPr>
      </w:pPr>
      <w:bookmarkStart w:id="3" w:name="_Toc475344731"/>
      <w:bookmarkStart w:id="4" w:name="_Toc102979799"/>
      <w:bookmarkStart w:id="5" w:name="_Toc104733286"/>
      <w:bookmarkStart w:id="6" w:name="_Toc19422"/>
      <w:bookmarkStart w:id="7" w:name="_Toc17298"/>
      <w:r>
        <w:rPr>
          <w:rFonts w:ascii="Times New Roman" w:hAnsi="Times New Roman" w:cs="Times New Roman"/>
          <w:color w:val="auto"/>
          <w:kern w:val="2"/>
          <w:sz w:val="36"/>
          <w:szCs w:val="36"/>
        </w:rPr>
        <w:t>1</w:t>
      </w:r>
      <w:bookmarkEnd w:id="3"/>
      <w:r>
        <w:rPr>
          <w:rFonts w:ascii="Times New Roman" w:hAnsi="Times New Roman" w:cs="Times New Roman"/>
          <w:color w:val="auto"/>
          <w:kern w:val="2"/>
          <w:sz w:val="36"/>
          <w:szCs w:val="36"/>
        </w:rPr>
        <w:t xml:space="preserve"> 概述</w:t>
      </w:r>
      <w:bookmarkEnd w:id="4"/>
      <w:bookmarkEnd w:id="5"/>
      <w:bookmarkEnd w:id="6"/>
      <w:bookmarkEnd w:id="7"/>
    </w:p>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8" w:name="_Toc475344732"/>
      <w:bookmarkStart w:id="9" w:name="_Toc31024"/>
      <w:bookmarkStart w:id="10" w:name="_Toc104733287"/>
      <w:bookmarkStart w:id="11" w:name="_Toc102979800"/>
      <w:bookmarkStart w:id="12" w:name="_Toc26034"/>
      <w:r>
        <w:rPr>
          <w:rFonts w:ascii="Times New Roman" w:hAnsi="Times New Roman" w:eastAsia="黑体" w:cs="Times New Roman"/>
          <w:color w:val="auto"/>
          <w:kern w:val="2"/>
          <w:sz w:val="28"/>
        </w:rPr>
        <w:t>1.1</w:t>
      </w:r>
      <w:bookmarkEnd w:id="8"/>
      <w:r>
        <w:rPr>
          <w:rFonts w:ascii="Times New Roman" w:hAnsi="Times New Roman" w:eastAsia="黑体" w:cs="Times New Roman"/>
          <w:color w:val="auto"/>
          <w:kern w:val="2"/>
          <w:sz w:val="28"/>
        </w:rPr>
        <w:t>项目由来</w:t>
      </w:r>
      <w:bookmarkEnd w:id="9"/>
      <w:bookmarkEnd w:id="10"/>
      <w:bookmarkEnd w:id="11"/>
      <w:bookmarkEnd w:id="12"/>
    </w:p>
    <w:p>
      <w:pPr>
        <w:pStyle w:val="4"/>
        <w:numPr>
          <w:ilvl w:val="2"/>
          <w:numId w:val="0"/>
        </w:numPr>
        <w:jc w:val="both"/>
        <w:rPr>
          <w:rFonts w:ascii="Times New Roman" w:hAnsi="Times New Roman" w:cs="Times New Roman"/>
          <w:color w:val="auto"/>
        </w:rPr>
      </w:pPr>
      <w:bookmarkStart w:id="13" w:name="_Toc104733288"/>
      <w:bookmarkStart w:id="14" w:name="_Toc102984248"/>
      <w:r>
        <w:rPr>
          <w:rFonts w:ascii="Times New Roman" w:hAnsi="Times New Roman" w:cs="Times New Roman"/>
          <w:color w:val="auto"/>
        </w:rPr>
        <w:t>1.1.1项目由来</w:t>
      </w:r>
      <w:bookmarkEnd w:id="13"/>
      <w:bookmarkEnd w:id="14"/>
      <w:r>
        <w:rPr>
          <w:rFonts w:ascii="Times New Roman" w:hAnsi="Times New Roman" w:cs="Times New Roman"/>
          <w:color w:val="auto"/>
        </w:rPr>
        <w:t xml:space="preserve">     </w:t>
      </w:r>
    </w:p>
    <w:p>
      <w:pPr>
        <w:ind w:firstLine="480"/>
        <w:rPr>
          <w:rFonts w:ascii="Times New Roman" w:hAnsi="Times New Roman" w:cs="Times New Roman"/>
          <w:color w:val="auto"/>
          <w:szCs w:val="24"/>
        </w:rPr>
      </w:pPr>
      <w:r>
        <w:rPr>
          <w:rFonts w:ascii="Times New Roman" w:hAnsi="Times New Roman" w:cs="Times New Roman"/>
          <w:color w:val="auto"/>
          <w:szCs w:val="24"/>
        </w:rPr>
        <w:t>合肥东航码头工程为大兴集危险品码头的迁建工程，工程选址位于肥东县撮镇镇店埠河左岸，</w:t>
      </w:r>
      <w:r>
        <w:rPr>
          <w:rFonts w:hint="eastAsia" w:ascii="Times New Roman" w:hAnsi="Times New Roman" w:cs="Times New Roman"/>
          <w:color w:val="auto"/>
          <w:szCs w:val="24"/>
        </w:rPr>
        <w:t>属于</w:t>
      </w:r>
      <w:r>
        <w:rPr>
          <w:rFonts w:ascii="Times New Roman" w:hAnsi="Times New Roman" w:cs="Times New Roman"/>
          <w:color w:val="auto"/>
          <w:szCs w:val="24"/>
        </w:rPr>
        <w:t>肥东县循环经济园</w:t>
      </w:r>
      <w:r>
        <w:rPr>
          <w:rFonts w:hint="eastAsia" w:ascii="Times New Roman" w:hAnsi="Times New Roman" w:cs="Times New Roman"/>
          <w:color w:val="auto"/>
          <w:szCs w:val="24"/>
        </w:rPr>
        <w:t>用地规划范围</w:t>
      </w:r>
      <w:r>
        <w:rPr>
          <w:rFonts w:ascii="Times New Roman" w:hAnsi="Times New Roman" w:cs="Times New Roman"/>
          <w:color w:val="auto"/>
          <w:szCs w:val="24"/>
        </w:rPr>
        <w:t>，依托店埠河航道可实现通江达海。</w:t>
      </w:r>
    </w:p>
    <w:p>
      <w:pPr>
        <w:ind w:firstLine="480"/>
        <w:rPr>
          <w:rFonts w:ascii="Times New Roman" w:hAnsi="Times New Roman" w:cs="Times New Roman"/>
          <w:color w:val="auto"/>
          <w:szCs w:val="21"/>
        </w:rPr>
      </w:pPr>
      <w:r>
        <w:rPr>
          <w:rFonts w:ascii="Times New Roman" w:hAnsi="Times New Roman" w:cs="Times New Roman"/>
          <w:color w:val="auto"/>
          <w:szCs w:val="24"/>
        </w:rPr>
        <w:t>根据</w:t>
      </w:r>
      <w:r>
        <w:rPr>
          <w:rFonts w:ascii="Times New Roman" w:hAnsi="Times New Roman" w:cs="Times New Roman"/>
          <w:color w:val="auto"/>
          <w:szCs w:val="21"/>
        </w:rPr>
        <w:t>《安徽省长江流域主要河流航运规划》和安徽省人民政府在安徽省干线航道网规划（2018—2030年）将店埠河航道合裕公路桥至三汊河口段规划等级列为Ⅲ级，</w:t>
      </w:r>
      <w:r>
        <w:rPr>
          <w:rFonts w:ascii="Times New Roman" w:hAnsi="Times New Roman" w:cs="Times New Roman"/>
          <w:color w:val="auto"/>
          <w:szCs w:val="24"/>
        </w:rPr>
        <w:t>店埠河航道是肥东县主要的水路运输通道，也是合裕线航道的重要组成部分。合裕线位于安徽省合肥市、马鞍山市、芜湖市境内，起点为合肥新港，终点为裕溪河入江口，由南淝河航道、巢湖航道、裕溪河航道三段组成，全长约138km，现状为Ⅱ级航道，为腹地内经济发展发挥了巨大作用。合裕线为《全国内河航道与港口布局规划（2006～2020年）》国家高等级航道网“两横一纵两网十八线”中长江水系“一横一网十线”中的一线。也是《安徽省干线航道网规划》中我省“两干三支”五条国家高等级航道中的一支。</w:t>
      </w:r>
      <w:r>
        <w:rPr>
          <w:rFonts w:ascii="Times New Roman" w:hAnsi="Times New Roman" w:cs="Times New Roman"/>
          <w:color w:val="auto"/>
          <w:szCs w:val="21"/>
        </w:rPr>
        <w:t>2018年店埠河（合裕公路桥至三汊河口段）升级改造整治工程按三级航道标准进行整治完工并且通过交工验收。2020年店埠河航道升级工程通过竣工验收，1000吨级货船常年通航。</w:t>
      </w:r>
    </w:p>
    <w:p>
      <w:pPr>
        <w:autoSpaceDE w:val="0"/>
        <w:autoSpaceDN w:val="0"/>
        <w:ind w:firstLine="480"/>
        <w:rPr>
          <w:rFonts w:ascii="Times New Roman" w:hAnsi="Times New Roman" w:cs="Times New Roman"/>
          <w:color w:val="auto"/>
          <w:szCs w:val="24"/>
        </w:rPr>
      </w:pPr>
      <w:r>
        <w:rPr>
          <w:rFonts w:ascii="Times New Roman" w:hAnsi="Times New Roman" w:cs="Times New Roman"/>
          <w:color w:val="auto"/>
          <w:szCs w:val="24"/>
        </w:rPr>
        <w:t>目前，合肥市大兴集危险品码头位于合肥市瑶海区大兴镇东岗村南淝河左岸，建有6个500吨级泊位，使用岸线415米，后方陆域面积114亩。建有危化品储罐40只，罐容4.22万立方。其中油品罐23只，罐容2.65万立方，存储物质属三类危险品；酸碱罐17只，罐容1.57万立方，存储物质属八类危险品。2017年港口吞吐量135万吨，其中油品45万吨，化学品90万吨。2018年港口吞吐量约150万吨，其中油品50万吨，酸碱化学品100万吨。</w:t>
      </w:r>
    </w:p>
    <w:p>
      <w:pPr>
        <w:autoSpaceDE w:val="0"/>
        <w:autoSpaceDN w:val="0"/>
        <w:ind w:firstLine="480"/>
        <w:rPr>
          <w:rFonts w:ascii="Times New Roman" w:hAnsi="Times New Roman" w:cs="Times New Roman"/>
          <w:color w:val="auto"/>
          <w:szCs w:val="24"/>
        </w:rPr>
      </w:pPr>
      <w:r>
        <w:rPr>
          <w:rFonts w:ascii="Times New Roman" w:hAnsi="Times New Roman" w:cs="Times New Roman"/>
          <w:color w:val="auto"/>
          <w:szCs w:val="24"/>
        </w:rPr>
        <w:t>因大兴集危险品码头建成年份较早，基础设施及环保设施较薄弱，且处于合肥市新东部中心核心区域，为支持合肥市东部中心建设以及南淝河治理需要，大兴集危险品码头被合肥市人民政府列入迁建范围。2019年7月合肥市规委会召开会议，明确危险品码头异地迁建规划选址、用地、安全环保等事项，确定大兴集危险品码头搬迁并选址在肥东县循环经济园、店埠河左岸，新建合肥东航码头工程。</w:t>
      </w:r>
    </w:p>
    <w:p>
      <w:pPr>
        <w:pStyle w:val="4"/>
        <w:numPr>
          <w:ilvl w:val="2"/>
          <w:numId w:val="0"/>
        </w:numPr>
        <w:jc w:val="both"/>
        <w:rPr>
          <w:rFonts w:ascii="Times New Roman" w:hAnsi="Times New Roman" w:cs="Times New Roman"/>
          <w:color w:val="auto"/>
        </w:rPr>
      </w:pPr>
      <w:bookmarkStart w:id="15" w:name="_Toc104733289"/>
      <w:bookmarkStart w:id="16" w:name="_Toc102984249"/>
      <w:r>
        <w:rPr>
          <w:rFonts w:ascii="Times New Roman" w:hAnsi="Times New Roman" w:cs="Times New Roman"/>
          <w:color w:val="auto"/>
        </w:rPr>
        <w:t>1.1.2项目概况</w:t>
      </w:r>
      <w:bookmarkEnd w:id="15"/>
      <w:bookmarkEnd w:id="16"/>
    </w:p>
    <w:p>
      <w:pPr>
        <w:ind w:firstLine="480"/>
        <w:rPr>
          <w:rFonts w:ascii="Times New Roman" w:hAnsi="Times New Roman" w:cs="Times New Roman"/>
          <w:color w:val="auto"/>
          <w:szCs w:val="24"/>
        </w:rPr>
      </w:pPr>
      <w:r>
        <w:rPr>
          <w:rFonts w:ascii="Times New Roman" w:hAnsi="Times New Roman" w:cs="Times New Roman"/>
          <w:color w:val="auto"/>
          <w:szCs w:val="24"/>
        </w:rPr>
        <w:t>合肥东航码头工程拟建1000t级液体化工泊位7个，码头占用岸线长640m，自下游往上布置1#-4#泊位为油品酸碱公用泊位，5#-7#泊位为液体油品泊位，码头前沿采用折线布置。码头前方作业地带宽25m，布置宽6m消防通道。装卸货种主要为石油制品及液体化工品。陆域由储罐区、行政管理区、辅助作业区码头组成。工程总占地面积269.76亩，其中码头平台前沿用地29.76亩，陆域罐区占地面积240亩。设计年通过能力338.9万吨，满足设计水平年2030年吞吐量为300万吨的要求，其中石油制品170万吨，液体化工品130万吨。总投资费用6.8亿元。</w:t>
      </w:r>
    </w:p>
    <w:p>
      <w:pPr>
        <w:pStyle w:val="25"/>
        <w:spacing w:line="360" w:lineRule="auto"/>
        <w:ind w:firstLine="480"/>
        <w:rPr>
          <w:rFonts w:ascii="Times New Roman" w:hAnsi="Times New Roman" w:cs="Times New Roman"/>
        </w:rPr>
      </w:pPr>
      <w:r>
        <w:rPr>
          <w:rFonts w:ascii="Times New Roman" w:hAnsi="Times New Roman" w:cs="Times New Roman"/>
        </w:rPr>
        <w:t>2022年1月18日，合肥市发展和改革委员会以合发改备[2022]1号文对合肥东航码头工程项目予以备案（项目代码：2020-340122-55-02-027570）。2022年2月25日，安徽省发展和改革委员会以皖发改基础[2022]115号文对合肥东航码头工程项目（5#-7#液体油品专用泊位）进行了核准。</w:t>
      </w:r>
    </w:p>
    <w:p>
      <w:pPr>
        <w:adjustRightInd/>
        <w:snapToGrid/>
        <w:ind w:firstLine="482"/>
        <w:rPr>
          <w:rFonts w:ascii="Times New Roman" w:hAnsi="Times New Roman" w:cs="Times New Roman"/>
          <w:b/>
          <w:bCs/>
          <w:color w:val="auto"/>
          <w:szCs w:val="21"/>
        </w:rPr>
      </w:pPr>
      <w:r>
        <w:rPr>
          <w:rFonts w:ascii="Times New Roman" w:hAnsi="Times New Roman" w:cs="Times New Roman"/>
          <w:b/>
          <w:bCs/>
          <w:color w:val="auto"/>
          <w:szCs w:val="21"/>
        </w:rPr>
        <w:t>（1）码头总平面布置</w:t>
      </w:r>
    </w:p>
    <w:p>
      <w:pPr>
        <w:adjustRightInd/>
        <w:snapToGrid/>
        <w:ind w:firstLine="480"/>
        <w:rPr>
          <w:rFonts w:ascii="Times New Roman" w:hAnsi="Times New Roman" w:cs="Times New Roman"/>
          <w:color w:val="auto"/>
          <w:szCs w:val="21"/>
        </w:rPr>
      </w:pPr>
      <w:r>
        <w:rPr>
          <w:rFonts w:ascii="Times New Roman" w:hAnsi="Times New Roman" w:cs="Times New Roman"/>
          <w:color w:val="auto"/>
          <w:szCs w:val="21"/>
        </w:rPr>
        <w:t>综合考虑自然条件、工艺布置及港区未来发展等因素，码头转折处下游侧（1#~5#泊位）采用顺岸连片式布置型式，泊位长度460m；上游侧（6#~7#泊位）采用挖入式港池布置型式，泊位长度180m。泊位总长度640m。根据货种类别、年货运量要求以及后方罐区布置，码头泊位自下游侧至上游侧依次布置4个1000吨级液体化学品泊位（1#~4#泊位），3个1000吨级液体油品泊位（5#~7#泊位）。码头前沿线退堤约55m，距设计航道中心线为101m。码头前沿装卸设备采用装卸臂和软管。码头前沿采用折线布置，码头平台总长度与泊位长度一致为640m，码头前沿作业地带宽25m，码头顶面高程14.0m，前方护轮坎顶高程14.5m，设计港池底高程4.50m，原状防汛通道从大堤退堤后顺八字口堤顶道路进入港区内部道路再连接规划进港道路出港，同时港内道路均已形成环状循环道路联通，码头前方通过内部道路与后方罐区相连。</w:t>
      </w:r>
    </w:p>
    <w:p>
      <w:pPr>
        <w:adjustRightInd/>
        <w:snapToGrid/>
        <w:ind w:firstLine="482"/>
        <w:rPr>
          <w:rFonts w:ascii="Times New Roman" w:hAnsi="Times New Roman" w:cs="Times New Roman"/>
          <w:b/>
          <w:bCs/>
          <w:color w:val="auto"/>
          <w:szCs w:val="21"/>
        </w:rPr>
      </w:pPr>
      <w:r>
        <w:rPr>
          <w:rFonts w:ascii="Times New Roman" w:hAnsi="Times New Roman" w:cs="Times New Roman"/>
          <w:b/>
          <w:bCs/>
          <w:color w:val="auto"/>
          <w:szCs w:val="21"/>
        </w:rPr>
        <w:t>（2）后方罐区总平面布置</w:t>
      </w:r>
    </w:p>
    <w:p>
      <w:pPr>
        <w:pStyle w:val="25"/>
        <w:spacing w:line="360" w:lineRule="auto"/>
        <w:ind w:firstLine="480"/>
        <w:rPr>
          <w:rFonts w:ascii="Times New Roman" w:hAnsi="Times New Roman" w:cs="Times New Roman"/>
          <w:color w:val="auto"/>
          <w:szCs w:val="20"/>
        </w:rPr>
      </w:pPr>
      <w:r>
        <w:rPr>
          <w:rFonts w:ascii="Times New Roman" w:hAnsi="Times New Roman" w:cs="Times New Roman"/>
          <w:color w:val="auto"/>
          <w:szCs w:val="20"/>
        </w:rPr>
        <w:fldChar w:fldCharType="begin"/>
      </w:r>
      <w:r>
        <w:rPr>
          <w:rFonts w:ascii="Times New Roman" w:hAnsi="Times New Roman" w:cs="Times New Roman"/>
          <w:color w:val="auto"/>
          <w:szCs w:val="20"/>
        </w:rPr>
        <w:instrText xml:space="preserve"> = 1 \* GB3 </w:instrText>
      </w:r>
      <w:r>
        <w:rPr>
          <w:rFonts w:ascii="Times New Roman" w:hAnsi="Times New Roman" w:cs="Times New Roman"/>
          <w:color w:val="auto"/>
          <w:szCs w:val="20"/>
        </w:rPr>
        <w:fldChar w:fldCharType="separate"/>
      </w:r>
      <w:r>
        <w:rPr>
          <w:rFonts w:hint="eastAsia" w:ascii="宋体" w:hAnsi="宋体" w:cs="宋体"/>
          <w:color w:val="auto"/>
          <w:szCs w:val="20"/>
        </w:rPr>
        <w:t>①</w:t>
      </w:r>
      <w:r>
        <w:rPr>
          <w:rFonts w:ascii="Times New Roman" w:hAnsi="Times New Roman" w:cs="Times New Roman"/>
          <w:color w:val="auto"/>
          <w:szCs w:val="20"/>
        </w:rPr>
        <w:fldChar w:fldCharType="end"/>
      </w:r>
      <w:r>
        <w:rPr>
          <w:rFonts w:ascii="Times New Roman" w:hAnsi="Times New Roman" w:cs="Times New Roman"/>
          <w:color w:val="auto"/>
          <w:szCs w:val="20"/>
        </w:rPr>
        <w:t>罐组：建设3个罐组，1#罐组建设13座3000m³汽油内浮顶罐、1座1000m³乙醇内浮顶罐、2座500m³乙醇内浮顶罐；2#罐组建设13座5000m³柴油固定顶罐、3座5000m³航煤内浮顶罐；3#罐组内包括4座5000m³硫酸罐、9座5000m³氢氧化钠罐、1座5000m³氢氧化钾罐、2座5000m³氯化钙罐。罐组周围设环形消防道路，罐组防火堤外西侧为</w:t>
      </w:r>
      <w:r>
        <w:rPr>
          <w:rFonts w:hint="eastAsia" w:ascii="Times New Roman" w:hAnsi="Times New Roman" w:cs="Times New Roman"/>
          <w:color w:val="auto"/>
          <w:szCs w:val="20"/>
        </w:rPr>
        <w:t>1</w:t>
      </w:r>
      <w:r>
        <w:rPr>
          <w:rFonts w:ascii="Times New Roman" w:hAnsi="Times New Roman" w:cs="Times New Roman"/>
          <w:color w:val="auto"/>
          <w:szCs w:val="20"/>
        </w:rPr>
        <w:t>-3#泵棚和配电间、油气回收装置。化工品不可燃，不属于火灾危险类别中的任何一种，不计入库容；总库容12.1×10</w:t>
      </w:r>
      <w:r>
        <w:rPr>
          <w:rFonts w:ascii="Times New Roman" w:hAnsi="Times New Roman" w:cs="Times New Roman"/>
          <w:color w:val="auto"/>
          <w:szCs w:val="20"/>
          <w:vertAlign w:val="superscript"/>
        </w:rPr>
        <w:t>4</w:t>
      </w:r>
      <w:r>
        <w:rPr>
          <w:rFonts w:ascii="Times New Roman" w:hAnsi="Times New Roman" w:cs="Times New Roman"/>
          <w:color w:val="auto"/>
          <w:szCs w:val="20"/>
        </w:rPr>
        <w:t>m³，0#/-0#柴油闪点</w:t>
      </w:r>
      <w:r>
        <w:rPr>
          <w:rFonts w:hint="eastAsia" w:ascii="宋体" w:hAnsi="宋体" w:cs="宋体"/>
          <w:color w:val="auto"/>
          <w:szCs w:val="20"/>
        </w:rPr>
        <w:t>≮</w:t>
      </w:r>
      <w:r>
        <w:rPr>
          <w:rFonts w:ascii="Times New Roman" w:hAnsi="Times New Roman" w:cs="Times New Roman"/>
          <w:color w:val="auto"/>
          <w:szCs w:val="20"/>
        </w:rPr>
        <w:t>60℃（丙A类），折半计入计算库容，折算后计算库容为8.85×10</w:t>
      </w:r>
      <w:r>
        <w:rPr>
          <w:rFonts w:ascii="Times New Roman" w:hAnsi="Times New Roman" w:cs="Times New Roman"/>
          <w:color w:val="auto"/>
          <w:szCs w:val="20"/>
          <w:vertAlign w:val="superscript"/>
        </w:rPr>
        <w:t>4</w:t>
      </w:r>
      <w:r>
        <w:rPr>
          <w:rFonts w:ascii="Times New Roman" w:hAnsi="Times New Roman" w:cs="Times New Roman"/>
          <w:color w:val="auto"/>
          <w:szCs w:val="20"/>
        </w:rPr>
        <w:t>m³，</w:t>
      </w:r>
      <w:r>
        <w:rPr>
          <w:rFonts w:hint="eastAsia" w:ascii="Times New Roman" w:hAnsi="Times New Roman" w:cs="Times New Roman"/>
          <w:color w:val="auto"/>
          <w:szCs w:val="20"/>
        </w:rPr>
        <w:t>《石油库设计规范》（GB50074-2014），</w:t>
      </w:r>
      <w:r>
        <w:rPr>
          <w:rFonts w:ascii="Times New Roman" w:hAnsi="Times New Roman" w:cs="Times New Roman"/>
          <w:color w:val="auto"/>
          <w:szCs w:val="20"/>
        </w:rPr>
        <w:t>属于二级油库。</w:t>
      </w:r>
    </w:p>
    <w:p>
      <w:pPr>
        <w:pStyle w:val="25"/>
        <w:spacing w:line="360" w:lineRule="auto"/>
        <w:ind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cs="宋体"/>
        </w:rPr>
        <w:t>②</w:t>
      </w:r>
      <w:r>
        <w:rPr>
          <w:rFonts w:ascii="Times New Roman" w:hAnsi="Times New Roman" w:cs="Times New Roman"/>
        </w:rPr>
        <w:fldChar w:fldCharType="end"/>
      </w:r>
      <w:r>
        <w:rPr>
          <w:rFonts w:ascii="Times New Roman" w:hAnsi="Times New Roman" w:cs="Times New Roman"/>
        </w:rPr>
        <w:t>公路装车区</w:t>
      </w:r>
    </w:p>
    <w:p>
      <w:pPr>
        <w:pStyle w:val="25"/>
        <w:spacing w:line="360" w:lineRule="auto"/>
        <w:ind w:firstLine="480"/>
        <w:rPr>
          <w:rFonts w:ascii="Times New Roman" w:hAnsi="Times New Roman" w:cs="Times New Roman"/>
        </w:rPr>
      </w:pPr>
      <w:r>
        <w:rPr>
          <w:rFonts w:ascii="Times New Roman" w:hAnsi="Times New Roman" w:cs="Times New Roman"/>
        </w:rPr>
        <w:t>公路装车区建有2座装车罩棚，成品油和化工品罩棚分开布置。</w:t>
      </w:r>
    </w:p>
    <w:p>
      <w:pPr>
        <w:pStyle w:val="25"/>
        <w:spacing w:line="360" w:lineRule="auto"/>
        <w:ind w:firstLine="480"/>
        <w:rPr>
          <w:rFonts w:ascii="Times New Roman" w:hAnsi="Times New Roman" w:cs="Times New Roman"/>
        </w:rPr>
      </w:pPr>
      <w:r>
        <w:rPr>
          <w:rFonts w:ascii="Times New Roman" w:hAnsi="Times New Roman" w:cs="Times New Roman"/>
        </w:rPr>
        <w:t>成品油装车罩棚下设10座装车岛，共设置22个汽柴油下装装车鹤管，10套油气回收臂，3个柴油上装装车鹤管，采用定量发油控制系统。</w:t>
      </w:r>
    </w:p>
    <w:p>
      <w:pPr>
        <w:pStyle w:val="25"/>
        <w:spacing w:line="360" w:lineRule="auto"/>
        <w:ind w:firstLine="480"/>
        <w:rPr>
          <w:rFonts w:ascii="Times New Roman" w:hAnsi="Times New Roman" w:cs="Times New Roman"/>
        </w:rPr>
      </w:pPr>
      <w:r>
        <w:rPr>
          <w:rFonts w:ascii="Times New Roman" w:hAnsi="Times New Roman" w:cs="Times New Roman"/>
        </w:rPr>
        <w:t>酸碱装车罩棚下设8座装车岛，共设置16套上装鹤管，双侧装车，采用定量发油控制系统。</w:t>
      </w:r>
    </w:p>
    <w:p>
      <w:pPr>
        <w:pStyle w:val="25"/>
        <w:spacing w:line="360" w:lineRule="auto"/>
        <w:ind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3 \* GB3 </w:instrText>
      </w:r>
      <w:r>
        <w:rPr>
          <w:rFonts w:ascii="Times New Roman" w:hAnsi="Times New Roman" w:cs="Times New Roman"/>
        </w:rPr>
        <w:fldChar w:fldCharType="separate"/>
      </w:r>
      <w:r>
        <w:rPr>
          <w:rFonts w:hint="eastAsia" w:ascii="宋体" w:hAnsi="宋体" w:cs="宋体"/>
        </w:rPr>
        <w:t>③</w:t>
      </w:r>
      <w:r>
        <w:rPr>
          <w:rFonts w:ascii="Times New Roman" w:hAnsi="Times New Roman" w:cs="Times New Roman"/>
        </w:rPr>
        <w:fldChar w:fldCharType="end"/>
      </w:r>
      <w:r>
        <w:rPr>
          <w:rFonts w:ascii="Times New Roman" w:hAnsi="Times New Roman" w:cs="Times New Roman"/>
        </w:rPr>
        <w:t>公路卸车区</w:t>
      </w:r>
    </w:p>
    <w:p>
      <w:pPr>
        <w:pStyle w:val="25"/>
        <w:spacing w:line="360" w:lineRule="auto"/>
        <w:ind w:firstLine="480"/>
        <w:rPr>
          <w:rFonts w:ascii="Times New Roman" w:hAnsi="Times New Roman" w:cs="Times New Roman"/>
        </w:rPr>
      </w:pPr>
      <w:r>
        <w:rPr>
          <w:rFonts w:ascii="Times New Roman" w:hAnsi="Times New Roman" w:cs="Times New Roman"/>
        </w:rPr>
        <w:t>罐区停车场北侧，建设公路卸车区，内设液碱等化工品、汽油、柴油、乙醇公路卸车泵。公路卸车采用地磅计量。</w:t>
      </w:r>
    </w:p>
    <w:p>
      <w:pPr>
        <w:pStyle w:val="25"/>
        <w:spacing w:line="360" w:lineRule="auto"/>
        <w:ind w:firstLine="480"/>
        <w:rPr>
          <w:rFonts w:ascii="Times New Roman" w:hAnsi="Times New Roman" w:cs="Times New Roman"/>
          <w:color w:val="auto"/>
          <w:szCs w:val="21"/>
        </w:rPr>
      </w:pPr>
      <w:r>
        <w:rPr>
          <w:rFonts w:ascii="Times New Roman" w:hAnsi="Times New Roman" w:cs="Times New Roman"/>
          <w:color w:val="auto"/>
          <w:szCs w:val="21"/>
        </w:rPr>
        <w:t>后方陆域占地约240亩。</w:t>
      </w:r>
    </w:p>
    <w:p>
      <w:pPr>
        <w:pStyle w:val="98"/>
        <w:snapToGrid w:val="0"/>
        <w:ind w:firstLine="480"/>
        <w:rPr>
          <w:rFonts w:ascii="Times New Roman" w:hAnsi="Times New Roman" w:cs="Times New Roman"/>
        </w:rPr>
      </w:pPr>
      <w:r>
        <w:rPr>
          <w:rFonts w:ascii="Times New Roman" w:hAnsi="Times New Roman" w:cs="Times New Roman"/>
          <w:bCs/>
        </w:rPr>
        <w:t>根据</w:t>
      </w:r>
      <w:r>
        <w:rPr>
          <w:rFonts w:ascii="Times New Roman" w:hAnsi="Times New Roman" w:cs="Times New Roman"/>
        </w:rPr>
        <w:t>《中华人民共和国环境影响评价法》</w:t>
      </w:r>
      <w:r>
        <w:rPr>
          <w:rFonts w:ascii="Times New Roman" w:hAnsi="Times New Roman" w:cs="Times New Roman"/>
          <w:bCs/>
        </w:rPr>
        <w:t>和《建设项目环境保护管理条例》中的有关规定，应当在工程开工前对该项目进行环境影响评价。</w:t>
      </w:r>
      <w:r>
        <w:rPr>
          <w:rFonts w:ascii="Times New Roman" w:hAnsi="Times New Roman" w:cs="Times New Roman"/>
        </w:rPr>
        <w:t>根据《建设项目环境影响评价分类管理名录》，本项目属于“四十九、交通运输业、管道运输业和仓储业：163 油气、液体化工码头”</w:t>
      </w:r>
      <w:r>
        <w:rPr>
          <w:rFonts w:ascii="Times New Roman" w:hAnsi="Times New Roman" w:cs="Times New Roman"/>
          <w:b/>
          <w:bCs/>
        </w:rPr>
        <w:t>，</w:t>
      </w:r>
      <w:r>
        <w:rPr>
          <w:rFonts w:ascii="Times New Roman" w:hAnsi="Times New Roman" w:cs="Times New Roman"/>
        </w:rPr>
        <w:t>因此，环评类别为环境影响报告书。为此，安徽港航物流有限公司于2021</w:t>
      </w:r>
      <w:r>
        <w:rPr>
          <w:rFonts w:ascii="Times New Roman" w:hAnsi="Times New Roman" w:cs="Times New Roman"/>
          <w:lang w:val="zh-CN"/>
        </w:rPr>
        <w:t>年</w:t>
      </w:r>
      <w:r>
        <w:rPr>
          <w:rFonts w:ascii="Times New Roman" w:hAnsi="Times New Roman" w:cs="Times New Roman"/>
        </w:rPr>
        <w:t>1</w:t>
      </w:r>
      <w:r>
        <w:rPr>
          <w:rFonts w:ascii="Times New Roman" w:hAnsi="Times New Roman" w:cs="Times New Roman"/>
          <w:lang w:val="zh-CN"/>
        </w:rPr>
        <w:t>月</w:t>
      </w:r>
      <w:r>
        <w:rPr>
          <w:rFonts w:hint="eastAsia" w:ascii="Times New Roman" w:hAnsi="Times New Roman" w:cs="Times New Roman"/>
          <w:lang w:val="zh-CN"/>
        </w:rPr>
        <w:t>1</w:t>
      </w:r>
      <w:r>
        <w:rPr>
          <w:rFonts w:ascii="Times New Roman" w:hAnsi="Times New Roman" w:cs="Times New Roman"/>
          <w:lang w:val="zh-CN"/>
        </w:rPr>
        <w:t>5</w:t>
      </w:r>
      <w:r>
        <w:rPr>
          <w:rFonts w:hint="eastAsia" w:ascii="Times New Roman" w:hAnsi="Times New Roman" w:cs="Times New Roman"/>
          <w:lang w:val="zh-CN"/>
        </w:rPr>
        <w:t>日</w:t>
      </w:r>
      <w:r>
        <w:rPr>
          <w:rFonts w:ascii="Times New Roman" w:hAnsi="Times New Roman" w:cs="Times New Roman"/>
          <w:lang w:val="zh-CN"/>
        </w:rPr>
        <w:t>正式委托</w:t>
      </w:r>
      <w:r>
        <w:rPr>
          <w:rFonts w:ascii="Times New Roman" w:hAnsi="Times New Roman" w:cs="Times New Roman"/>
        </w:rPr>
        <w:t>安徽睿晟环境科技有限公司</w:t>
      </w:r>
      <w:r>
        <w:rPr>
          <w:rFonts w:ascii="Times New Roman" w:hAnsi="Times New Roman" w:cs="Times New Roman"/>
          <w:lang w:val="zh-CN"/>
        </w:rPr>
        <w:t>承担该项目的环境影响评价工作。</w:t>
      </w:r>
      <w:r>
        <w:rPr>
          <w:rFonts w:ascii="Times New Roman" w:hAnsi="Times New Roman" w:cs="Times New Roman"/>
        </w:rPr>
        <w:t>在接受委托后，评价单位组织了有关技术人员对建设项目区进行了现场踏勘，收集和核实了工程有关基础资料，与此同时，委托监测单位于2021年2月和7月对项目区环境质量现状进行了监测。在以上基础上，编制了本项目的环境影响报告书。通过环境影响评价，查明了该区域内的环境质量现状；核实了本项目排污环节、计算污染物的产生和排放量，预测、评价项目完成后对周围环境可能产生影响的范围和程度；分析项目选址的环境可行性，从技术、经济、环境损益分析角度，评价建设项目环保措施的可行性，提出切实可行的污染防治对策，达到减少污染、保护环境的目的，为项目环境管理和环保设计提供科学依据。</w:t>
      </w:r>
    </w:p>
    <w:p>
      <w:pPr>
        <w:pStyle w:val="25"/>
        <w:spacing w:line="360" w:lineRule="auto"/>
        <w:ind w:firstLine="482"/>
        <w:rPr>
          <w:rFonts w:ascii="Times New Roman" w:hAnsi="Times New Roman" w:cs="Times New Roman"/>
          <w:b/>
          <w:bCs/>
        </w:rPr>
      </w:pPr>
      <w:r>
        <w:rPr>
          <w:rFonts w:ascii="Times New Roman" w:hAnsi="Times New Roman" w:cs="Times New Roman"/>
          <w:b/>
          <w:bCs/>
        </w:rPr>
        <w:t>本次评价仅针对合肥东航码头的新建工程内容，大兴集危险品码头的拆除工程不包含在本次评价范围内</w:t>
      </w:r>
      <w:r>
        <w:rPr>
          <w:rFonts w:hint="eastAsia" w:ascii="Times New Roman" w:hAnsi="Times New Roman" w:cs="Times New Roman"/>
          <w:b/>
          <w:bCs/>
        </w:rPr>
        <w:t>，本次工程为完全新建工程，不对</w:t>
      </w:r>
      <w:r>
        <w:rPr>
          <w:rFonts w:ascii="Times New Roman" w:hAnsi="Times New Roman" w:cs="Times New Roman"/>
          <w:b/>
          <w:bCs/>
        </w:rPr>
        <w:t>大兴集危险品码头</w:t>
      </w:r>
      <w:r>
        <w:rPr>
          <w:rFonts w:hint="eastAsia" w:ascii="Times New Roman" w:hAnsi="Times New Roman" w:cs="Times New Roman"/>
          <w:b/>
          <w:bCs/>
        </w:rPr>
        <w:t>相关拆除设备进行利旧</w:t>
      </w:r>
      <w:r>
        <w:rPr>
          <w:rFonts w:ascii="Times New Roman" w:hAnsi="Times New Roman" w:cs="Times New Roman"/>
          <w:b/>
          <w:bCs/>
        </w:rPr>
        <w:t>。</w:t>
      </w:r>
    </w:p>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17" w:name="_Toc102979801"/>
      <w:bookmarkStart w:id="18" w:name="_Toc20338"/>
      <w:bookmarkStart w:id="19" w:name="_Toc104733290"/>
      <w:bookmarkStart w:id="20" w:name="_Toc28681"/>
      <w:r>
        <w:rPr>
          <w:rFonts w:ascii="Times New Roman" w:hAnsi="Times New Roman" w:eastAsia="黑体" w:cs="Times New Roman"/>
          <w:color w:val="auto"/>
          <w:kern w:val="2"/>
          <w:sz w:val="28"/>
        </w:rPr>
        <w:t>1.2环境影响评价工作过程</w:t>
      </w:r>
      <w:bookmarkEnd w:id="17"/>
      <w:bookmarkEnd w:id="18"/>
      <w:bookmarkEnd w:id="19"/>
      <w:bookmarkEnd w:id="20"/>
    </w:p>
    <w:p>
      <w:pPr>
        <w:ind w:firstLine="480"/>
        <w:rPr>
          <w:rFonts w:ascii="Times New Roman" w:hAnsi="Times New Roman" w:cs="Times New Roman"/>
          <w:color w:val="auto"/>
        </w:rPr>
      </w:pPr>
      <w:r>
        <w:rPr>
          <w:rFonts w:ascii="Times New Roman" w:hAnsi="Times New Roman" w:cs="Times New Roman"/>
          <w:color w:val="auto"/>
        </w:rPr>
        <w:t>环境影响评价工作一般分三个阶段，即调查分析和制定工作方案阶段、分析论证和预测评价阶段、环境影响评价文件编制阶段。</w:t>
      </w:r>
    </w:p>
    <w:p>
      <w:pPr>
        <w:ind w:firstLine="480"/>
        <w:rPr>
          <w:rFonts w:ascii="Times New Roman" w:hAnsi="Times New Roman" w:cs="Times New Roman"/>
          <w:color w:val="auto"/>
        </w:rPr>
      </w:pPr>
      <w:r>
        <w:rPr>
          <w:rFonts w:ascii="Times New Roman" w:hAnsi="Times New Roman" w:cs="Times New Roman"/>
          <w:color w:val="auto"/>
        </w:rPr>
        <w:t>本项目技术评价路线见下图：</w:t>
      </w:r>
    </w:p>
    <w:p>
      <w:pPr>
        <w:ind w:firstLine="0" w:firstLineChars="0"/>
        <w:jc w:val="center"/>
        <w:rPr>
          <w:rFonts w:ascii="Times New Roman" w:hAnsi="Times New Roman" w:cs="Times New Roman"/>
          <w:color w:val="auto"/>
        </w:rPr>
      </w:pPr>
      <w:r>
        <w:rPr>
          <w:rFonts w:ascii="Times New Roman" w:hAnsi="Times New Roman" w:cs="Times New Roman"/>
          <w:color w:val="auto"/>
          <w:szCs w:val="24"/>
        </w:rPr>
        <w:object>
          <v:shape id="_x0000_i1025" o:spt="75" type="#_x0000_t75" style="height:433.5pt;width:427.5pt;" o:ole="t" filled="f" o:preferrelative="t" stroked="f" coordsize="21600,21600">
            <v:path/>
            <v:fill on="f" focussize="0,0"/>
            <v:stroke on="f" joinstyle="miter"/>
            <v:imagedata r:id="rId24" cropleft="1708f" croptop="2714f" cropright="2602f" cropbottom="2843f" o:title=""/>
            <o:lock v:ext="edit" aspectratio="t"/>
            <w10:wrap type="none"/>
            <w10:anchorlock/>
          </v:shape>
          <o:OLEObject Type="Embed" ProgID="Equation.3" ShapeID="_x0000_i1025" DrawAspect="Content" ObjectID="_1468075725" r:id="rId23">
            <o:LockedField>false</o:LockedField>
          </o:OLEObject>
        </w:object>
      </w:r>
    </w:p>
    <w:p>
      <w:pPr>
        <w:spacing w:line="240" w:lineRule="auto"/>
        <w:ind w:firstLine="0" w:firstLineChars="0"/>
        <w:jc w:val="center"/>
        <w:rPr>
          <w:rFonts w:ascii="Times New Roman" w:hAnsi="Times New Roman" w:cs="Times New Roman"/>
          <w:color w:val="auto"/>
          <w:sz w:val="21"/>
          <w:szCs w:val="21"/>
        </w:rPr>
      </w:pPr>
      <w:r>
        <w:rPr>
          <w:rFonts w:ascii="Times New Roman" w:hAnsi="Times New Roman" w:cs="Times New Roman"/>
          <w:b/>
          <w:color w:val="auto"/>
          <w:sz w:val="21"/>
          <w:szCs w:val="21"/>
        </w:rPr>
        <w:t>图1.2-1  环境影响评价工作程序表</w:t>
      </w:r>
    </w:p>
    <w:p>
      <w:pPr>
        <w:pStyle w:val="2657"/>
        <w:spacing w:before="166" w:beforeLines="50" w:line="360" w:lineRule="auto"/>
        <w:rPr>
          <w:rFonts w:ascii="Times New Roman" w:hAnsi="Times New Roman"/>
          <w:color w:val="auto"/>
        </w:rPr>
      </w:pPr>
      <w:r>
        <w:rPr>
          <w:rFonts w:ascii="Times New Roman" w:hAnsi="Times New Roman"/>
          <w:color w:val="auto"/>
        </w:rPr>
        <w:t>本次评价的主要工作过程及时间节点如下：</w:t>
      </w:r>
    </w:p>
    <w:p>
      <w:pPr>
        <w:pStyle w:val="2657"/>
        <w:spacing w:line="360" w:lineRule="auto"/>
        <w:rPr>
          <w:rFonts w:ascii="Times New Roman" w:hAnsi="Times New Roman"/>
          <w:color w:val="auto"/>
        </w:rPr>
      </w:pPr>
      <w:r>
        <w:rPr>
          <w:rFonts w:hint="eastAsia" w:ascii="宋体" w:hAnsi="宋体" w:cs="宋体"/>
          <w:color w:val="auto"/>
        </w:rPr>
        <w:t>◆</w:t>
      </w:r>
      <w:r>
        <w:rPr>
          <w:rFonts w:ascii="Times New Roman" w:hAnsi="Times New Roman"/>
          <w:color w:val="auto"/>
        </w:rPr>
        <w:t xml:space="preserve"> 2021年1月15日，建设单位委托安徽睿晟环境科技有限公司承担《合肥市东航码头工程环境影响报告书》的编制工作。</w:t>
      </w:r>
    </w:p>
    <w:p>
      <w:pPr>
        <w:pStyle w:val="2657"/>
        <w:spacing w:line="360" w:lineRule="auto"/>
        <w:rPr>
          <w:rFonts w:ascii="Times New Roman" w:hAnsi="Times New Roman"/>
          <w:color w:val="auto"/>
        </w:rPr>
      </w:pPr>
      <w:r>
        <w:rPr>
          <w:rFonts w:hint="eastAsia" w:ascii="宋体" w:hAnsi="宋体" w:cs="宋体"/>
          <w:color w:val="auto"/>
        </w:rPr>
        <w:t>◆</w:t>
      </w:r>
      <w:r>
        <w:rPr>
          <w:rFonts w:ascii="Times New Roman" w:hAnsi="Times New Roman"/>
          <w:color w:val="auto"/>
        </w:rPr>
        <w:t xml:space="preserve"> 2021年1月20日，建设单位在合肥市生态环境局网站上进行了项目环境影响评价首次公众参与公示。</w:t>
      </w:r>
    </w:p>
    <w:p>
      <w:pPr>
        <w:pStyle w:val="2657"/>
        <w:spacing w:line="360" w:lineRule="auto"/>
        <w:rPr>
          <w:rFonts w:ascii="Times New Roman" w:hAnsi="Times New Roman"/>
          <w:color w:val="auto"/>
        </w:rPr>
      </w:pPr>
      <w:r>
        <w:rPr>
          <w:rFonts w:hint="eastAsia" w:ascii="宋体" w:hAnsi="宋体" w:cs="宋体"/>
          <w:color w:val="auto"/>
        </w:rPr>
        <w:t>◆</w:t>
      </w:r>
      <w:r>
        <w:rPr>
          <w:rFonts w:ascii="Times New Roman" w:hAnsi="Times New Roman"/>
          <w:color w:val="auto"/>
        </w:rPr>
        <w:t xml:space="preserve"> 2021年2月，评价单位根据项目可行性研究报告及项目单位提供的其他技术资料进行工程分析，确定评价思路、评价重点及各环境要素评价等级。</w:t>
      </w:r>
    </w:p>
    <w:p>
      <w:pPr>
        <w:pStyle w:val="2657"/>
        <w:spacing w:line="360" w:lineRule="auto"/>
        <w:rPr>
          <w:rFonts w:ascii="Times New Roman" w:hAnsi="Times New Roman"/>
          <w:color w:val="auto"/>
        </w:rPr>
      </w:pPr>
      <w:r>
        <w:rPr>
          <w:rFonts w:hint="eastAsia" w:ascii="宋体" w:hAnsi="宋体" w:cs="宋体"/>
          <w:color w:val="auto"/>
        </w:rPr>
        <w:t>◆</w:t>
      </w:r>
      <w:r>
        <w:rPr>
          <w:rFonts w:ascii="Times New Roman" w:hAnsi="Times New Roman"/>
          <w:color w:val="auto"/>
        </w:rPr>
        <w:t xml:space="preserve"> 2021年2月和7月，评价单位委托安徽世标检测技术有限公司对项目区进行了环境质量现状监测。</w:t>
      </w:r>
    </w:p>
    <w:p>
      <w:pPr>
        <w:ind w:firstLine="480"/>
        <w:jc w:val="left"/>
        <w:rPr>
          <w:rFonts w:ascii="Times New Roman" w:hAnsi="Times New Roman" w:cs="Times New Roman"/>
          <w:color w:val="auto"/>
        </w:rPr>
      </w:pPr>
      <w:r>
        <w:rPr>
          <w:rFonts w:hint="eastAsia" w:ascii="宋体" w:hAnsi="宋体" w:cs="宋体"/>
          <w:color w:val="auto"/>
        </w:rPr>
        <w:t>◆</w:t>
      </w:r>
      <w:r>
        <w:rPr>
          <w:rFonts w:ascii="Times New Roman" w:hAnsi="Times New Roman" w:cs="Times New Roman"/>
          <w:color w:val="auto"/>
        </w:rPr>
        <w:t xml:space="preserve"> 2021年3月-2022年3月，建设单位对工程内容进行了调整。</w:t>
      </w:r>
    </w:p>
    <w:p>
      <w:pPr>
        <w:ind w:firstLine="480"/>
        <w:jc w:val="left"/>
        <w:rPr>
          <w:rFonts w:ascii="Times New Roman" w:hAnsi="Times New Roman" w:cs="Times New Roman"/>
          <w:color w:val="auto"/>
        </w:rPr>
      </w:pPr>
      <w:r>
        <w:rPr>
          <w:rFonts w:hint="eastAsia" w:ascii="宋体" w:hAnsi="宋体" w:cs="宋体"/>
          <w:color w:val="auto"/>
        </w:rPr>
        <w:t>◆</w:t>
      </w:r>
      <w:r>
        <w:rPr>
          <w:rFonts w:ascii="Times New Roman" w:hAnsi="Times New Roman" w:cs="Times New Roman"/>
          <w:color w:val="auto"/>
        </w:rPr>
        <w:t xml:space="preserve"> 2022年5月，评价单位根据调整后的工程内容编制完成了项目征求意见稿，于2022年5月11日在合肥市生态环境局网站上进行了征求意见稿公示，2022年5月18日及19日在安徽日报进行了登报公示。</w:t>
      </w:r>
    </w:p>
    <w:p>
      <w:pPr>
        <w:ind w:firstLine="480"/>
        <w:jc w:val="left"/>
        <w:rPr>
          <w:rFonts w:ascii="Times New Roman" w:hAnsi="Times New Roman" w:cs="Times New Roman"/>
          <w:color w:val="auto"/>
        </w:rPr>
      </w:pPr>
      <w:r>
        <w:rPr>
          <w:rFonts w:hint="eastAsia" w:ascii="宋体" w:hAnsi="宋体" w:cs="宋体"/>
          <w:color w:val="auto"/>
        </w:rPr>
        <w:t>◆</w:t>
      </w:r>
      <w:r>
        <w:rPr>
          <w:rFonts w:ascii="Times New Roman" w:hAnsi="Times New Roman" w:cs="Times New Roman"/>
          <w:color w:val="auto"/>
        </w:rPr>
        <w:t xml:space="preserve"> 2022年6月</w:t>
      </w:r>
      <w:r>
        <w:rPr>
          <w:rFonts w:hint="eastAsia" w:ascii="Times New Roman" w:hAnsi="Times New Roman" w:cs="Times New Roman"/>
          <w:color w:val="auto"/>
        </w:rPr>
        <w:t>1</w:t>
      </w:r>
      <w:r>
        <w:rPr>
          <w:rFonts w:ascii="Times New Roman" w:hAnsi="Times New Roman" w:cs="Times New Roman"/>
          <w:color w:val="auto"/>
        </w:rPr>
        <w:t>0日，经审核审定后形成《合肥东航码头工程项目环境影响报告书（送审稿）》。</w:t>
      </w:r>
    </w:p>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21" w:name="_Toc2102"/>
      <w:bookmarkStart w:id="22" w:name="_Toc7292"/>
      <w:bookmarkStart w:id="23" w:name="_Toc104733291"/>
      <w:bookmarkStart w:id="24" w:name="_Toc529385202"/>
      <w:bookmarkStart w:id="25" w:name="_Toc102979802"/>
      <w:bookmarkStart w:id="26" w:name="_Toc18460"/>
      <w:r>
        <w:rPr>
          <w:rFonts w:ascii="Times New Roman" w:hAnsi="Times New Roman" w:eastAsia="黑体" w:cs="Times New Roman"/>
          <w:color w:val="auto"/>
          <w:kern w:val="2"/>
          <w:sz w:val="28"/>
        </w:rPr>
        <w:t>1.3分析判定相关情况</w:t>
      </w:r>
      <w:bookmarkEnd w:id="21"/>
      <w:bookmarkEnd w:id="22"/>
      <w:bookmarkEnd w:id="23"/>
      <w:bookmarkEnd w:id="24"/>
      <w:bookmarkEnd w:id="25"/>
      <w:bookmarkEnd w:id="26"/>
    </w:p>
    <w:p>
      <w:pPr>
        <w:ind w:firstLine="480"/>
        <w:rPr>
          <w:rFonts w:ascii="Times New Roman" w:hAnsi="Times New Roman" w:cs="Times New Roman"/>
          <w:color w:val="auto"/>
          <w:szCs w:val="24"/>
        </w:rPr>
      </w:pPr>
      <w:bookmarkStart w:id="27" w:name="_Hlk46329781"/>
      <w:r>
        <w:rPr>
          <w:rFonts w:ascii="Times New Roman" w:hAnsi="Times New Roman" w:cs="Times New Roman"/>
          <w:color w:val="auto"/>
        </w:rPr>
        <w:t>1、产业政策的相符性</w:t>
      </w:r>
      <w:bookmarkStart w:id="28" w:name="_Toc2856"/>
      <w:bookmarkStart w:id="29" w:name="_Hlk519255967"/>
      <w:bookmarkStart w:id="30" w:name="_Toc20762"/>
      <w:bookmarkStart w:id="31" w:name="_Toc13187"/>
    </w:p>
    <w:bookmarkEnd w:id="28"/>
    <w:bookmarkEnd w:id="29"/>
    <w:bookmarkEnd w:id="30"/>
    <w:bookmarkEnd w:id="31"/>
    <w:p>
      <w:pPr>
        <w:pStyle w:val="25"/>
        <w:spacing w:line="360" w:lineRule="auto"/>
        <w:ind w:firstLine="480"/>
        <w:jc w:val="left"/>
        <w:rPr>
          <w:rFonts w:ascii="Times New Roman" w:hAnsi="Times New Roman" w:cs="Times New Roman"/>
          <w:color w:val="auto"/>
          <w:kern w:val="0"/>
          <w:szCs w:val="24"/>
        </w:rPr>
      </w:pPr>
      <w:r>
        <w:rPr>
          <w:rFonts w:ascii="Times New Roman" w:hAnsi="Times New Roman" w:cs="Times New Roman"/>
          <w:color w:val="auto"/>
          <w:kern w:val="0"/>
          <w:szCs w:val="24"/>
        </w:rPr>
        <w:t>本项目为</w:t>
      </w:r>
      <w:r>
        <w:rPr>
          <w:rFonts w:ascii="Times New Roman" w:hAnsi="Times New Roman" w:cs="Times New Roman"/>
          <w:color w:val="FF0000"/>
        </w:rPr>
        <w:t>油品、液体化工码头</w:t>
      </w:r>
      <w:r>
        <w:rPr>
          <w:rFonts w:ascii="Times New Roman" w:hAnsi="Times New Roman" w:cs="Times New Roman"/>
          <w:color w:val="auto"/>
          <w:kern w:val="0"/>
          <w:szCs w:val="24"/>
        </w:rPr>
        <w:t>，泊位等级为1000吨级；对照</w:t>
      </w:r>
      <w:r>
        <w:rPr>
          <w:rFonts w:ascii="Times New Roman" w:hAnsi="Times New Roman" w:cs="Times New Roman"/>
          <w:color w:val="auto"/>
        </w:rPr>
        <w:t>国家发展和改革委员会2019年第29号令《产业结构调整指导目录（2019年本）》</w:t>
      </w:r>
      <w:r>
        <w:rPr>
          <w:rFonts w:ascii="Times New Roman" w:hAnsi="Times New Roman" w:cs="Times New Roman"/>
          <w:color w:val="auto"/>
          <w:kern w:val="0"/>
          <w:szCs w:val="24"/>
        </w:rPr>
        <w:t>，</w:t>
      </w:r>
      <w:r>
        <w:rPr>
          <w:rFonts w:ascii="Times New Roman" w:hAnsi="Times New Roman" w:cs="Times New Roman"/>
          <w:color w:val="auto"/>
        </w:rPr>
        <w:t>本项目属于</w:t>
      </w:r>
      <w:r>
        <w:rPr>
          <w:rFonts w:ascii="Times New Roman" w:hAnsi="Times New Roman" w:cs="Times New Roman"/>
          <w:color w:val="auto"/>
          <w:spacing w:val="-31"/>
        </w:rPr>
        <w:t xml:space="preserve"> </w:t>
      </w:r>
      <w:r>
        <w:rPr>
          <w:rFonts w:ascii="Times New Roman" w:hAnsi="Times New Roman" w:cs="Times New Roman"/>
          <w:color w:val="auto"/>
        </w:rPr>
        <w:t>“第一类 鼓励类 二十五 水运</w:t>
      </w:r>
      <w:r>
        <w:rPr>
          <w:rFonts w:ascii="Times New Roman" w:hAnsi="Times New Roman" w:cs="Times New Roman"/>
          <w:color w:val="auto"/>
        </w:rPr>
        <w:tab/>
      </w:r>
      <w:r>
        <w:rPr>
          <w:rFonts w:ascii="Times New Roman" w:hAnsi="Times New Roman" w:cs="Times New Roman"/>
          <w:color w:val="auto"/>
        </w:rPr>
        <w:t>1</w:t>
      </w:r>
      <w:r>
        <w:rPr>
          <w:rFonts w:ascii="Times New Roman" w:hAnsi="Times New Roman" w:cs="Times New Roman"/>
          <w:color w:val="auto"/>
          <w:spacing w:val="-32"/>
        </w:rPr>
        <w:t>、</w:t>
      </w:r>
      <w:r>
        <w:rPr>
          <w:rFonts w:ascii="Times New Roman" w:hAnsi="Times New Roman" w:cs="Times New Roman"/>
          <w:color w:val="auto"/>
        </w:rPr>
        <w:t>深水泊位</w:t>
      </w:r>
      <w:r>
        <w:rPr>
          <w:rFonts w:ascii="Times New Roman" w:hAnsi="Times New Roman" w:cs="Times New Roman"/>
          <w:color w:val="auto"/>
          <w:szCs w:val="24"/>
        </w:rPr>
        <w:t>（</w:t>
      </w:r>
      <w:r>
        <w:rPr>
          <w:rFonts w:ascii="Times New Roman" w:hAnsi="Times New Roman" w:cs="Times New Roman"/>
          <w:b/>
          <w:bCs/>
          <w:color w:val="auto"/>
          <w:szCs w:val="24"/>
        </w:rPr>
        <w:t>内河千吨级及以上</w:t>
      </w:r>
      <w:r>
        <w:rPr>
          <w:rFonts w:ascii="Times New Roman" w:hAnsi="Times New Roman" w:cs="Times New Roman"/>
          <w:color w:val="auto"/>
          <w:szCs w:val="24"/>
        </w:rPr>
        <w:t>）建设”，为鼓励类项目。</w:t>
      </w:r>
      <w:r>
        <w:rPr>
          <w:rFonts w:ascii="Times New Roman" w:hAnsi="Times New Roman" w:cs="Times New Roman"/>
          <w:color w:val="auto"/>
          <w:kern w:val="0"/>
          <w:szCs w:val="24"/>
        </w:rPr>
        <w:t>因此本项目的建设符合国家产业政策。</w:t>
      </w:r>
    </w:p>
    <w:p>
      <w:pPr>
        <w:ind w:firstLine="480"/>
        <w:rPr>
          <w:rFonts w:ascii="Times New Roman" w:hAnsi="Times New Roman" w:cs="Times New Roman"/>
          <w:color w:val="auto"/>
        </w:rPr>
      </w:pPr>
      <w:r>
        <w:rPr>
          <w:rFonts w:ascii="Times New Roman" w:hAnsi="Times New Roman" w:cs="Times New Roman"/>
          <w:color w:val="auto"/>
        </w:rPr>
        <w:t>2、规划符合性</w:t>
      </w:r>
    </w:p>
    <w:p>
      <w:pPr>
        <w:ind w:firstLine="480"/>
        <w:rPr>
          <w:rFonts w:ascii="Times New Roman" w:hAnsi="Times New Roman" w:cs="Times New Roman"/>
          <w:color w:val="auto"/>
        </w:rPr>
      </w:pPr>
      <w:r>
        <w:rPr>
          <w:rFonts w:ascii="Times New Roman" w:hAnsi="Times New Roman" w:cs="Times New Roman"/>
          <w:color w:val="auto"/>
        </w:rPr>
        <w:t>本项目符合</w:t>
      </w:r>
      <w:r>
        <w:rPr>
          <w:rFonts w:ascii="Times New Roman" w:hAnsi="Times New Roman" w:cs="Times New Roman"/>
        </w:rPr>
        <w:t>《中华人民共和国长江保护法》、《长江经济带生态环境保护规划》、《安徽省“十四五”生态环境保护规划》、《巢湖综合治理绿色发展总体规划（2018-2030）》</w:t>
      </w:r>
      <w:r>
        <w:rPr>
          <w:rFonts w:ascii="Times New Roman" w:hAnsi="Times New Roman" w:cs="Times New Roman"/>
          <w:color w:val="auto"/>
        </w:rPr>
        <w:t>、《合肥市城市总体规划（2011-2020年）》、《合肥港总体规划（2035年）》、《安徽省干线航道网规划（2018—2030年）》、《肥东县城总体规划2015-2030年（2018年修改）》、《合肥循环经济示范园总体规划（2015-2030）》的要求；符合《合肥港总体规划（2016-2040年）环境影响报告书》、规划环评及审查意见要求。</w:t>
      </w:r>
    </w:p>
    <w:p>
      <w:pPr>
        <w:ind w:firstLine="480"/>
        <w:rPr>
          <w:rFonts w:ascii="Times New Roman" w:hAnsi="Times New Roman" w:cs="Times New Roman"/>
          <w:color w:val="auto"/>
        </w:rPr>
      </w:pPr>
      <w:r>
        <w:rPr>
          <w:rFonts w:ascii="Times New Roman" w:hAnsi="Times New Roman" w:cs="Times New Roman"/>
          <w:color w:val="auto"/>
        </w:rPr>
        <w:t>3、三线一单符合性分析</w:t>
      </w:r>
    </w:p>
    <w:p>
      <w:pPr>
        <w:ind w:firstLine="480"/>
        <w:rPr>
          <w:rFonts w:ascii="Times New Roman" w:hAnsi="Times New Roman" w:cs="Times New Roman"/>
          <w:color w:val="auto"/>
        </w:rPr>
      </w:pPr>
      <w:r>
        <w:rPr>
          <w:rFonts w:ascii="Times New Roman" w:hAnsi="Times New Roman" w:cs="Times New Roman"/>
          <w:color w:val="auto"/>
        </w:rPr>
        <w:t>建设项目所在区域不</w:t>
      </w:r>
      <w:r>
        <w:rPr>
          <w:rFonts w:hint="eastAsia" w:ascii="Times New Roman" w:hAnsi="Times New Roman" w:cs="Times New Roman"/>
          <w:color w:val="auto"/>
        </w:rPr>
        <w:t>占用</w:t>
      </w:r>
      <w:r>
        <w:rPr>
          <w:rFonts w:ascii="Times New Roman" w:hAnsi="Times New Roman" w:cs="Times New Roman"/>
          <w:color w:val="auto"/>
        </w:rPr>
        <w:t>生态红线，本项目建设不突破区域环境质量底线、资源利用上线，不属于环境准入负面清单中所列的行业，符合“三线一单”要求。</w:t>
      </w:r>
      <w:bookmarkEnd w:id="27"/>
      <w:bookmarkStart w:id="32" w:name="_Toc941"/>
      <w:bookmarkStart w:id="33" w:name="_Toc12387"/>
      <w:bookmarkStart w:id="34" w:name="_Toc22609"/>
      <w:bookmarkStart w:id="35" w:name="_Toc7397"/>
      <w:bookmarkStart w:id="36" w:name="_Toc529385203"/>
      <w:bookmarkStart w:id="37" w:name="_Toc20382"/>
    </w:p>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38" w:name="_Toc104733292"/>
      <w:bookmarkStart w:id="39" w:name="_Toc102979803"/>
      <w:r>
        <w:rPr>
          <w:rFonts w:ascii="Times New Roman" w:hAnsi="Times New Roman" w:eastAsia="黑体" w:cs="Times New Roman"/>
          <w:color w:val="auto"/>
          <w:kern w:val="2"/>
          <w:sz w:val="28"/>
        </w:rPr>
        <w:t>1.4关注的主要环境问题</w:t>
      </w:r>
      <w:bookmarkEnd w:id="32"/>
      <w:bookmarkEnd w:id="33"/>
      <w:bookmarkEnd w:id="34"/>
      <w:bookmarkEnd w:id="35"/>
      <w:bookmarkEnd w:id="36"/>
      <w:bookmarkEnd w:id="37"/>
      <w:bookmarkEnd w:id="38"/>
      <w:bookmarkEnd w:id="39"/>
    </w:p>
    <w:p>
      <w:pPr>
        <w:ind w:firstLine="480"/>
        <w:rPr>
          <w:rFonts w:ascii="Times New Roman" w:hAnsi="Times New Roman" w:cs="Times New Roman"/>
          <w:color w:val="auto"/>
        </w:rPr>
      </w:pPr>
      <w:r>
        <w:rPr>
          <w:rFonts w:ascii="Times New Roman" w:hAnsi="Times New Roman" w:cs="Times New Roman"/>
          <w:color w:val="auto"/>
        </w:rPr>
        <w:t>本次环境影响评价过程中关注的主要问题包括如下：</w:t>
      </w:r>
      <w:bookmarkStart w:id="40" w:name="_Toc15576"/>
      <w:bookmarkStart w:id="41" w:name="_Toc24471"/>
      <w:bookmarkStart w:id="42" w:name="_Toc4052"/>
      <w:bookmarkStart w:id="43" w:name="_Toc14179"/>
      <w:bookmarkStart w:id="44" w:name="_Toc29729"/>
      <w:bookmarkStart w:id="45" w:name="_Toc529385204"/>
    </w:p>
    <w:p>
      <w:pPr>
        <w:ind w:firstLine="480"/>
        <w:jc w:val="left"/>
        <w:rPr>
          <w:rFonts w:ascii="Times New Roman" w:hAnsi="Times New Roman" w:cs="Times New Roman"/>
          <w:color w:val="auto"/>
          <w:szCs w:val="24"/>
        </w:rPr>
      </w:pPr>
      <w:r>
        <w:rPr>
          <w:rFonts w:ascii="Times New Roman" w:hAnsi="Times New Roman" w:cs="Times New Roman"/>
          <w:color w:val="auto"/>
          <w:szCs w:val="24"/>
        </w:rPr>
        <w:t>（1）本项目为油品、液体化工码头，选址位于肥东县撮镇镇店埠河左岸，</w:t>
      </w:r>
      <w:r>
        <w:rPr>
          <w:rFonts w:hint="eastAsia" w:ascii="Times New Roman" w:hAnsi="Times New Roman" w:cs="Times New Roman"/>
          <w:color w:val="auto"/>
          <w:szCs w:val="24"/>
        </w:rPr>
        <w:t>属于</w:t>
      </w:r>
      <w:r>
        <w:rPr>
          <w:rFonts w:ascii="Times New Roman" w:hAnsi="Times New Roman" w:cs="Times New Roman"/>
          <w:color w:val="auto"/>
          <w:szCs w:val="24"/>
        </w:rPr>
        <w:t>合肥循环经济示范园</w:t>
      </w:r>
      <w:r>
        <w:rPr>
          <w:rFonts w:hint="eastAsia" w:ascii="Times New Roman" w:hAnsi="Times New Roman" w:cs="Times New Roman"/>
          <w:color w:val="auto"/>
          <w:szCs w:val="24"/>
        </w:rPr>
        <w:t>用地规划范围</w:t>
      </w:r>
      <w:r>
        <w:rPr>
          <w:rFonts w:ascii="Times New Roman" w:hAnsi="Times New Roman" w:cs="Times New Roman"/>
          <w:color w:val="auto"/>
          <w:szCs w:val="24"/>
        </w:rPr>
        <w:t>；关注工程选址与《合肥市城市总体规划（2011-2020年）》、《合肥港总体规划（2035年）》、《肥东县城市总体规划（2011-2020年）》、《安徽省干线航道网规划（2018—2030年）》、</w:t>
      </w:r>
      <w:r>
        <w:rPr>
          <w:rFonts w:ascii="Times New Roman" w:hAnsi="Times New Roman" w:cs="Times New Roman"/>
          <w:bCs/>
        </w:rPr>
        <w:t>《合肥循环经济示范园总体规划（2015-2030）》</w:t>
      </w:r>
      <w:r>
        <w:rPr>
          <w:rFonts w:ascii="Times New Roman" w:hAnsi="Times New Roman" w:cs="Times New Roman"/>
          <w:color w:val="auto"/>
          <w:szCs w:val="24"/>
        </w:rPr>
        <w:t>及《合肥港总体规划（2035年）环境影响报告书》及审查意见的相符性。</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（2）调查工程选址周边环境敏感区分布，分析项目与《巢湖流域水污染防治条例》、《巢湖流域水环境保护区范围》及《巢湖流域禁止和限制的产业、产品目录》、《巢湖风景名胜区规划</w:t>
      </w:r>
      <w:r>
        <w:rPr>
          <w:rFonts w:hint="eastAsia" w:ascii="Times New Roman" w:hAnsi="Times New Roman" w:cs="Times New Roman"/>
          <w:color w:val="auto"/>
          <w:szCs w:val="24"/>
        </w:rPr>
        <w:t>（2017-2035）</w:t>
      </w:r>
      <w:r>
        <w:rPr>
          <w:rFonts w:ascii="Times New Roman" w:hAnsi="Times New Roman" w:cs="Times New Roman"/>
          <w:color w:val="auto"/>
          <w:szCs w:val="24"/>
        </w:rPr>
        <w:t>》的相关符合性。</w:t>
      </w:r>
    </w:p>
    <w:p>
      <w:pPr>
        <w:ind w:firstLine="480"/>
        <w:jc w:val="left"/>
        <w:rPr>
          <w:rFonts w:ascii="Times New Roman" w:hAnsi="Times New Roman" w:cs="Times New Roman"/>
          <w:color w:val="auto"/>
        </w:rPr>
      </w:pPr>
      <w:r>
        <w:rPr>
          <w:rFonts w:ascii="Times New Roman" w:hAnsi="Times New Roman" w:cs="Times New Roman"/>
          <w:color w:val="auto"/>
        </w:rPr>
        <w:t>（3）关注工程施工期施工方案及施工方式的环境合理性，对施工期各类废（污）水、废气、噪声、固体废物等提出防治或处置措施；重点关注对店埠河及下游</w:t>
      </w:r>
      <w:r>
        <w:rPr>
          <w:rFonts w:hint="eastAsia" w:ascii="Times New Roman" w:hAnsi="Times New Roman" w:cs="Times New Roman"/>
          <w:color w:val="auto"/>
        </w:rPr>
        <w:t>南淝河、</w:t>
      </w:r>
      <w:r>
        <w:rPr>
          <w:rFonts w:ascii="Times New Roman" w:hAnsi="Times New Roman" w:cs="Times New Roman"/>
          <w:color w:val="auto"/>
        </w:rPr>
        <w:t>巢湖水质及水生生态的影响，提出施工期污染防治措施；</w:t>
      </w:r>
    </w:p>
    <w:p>
      <w:pPr>
        <w:ind w:firstLine="480"/>
        <w:jc w:val="left"/>
        <w:rPr>
          <w:rFonts w:ascii="Times New Roman" w:hAnsi="Times New Roman" w:cs="Times New Roman"/>
          <w:color w:val="auto"/>
        </w:rPr>
      </w:pPr>
      <w:r>
        <w:rPr>
          <w:rFonts w:ascii="Times New Roman" w:hAnsi="Times New Roman" w:cs="Times New Roman"/>
          <w:color w:val="auto"/>
        </w:rPr>
        <w:t>（4）工程运营期污染物主要为油品、液体化工品装卸、储罐呼吸废气，船舶生活污水、船舶油污水以及码头平台、陆域罐区初期雨污水、冲洗废水对环境的影响；重点</w:t>
      </w:r>
      <w:r>
        <w:rPr>
          <w:rFonts w:hint="eastAsia" w:ascii="Times New Roman" w:hAnsi="Times New Roman" w:cs="Times New Roman"/>
          <w:color w:val="auto"/>
        </w:rPr>
        <w:t>关注</w:t>
      </w:r>
      <w:r>
        <w:rPr>
          <w:rFonts w:ascii="Times New Roman" w:hAnsi="Times New Roman" w:cs="Times New Roman"/>
          <w:color w:val="auto"/>
        </w:rPr>
        <w:t>码头装卸及储存过程挥发性有机物和码头各类废水的可控性和污染防治措施的可行性；</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5）重点分析本项目装卸货种的危险性和运营期的环境风险，全面考虑项目发生环境风险事故时对大气环境、地表水、地下水及土壤环境的影响，特别是对下游重要环境保护目标的影响，提出切实可行的环境风险防范措施和应急措施。</w:t>
      </w:r>
    </w:p>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46" w:name="_Toc102979804"/>
      <w:bookmarkStart w:id="47" w:name="_Toc104733293"/>
      <w:r>
        <w:rPr>
          <w:rFonts w:ascii="Times New Roman" w:hAnsi="Times New Roman" w:eastAsia="黑体" w:cs="Times New Roman"/>
          <w:color w:val="auto"/>
          <w:kern w:val="2"/>
          <w:sz w:val="28"/>
        </w:rPr>
        <w:t>1.5环境影响报告书的主要结论</w:t>
      </w:r>
      <w:bookmarkEnd w:id="40"/>
      <w:bookmarkEnd w:id="41"/>
      <w:bookmarkEnd w:id="42"/>
      <w:bookmarkEnd w:id="43"/>
      <w:bookmarkEnd w:id="44"/>
      <w:bookmarkEnd w:id="45"/>
      <w:bookmarkEnd w:id="46"/>
      <w:bookmarkEnd w:id="47"/>
    </w:p>
    <w:p>
      <w:pPr>
        <w:ind w:firstLine="480"/>
        <w:rPr>
          <w:rFonts w:ascii="Times New Roman" w:hAnsi="Times New Roman" w:cs="Times New Roman"/>
          <w:color w:val="auto"/>
        </w:rPr>
      </w:pPr>
      <w:r>
        <w:rPr>
          <w:rFonts w:ascii="Times New Roman" w:hAnsi="Times New Roman" w:cs="Times New Roman"/>
          <w:color w:val="auto"/>
        </w:rPr>
        <w:t>本项目符合国家及地方相关产业政策要求，符合合肥港总体规划，符合合肥市、肥东县及撮镇镇总体规划、巢湖流域环保规划的相关要求，项目选用先进技术和设备，符合清洁生产要求；</w:t>
      </w:r>
      <w:r>
        <w:rPr>
          <w:rFonts w:ascii="Times New Roman" w:hAnsi="Times New Roman" w:cs="Times New Roman"/>
          <w:color w:val="auto"/>
          <w:lang w:bidi="ar"/>
        </w:rPr>
        <w:t>项目实施后，通过采取相应的污染防治措施，各类废气、废水、噪声可以做到稳定达标排放，固体废物可以得到合理处置，不会降低评价区域大气、地表水和声环境质量原有功能级别；在环评公众参与调查期间，未收到公众对本项目的反馈意见；在有效落实风险防范措施和事故应急预案的前提下，从环境风险角度来看，项目环境风险可以防控。</w:t>
      </w:r>
    </w:p>
    <w:p>
      <w:pPr>
        <w:widowControl/>
        <w:ind w:firstLine="480"/>
        <w:jc w:val="left"/>
        <w:rPr>
          <w:rFonts w:ascii="Times New Roman" w:hAnsi="Times New Roman" w:cs="Times New Roman"/>
          <w:color w:val="auto"/>
        </w:rPr>
      </w:pPr>
      <w:r>
        <w:rPr>
          <w:rFonts w:ascii="Times New Roman" w:hAnsi="Times New Roman" w:cs="Times New Roman"/>
          <w:color w:val="auto"/>
          <w:lang w:bidi="ar"/>
        </w:rPr>
        <w:t>因此，项目在建设和运行过程中，切实落实报告书提出的各项污染防治措施及“三同时”制度的前提下，从环境影响角度，本项目建设可行。</w:t>
      </w:r>
    </w:p>
    <w:p>
      <w:pPr>
        <w:ind w:firstLine="480"/>
        <w:rPr>
          <w:rFonts w:ascii="Times New Roman" w:hAnsi="Times New Roman" w:cs="Times New Roman"/>
          <w:color w:val="auto"/>
        </w:rPr>
      </w:pPr>
    </w:p>
    <w:p>
      <w:pPr>
        <w:pStyle w:val="25"/>
        <w:ind w:firstLine="480"/>
        <w:rPr>
          <w:rFonts w:ascii="Times New Roman" w:hAnsi="Times New Roman" w:cs="Times New Roman"/>
          <w:color w:val="auto"/>
        </w:rPr>
        <w:sectPr>
          <w:headerReference r:id="rId13" w:type="default"/>
          <w:footerReference r:id="rId14" w:type="default"/>
          <w:pgSz w:w="11906" w:h="16838"/>
          <w:pgMar w:top="1417" w:right="1417" w:bottom="1417" w:left="1417" w:header="850" w:footer="992" w:gutter="0"/>
          <w:pgNumType w:start="1"/>
          <w:cols w:space="720" w:num="1"/>
          <w:docGrid w:type="lines" w:linePitch="333" w:charSpace="0"/>
        </w:sectPr>
      </w:pPr>
    </w:p>
    <w:p>
      <w:pPr>
        <w:pStyle w:val="2"/>
        <w:keepNext w:val="0"/>
        <w:keepLines w:val="0"/>
        <w:pageBreakBefore/>
        <w:widowControl w:val="0"/>
        <w:numPr>
          <w:ilvl w:val="0"/>
          <w:numId w:val="0"/>
        </w:numPr>
        <w:jc w:val="center"/>
        <w:rPr>
          <w:rFonts w:ascii="Times New Roman" w:hAnsi="Times New Roman" w:cs="Times New Roman"/>
          <w:color w:val="auto"/>
          <w:kern w:val="2"/>
          <w:sz w:val="36"/>
          <w:szCs w:val="36"/>
        </w:rPr>
      </w:pPr>
      <w:bookmarkStart w:id="48" w:name="_Toc24198"/>
      <w:bookmarkStart w:id="49" w:name="_Toc104733294"/>
      <w:bookmarkStart w:id="50" w:name="_Toc102979805"/>
      <w:bookmarkStart w:id="51" w:name="_Toc6410"/>
      <w:bookmarkStart w:id="52" w:name="_Toc475344737"/>
      <w:r>
        <w:rPr>
          <w:rFonts w:ascii="Times New Roman" w:hAnsi="Times New Roman" w:cs="Times New Roman"/>
          <w:color w:val="auto"/>
          <w:kern w:val="2"/>
          <w:sz w:val="36"/>
          <w:szCs w:val="36"/>
        </w:rPr>
        <w:t>2 总则</w:t>
      </w:r>
      <w:bookmarkEnd w:id="48"/>
      <w:bookmarkEnd w:id="49"/>
      <w:bookmarkEnd w:id="50"/>
      <w:bookmarkEnd w:id="51"/>
      <w:bookmarkEnd w:id="52"/>
    </w:p>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53" w:name="_Toc11030"/>
      <w:bookmarkStart w:id="54" w:name="_Toc475344738"/>
      <w:bookmarkStart w:id="55" w:name="_Toc11808"/>
      <w:bookmarkStart w:id="56" w:name="_Toc104733295"/>
      <w:bookmarkStart w:id="57" w:name="_Toc102979806"/>
      <w:r>
        <w:rPr>
          <w:rFonts w:ascii="Times New Roman" w:hAnsi="Times New Roman" w:eastAsia="黑体" w:cs="Times New Roman"/>
          <w:color w:val="auto"/>
          <w:kern w:val="2"/>
          <w:sz w:val="28"/>
        </w:rPr>
        <w:t>2.1编制依据</w:t>
      </w:r>
      <w:bookmarkEnd w:id="53"/>
      <w:bookmarkEnd w:id="54"/>
      <w:bookmarkEnd w:id="55"/>
      <w:bookmarkEnd w:id="56"/>
      <w:bookmarkEnd w:id="57"/>
    </w:p>
    <w:p>
      <w:pPr>
        <w:pStyle w:val="4"/>
        <w:numPr>
          <w:ilvl w:val="2"/>
          <w:numId w:val="0"/>
        </w:numPr>
        <w:jc w:val="both"/>
        <w:rPr>
          <w:rFonts w:ascii="Times New Roman" w:hAnsi="Times New Roman" w:cs="Times New Roman"/>
          <w:color w:val="auto"/>
        </w:rPr>
      </w:pPr>
      <w:bookmarkStart w:id="58" w:name="_Toc104733296"/>
      <w:bookmarkStart w:id="59" w:name="_Toc102984256"/>
      <w:r>
        <w:rPr>
          <w:rFonts w:ascii="Times New Roman" w:hAnsi="Times New Roman" w:cs="Times New Roman"/>
          <w:color w:val="auto"/>
        </w:rPr>
        <w:t>2.1.1国家有关法律、法规</w:t>
      </w:r>
      <w:bookmarkEnd w:id="58"/>
      <w:bookmarkEnd w:id="59"/>
    </w:p>
    <w:p>
      <w:pPr>
        <w:ind w:firstLine="480"/>
        <w:rPr>
          <w:rFonts w:ascii="Times New Roman" w:hAnsi="Times New Roman" w:cs="Times New Roman"/>
          <w:color w:val="auto"/>
          <w:szCs w:val="24"/>
        </w:rPr>
      </w:pPr>
      <w:r>
        <w:rPr>
          <w:rFonts w:ascii="Times New Roman" w:hAnsi="Times New Roman" w:cs="Times New Roman"/>
          <w:color w:val="auto"/>
          <w:szCs w:val="24"/>
        </w:rPr>
        <w:t>（1）《中华人民共和国环境保护法》，2015年1月1日起施行；</w:t>
      </w:r>
    </w:p>
    <w:p>
      <w:pPr>
        <w:ind w:firstLine="480"/>
        <w:rPr>
          <w:rFonts w:ascii="Times New Roman" w:hAnsi="Times New Roman" w:cs="Times New Roman"/>
          <w:color w:val="auto"/>
          <w:szCs w:val="24"/>
        </w:rPr>
      </w:pPr>
      <w:r>
        <w:rPr>
          <w:rFonts w:ascii="Times New Roman" w:hAnsi="Times New Roman" w:cs="Times New Roman"/>
          <w:color w:val="auto"/>
          <w:szCs w:val="24"/>
        </w:rPr>
        <w:t>（2）《中华人民共和国环境影响评价法》，2018年12月29日修订；</w:t>
      </w:r>
    </w:p>
    <w:p>
      <w:pPr>
        <w:ind w:firstLine="480"/>
        <w:rPr>
          <w:rFonts w:ascii="Times New Roman" w:hAnsi="Times New Roman" w:cs="Times New Roman"/>
          <w:color w:val="auto"/>
          <w:szCs w:val="24"/>
        </w:rPr>
      </w:pPr>
      <w:r>
        <w:rPr>
          <w:rFonts w:ascii="Times New Roman" w:hAnsi="Times New Roman" w:cs="Times New Roman"/>
          <w:color w:val="auto"/>
          <w:szCs w:val="24"/>
        </w:rPr>
        <w:t>（3）《中华人民共和国大气污染防治法》，2018年10月26日修订；</w:t>
      </w:r>
    </w:p>
    <w:p>
      <w:pPr>
        <w:ind w:firstLine="480"/>
        <w:rPr>
          <w:rFonts w:ascii="Times New Roman" w:hAnsi="Times New Roman" w:cs="Times New Roman"/>
          <w:color w:val="auto"/>
          <w:szCs w:val="24"/>
        </w:rPr>
      </w:pPr>
      <w:r>
        <w:rPr>
          <w:rFonts w:ascii="Times New Roman" w:hAnsi="Times New Roman" w:cs="Times New Roman"/>
          <w:color w:val="auto"/>
          <w:szCs w:val="24"/>
        </w:rPr>
        <w:t>（4）《中华人民共和国水污染防治法》，</w:t>
      </w:r>
      <w:r>
        <w:rPr>
          <w:rFonts w:hint="eastAsia" w:ascii="Times New Roman" w:hAnsi="Times New Roman" w:cs="Times New Roman"/>
        </w:rPr>
        <w:t>2017年6月27日第十二届全国人民代表大会常务委员会第二十八次会议第二次修正</w:t>
      </w:r>
      <w:r>
        <w:rPr>
          <w:rFonts w:ascii="Times New Roman" w:hAnsi="Times New Roman" w:cs="Times New Roman"/>
          <w:color w:val="auto"/>
          <w:szCs w:val="24"/>
        </w:rPr>
        <w:t>；</w:t>
      </w:r>
    </w:p>
    <w:p>
      <w:pPr>
        <w:ind w:firstLine="480"/>
        <w:rPr>
          <w:rFonts w:ascii="Times New Roman" w:hAnsi="Times New Roman" w:cs="Times New Roman"/>
          <w:color w:val="auto"/>
          <w:szCs w:val="24"/>
        </w:rPr>
      </w:pPr>
      <w:bookmarkStart w:id="60" w:name="_Hlk46328767"/>
      <w:r>
        <w:rPr>
          <w:rFonts w:ascii="Times New Roman" w:hAnsi="Times New Roman" w:cs="Times New Roman"/>
          <w:color w:val="auto"/>
          <w:szCs w:val="24"/>
        </w:rPr>
        <w:t>（5）《中华人民共和国固体废物污染环境防治法》，2020年4月29日，由中华人民共和国第十三届全国人民代表大会常务委员会第十七次会议修订通过，自2020年9月1日起施行</w:t>
      </w:r>
      <w:bookmarkEnd w:id="60"/>
      <w:r>
        <w:rPr>
          <w:rFonts w:ascii="Times New Roman" w:hAnsi="Times New Roman" w:cs="Times New Roman"/>
          <w:color w:val="auto"/>
          <w:szCs w:val="24"/>
        </w:rPr>
        <w:t>；</w:t>
      </w:r>
    </w:p>
    <w:p>
      <w:pPr>
        <w:ind w:firstLine="480"/>
        <w:rPr>
          <w:rFonts w:ascii="Times New Roman" w:hAnsi="Times New Roman" w:cs="Times New Roman"/>
          <w:color w:val="auto"/>
          <w:szCs w:val="24"/>
        </w:rPr>
      </w:pPr>
      <w:r>
        <w:rPr>
          <w:rFonts w:ascii="Times New Roman" w:hAnsi="Times New Roman" w:cs="Times New Roman"/>
          <w:color w:val="auto"/>
          <w:szCs w:val="24"/>
        </w:rPr>
        <w:t>（6）《中华人民共和国噪声污染防治法》，（2021年12月24日第十三届全国人民代表大会常务委员会第三十二次会议通过）</w:t>
      </w:r>
      <w:r>
        <w:rPr>
          <w:rFonts w:hint="eastAsia" w:ascii="Times New Roman" w:hAnsi="Times New Roman" w:cs="Times New Roman"/>
          <w:color w:val="auto"/>
          <w:szCs w:val="24"/>
        </w:rPr>
        <w:t>，</w:t>
      </w:r>
      <w:r>
        <w:rPr>
          <w:rFonts w:ascii="Times New Roman" w:hAnsi="Times New Roman" w:cs="Times New Roman"/>
          <w:color w:val="auto"/>
          <w:szCs w:val="24"/>
        </w:rPr>
        <w:t>2022年</w:t>
      </w:r>
      <w:r>
        <w:rPr>
          <w:rFonts w:hint="eastAsia" w:ascii="Times New Roman" w:hAnsi="Times New Roman" w:cs="Times New Roman"/>
          <w:color w:val="auto"/>
          <w:szCs w:val="24"/>
        </w:rPr>
        <w:t>6</w:t>
      </w:r>
      <w:r>
        <w:rPr>
          <w:rFonts w:ascii="Times New Roman" w:hAnsi="Times New Roman" w:cs="Times New Roman"/>
          <w:color w:val="auto"/>
          <w:szCs w:val="24"/>
        </w:rPr>
        <w:t>月</w:t>
      </w:r>
      <w:r>
        <w:rPr>
          <w:rFonts w:hint="eastAsia" w:ascii="Times New Roman" w:hAnsi="Times New Roman" w:cs="Times New Roman"/>
          <w:color w:val="auto"/>
          <w:szCs w:val="24"/>
        </w:rPr>
        <w:t>5</w:t>
      </w:r>
      <w:r>
        <w:rPr>
          <w:rFonts w:ascii="Times New Roman" w:hAnsi="Times New Roman" w:cs="Times New Roman"/>
          <w:color w:val="auto"/>
          <w:szCs w:val="24"/>
        </w:rPr>
        <w:t>日施行；</w:t>
      </w:r>
    </w:p>
    <w:p>
      <w:pPr>
        <w:ind w:firstLine="480"/>
        <w:rPr>
          <w:rFonts w:ascii="Times New Roman" w:hAnsi="Times New Roman" w:cs="Times New Roman"/>
          <w:color w:val="auto"/>
          <w:szCs w:val="24"/>
        </w:rPr>
      </w:pPr>
      <w:r>
        <w:rPr>
          <w:rFonts w:ascii="Times New Roman" w:hAnsi="Times New Roman" w:cs="Times New Roman"/>
          <w:color w:val="auto"/>
          <w:szCs w:val="24"/>
        </w:rPr>
        <w:t>（7）《中华人民共和国土壤污染防治法》，2018年8月31日第十三届全国人民代表大会常务委员会第五次会议通过，2019年1月1日施行；</w:t>
      </w:r>
    </w:p>
    <w:p>
      <w:pPr>
        <w:ind w:firstLine="480"/>
        <w:rPr>
          <w:rFonts w:ascii="Times New Roman" w:hAnsi="Times New Roman" w:cs="Times New Roman"/>
          <w:color w:val="auto"/>
          <w:szCs w:val="24"/>
        </w:rPr>
      </w:pPr>
      <w:r>
        <w:rPr>
          <w:rFonts w:ascii="Times New Roman" w:hAnsi="Times New Roman" w:cs="Times New Roman"/>
          <w:color w:val="auto"/>
          <w:szCs w:val="24"/>
        </w:rPr>
        <w:t>（8）《中华人民共和国长江保护法》（2020年12月26日第十三届全国人民代表大会常务委员会第二十四次会议通过）；</w:t>
      </w:r>
    </w:p>
    <w:p>
      <w:pPr>
        <w:pStyle w:val="25"/>
        <w:ind w:firstLine="480"/>
      </w:pPr>
      <w:r>
        <w:rPr>
          <w:rFonts w:ascii="Times New Roman" w:hAnsi="Times New Roman" w:cs="Times New Roman"/>
          <w:color w:val="auto"/>
          <w:szCs w:val="24"/>
        </w:rPr>
        <w:t>（9）《</w:t>
      </w:r>
      <w:r>
        <w:rPr>
          <w:rFonts w:hint="eastAsia"/>
        </w:rPr>
        <w:t>中华人民共和国湿地保护法</w:t>
      </w:r>
      <w:r>
        <w:rPr>
          <w:rFonts w:ascii="Times New Roman" w:hAnsi="Times New Roman" w:cs="Times New Roman"/>
          <w:color w:val="auto"/>
          <w:szCs w:val="24"/>
        </w:rPr>
        <w:t>》</w:t>
      </w:r>
      <w:r>
        <w:rPr>
          <w:rFonts w:hint="eastAsia"/>
        </w:rPr>
        <w:t>（2021年12月24日第十三届全国人民代表大会常务委员会第三十二次会议通过）</w:t>
      </w:r>
      <w:r>
        <w:rPr>
          <w:rFonts w:hint="eastAsia" w:ascii="Times New Roman" w:hAnsi="Times New Roman" w:cs="Times New Roman"/>
          <w:color w:val="auto"/>
          <w:szCs w:val="24"/>
        </w:rPr>
        <w:t>，</w:t>
      </w:r>
      <w:r>
        <w:rPr>
          <w:rFonts w:ascii="Times New Roman" w:hAnsi="Times New Roman" w:cs="Times New Roman"/>
          <w:color w:val="auto"/>
          <w:szCs w:val="24"/>
        </w:rPr>
        <w:t>2022年</w:t>
      </w:r>
      <w:r>
        <w:rPr>
          <w:rFonts w:hint="eastAsia" w:ascii="Times New Roman" w:hAnsi="Times New Roman" w:cs="Times New Roman"/>
          <w:color w:val="auto"/>
          <w:szCs w:val="24"/>
        </w:rPr>
        <w:t>6</w:t>
      </w:r>
      <w:r>
        <w:rPr>
          <w:rFonts w:ascii="Times New Roman" w:hAnsi="Times New Roman" w:cs="Times New Roman"/>
          <w:color w:val="auto"/>
          <w:szCs w:val="24"/>
        </w:rPr>
        <w:t>月1日施行；</w:t>
      </w:r>
    </w:p>
    <w:p>
      <w:pPr>
        <w:pStyle w:val="25"/>
        <w:spacing w:line="360" w:lineRule="auto"/>
        <w:ind w:firstLine="480"/>
        <w:rPr>
          <w:rFonts w:ascii="Times New Roman" w:hAnsi="Times New Roman" w:cs="Times New Roman"/>
        </w:rPr>
      </w:pPr>
      <w:r>
        <w:rPr>
          <w:rFonts w:ascii="Times New Roman" w:hAnsi="Times New Roman" w:cs="Times New Roman"/>
          <w:color w:val="auto"/>
          <w:szCs w:val="24"/>
        </w:rPr>
        <w:t>（10）《</w:t>
      </w:r>
      <w:r>
        <w:rPr>
          <w:rFonts w:ascii="Times New Roman" w:hAnsi="Times New Roman" w:cs="Times New Roman"/>
        </w:rPr>
        <w:t>中华人民共和国港口法（2018修订）</w:t>
      </w:r>
      <w:r>
        <w:rPr>
          <w:rFonts w:ascii="Times New Roman" w:hAnsi="Times New Roman" w:cs="Times New Roman"/>
          <w:color w:val="auto"/>
          <w:szCs w:val="24"/>
        </w:rPr>
        <w:t>》，</w:t>
      </w:r>
      <w:r>
        <w:rPr>
          <w:rFonts w:ascii="Times New Roman" w:hAnsi="Times New Roman" w:cs="Times New Roman"/>
        </w:rPr>
        <w:t>中华人民共和国主席令第23号，</w:t>
      </w:r>
      <w:r>
        <w:rPr>
          <w:rFonts w:ascii="Times New Roman" w:hAnsi="Times New Roman" w:cs="Times New Roman"/>
          <w:color w:val="auto"/>
          <w:szCs w:val="24"/>
        </w:rPr>
        <w:t>2018年12月29日施行；</w:t>
      </w:r>
    </w:p>
    <w:p>
      <w:pPr>
        <w:ind w:firstLine="480"/>
        <w:rPr>
          <w:rFonts w:ascii="Times New Roman" w:hAnsi="Times New Roman" w:cs="Times New Roman"/>
          <w:color w:val="auto"/>
          <w:szCs w:val="24"/>
        </w:rPr>
      </w:pPr>
      <w:r>
        <w:rPr>
          <w:rFonts w:ascii="Times New Roman" w:hAnsi="Times New Roman" w:cs="Times New Roman"/>
          <w:color w:val="auto"/>
          <w:szCs w:val="24"/>
        </w:rPr>
        <w:t>（11）中华人民共和国国务院 国务院令682号《建设项目环境保护管理条例》，2017年10月1日施行；</w:t>
      </w:r>
    </w:p>
    <w:p>
      <w:pPr>
        <w:ind w:firstLine="480"/>
        <w:rPr>
          <w:rFonts w:ascii="Times New Roman" w:hAnsi="Times New Roman" w:cs="Times New Roman"/>
          <w:color w:val="auto"/>
          <w:szCs w:val="24"/>
        </w:rPr>
      </w:pPr>
      <w:r>
        <w:rPr>
          <w:rFonts w:ascii="Times New Roman" w:hAnsi="Times New Roman" w:cs="Times New Roman"/>
          <w:color w:val="auto"/>
          <w:szCs w:val="24"/>
        </w:rPr>
        <w:t>（12）中华人民共和国国务院令 国发[2011]35号《国务院关于加强环境保护重点工作的意见》，2011年10月21日；</w:t>
      </w:r>
    </w:p>
    <w:p>
      <w:pPr>
        <w:ind w:firstLine="480"/>
        <w:rPr>
          <w:rFonts w:ascii="Times New Roman" w:hAnsi="Times New Roman" w:cs="Times New Roman"/>
          <w:color w:val="auto"/>
          <w:szCs w:val="24"/>
        </w:rPr>
      </w:pPr>
      <w:r>
        <w:rPr>
          <w:rFonts w:ascii="Times New Roman" w:hAnsi="Times New Roman" w:cs="Times New Roman"/>
          <w:color w:val="auto"/>
          <w:szCs w:val="24"/>
        </w:rPr>
        <w:t>（13）中华人民共和国环境保护部 环发[2013]104号《关于切实加强环境影响评价监督管理工作的通知》，2013年11月15日；</w:t>
      </w:r>
    </w:p>
    <w:p>
      <w:pPr>
        <w:ind w:firstLine="480"/>
        <w:rPr>
          <w:rFonts w:ascii="Times New Roman" w:hAnsi="Times New Roman" w:cs="Times New Roman"/>
          <w:color w:val="auto"/>
          <w:szCs w:val="24"/>
        </w:rPr>
      </w:pPr>
      <w:r>
        <w:rPr>
          <w:rFonts w:ascii="Times New Roman" w:hAnsi="Times New Roman" w:cs="Times New Roman"/>
          <w:color w:val="auto"/>
          <w:szCs w:val="24"/>
        </w:rPr>
        <w:t>（14）中华人民共和国环境保护部 环发[2012]77号《关于进一步加强环境影响评价管理防范环境风险的通知》，2012年7月3日；</w:t>
      </w:r>
    </w:p>
    <w:p>
      <w:pPr>
        <w:ind w:firstLine="480"/>
        <w:rPr>
          <w:rFonts w:ascii="Times New Roman" w:hAnsi="Times New Roman" w:cs="Times New Roman"/>
          <w:color w:val="auto"/>
          <w:szCs w:val="24"/>
        </w:rPr>
      </w:pPr>
      <w:r>
        <w:rPr>
          <w:rFonts w:ascii="Times New Roman" w:hAnsi="Times New Roman" w:cs="Times New Roman"/>
          <w:color w:val="auto"/>
          <w:szCs w:val="24"/>
        </w:rPr>
        <w:t>（15）中华人民共和国环境保护部 环发[2012]98号《关于切实加强风险防范严格环境影响评价管理的通知》，2012年8月7日；</w:t>
      </w:r>
    </w:p>
    <w:p>
      <w:pPr>
        <w:ind w:firstLine="480"/>
        <w:rPr>
          <w:rFonts w:ascii="Times New Roman" w:hAnsi="Times New Roman" w:cs="Times New Roman"/>
          <w:color w:val="auto"/>
          <w:szCs w:val="24"/>
        </w:rPr>
      </w:pPr>
      <w:r>
        <w:rPr>
          <w:rFonts w:ascii="Times New Roman" w:hAnsi="Times New Roman" w:cs="Times New Roman"/>
          <w:color w:val="auto"/>
          <w:szCs w:val="24"/>
        </w:rPr>
        <w:t>（16）中华人民共和国环境保护部 环办[2014]48号《关于推进环境保护公众参与的指导意见》，2014年5月22日；</w:t>
      </w:r>
    </w:p>
    <w:p>
      <w:pPr>
        <w:ind w:firstLine="480"/>
        <w:rPr>
          <w:rFonts w:ascii="Times New Roman" w:hAnsi="Times New Roman" w:cs="Times New Roman"/>
          <w:color w:val="auto"/>
          <w:szCs w:val="24"/>
        </w:rPr>
      </w:pPr>
      <w:r>
        <w:rPr>
          <w:rFonts w:ascii="Times New Roman" w:hAnsi="Times New Roman" w:cs="Times New Roman"/>
          <w:color w:val="auto"/>
          <w:szCs w:val="24"/>
        </w:rPr>
        <w:t>（17）中华人民共和国国务院 国发[2013]37号《国务院关于印发大气污染防治行动计划的通知》，2013年9月10日；</w:t>
      </w:r>
    </w:p>
    <w:p>
      <w:pPr>
        <w:ind w:firstLine="480"/>
        <w:rPr>
          <w:rFonts w:ascii="Times New Roman" w:hAnsi="Times New Roman" w:cs="Times New Roman"/>
          <w:color w:val="auto"/>
          <w:szCs w:val="24"/>
        </w:rPr>
      </w:pPr>
      <w:r>
        <w:rPr>
          <w:rFonts w:ascii="Times New Roman" w:hAnsi="Times New Roman" w:cs="Times New Roman"/>
          <w:color w:val="auto"/>
          <w:szCs w:val="24"/>
        </w:rPr>
        <w:t>（18）中华人民共和国国务院 国发[2015]17号《国务院关于印发水污染防治行动计划的通知》，2015年4月2日；</w:t>
      </w:r>
    </w:p>
    <w:p>
      <w:pPr>
        <w:ind w:firstLine="480"/>
        <w:rPr>
          <w:rFonts w:ascii="Times New Roman" w:hAnsi="Times New Roman" w:cs="Times New Roman"/>
          <w:color w:val="auto"/>
          <w:szCs w:val="24"/>
        </w:rPr>
      </w:pPr>
      <w:r>
        <w:rPr>
          <w:rFonts w:ascii="Times New Roman" w:hAnsi="Times New Roman" w:cs="Times New Roman"/>
          <w:color w:val="auto"/>
          <w:szCs w:val="24"/>
        </w:rPr>
        <w:t>（19）中华人民共和国国务院 国发[2016]31号《国务院关于印发土壤污染防治行动计划的通知》，2016年5月28日；</w:t>
      </w:r>
    </w:p>
    <w:p>
      <w:pPr>
        <w:ind w:firstLine="480"/>
        <w:rPr>
          <w:rFonts w:ascii="Times New Roman" w:hAnsi="Times New Roman" w:cs="Times New Roman"/>
          <w:color w:val="auto"/>
          <w:szCs w:val="24"/>
        </w:rPr>
      </w:pPr>
      <w:r>
        <w:rPr>
          <w:rFonts w:ascii="Times New Roman" w:hAnsi="Times New Roman" w:cs="Times New Roman"/>
          <w:color w:val="auto"/>
          <w:szCs w:val="24"/>
        </w:rPr>
        <w:t>（20）中华人民共和国国务院 国发[2018]22号《国务院关于印发打赢蓝天保卫战三年行动计划的通知》，2018年7月3日；</w:t>
      </w:r>
    </w:p>
    <w:p>
      <w:pPr>
        <w:ind w:firstLine="480"/>
        <w:rPr>
          <w:rFonts w:ascii="Times New Roman" w:hAnsi="Times New Roman" w:cs="Times New Roman"/>
          <w:color w:val="auto"/>
          <w:szCs w:val="24"/>
        </w:rPr>
      </w:pPr>
      <w:r>
        <w:rPr>
          <w:rFonts w:ascii="Times New Roman" w:hAnsi="Times New Roman" w:cs="Times New Roman"/>
          <w:color w:val="auto"/>
          <w:szCs w:val="24"/>
        </w:rPr>
        <w:t>（21）中华人民共和国环境保护部、国家发展和改革委员会、住房和城乡建设部、水利部四部委 环环评[2016]90号《关于落实&lt;水污染防治行动计划&gt;实施区域差别化环境准入的指导意见》，2016年12月27日；</w:t>
      </w:r>
    </w:p>
    <w:p>
      <w:pPr>
        <w:ind w:firstLine="480"/>
        <w:rPr>
          <w:rFonts w:ascii="Times New Roman" w:hAnsi="Times New Roman" w:cs="Times New Roman"/>
          <w:color w:val="auto"/>
          <w:szCs w:val="24"/>
        </w:rPr>
      </w:pPr>
      <w:r>
        <w:rPr>
          <w:rFonts w:ascii="Times New Roman" w:hAnsi="Times New Roman" w:cs="Times New Roman"/>
          <w:color w:val="auto"/>
          <w:szCs w:val="24"/>
        </w:rPr>
        <w:t>（22）</w:t>
      </w:r>
      <w:r>
        <w:rPr>
          <w:rFonts w:hint="eastAsia" w:ascii="Times New Roman" w:hAnsi="Times New Roman" w:cs="Times New Roman"/>
          <w:color w:val="auto"/>
          <w:szCs w:val="24"/>
        </w:rPr>
        <w:t>中共中央国务院关于深入打好污染防治攻坚战的意见（2</w:t>
      </w:r>
      <w:r>
        <w:rPr>
          <w:rFonts w:ascii="Times New Roman" w:hAnsi="Times New Roman" w:cs="Times New Roman"/>
          <w:color w:val="auto"/>
          <w:szCs w:val="24"/>
        </w:rPr>
        <w:t>021</w:t>
      </w:r>
      <w:r>
        <w:rPr>
          <w:rFonts w:hint="eastAsia" w:ascii="Times New Roman" w:hAnsi="Times New Roman" w:cs="Times New Roman"/>
          <w:color w:val="auto"/>
          <w:szCs w:val="24"/>
        </w:rPr>
        <w:t>年1</w:t>
      </w:r>
      <w:r>
        <w:rPr>
          <w:rFonts w:ascii="Times New Roman" w:hAnsi="Times New Roman" w:cs="Times New Roman"/>
          <w:color w:val="auto"/>
          <w:szCs w:val="24"/>
        </w:rPr>
        <w:t>1</w:t>
      </w:r>
      <w:r>
        <w:rPr>
          <w:rFonts w:hint="eastAsia" w:ascii="Times New Roman" w:hAnsi="Times New Roman" w:cs="Times New Roman"/>
          <w:color w:val="auto"/>
          <w:szCs w:val="24"/>
        </w:rPr>
        <w:t>月2日）</w:t>
      </w:r>
      <w:r>
        <w:rPr>
          <w:rFonts w:ascii="Times New Roman" w:hAnsi="Times New Roman" w:cs="Times New Roman"/>
          <w:color w:val="auto"/>
          <w:szCs w:val="24"/>
        </w:rPr>
        <w:t>；</w:t>
      </w:r>
    </w:p>
    <w:p>
      <w:pPr>
        <w:ind w:firstLine="480"/>
        <w:rPr>
          <w:rFonts w:ascii="Times New Roman" w:hAnsi="Times New Roman" w:cs="Times New Roman"/>
          <w:color w:val="auto"/>
          <w:szCs w:val="24"/>
        </w:rPr>
      </w:pPr>
      <w:r>
        <w:rPr>
          <w:rFonts w:ascii="Times New Roman" w:hAnsi="Times New Roman" w:cs="Times New Roman"/>
          <w:color w:val="auto"/>
          <w:szCs w:val="24"/>
        </w:rPr>
        <w:t>（23）中华人民共和国环境保护部 环发[2014]30号《关于落实大气污染防治行动计划严格环境影响评价准入的通知》，2014年3月25日；</w:t>
      </w:r>
    </w:p>
    <w:p>
      <w:pPr>
        <w:ind w:firstLine="480"/>
        <w:rPr>
          <w:rFonts w:ascii="Times New Roman" w:hAnsi="Times New Roman" w:cs="Times New Roman"/>
          <w:szCs w:val="24"/>
        </w:rPr>
      </w:pPr>
      <w:r>
        <w:rPr>
          <w:rFonts w:ascii="Times New Roman" w:hAnsi="Times New Roman" w:cs="Times New Roman"/>
          <w:color w:val="auto"/>
          <w:szCs w:val="24"/>
        </w:rPr>
        <w:t>（24）</w:t>
      </w:r>
      <w:r>
        <w:rPr>
          <w:rFonts w:ascii="Times New Roman" w:hAnsi="Times New Roman" w:cs="Times New Roman"/>
        </w:rPr>
        <w:t>中华人民共和国生态环境部 部令第16号《建设项目环境影响评价分类管理名录（2021年版）》，2020年11月30日；</w:t>
      </w:r>
    </w:p>
    <w:p>
      <w:pPr>
        <w:ind w:firstLine="480"/>
        <w:rPr>
          <w:rFonts w:ascii="Times New Roman" w:hAnsi="Times New Roman" w:cs="Times New Roman"/>
          <w:color w:val="auto"/>
          <w:szCs w:val="24"/>
        </w:rPr>
      </w:pPr>
      <w:r>
        <w:rPr>
          <w:rFonts w:ascii="Times New Roman" w:hAnsi="Times New Roman" w:cs="Times New Roman"/>
          <w:color w:val="auto"/>
          <w:szCs w:val="24"/>
        </w:rPr>
        <w:t>（25）中华人民共和国环境保护部 环发[2014]197号“关于印发《建设项目主要污染物排放总量指标审核及管理暂行办法》的通知”，2014年12月31日；</w:t>
      </w:r>
    </w:p>
    <w:p>
      <w:pPr>
        <w:ind w:firstLine="480"/>
        <w:rPr>
          <w:rFonts w:ascii="Times New Roman" w:hAnsi="Times New Roman" w:cs="Times New Roman"/>
          <w:color w:val="auto"/>
          <w:szCs w:val="24"/>
        </w:rPr>
      </w:pPr>
      <w:r>
        <w:rPr>
          <w:rFonts w:ascii="Times New Roman" w:hAnsi="Times New Roman" w:cs="Times New Roman"/>
          <w:color w:val="auto"/>
          <w:szCs w:val="24"/>
        </w:rPr>
        <w:t>（26）环境保护部公告 公告2013年第31号《挥发性有机物(VOCs)污染防治技术政策》，2013年5月24日；</w:t>
      </w:r>
    </w:p>
    <w:p>
      <w:pPr>
        <w:ind w:firstLine="480"/>
        <w:rPr>
          <w:rFonts w:ascii="Times New Roman" w:hAnsi="Times New Roman" w:cs="Times New Roman"/>
          <w:color w:val="auto"/>
          <w:szCs w:val="24"/>
        </w:rPr>
      </w:pPr>
      <w:r>
        <w:rPr>
          <w:rFonts w:ascii="Times New Roman" w:hAnsi="Times New Roman" w:cs="Times New Roman"/>
          <w:color w:val="auto"/>
          <w:szCs w:val="24"/>
        </w:rPr>
        <w:t>（27）工业和信息化部 财政部 工信部联节[2016]217号《关于印发重点行业挥发性有机物削减行动计划的通知》，2016年7月8日；</w:t>
      </w:r>
    </w:p>
    <w:p>
      <w:pPr>
        <w:ind w:firstLine="480"/>
        <w:rPr>
          <w:rFonts w:ascii="Times New Roman" w:hAnsi="Times New Roman" w:cs="Times New Roman"/>
          <w:color w:val="auto"/>
          <w:szCs w:val="24"/>
        </w:rPr>
      </w:pPr>
      <w:r>
        <w:rPr>
          <w:rFonts w:ascii="Times New Roman" w:hAnsi="Times New Roman" w:cs="Times New Roman"/>
          <w:color w:val="auto"/>
          <w:szCs w:val="24"/>
        </w:rPr>
        <w:t>（28）中华人民共和国环境保护部 环发[2015]178号《关于加强规划环境影响评价与建设项目环境影响评价联动工作的意见》，</w:t>
      </w:r>
      <w:r>
        <w:rPr>
          <w:rFonts w:ascii="Times New Roman" w:hAnsi="Times New Roman" w:cs="Times New Roman"/>
          <w:color w:val="auto"/>
          <w:kern w:val="0"/>
          <w:szCs w:val="24"/>
        </w:rPr>
        <w:t>环境保护部办公厅2016年1月4日印发；</w:t>
      </w:r>
    </w:p>
    <w:p>
      <w:pPr>
        <w:ind w:firstLine="480"/>
        <w:rPr>
          <w:rFonts w:ascii="Times New Roman" w:hAnsi="Times New Roman" w:cs="Times New Roman"/>
          <w:color w:val="auto"/>
          <w:szCs w:val="24"/>
        </w:rPr>
      </w:pPr>
      <w:r>
        <w:rPr>
          <w:rFonts w:ascii="Times New Roman" w:hAnsi="Times New Roman" w:cs="Times New Roman"/>
          <w:color w:val="auto"/>
          <w:szCs w:val="24"/>
        </w:rPr>
        <w:t>（29）中华人民共和国环境保护部 环环评[2018]11号《关于强化建设项目环境影响评价事中事后监管的实施意见》，2018年01月26日；</w:t>
      </w:r>
    </w:p>
    <w:p>
      <w:pPr>
        <w:widowControl/>
        <w:ind w:firstLine="480"/>
        <w:jc w:val="left"/>
        <w:rPr>
          <w:rFonts w:ascii="Times New Roman" w:hAnsi="Times New Roman" w:cs="Times New Roman"/>
          <w:color w:val="auto"/>
          <w:szCs w:val="24"/>
        </w:rPr>
      </w:pPr>
      <w:r>
        <w:rPr>
          <w:rFonts w:ascii="Times New Roman" w:hAnsi="Times New Roman" w:cs="Times New Roman"/>
          <w:color w:val="auto"/>
          <w:szCs w:val="24"/>
        </w:rPr>
        <w:t>（30）中华人民共和国生态环境部 生态环境部令第4号</w:t>
      </w:r>
      <w:r>
        <w:rPr>
          <w:rFonts w:ascii="Times New Roman" w:hAnsi="Times New Roman" w:cs="Times New Roman"/>
          <w:color w:val="auto"/>
        </w:rPr>
        <w:t>《环境影响评价公众参与办法》，2018年7月发布，2019年1月1起施行</w:t>
      </w:r>
      <w:r>
        <w:rPr>
          <w:rFonts w:ascii="Times New Roman" w:hAnsi="Times New Roman" w:cs="Times New Roman"/>
          <w:color w:val="auto"/>
          <w:szCs w:val="24"/>
        </w:rPr>
        <w:t>；</w:t>
      </w:r>
    </w:p>
    <w:p>
      <w:pPr>
        <w:ind w:firstLine="480"/>
        <w:rPr>
          <w:rFonts w:ascii="Times New Roman" w:hAnsi="Times New Roman" w:cs="Times New Roman"/>
          <w:color w:val="auto"/>
          <w:szCs w:val="24"/>
        </w:rPr>
      </w:pPr>
      <w:r>
        <w:rPr>
          <w:rFonts w:ascii="Times New Roman" w:hAnsi="Times New Roman" w:cs="Times New Roman"/>
          <w:color w:val="auto"/>
          <w:szCs w:val="24"/>
        </w:rPr>
        <w:t>（31）中华人民共和国环境保护部 环发[2015]162号《关于印发&lt;建设项目环境影响评价信息公开机制方案&gt;的通知》，2015年12月10日；</w:t>
      </w:r>
    </w:p>
    <w:p>
      <w:pPr>
        <w:ind w:firstLine="480"/>
        <w:rPr>
          <w:rFonts w:ascii="Times New Roman" w:hAnsi="Times New Roman" w:cs="Times New Roman"/>
          <w:color w:val="auto"/>
          <w:szCs w:val="24"/>
        </w:rPr>
      </w:pPr>
      <w:r>
        <w:rPr>
          <w:rFonts w:ascii="Times New Roman" w:hAnsi="Times New Roman" w:cs="Times New Roman"/>
          <w:color w:val="auto"/>
          <w:szCs w:val="24"/>
        </w:rPr>
        <w:t>（32）中华人民共和国环境保护部 环环评[2016]150号《关于以改善环境质量为核心加强环境影响评价管理的通知》，2016年10月26日；</w:t>
      </w:r>
    </w:p>
    <w:p>
      <w:pPr>
        <w:ind w:firstLine="480"/>
        <w:rPr>
          <w:rFonts w:ascii="Times New Roman" w:hAnsi="Times New Roman" w:cs="Times New Roman"/>
          <w:color w:val="auto"/>
          <w:szCs w:val="24"/>
        </w:rPr>
      </w:pPr>
      <w:r>
        <w:rPr>
          <w:rFonts w:ascii="Times New Roman" w:hAnsi="Times New Roman" w:cs="Times New Roman"/>
          <w:color w:val="auto"/>
          <w:szCs w:val="24"/>
        </w:rPr>
        <w:t>（33）环境保护部公告 公告2017年第43号《关于发布&lt;建设项目危险废物环境影响评价指南&gt;的公告》，2017年10月1日；</w:t>
      </w:r>
    </w:p>
    <w:p>
      <w:pPr>
        <w:ind w:firstLine="480"/>
        <w:rPr>
          <w:rFonts w:ascii="Times New Roman" w:hAnsi="Times New Roman" w:cs="Times New Roman"/>
          <w:szCs w:val="24"/>
        </w:rPr>
      </w:pPr>
      <w:r>
        <w:rPr>
          <w:rFonts w:ascii="Times New Roman" w:hAnsi="Times New Roman" w:cs="Times New Roman"/>
          <w:color w:val="auto"/>
          <w:szCs w:val="24"/>
        </w:rPr>
        <w:t>（35）</w:t>
      </w:r>
      <w:r>
        <w:rPr>
          <w:rFonts w:ascii="Times New Roman" w:hAnsi="Times New Roman" w:cs="Times New Roman"/>
        </w:rPr>
        <w:t>《关于发布长江经济带发展负面清单指南（试行）的通知》（推动长江经济带发展领导小组办公室 第89号）</w:t>
      </w:r>
      <w:r>
        <w:rPr>
          <w:rFonts w:hint="eastAsia" w:ascii="Times New Roman" w:hAnsi="Times New Roman" w:cs="Times New Roman"/>
        </w:rPr>
        <w:t>；</w:t>
      </w:r>
    </w:p>
    <w:p>
      <w:pPr>
        <w:ind w:firstLine="480"/>
        <w:rPr>
          <w:rFonts w:ascii="Times New Roman" w:hAnsi="Times New Roman" w:cs="Times New Roman"/>
          <w:color w:val="auto"/>
          <w:szCs w:val="24"/>
        </w:rPr>
      </w:pPr>
      <w:r>
        <w:rPr>
          <w:rFonts w:ascii="Times New Roman" w:hAnsi="Times New Roman" w:cs="Times New Roman"/>
          <w:color w:val="auto"/>
          <w:szCs w:val="24"/>
        </w:rPr>
        <w:t>（36）</w:t>
      </w:r>
      <w:r>
        <w:rPr>
          <w:rFonts w:hint="eastAsia" w:ascii="Times New Roman" w:hAnsi="Times New Roman" w:cs="Times New Roman"/>
          <w:color w:val="auto"/>
          <w:szCs w:val="24"/>
        </w:rPr>
        <w:t>《关于加快解决当前挥发性有机物治理突出问题的通知》（环大气〔2021〕65号）</w:t>
      </w:r>
      <w:r>
        <w:rPr>
          <w:rFonts w:ascii="Times New Roman" w:hAnsi="Times New Roman" w:cs="Times New Roman"/>
          <w:color w:val="auto"/>
          <w:szCs w:val="24"/>
        </w:rPr>
        <w:t>；</w:t>
      </w:r>
    </w:p>
    <w:p>
      <w:pPr>
        <w:ind w:firstLine="480"/>
        <w:rPr>
          <w:rFonts w:ascii="Times New Roman" w:hAnsi="Times New Roman" w:cs="Times New Roman"/>
          <w:color w:val="auto"/>
          <w:szCs w:val="24"/>
        </w:rPr>
      </w:pPr>
      <w:r>
        <w:rPr>
          <w:rFonts w:ascii="Times New Roman" w:hAnsi="Times New Roman" w:cs="Times New Roman"/>
          <w:color w:val="auto"/>
          <w:szCs w:val="24"/>
        </w:rPr>
        <w:t>（37）《关于印发&lt;重点行业挥发性有机物综合治理方案&gt;的通知》（生态环境部，环大气[2019]53号，2019年6月26日）；</w:t>
      </w:r>
    </w:p>
    <w:p>
      <w:pPr>
        <w:ind w:firstLine="480"/>
        <w:rPr>
          <w:rFonts w:ascii="Times New Roman" w:hAnsi="Times New Roman" w:cs="Times New Roman"/>
          <w:color w:val="auto"/>
          <w:szCs w:val="24"/>
        </w:rPr>
      </w:pPr>
      <w:bookmarkStart w:id="61" w:name="_Hlk46328776"/>
      <w:r>
        <w:rPr>
          <w:rFonts w:ascii="Times New Roman" w:hAnsi="Times New Roman" w:cs="Times New Roman"/>
          <w:color w:val="auto"/>
          <w:szCs w:val="24"/>
        </w:rPr>
        <w:t>（38）《关于印发&lt;2020年挥发性有机物治理攻坚方案&gt;的通知》，（生态环境部，环大气〔2020〕33号，2020年6月23日）</w:t>
      </w:r>
      <w:bookmarkEnd w:id="61"/>
      <w:r>
        <w:rPr>
          <w:rFonts w:ascii="Times New Roman" w:hAnsi="Times New Roman" w:cs="Times New Roman"/>
          <w:color w:val="auto"/>
          <w:szCs w:val="24"/>
        </w:rPr>
        <w:t>；</w:t>
      </w:r>
    </w:p>
    <w:p>
      <w:pPr>
        <w:ind w:firstLine="480"/>
        <w:rPr>
          <w:rFonts w:ascii="Times New Roman" w:hAnsi="Times New Roman" w:cs="Times New Roman"/>
          <w:color w:val="auto"/>
          <w:szCs w:val="24"/>
        </w:rPr>
      </w:pPr>
      <w:r>
        <w:rPr>
          <w:rFonts w:ascii="Times New Roman" w:hAnsi="Times New Roman" w:cs="Times New Roman"/>
          <w:color w:val="auto"/>
          <w:szCs w:val="24"/>
        </w:rPr>
        <w:t>（39）关于印发机场、港口、水利（河湖整治与防洪除涝工程）三个行业建设项目环境影响评价文件审批原则的通知，环办环评〔2018〕2号；</w:t>
      </w:r>
    </w:p>
    <w:p>
      <w:pPr>
        <w:ind w:firstLine="439" w:firstLineChars="183"/>
        <w:rPr>
          <w:rFonts w:ascii="Times New Roman" w:hAnsi="Times New Roman" w:cs="Times New Roman"/>
          <w:color w:val="auto"/>
          <w:szCs w:val="24"/>
        </w:rPr>
      </w:pPr>
      <w:r>
        <w:rPr>
          <w:rFonts w:ascii="Times New Roman" w:hAnsi="Times New Roman" w:cs="Times New Roman"/>
          <w:color w:val="auto"/>
          <w:szCs w:val="24"/>
        </w:rPr>
        <w:t>（40）交通运输部《船舶与港口污染防治专项行动实施方案（2015-2020年）》；</w:t>
      </w:r>
    </w:p>
    <w:p>
      <w:pPr>
        <w:ind w:firstLine="480"/>
        <w:rPr>
          <w:rFonts w:ascii="Times New Roman" w:hAnsi="Times New Roman" w:cs="Times New Roman"/>
          <w:color w:val="auto"/>
          <w:szCs w:val="24"/>
        </w:rPr>
      </w:pPr>
      <w:r>
        <w:rPr>
          <w:rFonts w:ascii="Times New Roman" w:hAnsi="Times New Roman" w:cs="Times New Roman"/>
          <w:color w:val="auto"/>
          <w:szCs w:val="24"/>
        </w:rPr>
        <w:t>（41）《中华人民共和国防治船舶污染内河水域环境管理规定》中华人民共和国交通运输部令，2015年第25号；</w:t>
      </w:r>
    </w:p>
    <w:p>
      <w:pPr>
        <w:pStyle w:val="25"/>
        <w:spacing w:line="360" w:lineRule="auto"/>
        <w:ind w:firstLine="439" w:firstLineChars="183"/>
        <w:rPr>
          <w:rFonts w:ascii="Times New Roman" w:hAnsi="Times New Roman" w:cs="Times New Roman"/>
        </w:rPr>
      </w:pPr>
      <w:r>
        <w:rPr>
          <w:rFonts w:ascii="Times New Roman" w:hAnsi="Times New Roman" w:cs="Times New Roman"/>
          <w:color w:val="auto"/>
          <w:szCs w:val="24"/>
        </w:rPr>
        <w:t>（42）</w:t>
      </w:r>
      <w:r>
        <w:rPr>
          <w:rFonts w:ascii="Times New Roman" w:hAnsi="Times New Roman" w:cs="Times New Roman"/>
        </w:rPr>
        <w:t>《船舶水污染防治技术政策》（环境保护部公告2018年第8号）；</w:t>
      </w:r>
    </w:p>
    <w:p>
      <w:pPr>
        <w:pStyle w:val="25"/>
        <w:spacing w:line="360" w:lineRule="auto"/>
        <w:ind w:firstLine="439" w:firstLineChars="183"/>
        <w:rPr>
          <w:rFonts w:ascii="Times New Roman" w:hAnsi="Times New Roman" w:cs="Times New Roman"/>
        </w:rPr>
      </w:pPr>
      <w:r>
        <w:rPr>
          <w:rFonts w:ascii="Times New Roman" w:hAnsi="Times New Roman" w:cs="Times New Roman"/>
          <w:color w:val="auto"/>
          <w:szCs w:val="24"/>
        </w:rPr>
        <w:t>（43）</w:t>
      </w:r>
      <w:r>
        <w:rPr>
          <w:rFonts w:ascii="Times New Roman" w:hAnsi="Times New Roman" w:cs="Times New Roman"/>
        </w:rPr>
        <w:t>《内河禁运危险化学品目录（2019版）》；</w:t>
      </w:r>
    </w:p>
    <w:p>
      <w:pPr>
        <w:ind w:firstLine="480"/>
        <w:rPr>
          <w:rFonts w:ascii="Times New Roman" w:hAnsi="Times New Roman" w:cs="Times New Roman"/>
          <w:szCs w:val="24"/>
        </w:rPr>
      </w:pPr>
      <w:r>
        <w:rPr>
          <w:rFonts w:ascii="Times New Roman" w:hAnsi="Times New Roman" w:cs="Times New Roman"/>
          <w:color w:val="auto"/>
          <w:szCs w:val="24"/>
        </w:rPr>
        <w:t>（44）</w:t>
      </w:r>
      <w:r>
        <w:rPr>
          <w:rFonts w:ascii="Times New Roman" w:hAnsi="Times New Roman" w:cs="Times New Roman"/>
        </w:rPr>
        <w:t>关于发布《重点环境管理危险化学品目录》的通知（环境保护部，环办〔2014〕33号）；</w:t>
      </w:r>
    </w:p>
    <w:p>
      <w:pPr>
        <w:ind w:firstLine="480"/>
        <w:rPr>
          <w:rFonts w:ascii="Times New Roman" w:hAnsi="Times New Roman" w:cs="Times New Roman"/>
        </w:rPr>
      </w:pPr>
      <w:r>
        <w:rPr>
          <w:rFonts w:ascii="Times New Roman" w:hAnsi="Times New Roman" w:cs="Times New Roman"/>
          <w:color w:val="auto"/>
          <w:szCs w:val="24"/>
        </w:rPr>
        <w:t>（45）</w:t>
      </w:r>
      <w:r>
        <w:rPr>
          <w:rFonts w:ascii="Times New Roman" w:hAnsi="Times New Roman" w:cs="Times New Roman"/>
        </w:rPr>
        <w:t>关于发布《有毒有害水污染物名录（第一批）》的公告（生态环境部，国家卫生健康委员会，公告2019年第28号）。</w:t>
      </w:r>
    </w:p>
    <w:p>
      <w:pPr>
        <w:pStyle w:val="4"/>
        <w:numPr>
          <w:ilvl w:val="2"/>
          <w:numId w:val="0"/>
        </w:numPr>
        <w:jc w:val="both"/>
        <w:rPr>
          <w:rFonts w:ascii="Times New Roman" w:hAnsi="Times New Roman" w:cs="Times New Roman"/>
          <w:color w:val="auto"/>
        </w:rPr>
      </w:pPr>
      <w:bookmarkStart w:id="62" w:name="_Toc102984257"/>
      <w:bookmarkStart w:id="63" w:name="_Toc104733297"/>
      <w:r>
        <w:rPr>
          <w:rFonts w:ascii="Times New Roman" w:hAnsi="Times New Roman" w:cs="Times New Roman"/>
          <w:color w:val="auto"/>
        </w:rPr>
        <w:t>2.1.2安徽省及地方有关法律、法规</w:t>
      </w:r>
      <w:bookmarkEnd w:id="62"/>
      <w:bookmarkEnd w:id="63"/>
    </w:p>
    <w:p>
      <w:pPr>
        <w:ind w:firstLine="480"/>
        <w:rPr>
          <w:rFonts w:ascii="Times New Roman" w:hAnsi="Times New Roman" w:cs="Times New Roman"/>
          <w:kern w:val="0"/>
          <w:szCs w:val="24"/>
        </w:rPr>
      </w:pPr>
      <w:r>
        <w:rPr>
          <w:rFonts w:ascii="Times New Roman" w:hAnsi="Times New Roman" w:cs="Times New Roman"/>
          <w:kern w:val="0"/>
          <w:szCs w:val="24"/>
        </w:rPr>
        <w:t>（1）安徽省人民代表大会常务委员会 公告第六十六号《安徽省环境保护条例》，2018年1月1日；</w:t>
      </w:r>
    </w:p>
    <w:p>
      <w:pPr>
        <w:ind w:firstLine="480"/>
        <w:rPr>
          <w:rFonts w:ascii="Times New Roman" w:hAnsi="Times New Roman" w:cs="Times New Roman"/>
          <w:kern w:val="0"/>
        </w:rPr>
      </w:pPr>
      <w:r>
        <w:rPr>
          <w:rFonts w:ascii="Times New Roman" w:hAnsi="Times New Roman" w:cs="Times New Roman"/>
          <w:kern w:val="0"/>
          <w:szCs w:val="24"/>
        </w:rPr>
        <w:t>（2）</w:t>
      </w:r>
      <w:r>
        <w:rPr>
          <w:rFonts w:ascii="Times New Roman" w:hAnsi="Times New Roman" w:cs="Times New Roman"/>
          <w:kern w:val="0"/>
        </w:rPr>
        <w:t>安徽省生态环境厅 安徽省发展和改革委员会 皖环发[2022]8号《关于印发安徽省“十四五”生态环境保护规划的通知》，2022年1月27日；</w:t>
      </w:r>
    </w:p>
    <w:p>
      <w:pPr>
        <w:ind w:firstLine="480"/>
        <w:rPr>
          <w:rFonts w:ascii="Times New Roman" w:hAnsi="Times New Roman" w:cs="Times New Roman"/>
        </w:rPr>
      </w:pPr>
      <w:r>
        <w:rPr>
          <w:rFonts w:ascii="Times New Roman" w:hAnsi="Times New Roman" w:cs="Times New Roman"/>
          <w:kern w:val="0"/>
          <w:szCs w:val="24"/>
        </w:rPr>
        <w:t>（3）</w:t>
      </w:r>
      <w:r>
        <w:rPr>
          <w:rFonts w:ascii="Times New Roman" w:hAnsi="Times New Roman" w:cs="Times New Roman"/>
        </w:rPr>
        <w:t>《关于印发安徽省长江经济带发展负面清单实施细则(试行)的通知)》(皖长江办[2019]18号)，2019年11月8日。</w:t>
      </w:r>
    </w:p>
    <w:p>
      <w:pPr>
        <w:ind w:firstLine="480"/>
        <w:rPr>
          <w:rFonts w:ascii="Times New Roman" w:hAnsi="Times New Roman" w:cs="Times New Roman"/>
          <w:kern w:val="0"/>
          <w:szCs w:val="24"/>
        </w:rPr>
      </w:pPr>
      <w:r>
        <w:rPr>
          <w:rFonts w:ascii="Times New Roman" w:hAnsi="Times New Roman" w:cs="Times New Roman"/>
          <w:kern w:val="0"/>
          <w:szCs w:val="24"/>
        </w:rPr>
        <w:t>（4）安徽省人民政府 皖政[2013]89号《安徽省人民政府关于印发安徽省大气污染防治行动计划实施方案的通知》，2013年12月30日；</w:t>
      </w:r>
    </w:p>
    <w:p>
      <w:pPr>
        <w:ind w:firstLine="480"/>
        <w:rPr>
          <w:rFonts w:ascii="Times New Roman" w:hAnsi="Times New Roman" w:cs="Times New Roman"/>
          <w:kern w:val="0"/>
          <w:szCs w:val="24"/>
        </w:rPr>
      </w:pPr>
      <w:r>
        <w:rPr>
          <w:rFonts w:ascii="Times New Roman" w:hAnsi="Times New Roman" w:cs="Times New Roman"/>
          <w:kern w:val="0"/>
          <w:szCs w:val="24"/>
        </w:rPr>
        <w:t>（5）安徽省人民政府 皖政[2015]131号《关于印发安徽省水污染防治工作方案的通知》，2015年12月29日；</w:t>
      </w:r>
    </w:p>
    <w:p>
      <w:pPr>
        <w:ind w:firstLine="480"/>
        <w:rPr>
          <w:rFonts w:ascii="Times New Roman" w:hAnsi="Times New Roman" w:cs="Times New Roman"/>
          <w:kern w:val="0"/>
          <w:szCs w:val="24"/>
        </w:rPr>
      </w:pPr>
      <w:r>
        <w:rPr>
          <w:rFonts w:ascii="Times New Roman" w:hAnsi="Times New Roman" w:cs="Times New Roman"/>
          <w:kern w:val="0"/>
          <w:szCs w:val="24"/>
        </w:rPr>
        <w:t>（6）安徽省人民政府，皖政[2016]116号《关于印发安徽省土壤污染防治工作方案的通知》，2016年12月29日；</w:t>
      </w:r>
    </w:p>
    <w:p>
      <w:pPr>
        <w:ind w:firstLine="480"/>
        <w:rPr>
          <w:rFonts w:ascii="Times New Roman" w:hAnsi="Times New Roman" w:cs="Times New Roman"/>
          <w:kern w:val="0"/>
          <w:szCs w:val="24"/>
        </w:rPr>
      </w:pPr>
      <w:r>
        <w:rPr>
          <w:rFonts w:ascii="Times New Roman" w:hAnsi="Times New Roman" w:cs="Times New Roman"/>
          <w:kern w:val="0"/>
          <w:szCs w:val="24"/>
        </w:rPr>
        <w:t>（7）安徽省大气污染防治联席会议办公室 皖大气办[2017]15号《关于印发安徽省挥发性有机物污染治理专项行动方案的通知》；</w:t>
      </w:r>
    </w:p>
    <w:p>
      <w:pPr>
        <w:ind w:firstLine="480"/>
        <w:rPr>
          <w:rFonts w:ascii="Times New Roman" w:hAnsi="Times New Roman" w:cs="Times New Roman"/>
          <w:kern w:val="0"/>
          <w:szCs w:val="24"/>
        </w:rPr>
      </w:pPr>
      <w:r>
        <w:rPr>
          <w:rFonts w:ascii="Times New Roman" w:hAnsi="Times New Roman" w:cs="Times New Roman"/>
          <w:kern w:val="0"/>
          <w:szCs w:val="24"/>
        </w:rPr>
        <w:t>（8）安徽省环境保护厅 皖环发[2017]19号《安徽省环保厅关于进一步加强建设项目新增大气主要污染物总量指标管理工作的通知》，2017年3月28日；</w:t>
      </w:r>
    </w:p>
    <w:p>
      <w:pPr>
        <w:ind w:firstLine="480"/>
        <w:rPr>
          <w:rFonts w:ascii="Times New Roman" w:hAnsi="Times New Roman" w:cs="Times New Roman"/>
          <w:kern w:val="0"/>
          <w:szCs w:val="24"/>
        </w:rPr>
      </w:pPr>
      <w:r>
        <w:rPr>
          <w:rFonts w:ascii="Times New Roman" w:hAnsi="Times New Roman" w:cs="Times New Roman"/>
          <w:kern w:val="0"/>
          <w:szCs w:val="24"/>
        </w:rPr>
        <w:t>（9）安徽省环境保护厅 皖环发[2017]166号《安徽省环保厅关于进一步加强危险废物环境监督管理的通知》，2017年11月22日；</w:t>
      </w:r>
    </w:p>
    <w:p>
      <w:pPr>
        <w:ind w:firstLine="480"/>
        <w:rPr>
          <w:rFonts w:ascii="Times New Roman" w:hAnsi="Times New Roman" w:cs="Times New Roman"/>
          <w:kern w:val="0"/>
          <w:szCs w:val="24"/>
        </w:rPr>
      </w:pPr>
      <w:r>
        <w:rPr>
          <w:rFonts w:ascii="Times New Roman" w:hAnsi="Times New Roman" w:cs="Times New Roman"/>
          <w:kern w:val="0"/>
          <w:szCs w:val="24"/>
        </w:rPr>
        <w:t>（10）安徽省生态环境厅关于全面执行大气污染物特别排放限值的通知[皖环函（2019）1120号]，2019年12月24日；</w:t>
      </w:r>
    </w:p>
    <w:p>
      <w:pPr>
        <w:ind w:firstLine="480"/>
        <w:rPr>
          <w:rFonts w:ascii="Times New Roman" w:hAnsi="Times New Roman" w:cs="Times New Roman"/>
        </w:rPr>
      </w:pPr>
      <w:r>
        <w:rPr>
          <w:rFonts w:ascii="Times New Roman" w:hAnsi="Times New Roman" w:cs="Times New Roman"/>
          <w:kern w:val="0"/>
          <w:szCs w:val="24"/>
        </w:rPr>
        <w:t>（11）</w:t>
      </w:r>
      <w:r>
        <w:rPr>
          <w:rFonts w:ascii="Times New Roman" w:hAnsi="Times New Roman" w:cs="Times New Roman"/>
        </w:rPr>
        <w:t>《安徽省大气办关于深入开展挥发性有机物污染治理工作的通知》（皖大气办[2021]4号），2021年6月22日。</w:t>
      </w:r>
    </w:p>
    <w:p>
      <w:pPr>
        <w:ind w:firstLine="480"/>
        <w:rPr>
          <w:rFonts w:ascii="Times New Roman" w:hAnsi="Times New Roman" w:cs="Times New Roman"/>
          <w:kern w:val="0"/>
          <w:szCs w:val="24"/>
        </w:rPr>
      </w:pPr>
      <w:r>
        <w:rPr>
          <w:rFonts w:ascii="Times New Roman" w:hAnsi="Times New Roman" w:cs="Times New Roman"/>
          <w:kern w:val="0"/>
          <w:szCs w:val="24"/>
        </w:rPr>
        <w:t>（12）安徽省人民政府 皖政秘[2018]120号《安徽省人民政府关于发布安徽省生态保护红线的通知》，2018年6月27日；</w:t>
      </w:r>
    </w:p>
    <w:p>
      <w:pPr>
        <w:ind w:firstLine="480"/>
        <w:rPr>
          <w:rFonts w:ascii="Times New Roman" w:hAnsi="Times New Roman" w:cs="Times New Roman"/>
          <w:kern w:val="0"/>
          <w:szCs w:val="24"/>
        </w:rPr>
      </w:pPr>
      <w:r>
        <w:rPr>
          <w:rFonts w:ascii="Times New Roman" w:hAnsi="Times New Roman" w:cs="Times New Roman"/>
          <w:kern w:val="0"/>
          <w:szCs w:val="24"/>
        </w:rPr>
        <w:t>（13）中共安徽省委安徽省人民政府 皖发[2018]21号《关于全面打造水清岸绿产业优美丽长江（安徽）经济带的实施意见》，2018年6月27日；</w:t>
      </w:r>
    </w:p>
    <w:p>
      <w:pPr>
        <w:ind w:firstLine="480"/>
        <w:rPr>
          <w:rFonts w:ascii="Times New Roman" w:hAnsi="Times New Roman" w:cs="Times New Roman"/>
          <w:kern w:val="0"/>
          <w:szCs w:val="24"/>
        </w:rPr>
      </w:pPr>
      <w:r>
        <w:rPr>
          <w:rFonts w:ascii="Times New Roman" w:hAnsi="Times New Roman" w:cs="Times New Roman"/>
          <w:kern w:val="0"/>
          <w:szCs w:val="24"/>
        </w:rPr>
        <w:t>（14）安徽省环境保护厅 皖环函[2018]955号《安徽省环保厅关于加强土壤环境污染重点监管企业土壤环境监管的通知》，2018年7月23日；</w:t>
      </w:r>
    </w:p>
    <w:p>
      <w:pPr>
        <w:ind w:firstLine="480"/>
        <w:rPr>
          <w:rFonts w:ascii="Times New Roman" w:hAnsi="Times New Roman" w:cs="Times New Roman"/>
          <w:kern w:val="0"/>
          <w:szCs w:val="24"/>
        </w:rPr>
      </w:pPr>
      <w:r>
        <w:rPr>
          <w:rFonts w:ascii="Times New Roman" w:hAnsi="Times New Roman" w:cs="Times New Roman"/>
          <w:kern w:val="0"/>
          <w:szCs w:val="24"/>
        </w:rPr>
        <w:t>（15）安徽省环保厅 皖环函[2019]891号《安徽省建设项目环境影响评价文件审批权限的规定（2019年本）的公告》，2019年9月21日；</w:t>
      </w:r>
    </w:p>
    <w:p>
      <w:pPr>
        <w:pStyle w:val="25"/>
        <w:ind w:firstLine="480"/>
        <w:rPr>
          <w:rFonts w:ascii="Times New Roman" w:hAnsi="Times New Roman" w:cs="Times New Roman"/>
        </w:rPr>
      </w:pPr>
      <w:r>
        <w:rPr>
          <w:rFonts w:ascii="Times New Roman" w:hAnsi="Times New Roman" w:cs="Times New Roman"/>
          <w:kern w:val="0"/>
          <w:szCs w:val="24"/>
        </w:rPr>
        <w:t>（16）</w:t>
      </w:r>
      <w:r>
        <w:rPr>
          <w:rFonts w:ascii="Times New Roman" w:hAnsi="Times New Roman" w:cs="Times New Roman"/>
        </w:rPr>
        <w:t>安徽省生态环境保护委员会办公室关于印发安徽省2022年大气污染防治工作要点的通知》安环委办〔2022〕37号；</w:t>
      </w:r>
    </w:p>
    <w:p>
      <w:pPr>
        <w:snapToGrid/>
        <w:ind w:firstLine="480"/>
        <w:rPr>
          <w:rFonts w:ascii="Times New Roman" w:hAnsi="Times New Roman" w:cs="Times New Roman"/>
          <w:kern w:val="0"/>
          <w:szCs w:val="24"/>
        </w:rPr>
      </w:pPr>
      <w:bookmarkStart w:id="64" w:name="_Hlk46328784"/>
      <w:r>
        <w:rPr>
          <w:rFonts w:ascii="Times New Roman" w:hAnsi="Times New Roman" w:cs="Times New Roman"/>
          <w:kern w:val="0"/>
          <w:szCs w:val="24"/>
        </w:rPr>
        <w:t>（17）《巢湖流域水污染防治条例》（安徽省人大常委会公告 第19号，2014年12月1日起施行）；</w:t>
      </w:r>
    </w:p>
    <w:p>
      <w:pPr>
        <w:ind w:firstLine="480"/>
        <w:rPr>
          <w:rFonts w:ascii="Times New Roman" w:hAnsi="Times New Roman" w:cs="Times New Roman"/>
          <w:color w:val="auto"/>
          <w:szCs w:val="24"/>
        </w:rPr>
      </w:pPr>
      <w:r>
        <w:rPr>
          <w:rFonts w:ascii="Times New Roman" w:hAnsi="Times New Roman" w:cs="Times New Roman"/>
          <w:kern w:val="0"/>
          <w:szCs w:val="24"/>
        </w:rPr>
        <w:t>（18）《安徽省发展改革委 安徽省经济和信息化厅 安徽省生态环境厅关于印发巢湖流域禁止和限值的产业产品目录的通知》（皖发改环资【2021】6号）</w:t>
      </w:r>
      <w:r>
        <w:rPr>
          <w:rFonts w:ascii="Times New Roman" w:hAnsi="Times New Roman" w:cs="Times New Roman"/>
          <w:color w:val="auto"/>
          <w:szCs w:val="24"/>
        </w:rPr>
        <w:t>；</w:t>
      </w:r>
    </w:p>
    <w:p>
      <w:pPr>
        <w:pStyle w:val="25"/>
        <w:ind w:firstLine="480"/>
        <w:rPr>
          <w:rFonts w:ascii="Times New Roman" w:hAnsi="Times New Roman" w:cs="Times New Roman"/>
        </w:rPr>
      </w:pPr>
      <w:r>
        <w:rPr>
          <w:rFonts w:ascii="Times New Roman" w:hAnsi="Times New Roman" w:cs="Times New Roman"/>
          <w:color w:val="auto"/>
        </w:rPr>
        <w:t>（19）</w:t>
      </w:r>
      <w:bookmarkStart w:id="65" w:name="_Hlk105659939"/>
      <w:r>
        <w:rPr>
          <w:rFonts w:ascii="Times New Roman" w:hAnsi="Times New Roman" w:cs="Times New Roman"/>
          <w:kern w:val="0"/>
          <w:szCs w:val="24"/>
        </w:rPr>
        <w:t>《</w:t>
      </w:r>
      <w:r>
        <w:rPr>
          <w:rFonts w:ascii="Times New Roman" w:hAnsi="Times New Roman" w:cs="Times New Roman"/>
        </w:rPr>
        <w:t>全面打造水清岸绿产业优美丽长江（安徽）经济带的实施意见（升级版）</w:t>
      </w:r>
      <w:r>
        <w:rPr>
          <w:rFonts w:ascii="Times New Roman" w:hAnsi="Times New Roman" w:cs="Times New Roman"/>
          <w:kern w:val="0"/>
          <w:szCs w:val="24"/>
        </w:rPr>
        <w:t>》</w:t>
      </w:r>
      <w:r>
        <w:rPr>
          <w:rFonts w:ascii="Times New Roman" w:hAnsi="Times New Roman" w:cs="Times New Roman"/>
        </w:rPr>
        <w:t xml:space="preserve"> 皖发[2021]19号；</w:t>
      </w:r>
      <w:bookmarkEnd w:id="65"/>
    </w:p>
    <w:p>
      <w:pPr>
        <w:pStyle w:val="25"/>
        <w:ind w:firstLine="480"/>
        <w:rPr>
          <w:rFonts w:ascii="Times New Roman" w:hAnsi="Times New Roman" w:cs="Times New Roman"/>
        </w:rPr>
      </w:pPr>
      <w:r>
        <w:rPr>
          <w:rFonts w:ascii="Times New Roman" w:hAnsi="Times New Roman" w:cs="Times New Roman"/>
          <w:color w:val="auto"/>
        </w:rPr>
        <w:t>（20）</w:t>
      </w:r>
      <w:r>
        <w:rPr>
          <w:rFonts w:ascii="Times New Roman" w:hAnsi="Times New Roman" w:cs="Times New Roman"/>
        </w:rPr>
        <w:t>《安徽省2021-2022年秋冬季大气污染综合治理攻坚行动方案》（安徽省大气办，2021年12月）；</w:t>
      </w:r>
    </w:p>
    <w:p>
      <w:pPr>
        <w:pStyle w:val="98"/>
        <w:ind w:firstLine="480" w:firstLineChars="200"/>
        <w:rPr>
          <w:rFonts w:ascii="Times New Roman" w:hAnsi="Times New Roman" w:eastAsia="等线" w:cs="Times New Roman"/>
        </w:rPr>
      </w:pPr>
      <w:r>
        <w:rPr>
          <w:rFonts w:ascii="Times New Roman" w:hAnsi="Times New Roman" w:cs="Times New Roman"/>
        </w:rPr>
        <w:t>（21）《安徽省生态环境厅关于印发《安徽省“十四五”大气污染防治规划》的通知》（皖环发〔2022〕12 号）；</w:t>
      </w:r>
    </w:p>
    <w:p>
      <w:pPr>
        <w:ind w:firstLine="480"/>
        <w:rPr>
          <w:rFonts w:ascii="Times New Roman" w:hAnsi="Times New Roman" w:cs="Times New Roman"/>
          <w:color w:val="auto"/>
        </w:rPr>
      </w:pPr>
      <w:r>
        <w:rPr>
          <w:rFonts w:ascii="Times New Roman" w:hAnsi="Times New Roman" w:cs="Times New Roman"/>
          <w:color w:val="auto"/>
        </w:rPr>
        <w:t>（22）《合肥市水环境保护条例》，2018 年7月1日起实施；</w:t>
      </w:r>
    </w:p>
    <w:p>
      <w:pPr>
        <w:ind w:firstLine="480"/>
        <w:rPr>
          <w:rFonts w:ascii="Times New Roman" w:hAnsi="Times New Roman" w:cs="Times New Roman"/>
          <w:color w:val="auto"/>
        </w:rPr>
      </w:pPr>
      <w:r>
        <w:rPr>
          <w:rFonts w:ascii="Times New Roman" w:hAnsi="Times New Roman" w:cs="Times New Roman"/>
          <w:color w:val="auto"/>
        </w:rPr>
        <w:t>（23）《合肥市扬尘污染防治管理办法》，合肥市人民政府，2014年2月1日；</w:t>
      </w:r>
    </w:p>
    <w:p>
      <w:pPr>
        <w:ind w:firstLine="480"/>
        <w:rPr>
          <w:rFonts w:ascii="Times New Roman" w:hAnsi="Times New Roman" w:cs="Times New Roman"/>
          <w:color w:val="auto"/>
        </w:rPr>
      </w:pPr>
      <w:r>
        <w:rPr>
          <w:rFonts w:ascii="Times New Roman" w:hAnsi="Times New Roman" w:cs="Times New Roman"/>
          <w:color w:val="auto"/>
        </w:rPr>
        <w:t>（24）《合肥市环境噪声污染防治条例》，2018 年7月1日起实施；；</w:t>
      </w:r>
    </w:p>
    <w:p>
      <w:pPr>
        <w:ind w:firstLine="480"/>
        <w:rPr>
          <w:rFonts w:ascii="Times New Roman" w:hAnsi="Times New Roman" w:cs="Times New Roman"/>
          <w:color w:val="auto"/>
        </w:rPr>
      </w:pPr>
      <w:r>
        <w:rPr>
          <w:rFonts w:ascii="Times New Roman" w:hAnsi="Times New Roman" w:cs="Times New Roman"/>
          <w:color w:val="auto"/>
        </w:rPr>
        <w:t>（25）《合肥市大气污染防治条例》，2018年10月26日修改。</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（26）《合肥市人民政府关于印发巢湖综合治理绿色发展总体规划的通知》（合政[2018]142号）。</w:t>
      </w:r>
    </w:p>
    <w:bookmarkEnd w:id="64"/>
    <w:p>
      <w:pPr>
        <w:pStyle w:val="4"/>
        <w:numPr>
          <w:ilvl w:val="2"/>
          <w:numId w:val="0"/>
        </w:numPr>
        <w:jc w:val="both"/>
        <w:rPr>
          <w:rFonts w:ascii="Times New Roman" w:hAnsi="Times New Roman" w:cs="Times New Roman"/>
          <w:color w:val="auto"/>
        </w:rPr>
      </w:pPr>
      <w:bookmarkStart w:id="66" w:name="_Toc104733298"/>
      <w:bookmarkStart w:id="67" w:name="_Toc102984258"/>
      <w:r>
        <w:rPr>
          <w:rFonts w:ascii="Times New Roman" w:hAnsi="Times New Roman" w:cs="Times New Roman"/>
          <w:color w:val="auto"/>
        </w:rPr>
        <w:t>2.1.3有关技术文件</w:t>
      </w:r>
      <w:bookmarkEnd w:id="66"/>
      <w:bookmarkEnd w:id="67"/>
    </w:p>
    <w:p>
      <w:pPr>
        <w:pStyle w:val="98"/>
        <w:snapToGrid w:val="0"/>
        <w:ind w:firstLine="480" w:firstLineChars="200"/>
        <w:rPr>
          <w:rFonts w:ascii="Times New Roman" w:hAnsi="Times New Roman" w:cs="Times New Roman"/>
        </w:rPr>
      </w:pPr>
      <w:r>
        <w:rPr>
          <w:rFonts w:ascii="Times New Roman" w:hAnsi="Times New Roman" w:cs="Times New Roman"/>
        </w:rPr>
        <w:t>（1）《建设项目环境影响评价技术导则 总纲》(HJ 2.1-2016)；</w:t>
      </w:r>
    </w:p>
    <w:p>
      <w:pPr>
        <w:pStyle w:val="98"/>
        <w:snapToGrid w:val="0"/>
        <w:ind w:firstLine="480" w:firstLineChars="200"/>
        <w:rPr>
          <w:rFonts w:ascii="Times New Roman" w:hAnsi="Times New Roman" w:cs="Times New Roman"/>
        </w:rPr>
      </w:pPr>
      <w:r>
        <w:rPr>
          <w:rFonts w:ascii="Times New Roman" w:hAnsi="Times New Roman" w:cs="Times New Roman"/>
        </w:rPr>
        <w:t>（2）《环境影响评价技术导则 大气环境》（HJ2.2-2018）；</w:t>
      </w:r>
    </w:p>
    <w:p>
      <w:pPr>
        <w:pStyle w:val="98"/>
        <w:snapToGrid w:val="0"/>
        <w:ind w:firstLine="480" w:firstLineChars="200"/>
        <w:rPr>
          <w:rFonts w:ascii="Times New Roman" w:hAnsi="Times New Roman" w:cs="Times New Roman"/>
        </w:rPr>
      </w:pPr>
      <w:r>
        <w:rPr>
          <w:rFonts w:ascii="Times New Roman" w:hAnsi="Times New Roman" w:cs="Times New Roman"/>
        </w:rPr>
        <w:t>（3）《环境影响评价技术导则 地表水环境》（HJ2.3-2018）；</w:t>
      </w:r>
    </w:p>
    <w:p>
      <w:pPr>
        <w:pStyle w:val="98"/>
        <w:snapToGrid w:val="0"/>
        <w:ind w:firstLine="480" w:firstLineChars="200"/>
        <w:rPr>
          <w:rFonts w:ascii="Times New Roman" w:hAnsi="Times New Roman" w:cs="Times New Roman"/>
        </w:rPr>
      </w:pPr>
      <w:r>
        <w:rPr>
          <w:rFonts w:ascii="Times New Roman" w:hAnsi="Times New Roman" w:cs="Times New Roman"/>
        </w:rPr>
        <w:t>（4）《环境影响评价技术导则 声环境》(HJ 2.4-2021)；</w:t>
      </w:r>
    </w:p>
    <w:p>
      <w:pPr>
        <w:pStyle w:val="98"/>
        <w:snapToGrid w:val="0"/>
        <w:ind w:firstLine="480" w:firstLineChars="200"/>
        <w:rPr>
          <w:rFonts w:ascii="Times New Roman" w:hAnsi="Times New Roman" w:cs="Times New Roman"/>
        </w:rPr>
      </w:pPr>
      <w:r>
        <w:rPr>
          <w:rFonts w:ascii="Times New Roman" w:hAnsi="Times New Roman" w:cs="Times New Roman"/>
        </w:rPr>
        <w:t>（5）《环境影响评价技术导则 地下水环境》(HJ 610-2016)；</w:t>
      </w:r>
    </w:p>
    <w:p>
      <w:pPr>
        <w:pStyle w:val="98"/>
        <w:snapToGrid w:val="0"/>
        <w:ind w:firstLine="480" w:firstLineChars="200"/>
        <w:rPr>
          <w:rFonts w:ascii="Times New Roman" w:hAnsi="Times New Roman" w:cs="Times New Roman"/>
        </w:rPr>
      </w:pPr>
      <w:r>
        <w:rPr>
          <w:rFonts w:ascii="Times New Roman" w:hAnsi="Times New Roman" w:cs="Times New Roman"/>
        </w:rPr>
        <w:t>（6）《环境影响评价技术导则 生态影响》(HJ19-2022)；</w:t>
      </w:r>
    </w:p>
    <w:p>
      <w:pPr>
        <w:pStyle w:val="98"/>
        <w:snapToGrid w:val="0"/>
        <w:ind w:firstLine="480" w:firstLineChars="200"/>
        <w:rPr>
          <w:rFonts w:ascii="Times New Roman" w:hAnsi="Times New Roman" w:cs="Times New Roman"/>
        </w:rPr>
      </w:pPr>
      <w:r>
        <w:rPr>
          <w:rFonts w:ascii="Times New Roman" w:hAnsi="Times New Roman" w:cs="Times New Roman"/>
        </w:rPr>
        <w:t>（7）《建设项目环境风险评价技术导则》（HJ169-2018）；</w:t>
      </w:r>
    </w:p>
    <w:p>
      <w:pPr>
        <w:pStyle w:val="98"/>
        <w:snapToGrid w:val="0"/>
        <w:ind w:firstLine="480" w:firstLineChars="200"/>
        <w:rPr>
          <w:rFonts w:ascii="Times New Roman" w:hAnsi="Times New Roman" w:cs="Times New Roman"/>
        </w:rPr>
      </w:pPr>
      <w:r>
        <w:rPr>
          <w:rFonts w:ascii="Times New Roman" w:hAnsi="Times New Roman" w:cs="Times New Roman"/>
        </w:rPr>
        <w:t>（8）《环境影响评价技术导则 土壤环境（试行）》（HJ964-2018）；</w:t>
      </w:r>
    </w:p>
    <w:p>
      <w:pPr>
        <w:pStyle w:val="98"/>
        <w:snapToGrid w:val="0"/>
        <w:ind w:firstLine="480" w:firstLineChars="200"/>
        <w:rPr>
          <w:rFonts w:ascii="Times New Roman" w:hAnsi="Times New Roman" w:cs="Times New Roman"/>
        </w:rPr>
      </w:pPr>
      <w:r>
        <w:rPr>
          <w:rFonts w:ascii="Times New Roman" w:hAnsi="Times New Roman" w:cs="Times New Roman"/>
        </w:rPr>
        <w:t>（9）《环境噪声与振动控制工程技术导则》(HJ 2034-2013)；</w:t>
      </w:r>
    </w:p>
    <w:p>
      <w:pPr>
        <w:pStyle w:val="98"/>
        <w:snapToGrid w:val="0"/>
        <w:ind w:firstLine="480" w:firstLineChars="200"/>
        <w:rPr>
          <w:rFonts w:ascii="Times New Roman" w:hAnsi="Times New Roman" w:cs="Times New Roman"/>
        </w:rPr>
      </w:pPr>
      <w:r>
        <w:rPr>
          <w:rFonts w:ascii="Times New Roman" w:hAnsi="Times New Roman" w:cs="Times New Roman"/>
        </w:rPr>
        <w:t>（10）《污染源源强核算技术指南 准则》(HJ884-2018)；</w:t>
      </w:r>
    </w:p>
    <w:p>
      <w:pPr>
        <w:pStyle w:val="98"/>
        <w:snapToGrid w:val="0"/>
        <w:ind w:firstLine="480" w:firstLineChars="200"/>
        <w:rPr>
          <w:rFonts w:ascii="Times New Roman" w:hAnsi="Times New Roman" w:cs="Times New Roman"/>
        </w:rPr>
      </w:pPr>
      <w:r>
        <w:rPr>
          <w:rFonts w:ascii="Times New Roman" w:hAnsi="Times New Roman" w:cs="Times New Roman"/>
        </w:rPr>
        <w:t>（11）《排污单位自行监测技术指南 总则》(HJ819-2017)；</w:t>
      </w:r>
    </w:p>
    <w:p>
      <w:pPr>
        <w:pStyle w:val="98"/>
        <w:snapToGrid w:val="0"/>
        <w:ind w:firstLine="480" w:firstLineChars="200"/>
        <w:rPr>
          <w:rFonts w:ascii="Times New Roman" w:hAnsi="Times New Roman" w:cs="Times New Roman"/>
        </w:rPr>
      </w:pPr>
      <w:r>
        <w:rPr>
          <w:rFonts w:ascii="Times New Roman" w:hAnsi="Times New Roman" w:cs="Times New Roman"/>
        </w:rPr>
        <w:t>（12）《固体废物鉴别标准通则》（GB34330-2017）；</w:t>
      </w:r>
    </w:p>
    <w:p>
      <w:pPr>
        <w:pStyle w:val="98"/>
        <w:snapToGrid w:val="0"/>
        <w:ind w:firstLine="480" w:firstLineChars="200"/>
        <w:rPr>
          <w:rFonts w:ascii="Times New Roman" w:hAnsi="Times New Roman" w:cs="Times New Roman"/>
        </w:rPr>
      </w:pPr>
      <w:r>
        <w:rPr>
          <w:rFonts w:ascii="Times New Roman" w:hAnsi="Times New Roman" w:cs="Times New Roman"/>
        </w:rPr>
        <w:t>（13）《排污许可证申请与核发技术规范 码头》（HJ1107-2020）；</w:t>
      </w:r>
    </w:p>
    <w:p>
      <w:pPr>
        <w:pStyle w:val="98"/>
        <w:snapToGrid w:val="0"/>
        <w:ind w:firstLine="480" w:firstLineChars="200"/>
        <w:rPr>
          <w:rFonts w:ascii="Times New Roman" w:hAnsi="Times New Roman" w:cs="Times New Roman"/>
        </w:rPr>
      </w:pPr>
      <w:r>
        <w:rPr>
          <w:rFonts w:ascii="Times New Roman" w:hAnsi="Times New Roman" w:cs="Times New Roman"/>
        </w:rPr>
        <w:t>（14）</w:t>
      </w:r>
      <w:r>
        <w:rPr>
          <w:rFonts w:hint="eastAsia" w:ascii="Times New Roman" w:hAnsi="Times New Roman" w:cs="Times New Roman"/>
        </w:rPr>
        <w:t>《港口建设项目环境影响评价文件审批原则（试行）》；</w:t>
      </w:r>
    </w:p>
    <w:p>
      <w:pPr>
        <w:pStyle w:val="98"/>
        <w:snapToGrid w:val="0"/>
        <w:ind w:firstLine="480" w:firstLineChars="200"/>
        <w:rPr>
          <w:rFonts w:ascii="Times New Roman" w:hAnsi="Times New Roman" w:cs="Times New Roman"/>
        </w:rPr>
      </w:pPr>
      <w:r>
        <w:rPr>
          <w:rFonts w:ascii="Times New Roman" w:hAnsi="Times New Roman" w:cs="Times New Roman"/>
        </w:rPr>
        <w:t>（15）《水运工程环境保护设计规范》（JTS 149-2018）；</w:t>
      </w:r>
    </w:p>
    <w:p>
      <w:pPr>
        <w:pStyle w:val="98"/>
        <w:snapToGrid w:val="0"/>
        <w:ind w:firstLine="480" w:firstLineChars="200"/>
        <w:rPr>
          <w:rFonts w:ascii="Times New Roman" w:hAnsi="Times New Roman" w:cs="Times New Roman"/>
        </w:rPr>
      </w:pPr>
      <w:r>
        <w:rPr>
          <w:rFonts w:ascii="Times New Roman" w:hAnsi="Times New Roman" w:cs="Times New Roman"/>
        </w:rPr>
        <w:t>（16）《水运工程建设项目环境影响评价指南》(JTS105-2021)；</w:t>
      </w:r>
    </w:p>
    <w:p>
      <w:pPr>
        <w:pStyle w:val="98"/>
        <w:snapToGrid w:val="0"/>
        <w:ind w:firstLine="480" w:firstLineChars="200"/>
        <w:rPr>
          <w:rFonts w:ascii="Times New Roman" w:hAnsi="Times New Roman" w:cs="Times New Roman"/>
        </w:rPr>
      </w:pPr>
      <w:r>
        <w:rPr>
          <w:rFonts w:ascii="Times New Roman" w:hAnsi="Times New Roman" w:cs="Times New Roman"/>
        </w:rPr>
        <w:t>（17）《港口码头水上污染事故应急防备能力要求》（JT/T 451-2017）；</w:t>
      </w:r>
    </w:p>
    <w:p>
      <w:pPr>
        <w:pStyle w:val="98"/>
        <w:snapToGrid w:val="0"/>
        <w:ind w:firstLine="480" w:firstLineChars="200"/>
        <w:rPr>
          <w:rFonts w:ascii="Times New Roman" w:hAnsi="Times New Roman" w:cs="Times New Roman"/>
        </w:rPr>
      </w:pPr>
      <w:r>
        <w:rPr>
          <w:rFonts w:ascii="Times New Roman" w:hAnsi="Times New Roman" w:cs="Times New Roman"/>
        </w:rPr>
        <w:t>（18）《港口（港区）溢油应急计划编制指南》，中国海事局，2001年8月；</w:t>
      </w:r>
    </w:p>
    <w:p>
      <w:pPr>
        <w:pStyle w:val="98"/>
        <w:snapToGrid w:val="0"/>
        <w:ind w:firstLine="480" w:firstLineChars="200"/>
        <w:rPr>
          <w:rFonts w:ascii="Times New Roman" w:hAnsi="Times New Roman" w:cs="Times New Roman"/>
        </w:rPr>
      </w:pPr>
      <w:r>
        <w:rPr>
          <w:rFonts w:ascii="Times New Roman" w:hAnsi="Times New Roman" w:cs="Times New Roman"/>
        </w:rPr>
        <w:t>（19）《水上溢油环境风险评估技术导则》（JT/T1143-2017）；</w:t>
      </w:r>
    </w:p>
    <w:p>
      <w:pPr>
        <w:pStyle w:val="98"/>
        <w:snapToGrid w:val="0"/>
        <w:ind w:firstLine="480" w:firstLineChars="200"/>
        <w:rPr>
          <w:rFonts w:ascii="Times New Roman" w:hAnsi="Times New Roman" w:cs="Times New Roman"/>
        </w:rPr>
      </w:pPr>
      <w:r>
        <w:rPr>
          <w:rFonts w:ascii="Times New Roman" w:hAnsi="Times New Roman" w:cs="Times New Roman"/>
        </w:rPr>
        <w:t>（20）《码头油气回收设施建设技术规范》（JTS 196-12-2017）；</w:t>
      </w:r>
    </w:p>
    <w:p>
      <w:pPr>
        <w:pStyle w:val="98"/>
        <w:snapToGrid w:val="0"/>
        <w:ind w:firstLine="480" w:firstLineChars="200"/>
        <w:rPr>
          <w:rFonts w:ascii="Times New Roman" w:hAnsi="Times New Roman" w:cs="Times New Roman"/>
        </w:rPr>
      </w:pPr>
      <w:r>
        <w:rPr>
          <w:rFonts w:ascii="Times New Roman" w:hAnsi="Times New Roman" w:cs="Times New Roman"/>
        </w:rPr>
        <w:t>（21）《船舶水污染物内河港口岸上接收设施设计指南》（JTS/T175-2019）；</w:t>
      </w:r>
    </w:p>
    <w:p>
      <w:pPr>
        <w:pStyle w:val="98"/>
        <w:snapToGrid w:val="0"/>
        <w:ind w:firstLine="480" w:firstLineChars="200"/>
        <w:rPr>
          <w:rFonts w:ascii="Times New Roman" w:hAnsi="Times New Roman" w:cs="Times New Roman"/>
        </w:rPr>
      </w:pPr>
      <w:r>
        <w:rPr>
          <w:rFonts w:ascii="Times New Roman" w:hAnsi="Times New Roman" w:cs="Times New Roman"/>
        </w:rPr>
        <w:t>（22）《港口工程清洁生产设计指南》（JTS/T178-2020）；</w:t>
      </w:r>
    </w:p>
    <w:p>
      <w:pPr>
        <w:pStyle w:val="98"/>
        <w:snapToGrid w:val="0"/>
        <w:ind w:firstLine="480" w:firstLineChars="200"/>
        <w:rPr>
          <w:rFonts w:ascii="Times New Roman" w:hAnsi="Times New Roman" w:cs="Times New Roman"/>
        </w:rPr>
      </w:pPr>
      <w:r>
        <w:rPr>
          <w:rFonts w:ascii="Times New Roman" w:hAnsi="Times New Roman" w:cs="Times New Roman"/>
        </w:rPr>
        <w:t>（23）《水运工程生态保护修复与景观设计指南》（JTS/T183-2021）；</w:t>
      </w:r>
    </w:p>
    <w:p>
      <w:pPr>
        <w:pStyle w:val="98"/>
        <w:snapToGrid w:val="0"/>
        <w:ind w:firstLine="480" w:firstLineChars="200"/>
        <w:rPr>
          <w:rFonts w:ascii="Times New Roman" w:hAnsi="Times New Roman" w:cs="Times New Roman"/>
        </w:rPr>
      </w:pPr>
      <w:bookmarkStart w:id="68" w:name="_Hlk46328794"/>
      <w:r>
        <w:rPr>
          <w:rFonts w:ascii="Times New Roman" w:hAnsi="Times New Roman" w:cs="Times New Roman"/>
        </w:rPr>
        <w:t>（24）《</w:t>
      </w:r>
      <w:r>
        <w:fldChar w:fldCharType="begin"/>
      </w:r>
      <w:r>
        <w:instrText xml:space="preserve"> HYPERLINK "http://www.mee.gov.cn/ywgz/dqhjbh/dqgdyhjgl/202006/W020200630390169487941.pdf" </w:instrText>
      </w:r>
      <w:r>
        <w:fldChar w:fldCharType="separate"/>
      </w:r>
      <w:r>
        <w:rPr>
          <w:rFonts w:ascii="Times New Roman" w:hAnsi="Times New Roman" w:cs="Times New Roman"/>
        </w:rPr>
        <w:t>挥发性有机物治理实用手册</w:t>
      </w:r>
      <w:r>
        <w:rPr>
          <w:rFonts w:ascii="Times New Roman" w:hAnsi="Times New Roman" w:cs="Times New Roman"/>
        </w:rPr>
        <w:fldChar w:fldCharType="end"/>
      </w:r>
      <w:r>
        <w:rPr>
          <w:rFonts w:ascii="Times New Roman" w:hAnsi="Times New Roman" w:cs="Times New Roman"/>
        </w:rPr>
        <w:t>（第二版）》及《油品储运销挥发性有机物治理实用手册》；</w:t>
      </w:r>
    </w:p>
    <w:p>
      <w:pPr>
        <w:pStyle w:val="98"/>
        <w:snapToGrid w:val="0"/>
        <w:ind w:firstLine="480" w:firstLineChars="200"/>
        <w:rPr>
          <w:rFonts w:ascii="Times New Roman" w:hAnsi="Times New Roman" w:cs="Times New Roman"/>
        </w:rPr>
      </w:pPr>
      <w:r>
        <w:rPr>
          <w:rFonts w:ascii="Times New Roman" w:hAnsi="Times New Roman" w:cs="Times New Roman"/>
        </w:rPr>
        <w:t>（25）《内河禁运危险化学品目录（2019版）》，交通运输部 生态环境部 工业和信息化部 应急管理部；</w:t>
      </w:r>
    </w:p>
    <w:p>
      <w:pPr>
        <w:pStyle w:val="98"/>
        <w:snapToGrid w:val="0"/>
        <w:ind w:firstLine="480" w:firstLineChars="200"/>
        <w:rPr>
          <w:rFonts w:ascii="Times New Roman" w:hAnsi="Times New Roman" w:cs="Times New Roman"/>
        </w:rPr>
      </w:pPr>
      <w:r>
        <w:rPr>
          <w:rFonts w:ascii="Times New Roman" w:hAnsi="Times New Roman" w:cs="Times New Roman"/>
        </w:rPr>
        <w:t>（26）《湖泊河流环保疏浚工程技术指南》（环办〔2014〕111号附件3）；</w:t>
      </w:r>
    </w:p>
    <w:p>
      <w:pPr>
        <w:pStyle w:val="98"/>
        <w:snapToGrid w:val="0"/>
        <w:ind w:firstLine="480" w:firstLineChars="200"/>
        <w:rPr>
          <w:rFonts w:ascii="Times New Roman" w:hAnsi="Times New Roman" w:cs="Times New Roman"/>
        </w:rPr>
      </w:pPr>
      <w:r>
        <w:rPr>
          <w:rFonts w:ascii="Times New Roman" w:hAnsi="Times New Roman" w:cs="Times New Roman"/>
        </w:rPr>
        <w:t>（27）《设备泄漏挥发性有机物排放控制技术规范》（DB34/T 310007-2021）；</w:t>
      </w:r>
    </w:p>
    <w:p>
      <w:pPr>
        <w:pStyle w:val="98"/>
        <w:snapToGrid w:val="0"/>
        <w:ind w:firstLine="480" w:firstLineChars="200"/>
        <w:rPr>
          <w:rFonts w:ascii="Times New Roman" w:hAnsi="Times New Roman" w:cs="Times New Roman"/>
        </w:rPr>
      </w:pPr>
      <w:r>
        <w:rPr>
          <w:rFonts w:ascii="Times New Roman" w:hAnsi="Times New Roman" w:cs="Times New Roman"/>
        </w:rPr>
        <w:t>（28）《排污许可证申请与核发技术规范 储油库、加油站》（HJ 1118-2020）；</w:t>
      </w:r>
    </w:p>
    <w:p>
      <w:pPr>
        <w:pStyle w:val="98"/>
        <w:snapToGrid w:val="0"/>
        <w:ind w:firstLine="480" w:firstLineChars="200"/>
        <w:rPr>
          <w:rFonts w:ascii="Times New Roman" w:hAnsi="Times New Roman" w:cs="Times New Roman"/>
        </w:rPr>
      </w:pPr>
      <w:r>
        <w:rPr>
          <w:rFonts w:ascii="Times New Roman" w:hAnsi="Times New Roman" w:cs="Times New Roman"/>
        </w:rPr>
        <w:t>（29）《石油炼制工业废气治理工程技术规范》（HJ 1094-2020）；</w:t>
      </w:r>
    </w:p>
    <w:p>
      <w:pPr>
        <w:pStyle w:val="98"/>
        <w:snapToGrid w:val="0"/>
        <w:ind w:firstLine="480" w:firstLineChars="200"/>
        <w:rPr>
          <w:rFonts w:ascii="Times New Roman" w:hAnsi="Times New Roman" w:cs="Times New Roman"/>
        </w:rPr>
      </w:pPr>
      <w:r>
        <w:rPr>
          <w:rFonts w:ascii="Times New Roman" w:hAnsi="Times New Roman" w:cs="Times New Roman"/>
        </w:rPr>
        <w:t>（30）《排污单位自行监测技术指南 储油库、加油站》（HJ 1249-2022）。</w:t>
      </w:r>
    </w:p>
    <w:bookmarkEnd w:id="68"/>
    <w:p>
      <w:pPr>
        <w:pStyle w:val="4"/>
        <w:numPr>
          <w:ilvl w:val="2"/>
          <w:numId w:val="0"/>
        </w:numPr>
        <w:jc w:val="both"/>
        <w:rPr>
          <w:rFonts w:ascii="Times New Roman" w:hAnsi="Times New Roman" w:cs="Times New Roman"/>
          <w:color w:val="auto"/>
        </w:rPr>
      </w:pPr>
      <w:bookmarkStart w:id="69" w:name="_Toc104733299"/>
      <w:bookmarkStart w:id="70" w:name="_Toc102984259"/>
      <w:r>
        <w:rPr>
          <w:rFonts w:ascii="Times New Roman" w:hAnsi="Times New Roman" w:cs="Times New Roman"/>
          <w:color w:val="auto"/>
        </w:rPr>
        <w:t>2.1.5项目文件及相关规划</w:t>
      </w:r>
      <w:bookmarkEnd w:id="69"/>
      <w:bookmarkEnd w:id="70"/>
    </w:p>
    <w:p>
      <w:pPr>
        <w:ind w:firstLine="480"/>
        <w:rPr>
          <w:rFonts w:ascii="Times New Roman" w:hAnsi="Times New Roman" w:cs="Times New Roman"/>
          <w:color w:val="auto"/>
        </w:rPr>
      </w:pPr>
      <w:r>
        <w:rPr>
          <w:rFonts w:ascii="Times New Roman" w:hAnsi="Times New Roman" w:cs="Times New Roman"/>
          <w:color w:val="auto"/>
        </w:rPr>
        <w:t>（1）项目委托书；</w:t>
      </w:r>
    </w:p>
    <w:p>
      <w:pPr>
        <w:ind w:firstLine="480"/>
        <w:rPr>
          <w:rFonts w:ascii="Times New Roman" w:hAnsi="Times New Roman" w:cs="Times New Roman"/>
          <w:color w:val="auto"/>
        </w:rPr>
      </w:pPr>
      <w:r>
        <w:rPr>
          <w:rFonts w:ascii="Times New Roman" w:hAnsi="Times New Roman" w:cs="Times New Roman"/>
          <w:color w:val="auto"/>
        </w:rPr>
        <w:t>（2）</w:t>
      </w:r>
      <w:r>
        <w:rPr>
          <w:rFonts w:ascii="Times New Roman" w:hAnsi="Times New Roman" w:cs="Times New Roman"/>
          <w:color w:val="auto"/>
          <w:szCs w:val="28"/>
        </w:rPr>
        <w:t>项目立项文件</w:t>
      </w:r>
      <w:r>
        <w:rPr>
          <w:rFonts w:ascii="Times New Roman" w:hAnsi="Times New Roman" w:cs="Times New Roman"/>
          <w:color w:val="auto"/>
        </w:rPr>
        <w:t>；</w:t>
      </w:r>
    </w:p>
    <w:p>
      <w:pPr>
        <w:ind w:firstLine="480"/>
        <w:rPr>
          <w:rFonts w:ascii="Times New Roman" w:hAnsi="Times New Roman" w:cs="Times New Roman"/>
          <w:color w:val="auto"/>
          <w:szCs w:val="28"/>
        </w:rPr>
      </w:pPr>
      <w:r>
        <w:rPr>
          <w:rFonts w:ascii="Times New Roman" w:hAnsi="Times New Roman" w:cs="Times New Roman"/>
          <w:color w:val="auto"/>
          <w:szCs w:val="28"/>
        </w:rPr>
        <w:t>（3）《合肥东航码头可行性研究报告》及相关初步设计说明、图纸；</w:t>
      </w:r>
    </w:p>
    <w:p>
      <w:pPr>
        <w:ind w:firstLine="480"/>
        <w:rPr>
          <w:rFonts w:ascii="Times New Roman" w:hAnsi="Times New Roman" w:cs="Times New Roman"/>
          <w:color w:val="auto"/>
        </w:rPr>
      </w:pPr>
      <w:r>
        <w:rPr>
          <w:rFonts w:ascii="Times New Roman" w:hAnsi="Times New Roman" w:cs="Times New Roman"/>
          <w:color w:val="auto"/>
        </w:rPr>
        <w:t>（4）建设单位提供的工程技术资料；</w:t>
      </w:r>
    </w:p>
    <w:p>
      <w:pPr>
        <w:pStyle w:val="25"/>
        <w:ind w:firstLine="480"/>
        <w:rPr>
          <w:rFonts w:ascii="Times New Roman" w:hAnsi="Times New Roman" w:cs="Times New Roman"/>
        </w:rPr>
      </w:pPr>
      <w:r>
        <w:rPr>
          <w:rFonts w:ascii="Times New Roman" w:hAnsi="Times New Roman" w:cs="Times New Roman"/>
          <w:color w:val="auto"/>
        </w:rPr>
        <w:t>（5）</w:t>
      </w:r>
      <w:r>
        <w:rPr>
          <w:rFonts w:ascii="Times New Roman" w:hAnsi="Times New Roman" w:cs="Times New Roman"/>
        </w:rPr>
        <w:t>《安徽省干线航道网规划（2018—2030年）》；</w:t>
      </w:r>
    </w:p>
    <w:p>
      <w:pPr>
        <w:pStyle w:val="98"/>
        <w:ind w:firstLine="480" w:firstLineChars="200"/>
        <w:rPr>
          <w:rFonts w:ascii="Times New Roman" w:hAnsi="Times New Roman" w:cs="Times New Roman"/>
        </w:rPr>
      </w:pPr>
      <w:r>
        <w:rPr>
          <w:rFonts w:ascii="Times New Roman" w:hAnsi="Times New Roman" w:cs="Times New Roman"/>
        </w:rPr>
        <w:t>（6）《安徽省交通运输“十四五”发展规划》；</w:t>
      </w:r>
    </w:p>
    <w:p>
      <w:pPr>
        <w:pStyle w:val="98"/>
        <w:ind w:firstLine="480" w:firstLineChars="200"/>
        <w:rPr>
          <w:rFonts w:ascii="Times New Roman" w:hAnsi="Times New Roman" w:cs="Times New Roman"/>
        </w:rPr>
      </w:pPr>
      <w:r>
        <w:rPr>
          <w:rFonts w:ascii="Times New Roman" w:hAnsi="Times New Roman" w:cs="Times New Roman"/>
        </w:rPr>
        <w:t>（7）《</w:t>
      </w:r>
      <w:r>
        <w:rPr>
          <w:rFonts w:hint="eastAsia" w:ascii="Times New Roman" w:hAnsi="Times New Roman" w:cs="Times New Roman"/>
        </w:rPr>
        <w:t>合肥市“十四五”交通运输发展规划</w:t>
      </w:r>
      <w:r>
        <w:rPr>
          <w:rFonts w:ascii="Times New Roman" w:hAnsi="Times New Roman" w:cs="Times New Roman"/>
        </w:rPr>
        <w:t>》</w:t>
      </w:r>
      <w:r>
        <w:rPr>
          <w:rFonts w:hint="eastAsia" w:ascii="Times New Roman" w:hAnsi="Times New Roman" w:cs="Times New Roman"/>
        </w:rPr>
        <w:t>；</w:t>
      </w:r>
    </w:p>
    <w:p>
      <w:pPr>
        <w:pStyle w:val="98"/>
        <w:ind w:firstLine="480" w:firstLineChars="200"/>
        <w:rPr>
          <w:rFonts w:ascii="Times New Roman" w:hAnsi="Times New Roman" w:cs="Times New Roman"/>
        </w:rPr>
      </w:pPr>
      <w:r>
        <w:rPr>
          <w:rFonts w:ascii="Times New Roman" w:hAnsi="Times New Roman" w:cs="Times New Roman"/>
        </w:rPr>
        <w:t>（8）《合肥港总体规划（2035年）》</w:t>
      </w:r>
      <w:r>
        <w:rPr>
          <w:rFonts w:hint="eastAsia" w:ascii="Times New Roman" w:hAnsi="Times New Roman" w:cs="Times New Roman"/>
        </w:rPr>
        <w:t>；</w:t>
      </w:r>
    </w:p>
    <w:p>
      <w:pPr>
        <w:pStyle w:val="98"/>
        <w:ind w:firstLine="480" w:firstLineChars="200"/>
        <w:rPr>
          <w:rFonts w:ascii="Times New Roman" w:hAnsi="Times New Roman" w:cs="Times New Roman"/>
          <w:spacing w:val="-2"/>
          <w:szCs w:val="22"/>
        </w:rPr>
      </w:pPr>
      <w:r>
        <w:rPr>
          <w:rFonts w:ascii="Times New Roman" w:hAnsi="Times New Roman" w:cs="Times New Roman"/>
        </w:rPr>
        <w:t>（9）</w:t>
      </w:r>
      <w:r>
        <w:rPr>
          <w:rFonts w:ascii="Times New Roman" w:hAnsi="Times New Roman" w:cs="Times New Roman"/>
          <w:spacing w:val="-2"/>
          <w:szCs w:val="22"/>
        </w:rPr>
        <w:t>《合肥市城市总体规划（2011—2020年）》</w:t>
      </w:r>
      <w:r>
        <w:rPr>
          <w:rFonts w:hint="eastAsia" w:ascii="Times New Roman" w:hAnsi="Times New Roman" w:cs="Times New Roman"/>
          <w:spacing w:val="-2"/>
          <w:szCs w:val="22"/>
        </w:rPr>
        <w:t>；</w:t>
      </w:r>
    </w:p>
    <w:p>
      <w:pPr>
        <w:pStyle w:val="98"/>
        <w:ind w:firstLine="480" w:firstLineChars="200"/>
        <w:rPr>
          <w:rFonts w:ascii="Times New Roman" w:hAnsi="Times New Roman" w:cs="Times New Roman"/>
          <w:szCs w:val="22"/>
        </w:rPr>
      </w:pPr>
      <w:r>
        <w:rPr>
          <w:rFonts w:ascii="Times New Roman" w:hAnsi="Times New Roman" w:cs="Times New Roman"/>
        </w:rPr>
        <w:t>（10）</w:t>
      </w:r>
      <w:r>
        <w:rPr>
          <w:rFonts w:ascii="Times New Roman" w:hAnsi="Times New Roman" w:cs="Times New Roman"/>
          <w:szCs w:val="22"/>
        </w:rPr>
        <w:t>《肥东县城总体规划 2015-2030 年（2018 年修改）》</w:t>
      </w:r>
      <w:r>
        <w:rPr>
          <w:rFonts w:hint="eastAsia" w:ascii="Times New Roman" w:hAnsi="Times New Roman" w:cs="Times New Roman"/>
          <w:szCs w:val="22"/>
        </w:rPr>
        <w:t>；</w:t>
      </w:r>
    </w:p>
    <w:p>
      <w:pPr>
        <w:pStyle w:val="98"/>
        <w:ind w:firstLine="480" w:firstLineChars="200"/>
        <w:rPr>
          <w:rFonts w:ascii="Times New Roman" w:hAnsi="Times New Roman" w:cs="Times New Roman"/>
          <w:spacing w:val="-2"/>
          <w:szCs w:val="22"/>
        </w:rPr>
      </w:pPr>
      <w:r>
        <w:rPr>
          <w:rFonts w:ascii="Times New Roman" w:hAnsi="Times New Roman" w:cs="Times New Roman"/>
        </w:rPr>
        <w:t>（11）</w:t>
      </w:r>
      <w:r>
        <w:rPr>
          <w:rFonts w:ascii="Times New Roman" w:hAnsi="Times New Roman" w:cs="Times New Roman"/>
          <w:spacing w:val="-2"/>
          <w:szCs w:val="22"/>
        </w:rPr>
        <w:t>《肥东县撮镇镇总体规划（2009年-2030年）》</w:t>
      </w:r>
      <w:r>
        <w:rPr>
          <w:rFonts w:hint="eastAsia" w:ascii="Times New Roman" w:hAnsi="Times New Roman" w:cs="Times New Roman"/>
          <w:spacing w:val="-2"/>
          <w:szCs w:val="22"/>
        </w:rPr>
        <w:t>；</w:t>
      </w:r>
    </w:p>
    <w:p>
      <w:pPr>
        <w:pStyle w:val="98"/>
        <w:ind w:firstLine="480" w:firstLineChars="200"/>
        <w:rPr>
          <w:rFonts w:ascii="Times New Roman" w:hAnsi="Times New Roman" w:cs="Times New Roman"/>
        </w:rPr>
      </w:pPr>
      <w:r>
        <w:rPr>
          <w:rFonts w:ascii="Times New Roman" w:hAnsi="Times New Roman" w:cs="Times New Roman"/>
        </w:rPr>
        <w:t>（12）</w:t>
      </w:r>
      <w:r>
        <w:rPr>
          <w:rFonts w:ascii="Times New Roman" w:hAnsi="Times New Roman" w:cs="Times New Roman"/>
          <w:color w:val="FF0000"/>
          <w:spacing w:val="-2"/>
        </w:rPr>
        <w:t>《合肥循环经济示范园总体规划（2015-2030）》</w:t>
      </w:r>
      <w:r>
        <w:rPr>
          <w:rFonts w:hint="eastAsia" w:ascii="Times New Roman" w:hAnsi="Times New Roman" w:cs="Times New Roman"/>
          <w:color w:val="FF0000"/>
          <w:spacing w:val="-2"/>
        </w:rPr>
        <w:t>。</w:t>
      </w:r>
    </w:p>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71" w:name="_Toc31245"/>
      <w:bookmarkStart w:id="72" w:name="_Toc16137"/>
      <w:bookmarkStart w:id="73" w:name="_Toc102979807"/>
      <w:bookmarkStart w:id="74" w:name="_Toc104733300"/>
      <w:bookmarkStart w:id="75" w:name="_Toc475344739"/>
      <w:r>
        <w:rPr>
          <w:rFonts w:ascii="Times New Roman" w:hAnsi="Times New Roman" w:eastAsia="黑体" w:cs="Times New Roman"/>
          <w:color w:val="auto"/>
          <w:kern w:val="2"/>
          <w:sz w:val="28"/>
        </w:rPr>
        <w:t>2.2评价因子与评价标准</w:t>
      </w:r>
      <w:bookmarkEnd w:id="71"/>
      <w:bookmarkEnd w:id="72"/>
      <w:bookmarkEnd w:id="73"/>
      <w:bookmarkEnd w:id="74"/>
      <w:bookmarkEnd w:id="75"/>
    </w:p>
    <w:p>
      <w:pPr>
        <w:pStyle w:val="4"/>
        <w:numPr>
          <w:ilvl w:val="2"/>
          <w:numId w:val="0"/>
        </w:numPr>
        <w:spacing w:before="166" w:beforeLines="50"/>
        <w:jc w:val="both"/>
        <w:rPr>
          <w:rFonts w:ascii="Times New Roman" w:hAnsi="Times New Roman" w:cs="Times New Roman"/>
          <w:color w:val="auto"/>
        </w:rPr>
      </w:pPr>
      <w:bookmarkStart w:id="76" w:name="_Toc102984261"/>
      <w:bookmarkStart w:id="77" w:name="_Toc104733301"/>
      <w:r>
        <w:rPr>
          <w:rFonts w:ascii="Times New Roman" w:hAnsi="Times New Roman" w:cs="Times New Roman"/>
          <w:color w:val="auto"/>
        </w:rPr>
        <w:t>2.2.1评价因子筛选</w:t>
      </w:r>
      <w:bookmarkEnd w:id="76"/>
      <w:bookmarkEnd w:id="77"/>
    </w:p>
    <w:p>
      <w:pPr>
        <w:ind w:firstLine="480"/>
        <w:rPr>
          <w:rFonts w:ascii="Times New Roman" w:hAnsi="Times New Roman" w:cs="Times New Roman"/>
          <w:color w:val="auto"/>
        </w:rPr>
      </w:pPr>
      <w:r>
        <w:rPr>
          <w:rFonts w:ascii="Times New Roman" w:hAnsi="Times New Roman" w:cs="Times New Roman"/>
          <w:color w:val="auto"/>
        </w:rPr>
        <w:t>根据对拟建项目工程分析和环境影响识别，确定拟建项目主要的评价因子见表2.2-1。</w:t>
      </w:r>
    </w:p>
    <w:p>
      <w:pPr>
        <w:pStyle w:val="1062"/>
        <w:spacing w:line="240" w:lineRule="auto"/>
        <w:ind w:left="0"/>
        <w:rPr>
          <w:rFonts w:ascii="Times New Roman" w:hAnsi="Times New Roman" w:eastAsia="宋体" w:cs="Times New Roman"/>
          <w:color w:val="auto"/>
          <w:sz w:val="21"/>
          <w:szCs w:val="21"/>
        </w:rPr>
      </w:pPr>
      <w:bookmarkStart w:id="78" w:name="_Hlk46328871"/>
      <w:r>
        <w:rPr>
          <w:rFonts w:ascii="Times New Roman" w:hAnsi="Times New Roman" w:eastAsia="宋体" w:cs="Times New Roman"/>
          <w:color w:val="auto"/>
          <w:sz w:val="21"/>
          <w:szCs w:val="21"/>
        </w:rPr>
        <w:t>表2.2-1  拟建项目主要评价因子一览表</w:t>
      </w:r>
    </w:p>
    <w:tbl>
      <w:tblPr>
        <w:tblStyle w:val="62"/>
        <w:tblW w:w="9091"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29"/>
        <w:gridCol w:w="4536"/>
        <w:gridCol w:w="1701"/>
        <w:gridCol w:w="1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0" w:hRule="atLeast"/>
          <w:tblHeader/>
        </w:trPr>
        <w:tc>
          <w:tcPr>
            <w:tcW w:w="1129" w:type="dxa"/>
            <w:tcBorders>
              <w:top w:val="single" w:color="auto" w:sz="12" w:space="0"/>
              <w:left w:val="nil"/>
            </w:tcBorders>
            <w:vAlign w:val="center"/>
          </w:tcPr>
          <w:p>
            <w:pPr>
              <w:pStyle w:val="861"/>
              <w:rPr>
                <w:szCs w:val="18"/>
              </w:rPr>
            </w:pPr>
            <w:r>
              <w:rPr>
                <w:szCs w:val="18"/>
              </w:rPr>
              <w:t>环境要素</w:t>
            </w:r>
          </w:p>
        </w:tc>
        <w:tc>
          <w:tcPr>
            <w:tcW w:w="4536" w:type="dxa"/>
            <w:tcBorders>
              <w:top w:val="single" w:color="auto" w:sz="12" w:space="0"/>
            </w:tcBorders>
            <w:vAlign w:val="center"/>
          </w:tcPr>
          <w:p>
            <w:pPr>
              <w:pStyle w:val="861"/>
              <w:rPr>
                <w:szCs w:val="18"/>
              </w:rPr>
            </w:pPr>
            <w:r>
              <w:rPr>
                <w:szCs w:val="18"/>
              </w:rPr>
              <w:t>现状评价因子</w:t>
            </w:r>
          </w:p>
        </w:tc>
        <w:tc>
          <w:tcPr>
            <w:tcW w:w="1701" w:type="dxa"/>
            <w:tcBorders>
              <w:top w:val="single" w:color="auto" w:sz="12" w:space="0"/>
            </w:tcBorders>
            <w:vAlign w:val="center"/>
          </w:tcPr>
          <w:p>
            <w:pPr>
              <w:pStyle w:val="861"/>
              <w:rPr>
                <w:szCs w:val="18"/>
                <w:highlight w:val="yellow"/>
              </w:rPr>
            </w:pPr>
            <w:r>
              <w:rPr>
                <w:szCs w:val="18"/>
              </w:rPr>
              <w:t>影响预测评价因子</w:t>
            </w:r>
          </w:p>
        </w:tc>
        <w:tc>
          <w:tcPr>
            <w:tcW w:w="1725" w:type="dxa"/>
            <w:tcBorders>
              <w:top w:val="single" w:color="auto" w:sz="12" w:space="0"/>
              <w:right w:val="nil"/>
            </w:tcBorders>
            <w:vAlign w:val="center"/>
          </w:tcPr>
          <w:p>
            <w:pPr>
              <w:pStyle w:val="861"/>
              <w:rPr>
                <w:szCs w:val="18"/>
              </w:rPr>
            </w:pPr>
            <w:r>
              <w:rPr>
                <w:szCs w:val="18"/>
              </w:rPr>
              <w:t>总量控制因子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0" w:hRule="atLeast"/>
        </w:trPr>
        <w:tc>
          <w:tcPr>
            <w:tcW w:w="1129" w:type="dxa"/>
            <w:tcBorders>
              <w:left w:val="nil"/>
            </w:tcBorders>
            <w:vAlign w:val="center"/>
          </w:tcPr>
          <w:p>
            <w:pPr>
              <w:pStyle w:val="861"/>
              <w:rPr>
                <w:szCs w:val="18"/>
              </w:rPr>
            </w:pPr>
            <w:r>
              <w:rPr>
                <w:szCs w:val="18"/>
              </w:rPr>
              <w:t>大气</w:t>
            </w:r>
          </w:p>
        </w:tc>
        <w:tc>
          <w:tcPr>
            <w:tcW w:w="4536" w:type="dxa"/>
            <w:vAlign w:val="center"/>
          </w:tcPr>
          <w:p>
            <w:pPr>
              <w:pStyle w:val="861"/>
              <w:rPr>
                <w:szCs w:val="18"/>
              </w:rPr>
            </w:pPr>
            <w:r>
              <w:rPr>
                <w:szCs w:val="18"/>
              </w:rPr>
              <w:t>SO</w:t>
            </w:r>
            <w:r>
              <w:rPr>
                <w:szCs w:val="18"/>
                <w:vertAlign w:val="subscript"/>
              </w:rPr>
              <w:t>2</w:t>
            </w:r>
            <w:r>
              <w:rPr>
                <w:szCs w:val="18"/>
              </w:rPr>
              <w:t>、NO</w:t>
            </w:r>
            <w:r>
              <w:rPr>
                <w:szCs w:val="18"/>
                <w:vertAlign w:val="subscript"/>
              </w:rPr>
              <w:t>2</w:t>
            </w:r>
            <w:r>
              <w:rPr>
                <w:szCs w:val="18"/>
              </w:rPr>
              <w:t>、PM</w:t>
            </w:r>
            <w:r>
              <w:rPr>
                <w:szCs w:val="18"/>
                <w:vertAlign w:val="subscript"/>
              </w:rPr>
              <w:t>2.5</w:t>
            </w:r>
            <w:r>
              <w:rPr>
                <w:szCs w:val="18"/>
              </w:rPr>
              <w:t>、CO、O</w:t>
            </w:r>
            <w:r>
              <w:rPr>
                <w:szCs w:val="18"/>
                <w:vertAlign w:val="subscript"/>
              </w:rPr>
              <w:t>3</w:t>
            </w:r>
            <w:r>
              <w:rPr>
                <w:szCs w:val="18"/>
              </w:rPr>
              <w:t>、PM</w:t>
            </w:r>
            <w:r>
              <w:rPr>
                <w:szCs w:val="18"/>
                <w:vertAlign w:val="subscript"/>
              </w:rPr>
              <w:t>10</w:t>
            </w:r>
            <w:r>
              <w:rPr>
                <w:szCs w:val="18"/>
              </w:rPr>
              <w:t>、TSP、硫酸雾、非甲烷总烃</w:t>
            </w:r>
          </w:p>
        </w:tc>
        <w:tc>
          <w:tcPr>
            <w:tcW w:w="1701" w:type="dxa"/>
            <w:vAlign w:val="center"/>
          </w:tcPr>
          <w:p>
            <w:pPr>
              <w:pStyle w:val="861"/>
              <w:rPr>
                <w:szCs w:val="18"/>
              </w:rPr>
            </w:pPr>
            <w:r>
              <w:rPr>
                <w:szCs w:val="18"/>
              </w:rPr>
              <w:t>硫酸雾、非甲烷总烃</w:t>
            </w:r>
          </w:p>
        </w:tc>
        <w:tc>
          <w:tcPr>
            <w:tcW w:w="1725" w:type="dxa"/>
            <w:tcBorders>
              <w:right w:val="nil"/>
            </w:tcBorders>
            <w:vAlign w:val="center"/>
          </w:tcPr>
          <w:p>
            <w:pPr>
              <w:pStyle w:val="861"/>
              <w:rPr>
                <w:szCs w:val="18"/>
              </w:rPr>
            </w:pPr>
            <w:r>
              <w:rPr>
                <w:szCs w:val="18"/>
              </w:rPr>
              <w:t>控制因子：VOCs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0" w:hRule="atLeast"/>
        </w:trPr>
        <w:tc>
          <w:tcPr>
            <w:tcW w:w="1129" w:type="dxa"/>
            <w:tcBorders>
              <w:left w:val="nil"/>
            </w:tcBorders>
            <w:vAlign w:val="center"/>
          </w:tcPr>
          <w:p>
            <w:pPr>
              <w:pStyle w:val="861"/>
              <w:rPr>
                <w:szCs w:val="18"/>
              </w:rPr>
            </w:pPr>
            <w:r>
              <w:rPr>
                <w:szCs w:val="18"/>
              </w:rPr>
              <w:t>地表水</w:t>
            </w:r>
          </w:p>
        </w:tc>
        <w:tc>
          <w:tcPr>
            <w:tcW w:w="4536" w:type="dxa"/>
            <w:vAlign w:val="center"/>
          </w:tcPr>
          <w:p>
            <w:pPr>
              <w:pStyle w:val="861"/>
              <w:rPr>
                <w:szCs w:val="18"/>
              </w:rPr>
            </w:pPr>
            <w:r>
              <w:rPr>
                <w:rFonts w:hint="eastAsia"/>
                <w:szCs w:val="18"/>
              </w:rPr>
              <w:t>pH、DO、COD、BOD</w:t>
            </w:r>
            <w:r>
              <w:rPr>
                <w:rFonts w:hint="eastAsia"/>
                <w:szCs w:val="18"/>
                <w:vertAlign w:val="subscript"/>
              </w:rPr>
              <w:t>5</w:t>
            </w:r>
            <w:r>
              <w:rPr>
                <w:rFonts w:hint="eastAsia"/>
                <w:szCs w:val="18"/>
              </w:rPr>
              <w:t>、NH</w:t>
            </w:r>
            <w:r>
              <w:rPr>
                <w:rFonts w:hint="eastAsia"/>
                <w:szCs w:val="18"/>
                <w:vertAlign w:val="subscript"/>
              </w:rPr>
              <w:t>3</w:t>
            </w:r>
            <w:r>
              <w:rPr>
                <w:rFonts w:hint="eastAsia"/>
                <w:szCs w:val="18"/>
              </w:rPr>
              <w:t>-N、TP、TN、石油类</w:t>
            </w:r>
          </w:p>
        </w:tc>
        <w:tc>
          <w:tcPr>
            <w:tcW w:w="1701" w:type="dxa"/>
            <w:vAlign w:val="center"/>
          </w:tcPr>
          <w:p>
            <w:pPr>
              <w:pStyle w:val="861"/>
              <w:rPr>
                <w:szCs w:val="18"/>
              </w:rPr>
            </w:pPr>
            <w:r>
              <w:rPr>
                <w:rFonts w:hint="eastAsia"/>
                <w:szCs w:val="18"/>
              </w:rPr>
              <w:t>P</w:t>
            </w:r>
            <w:r>
              <w:rPr>
                <w:szCs w:val="18"/>
              </w:rPr>
              <w:t>H</w:t>
            </w:r>
            <w:r>
              <w:rPr>
                <w:rFonts w:hint="eastAsia"/>
                <w:szCs w:val="18"/>
              </w:rPr>
              <w:t>、</w:t>
            </w:r>
            <w:r>
              <w:rPr>
                <w:szCs w:val="18"/>
              </w:rPr>
              <w:t>石油类</w:t>
            </w:r>
          </w:p>
        </w:tc>
        <w:tc>
          <w:tcPr>
            <w:tcW w:w="1725" w:type="dxa"/>
            <w:tcBorders>
              <w:right w:val="nil"/>
            </w:tcBorders>
            <w:vAlign w:val="center"/>
          </w:tcPr>
          <w:p>
            <w:pPr>
              <w:pStyle w:val="861"/>
              <w:rPr>
                <w:szCs w:val="18"/>
              </w:rPr>
            </w:pPr>
            <w:r>
              <w:rPr>
                <w:rFonts w:hint="eastAsia"/>
                <w:szCs w:val="18"/>
              </w:rPr>
              <w:t>COD、NH</w:t>
            </w:r>
            <w:r>
              <w:rPr>
                <w:rFonts w:hint="eastAsia"/>
                <w:szCs w:val="18"/>
                <w:vertAlign w:val="subscript"/>
              </w:rPr>
              <w:t>3</w:t>
            </w:r>
            <w:r>
              <w:rPr>
                <w:rFonts w:hint="eastAsia"/>
                <w:szCs w:val="18"/>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0" w:hRule="atLeast"/>
        </w:trPr>
        <w:tc>
          <w:tcPr>
            <w:tcW w:w="1129" w:type="dxa"/>
            <w:tcBorders>
              <w:left w:val="nil"/>
            </w:tcBorders>
            <w:vAlign w:val="center"/>
          </w:tcPr>
          <w:p>
            <w:pPr>
              <w:pStyle w:val="861"/>
              <w:rPr>
                <w:szCs w:val="18"/>
              </w:rPr>
            </w:pPr>
            <w:r>
              <w:rPr>
                <w:szCs w:val="18"/>
              </w:rPr>
              <w:t>地下水</w:t>
            </w:r>
          </w:p>
        </w:tc>
        <w:tc>
          <w:tcPr>
            <w:tcW w:w="4536" w:type="dxa"/>
            <w:vAlign w:val="center"/>
          </w:tcPr>
          <w:p>
            <w:pPr>
              <w:pStyle w:val="861"/>
              <w:rPr>
                <w:szCs w:val="18"/>
              </w:rPr>
            </w:pPr>
            <w:r>
              <w:rPr>
                <w:szCs w:val="18"/>
              </w:rPr>
              <w:t>pH、氨氮、硝酸盐、亚硝酸盐、挥发性酚类、氰化物、砷、汞、铬(六价)、总硬度、铅、镉、铁、锰、铜、锌、溶解性总固体、耗氧量、总大肠菌群、细菌总数。</w:t>
            </w:r>
          </w:p>
        </w:tc>
        <w:tc>
          <w:tcPr>
            <w:tcW w:w="1701" w:type="dxa"/>
            <w:vAlign w:val="center"/>
          </w:tcPr>
          <w:p>
            <w:pPr>
              <w:pStyle w:val="861"/>
              <w:rPr>
                <w:szCs w:val="18"/>
                <w:highlight w:val="yellow"/>
              </w:rPr>
            </w:pPr>
            <w:r>
              <w:rPr>
                <w:szCs w:val="18"/>
              </w:rPr>
              <w:t>COD</w:t>
            </w:r>
          </w:p>
        </w:tc>
        <w:tc>
          <w:tcPr>
            <w:tcW w:w="1725" w:type="dxa"/>
            <w:tcBorders>
              <w:right w:val="nil"/>
            </w:tcBorders>
            <w:vAlign w:val="center"/>
          </w:tcPr>
          <w:p>
            <w:pPr>
              <w:pStyle w:val="861"/>
              <w:rPr>
                <w:szCs w:val="18"/>
              </w:rPr>
            </w:pPr>
            <w:r>
              <w:rPr>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0" w:hRule="atLeast"/>
        </w:trPr>
        <w:tc>
          <w:tcPr>
            <w:tcW w:w="1129" w:type="dxa"/>
            <w:tcBorders>
              <w:left w:val="nil"/>
            </w:tcBorders>
            <w:vAlign w:val="center"/>
          </w:tcPr>
          <w:p>
            <w:pPr>
              <w:pStyle w:val="861"/>
              <w:rPr>
                <w:szCs w:val="18"/>
              </w:rPr>
            </w:pPr>
            <w:r>
              <w:rPr>
                <w:szCs w:val="18"/>
              </w:rPr>
              <w:t>声环境</w:t>
            </w:r>
          </w:p>
        </w:tc>
        <w:tc>
          <w:tcPr>
            <w:tcW w:w="4536" w:type="dxa"/>
            <w:vAlign w:val="center"/>
          </w:tcPr>
          <w:p>
            <w:pPr>
              <w:pStyle w:val="861"/>
              <w:rPr>
                <w:szCs w:val="18"/>
              </w:rPr>
            </w:pPr>
            <w:r>
              <w:rPr>
                <w:szCs w:val="18"/>
              </w:rPr>
              <w:t>等效连续A声级</w:t>
            </w:r>
          </w:p>
        </w:tc>
        <w:tc>
          <w:tcPr>
            <w:tcW w:w="1701" w:type="dxa"/>
            <w:vAlign w:val="center"/>
          </w:tcPr>
          <w:p>
            <w:pPr>
              <w:pStyle w:val="861"/>
              <w:rPr>
                <w:szCs w:val="18"/>
              </w:rPr>
            </w:pPr>
            <w:r>
              <w:rPr>
                <w:szCs w:val="18"/>
              </w:rPr>
              <w:t>等效连续A声级</w:t>
            </w:r>
          </w:p>
        </w:tc>
        <w:tc>
          <w:tcPr>
            <w:tcW w:w="1725" w:type="dxa"/>
            <w:tcBorders>
              <w:right w:val="nil"/>
            </w:tcBorders>
            <w:vAlign w:val="center"/>
          </w:tcPr>
          <w:p>
            <w:pPr>
              <w:pStyle w:val="861"/>
              <w:rPr>
                <w:szCs w:val="18"/>
              </w:rPr>
            </w:pPr>
            <w:r>
              <w:rPr>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6" w:hRule="atLeast"/>
        </w:trPr>
        <w:tc>
          <w:tcPr>
            <w:tcW w:w="1129" w:type="dxa"/>
            <w:tcBorders>
              <w:left w:val="nil"/>
            </w:tcBorders>
            <w:vAlign w:val="center"/>
          </w:tcPr>
          <w:p>
            <w:pPr>
              <w:pStyle w:val="861"/>
              <w:rPr>
                <w:szCs w:val="18"/>
              </w:rPr>
            </w:pPr>
            <w:r>
              <w:rPr>
                <w:szCs w:val="18"/>
              </w:rPr>
              <w:t>土壤环境</w:t>
            </w:r>
          </w:p>
        </w:tc>
        <w:tc>
          <w:tcPr>
            <w:tcW w:w="4536" w:type="dxa"/>
            <w:vMerge w:val="restart"/>
            <w:vAlign w:val="center"/>
          </w:tcPr>
          <w:p>
            <w:pPr>
              <w:pStyle w:val="861"/>
              <w:rPr>
                <w:szCs w:val="18"/>
              </w:rPr>
            </w:pPr>
            <w:r>
              <w:rPr>
                <w:szCs w:val="18"/>
              </w:rPr>
              <w:t>《土壤环境质量 建设用地土壤污染风险管控标准（试行）》(GB 36600-2018)表1中45项必测项目+石油烃</w:t>
            </w:r>
            <w:r>
              <w:rPr>
                <w:rFonts w:hint="eastAsia"/>
                <w:szCs w:val="18"/>
              </w:rPr>
              <w:t>、P</w:t>
            </w:r>
            <w:r>
              <w:rPr>
                <w:szCs w:val="18"/>
              </w:rPr>
              <w:t>H</w:t>
            </w:r>
          </w:p>
        </w:tc>
        <w:tc>
          <w:tcPr>
            <w:tcW w:w="1701" w:type="dxa"/>
            <w:vMerge w:val="restart"/>
            <w:vAlign w:val="center"/>
          </w:tcPr>
          <w:p>
            <w:pPr>
              <w:pStyle w:val="861"/>
              <w:rPr>
                <w:szCs w:val="18"/>
              </w:rPr>
            </w:pPr>
            <w:r>
              <w:rPr>
                <w:szCs w:val="18"/>
              </w:rPr>
              <w:t>石油烃</w:t>
            </w:r>
          </w:p>
        </w:tc>
        <w:tc>
          <w:tcPr>
            <w:tcW w:w="1725" w:type="dxa"/>
            <w:vMerge w:val="restart"/>
            <w:tcBorders>
              <w:right w:val="nil"/>
            </w:tcBorders>
            <w:vAlign w:val="center"/>
          </w:tcPr>
          <w:p>
            <w:pPr>
              <w:pStyle w:val="861"/>
              <w:rPr>
                <w:szCs w:val="18"/>
              </w:rPr>
            </w:pPr>
            <w:r>
              <w:rPr>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0" w:hRule="atLeast"/>
        </w:trPr>
        <w:tc>
          <w:tcPr>
            <w:tcW w:w="1129" w:type="dxa"/>
            <w:tcBorders>
              <w:left w:val="nil"/>
            </w:tcBorders>
            <w:vAlign w:val="center"/>
          </w:tcPr>
          <w:p>
            <w:pPr>
              <w:pStyle w:val="861"/>
              <w:rPr>
                <w:color w:val="FF0000"/>
                <w:szCs w:val="18"/>
              </w:rPr>
            </w:pPr>
            <w:r>
              <w:rPr>
                <w:color w:val="FF0000"/>
                <w:szCs w:val="18"/>
              </w:rPr>
              <w:t>店埠河及南淝河底泥</w:t>
            </w:r>
          </w:p>
        </w:tc>
        <w:tc>
          <w:tcPr>
            <w:tcW w:w="4536" w:type="dxa"/>
            <w:vMerge w:val="continue"/>
            <w:vAlign w:val="center"/>
          </w:tcPr>
          <w:p>
            <w:pPr>
              <w:pStyle w:val="861"/>
              <w:rPr>
                <w:szCs w:val="18"/>
              </w:rPr>
            </w:pPr>
          </w:p>
        </w:tc>
        <w:tc>
          <w:tcPr>
            <w:tcW w:w="1701" w:type="dxa"/>
            <w:vMerge w:val="continue"/>
            <w:vAlign w:val="center"/>
          </w:tcPr>
          <w:p>
            <w:pPr>
              <w:pStyle w:val="861"/>
              <w:rPr>
                <w:szCs w:val="18"/>
              </w:rPr>
            </w:pPr>
          </w:p>
        </w:tc>
        <w:tc>
          <w:tcPr>
            <w:tcW w:w="1725" w:type="dxa"/>
            <w:vMerge w:val="continue"/>
            <w:tcBorders>
              <w:right w:val="nil"/>
            </w:tcBorders>
            <w:vAlign w:val="center"/>
          </w:tcPr>
          <w:p>
            <w:pPr>
              <w:pStyle w:val="861"/>
              <w:rPr>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2" w:hRule="atLeast"/>
        </w:trPr>
        <w:tc>
          <w:tcPr>
            <w:tcW w:w="1129" w:type="dxa"/>
            <w:tcBorders>
              <w:left w:val="nil"/>
            </w:tcBorders>
            <w:vAlign w:val="center"/>
          </w:tcPr>
          <w:p>
            <w:pPr>
              <w:pStyle w:val="861"/>
              <w:rPr>
                <w:szCs w:val="18"/>
              </w:rPr>
            </w:pPr>
            <w:r>
              <w:rPr>
                <w:szCs w:val="18"/>
              </w:rPr>
              <w:t>固体废物</w:t>
            </w:r>
          </w:p>
        </w:tc>
        <w:tc>
          <w:tcPr>
            <w:tcW w:w="6237" w:type="dxa"/>
            <w:gridSpan w:val="2"/>
            <w:vAlign w:val="center"/>
          </w:tcPr>
          <w:p>
            <w:pPr>
              <w:pStyle w:val="861"/>
              <w:rPr>
                <w:szCs w:val="18"/>
              </w:rPr>
            </w:pPr>
            <w:r>
              <w:rPr>
                <w:szCs w:val="18"/>
              </w:rPr>
              <w:t>固体废物的产生量、处置量及</w:t>
            </w:r>
            <w:r>
              <w:rPr>
                <w:rFonts w:hint="eastAsia"/>
                <w:szCs w:val="18"/>
              </w:rPr>
              <w:t>去向</w:t>
            </w:r>
          </w:p>
        </w:tc>
        <w:tc>
          <w:tcPr>
            <w:tcW w:w="1725" w:type="dxa"/>
            <w:tcBorders>
              <w:right w:val="nil"/>
            </w:tcBorders>
            <w:vAlign w:val="center"/>
          </w:tcPr>
          <w:p>
            <w:pPr>
              <w:pStyle w:val="861"/>
              <w:rPr>
                <w:szCs w:val="18"/>
              </w:rPr>
            </w:pPr>
            <w:r>
              <w:rPr>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2" w:hRule="atLeast"/>
        </w:trPr>
        <w:tc>
          <w:tcPr>
            <w:tcW w:w="1129" w:type="dxa"/>
            <w:tcBorders>
              <w:left w:val="nil"/>
              <w:bottom w:val="single" w:color="auto" w:sz="12" w:space="0"/>
            </w:tcBorders>
            <w:vAlign w:val="center"/>
          </w:tcPr>
          <w:p>
            <w:pPr>
              <w:pStyle w:val="861"/>
              <w:rPr>
                <w:color w:val="FF0000"/>
                <w:szCs w:val="18"/>
              </w:rPr>
            </w:pPr>
            <w:r>
              <w:rPr>
                <w:rFonts w:hint="eastAsia"/>
                <w:color w:val="FF0000"/>
                <w:szCs w:val="18"/>
              </w:rPr>
              <w:t>生态环境</w:t>
            </w:r>
          </w:p>
        </w:tc>
        <w:tc>
          <w:tcPr>
            <w:tcW w:w="4536" w:type="dxa"/>
            <w:tcBorders>
              <w:bottom w:val="single" w:color="auto" w:sz="12" w:space="0"/>
            </w:tcBorders>
            <w:vAlign w:val="center"/>
          </w:tcPr>
          <w:p>
            <w:pPr>
              <w:pStyle w:val="861"/>
              <w:rPr>
                <w:color w:val="FF0000"/>
                <w:szCs w:val="18"/>
              </w:rPr>
            </w:pPr>
            <w:r>
              <w:rPr>
                <w:rFonts w:hint="eastAsia"/>
                <w:color w:val="FF0000"/>
                <w:szCs w:val="18"/>
              </w:rPr>
              <w:t>植被类型及生境类型、野生动物资源、鱼类、水生生境</w:t>
            </w:r>
          </w:p>
        </w:tc>
        <w:tc>
          <w:tcPr>
            <w:tcW w:w="1701" w:type="dxa"/>
            <w:tcBorders>
              <w:bottom w:val="single" w:color="auto" w:sz="12" w:space="0"/>
            </w:tcBorders>
            <w:vAlign w:val="center"/>
          </w:tcPr>
          <w:p>
            <w:pPr>
              <w:pStyle w:val="861"/>
              <w:rPr>
                <w:color w:val="FF0000"/>
                <w:szCs w:val="18"/>
              </w:rPr>
            </w:pPr>
            <w:r>
              <w:rPr>
                <w:rFonts w:hint="eastAsia"/>
                <w:color w:val="FF0000"/>
                <w:szCs w:val="18"/>
              </w:rPr>
              <w:t>陆生生境及水生生境质量；鸟类等陆生生物和鱼类等水生生物的种类组成、种群结构、资源时空分布</w:t>
            </w:r>
          </w:p>
        </w:tc>
        <w:tc>
          <w:tcPr>
            <w:tcW w:w="1725" w:type="dxa"/>
            <w:tcBorders>
              <w:bottom w:val="single" w:color="auto" w:sz="12" w:space="0"/>
              <w:right w:val="nil"/>
            </w:tcBorders>
            <w:vAlign w:val="center"/>
          </w:tcPr>
          <w:p>
            <w:pPr>
              <w:pStyle w:val="861"/>
              <w:rPr>
                <w:szCs w:val="18"/>
              </w:rPr>
            </w:pPr>
            <w:r>
              <w:rPr>
                <w:szCs w:val="18"/>
              </w:rPr>
              <w:t>/</w:t>
            </w:r>
          </w:p>
        </w:tc>
      </w:tr>
      <w:bookmarkEnd w:id="78"/>
    </w:tbl>
    <w:p>
      <w:pPr>
        <w:pStyle w:val="4"/>
        <w:numPr>
          <w:ilvl w:val="2"/>
          <w:numId w:val="0"/>
        </w:numPr>
        <w:spacing w:before="166" w:beforeLines="50"/>
        <w:jc w:val="both"/>
        <w:rPr>
          <w:rFonts w:ascii="Times New Roman" w:hAnsi="Times New Roman" w:cs="Times New Roman"/>
          <w:color w:val="auto"/>
        </w:rPr>
      </w:pPr>
      <w:bookmarkStart w:id="79" w:name="_Toc102984262"/>
      <w:bookmarkStart w:id="80" w:name="_Toc104733302"/>
      <w:r>
        <w:rPr>
          <w:rFonts w:ascii="Times New Roman" w:hAnsi="Times New Roman" w:cs="Times New Roman"/>
          <w:color w:val="auto"/>
        </w:rPr>
        <w:t>2.2.3环境功能区划</w:t>
      </w:r>
      <w:bookmarkEnd w:id="79"/>
      <w:bookmarkEnd w:id="80"/>
    </w:p>
    <w:p>
      <w:pPr>
        <w:ind w:firstLine="480"/>
        <w:rPr>
          <w:rFonts w:ascii="Times New Roman" w:hAnsi="Times New Roman" w:cs="Times New Roman"/>
          <w:color w:val="auto"/>
        </w:rPr>
      </w:pPr>
      <w:r>
        <w:rPr>
          <w:rFonts w:ascii="Times New Roman" w:hAnsi="Times New Roman" w:cs="Times New Roman"/>
          <w:color w:val="auto"/>
        </w:rPr>
        <w:t>拟建项目所在区域环境功能区划详见表2.2-2。</w:t>
      </w:r>
    </w:p>
    <w:p>
      <w:pPr>
        <w:pStyle w:val="1062"/>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表2.2-2  区域环境功能区划</w:t>
      </w:r>
    </w:p>
    <w:tbl>
      <w:tblPr>
        <w:tblStyle w:val="62"/>
        <w:tblW w:w="9037" w:type="dxa"/>
        <w:tblInd w:w="1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990"/>
        <w:gridCol w:w="1835"/>
        <w:gridCol w:w="1560"/>
        <w:gridCol w:w="465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8" w:hRule="atLeast"/>
        </w:trPr>
        <w:tc>
          <w:tcPr>
            <w:tcW w:w="2825" w:type="dxa"/>
            <w:gridSpan w:val="2"/>
            <w:vAlign w:val="center"/>
          </w:tcPr>
          <w:p>
            <w:pPr>
              <w:pStyle w:val="861"/>
              <w:rPr>
                <w:kern w:val="2"/>
                <w:szCs w:val="18"/>
              </w:rPr>
            </w:pPr>
            <w:r>
              <w:rPr>
                <w:kern w:val="2"/>
                <w:szCs w:val="18"/>
              </w:rPr>
              <w:t>环境要素</w:t>
            </w:r>
          </w:p>
        </w:tc>
        <w:tc>
          <w:tcPr>
            <w:tcW w:w="1560" w:type="dxa"/>
            <w:vAlign w:val="center"/>
          </w:tcPr>
          <w:p>
            <w:pPr>
              <w:pStyle w:val="861"/>
              <w:rPr>
                <w:kern w:val="2"/>
                <w:szCs w:val="18"/>
              </w:rPr>
            </w:pPr>
            <w:r>
              <w:rPr>
                <w:kern w:val="2"/>
                <w:szCs w:val="18"/>
              </w:rPr>
              <w:t>功能</w:t>
            </w:r>
          </w:p>
        </w:tc>
        <w:tc>
          <w:tcPr>
            <w:tcW w:w="4652" w:type="dxa"/>
            <w:vAlign w:val="center"/>
          </w:tcPr>
          <w:p>
            <w:pPr>
              <w:pStyle w:val="861"/>
              <w:rPr>
                <w:kern w:val="2"/>
                <w:szCs w:val="18"/>
              </w:rPr>
            </w:pPr>
            <w:r>
              <w:rPr>
                <w:kern w:val="2"/>
                <w:szCs w:val="18"/>
              </w:rPr>
              <w:t>质量目标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9" w:hRule="atLeast"/>
        </w:trPr>
        <w:tc>
          <w:tcPr>
            <w:tcW w:w="990" w:type="dxa"/>
            <w:vMerge w:val="restart"/>
            <w:vAlign w:val="center"/>
          </w:tcPr>
          <w:p>
            <w:pPr>
              <w:pStyle w:val="861"/>
              <w:rPr>
                <w:kern w:val="2"/>
                <w:szCs w:val="18"/>
              </w:rPr>
            </w:pPr>
            <w:r>
              <w:rPr>
                <w:kern w:val="2"/>
                <w:szCs w:val="18"/>
              </w:rPr>
              <w:t>水环境</w:t>
            </w:r>
          </w:p>
        </w:tc>
        <w:tc>
          <w:tcPr>
            <w:tcW w:w="1835" w:type="dxa"/>
            <w:vAlign w:val="center"/>
          </w:tcPr>
          <w:p>
            <w:pPr>
              <w:pStyle w:val="861"/>
              <w:rPr>
                <w:kern w:val="2"/>
                <w:szCs w:val="18"/>
              </w:rPr>
            </w:pPr>
            <w:r>
              <w:rPr>
                <w:kern w:val="2"/>
                <w:szCs w:val="18"/>
              </w:rPr>
              <w:t>店埠河</w:t>
            </w:r>
          </w:p>
        </w:tc>
        <w:tc>
          <w:tcPr>
            <w:tcW w:w="1560" w:type="dxa"/>
            <w:vMerge w:val="restart"/>
            <w:vAlign w:val="center"/>
          </w:tcPr>
          <w:p>
            <w:pPr>
              <w:pStyle w:val="861"/>
              <w:rPr>
                <w:kern w:val="2"/>
                <w:szCs w:val="18"/>
              </w:rPr>
            </w:pPr>
            <w:r>
              <w:rPr>
                <w:kern w:val="2"/>
                <w:szCs w:val="18"/>
              </w:rPr>
              <w:fldChar w:fldCharType="begin"/>
            </w:r>
            <w:r>
              <w:rPr>
                <w:kern w:val="2"/>
                <w:szCs w:val="18"/>
              </w:rPr>
              <w:instrText xml:space="preserve"> = 4 \* ROMAN </w:instrText>
            </w:r>
            <w:r>
              <w:rPr>
                <w:kern w:val="2"/>
                <w:szCs w:val="18"/>
              </w:rPr>
              <w:fldChar w:fldCharType="separate"/>
            </w:r>
            <w:r>
              <w:rPr>
                <w:kern w:val="2"/>
                <w:szCs w:val="18"/>
              </w:rPr>
              <w:t>IV</w:t>
            </w:r>
            <w:r>
              <w:rPr>
                <w:kern w:val="2"/>
                <w:szCs w:val="18"/>
              </w:rPr>
              <w:fldChar w:fldCharType="end"/>
            </w:r>
            <w:r>
              <w:rPr>
                <w:kern w:val="2"/>
                <w:szCs w:val="18"/>
              </w:rPr>
              <w:t>类</w:t>
            </w:r>
          </w:p>
        </w:tc>
        <w:tc>
          <w:tcPr>
            <w:tcW w:w="4652" w:type="dxa"/>
            <w:vMerge w:val="restart"/>
            <w:vAlign w:val="center"/>
          </w:tcPr>
          <w:p>
            <w:pPr>
              <w:pStyle w:val="861"/>
              <w:rPr>
                <w:kern w:val="2"/>
                <w:szCs w:val="18"/>
              </w:rPr>
            </w:pPr>
            <w:r>
              <w:rPr>
                <w:kern w:val="2"/>
                <w:szCs w:val="18"/>
              </w:rPr>
              <w:t>《地表水环境质量标准》（GB3838-2002）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9" w:hRule="atLeast"/>
        </w:trPr>
        <w:tc>
          <w:tcPr>
            <w:tcW w:w="990" w:type="dxa"/>
            <w:vMerge w:val="continue"/>
            <w:vAlign w:val="center"/>
          </w:tcPr>
          <w:p>
            <w:pPr>
              <w:pStyle w:val="861"/>
              <w:rPr>
                <w:kern w:val="2"/>
                <w:szCs w:val="18"/>
              </w:rPr>
            </w:pPr>
          </w:p>
        </w:tc>
        <w:tc>
          <w:tcPr>
            <w:tcW w:w="1835" w:type="dxa"/>
            <w:vAlign w:val="center"/>
          </w:tcPr>
          <w:p>
            <w:pPr>
              <w:pStyle w:val="861"/>
              <w:rPr>
                <w:kern w:val="2"/>
                <w:szCs w:val="18"/>
              </w:rPr>
            </w:pPr>
            <w:r>
              <w:rPr>
                <w:kern w:val="2"/>
                <w:szCs w:val="18"/>
              </w:rPr>
              <w:t>南淝河</w:t>
            </w:r>
          </w:p>
        </w:tc>
        <w:tc>
          <w:tcPr>
            <w:tcW w:w="1560" w:type="dxa"/>
            <w:vMerge w:val="continue"/>
            <w:vAlign w:val="center"/>
          </w:tcPr>
          <w:p>
            <w:pPr>
              <w:pStyle w:val="861"/>
              <w:rPr>
                <w:kern w:val="2"/>
                <w:szCs w:val="18"/>
              </w:rPr>
            </w:pPr>
          </w:p>
        </w:tc>
        <w:tc>
          <w:tcPr>
            <w:tcW w:w="4652" w:type="dxa"/>
            <w:vMerge w:val="continue"/>
            <w:vAlign w:val="center"/>
          </w:tcPr>
          <w:p>
            <w:pPr>
              <w:pStyle w:val="861"/>
              <w:rPr>
                <w:kern w:val="2"/>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9" w:hRule="atLeast"/>
        </w:trPr>
        <w:tc>
          <w:tcPr>
            <w:tcW w:w="990" w:type="dxa"/>
            <w:vMerge w:val="continue"/>
            <w:vAlign w:val="center"/>
          </w:tcPr>
          <w:p>
            <w:pPr>
              <w:pStyle w:val="861"/>
              <w:rPr>
                <w:kern w:val="2"/>
                <w:szCs w:val="18"/>
              </w:rPr>
            </w:pPr>
          </w:p>
        </w:tc>
        <w:tc>
          <w:tcPr>
            <w:tcW w:w="1835" w:type="dxa"/>
            <w:vAlign w:val="center"/>
          </w:tcPr>
          <w:p>
            <w:pPr>
              <w:pStyle w:val="861"/>
              <w:rPr>
                <w:kern w:val="2"/>
                <w:szCs w:val="18"/>
              </w:rPr>
            </w:pPr>
            <w:r>
              <w:rPr>
                <w:kern w:val="2"/>
                <w:szCs w:val="18"/>
              </w:rPr>
              <w:t>巢湖</w:t>
            </w:r>
          </w:p>
        </w:tc>
        <w:tc>
          <w:tcPr>
            <w:tcW w:w="1560" w:type="dxa"/>
            <w:vAlign w:val="center"/>
          </w:tcPr>
          <w:p>
            <w:pPr>
              <w:pStyle w:val="861"/>
              <w:rPr>
                <w:kern w:val="2"/>
                <w:szCs w:val="18"/>
              </w:rPr>
            </w:pPr>
            <w:r>
              <w:rPr>
                <w:kern w:val="2"/>
                <w:szCs w:val="18"/>
              </w:rPr>
              <w:fldChar w:fldCharType="begin"/>
            </w:r>
            <w:r>
              <w:rPr>
                <w:kern w:val="2"/>
                <w:szCs w:val="18"/>
              </w:rPr>
              <w:instrText xml:space="preserve"> = 3 \* ROMAN  \* MERGEFORMAT </w:instrText>
            </w:r>
            <w:r>
              <w:rPr>
                <w:kern w:val="2"/>
                <w:szCs w:val="18"/>
              </w:rPr>
              <w:fldChar w:fldCharType="separate"/>
            </w:r>
            <w:r>
              <w:rPr>
                <w:kern w:val="2"/>
                <w:szCs w:val="18"/>
              </w:rPr>
              <w:t>III</w:t>
            </w:r>
            <w:r>
              <w:rPr>
                <w:kern w:val="2"/>
                <w:szCs w:val="18"/>
              </w:rPr>
              <w:fldChar w:fldCharType="end"/>
            </w:r>
            <w:r>
              <w:rPr>
                <w:kern w:val="2"/>
                <w:szCs w:val="18"/>
              </w:rPr>
              <w:t>类</w:t>
            </w:r>
          </w:p>
        </w:tc>
        <w:tc>
          <w:tcPr>
            <w:tcW w:w="4652" w:type="dxa"/>
            <w:vMerge w:val="continue"/>
            <w:vAlign w:val="center"/>
          </w:tcPr>
          <w:p>
            <w:pPr>
              <w:pStyle w:val="861"/>
              <w:rPr>
                <w:kern w:val="2"/>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9" w:hRule="atLeast"/>
        </w:trPr>
        <w:tc>
          <w:tcPr>
            <w:tcW w:w="2825" w:type="dxa"/>
            <w:gridSpan w:val="2"/>
            <w:vAlign w:val="center"/>
          </w:tcPr>
          <w:p>
            <w:pPr>
              <w:pStyle w:val="861"/>
              <w:rPr>
                <w:kern w:val="2"/>
                <w:szCs w:val="18"/>
              </w:rPr>
            </w:pPr>
            <w:r>
              <w:rPr>
                <w:kern w:val="2"/>
                <w:szCs w:val="18"/>
              </w:rPr>
              <w:t>地下水环境</w:t>
            </w:r>
          </w:p>
        </w:tc>
        <w:tc>
          <w:tcPr>
            <w:tcW w:w="1560" w:type="dxa"/>
            <w:vAlign w:val="center"/>
          </w:tcPr>
          <w:p>
            <w:pPr>
              <w:pStyle w:val="861"/>
              <w:rPr>
                <w:kern w:val="2"/>
                <w:szCs w:val="18"/>
              </w:rPr>
            </w:pPr>
            <w:r>
              <w:rPr>
                <w:kern w:val="2"/>
                <w:szCs w:val="18"/>
              </w:rPr>
              <w:t>/</w:t>
            </w:r>
          </w:p>
        </w:tc>
        <w:tc>
          <w:tcPr>
            <w:tcW w:w="4652" w:type="dxa"/>
            <w:vAlign w:val="center"/>
          </w:tcPr>
          <w:p>
            <w:pPr>
              <w:pStyle w:val="861"/>
              <w:rPr>
                <w:kern w:val="2"/>
                <w:szCs w:val="18"/>
              </w:rPr>
            </w:pPr>
            <w:r>
              <w:rPr>
                <w:kern w:val="2"/>
                <w:szCs w:val="18"/>
              </w:rPr>
              <w:t>《地下水质量标准》（</w:t>
            </w:r>
            <w:r>
              <w:t>GB/T14848-2017</w:t>
            </w:r>
            <w:r>
              <w:rPr>
                <w:kern w:val="2"/>
                <w:szCs w:val="18"/>
              </w:rPr>
              <w:t>）</w:t>
            </w:r>
            <w:r>
              <w:rPr>
                <w:kern w:val="2"/>
                <w:szCs w:val="18"/>
              </w:rPr>
              <w:fldChar w:fldCharType="begin"/>
            </w:r>
            <w:r>
              <w:rPr>
                <w:kern w:val="2"/>
                <w:szCs w:val="18"/>
              </w:rPr>
              <w:instrText xml:space="preserve"> = 3 \* ROMAN  \* MERGEFORMAT </w:instrText>
            </w:r>
            <w:r>
              <w:rPr>
                <w:kern w:val="2"/>
                <w:szCs w:val="18"/>
              </w:rPr>
              <w:fldChar w:fldCharType="separate"/>
            </w:r>
            <w:r>
              <w:rPr>
                <w:kern w:val="2"/>
                <w:szCs w:val="18"/>
              </w:rPr>
              <w:t>III</w:t>
            </w:r>
            <w:r>
              <w:rPr>
                <w:kern w:val="2"/>
                <w:szCs w:val="18"/>
              </w:rPr>
              <w:fldChar w:fldCharType="end"/>
            </w:r>
            <w:r>
              <w:rPr>
                <w:kern w:val="2"/>
                <w:szCs w:val="18"/>
              </w:rPr>
              <w:t>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9" w:hRule="atLeast"/>
        </w:trPr>
        <w:tc>
          <w:tcPr>
            <w:tcW w:w="2825" w:type="dxa"/>
            <w:gridSpan w:val="2"/>
            <w:vAlign w:val="center"/>
          </w:tcPr>
          <w:p>
            <w:pPr>
              <w:pStyle w:val="861"/>
              <w:rPr>
                <w:kern w:val="2"/>
                <w:szCs w:val="18"/>
              </w:rPr>
            </w:pPr>
            <w:r>
              <w:rPr>
                <w:kern w:val="2"/>
                <w:szCs w:val="18"/>
              </w:rPr>
              <w:t>空气环境</w:t>
            </w:r>
          </w:p>
        </w:tc>
        <w:tc>
          <w:tcPr>
            <w:tcW w:w="1560" w:type="dxa"/>
            <w:vAlign w:val="center"/>
          </w:tcPr>
          <w:p>
            <w:pPr>
              <w:pStyle w:val="861"/>
              <w:rPr>
                <w:kern w:val="2"/>
                <w:szCs w:val="18"/>
              </w:rPr>
            </w:pPr>
            <w:r>
              <w:rPr>
                <w:kern w:val="2"/>
                <w:szCs w:val="18"/>
              </w:rPr>
              <w:t>二类区</w:t>
            </w:r>
          </w:p>
        </w:tc>
        <w:tc>
          <w:tcPr>
            <w:tcW w:w="4652" w:type="dxa"/>
            <w:vAlign w:val="center"/>
          </w:tcPr>
          <w:p>
            <w:pPr>
              <w:pStyle w:val="861"/>
              <w:rPr>
                <w:kern w:val="2"/>
                <w:szCs w:val="18"/>
              </w:rPr>
            </w:pPr>
            <w:r>
              <w:rPr>
                <w:kern w:val="2"/>
                <w:szCs w:val="18"/>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9" w:hRule="atLeast"/>
        </w:trPr>
        <w:tc>
          <w:tcPr>
            <w:tcW w:w="2825" w:type="dxa"/>
            <w:gridSpan w:val="2"/>
            <w:vAlign w:val="center"/>
          </w:tcPr>
          <w:p>
            <w:pPr>
              <w:pStyle w:val="861"/>
              <w:rPr>
                <w:kern w:val="2"/>
                <w:szCs w:val="18"/>
              </w:rPr>
            </w:pPr>
            <w:r>
              <w:rPr>
                <w:kern w:val="2"/>
                <w:szCs w:val="18"/>
              </w:rPr>
              <w:t>声环境</w:t>
            </w:r>
          </w:p>
        </w:tc>
        <w:tc>
          <w:tcPr>
            <w:tcW w:w="1560" w:type="dxa"/>
            <w:vAlign w:val="center"/>
          </w:tcPr>
          <w:p>
            <w:pPr>
              <w:pStyle w:val="861"/>
              <w:rPr>
                <w:kern w:val="2"/>
                <w:szCs w:val="18"/>
              </w:rPr>
            </w:pPr>
            <w:r>
              <w:rPr>
                <w:kern w:val="2"/>
                <w:szCs w:val="18"/>
              </w:rPr>
              <w:t>码头、工业区</w:t>
            </w:r>
          </w:p>
        </w:tc>
        <w:tc>
          <w:tcPr>
            <w:tcW w:w="4652" w:type="dxa"/>
            <w:vAlign w:val="center"/>
          </w:tcPr>
          <w:p>
            <w:pPr>
              <w:pStyle w:val="861"/>
              <w:rPr>
                <w:kern w:val="2"/>
                <w:szCs w:val="18"/>
              </w:rPr>
            </w:pPr>
            <w:r>
              <w:rPr>
                <w:kern w:val="2"/>
                <w:szCs w:val="18"/>
              </w:rPr>
              <w:t>《声环境质量标准》（GB3096-2008）3类、4a标准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78" w:hRule="atLeast"/>
        </w:trPr>
        <w:tc>
          <w:tcPr>
            <w:tcW w:w="2825" w:type="dxa"/>
            <w:gridSpan w:val="2"/>
            <w:vAlign w:val="center"/>
          </w:tcPr>
          <w:p>
            <w:pPr>
              <w:pStyle w:val="861"/>
              <w:rPr>
                <w:color w:val="FF0000"/>
                <w:kern w:val="2"/>
                <w:szCs w:val="18"/>
              </w:rPr>
            </w:pPr>
            <w:r>
              <w:rPr>
                <w:color w:val="FF0000"/>
                <w:kern w:val="2"/>
                <w:szCs w:val="18"/>
              </w:rPr>
              <w:t>土壤、底泥</w:t>
            </w:r>
          </w:p>
        </w:tc>
        <w:tc>
          <w:tcPr>
            <w:tcW w:w="1560" w:type="dxa"/>
            <w:vAlign w:val="center"/>
          </w:tcPr>
          <w:p>
            <w:pPr>
              <w:pStyle w:val="861"/>
              <w:rPr>
                <w:kern w:val="2"/>
                <w:szCs w:val="18"/>
              </w:rPr>
            </w:pPr>
            <w:r>
              <w:rPr>
                <w:kern w:val="2"/>
                <w:szCs w:val="18"/>
              </w:rPr>
              <w:t>二级</w:t>
            </w:r>
          </w:p>
        </w:tc>
        <w:tc>
          <w:tcPr>
            <w:tcW w:w="4652" w:type="dxa"/>
            <w:vAlign w:val="center"/>
          </w:tcPr>
          <w:p>
            <w:pPr>
              <w:pStyle w:val="861"/>
              <w:rPr>
                <w:kern w:val="2"/>
                <w:szCs w:val="18"/>
              </w:rPr>
            </w:pPr>
            <w:r>
              <w:rPr>
                <w:kern w:val="2"/>
                <w:szCs w:val="18"/>
              </w:rPr>
              <w:t>《土壤环境质量建设用地土壤污染风险管控标准（试行）》（GB36600-2018）筛选值相关要求</w:t>
            </w:r>
          </w:p>
        </w:tc>
      </w:tr>
    </w:tbl>
    <w:p>
      <w:pPr>
        <w:pStyle w:val="4"/>
        <w:numPr>
          <w:ilvl w:val="2"/>
          <w:numId w:val="0"/>
        </w:numPr>
        <w:spacing w:before="166" w:beforeLines="50"/>
        <w:jc w:val="both"/>
        <w:rPr>
          <w:rFonts w:ascii="Times New Roman" w:hAnsi="Times New Roman" w:cs="Times New Roman"/>
          <w:color w:val="auto"/>
        </w:rPr>
      </w:pPr>
      <w:bookmarkStart w:id="81" w:name="_Toc102984263"/>
      <w:bookmarkStart w:id="82" w:name="_Toc104733303"/>
      <w:r>
        <w:rPr>
          <w:rFonts w:ascii="Times New Roman" w:hAnsi="Times New Roman" w:cs="Times New Roman"/>
          <w:color w:val="auto"/>
        </w:rPr>
        <w:t>2.2.4环境质量标准</w:t>
      </w:r>
      <w:bookmarkEnd w:id="81"/>
      <w:bookmarkEnd w:id="82"/>
    </w:p>
    <w:p>
      <w:pPr>
        <w:ind w:firstLine="482"/>
        <w:rPr>
          <w:rFonts w:ascii="Times New Roman" w:hAnsi="Times New Roman" w:cs="Times New Roman"/>
          <w:b/>
          <w:color w:val="auto"/>
        </w:rPr>
      </w:pPr>
      <w:r>
        <w:rPr>
          <w:rFonts w:ascii="Times New Roman" w:hAnsi="Times New Roman" w:cs="Times New Roman"/>
          <w:b/>
          <w:color w:val="auto"/>
        </w:rPr>
        <w:t>（1）环境空气质量标准</w:t>
      </w:r>
    </w:p>
    <w:p>
      <w:pPr>
        <w:ind w:firstLine="480"/>
        <w:rPr>
          <w:rFonts w:ascii="Times New Roman" w:hAnsi="Times New Roman" w:cs="Times New Roman"/>
          <w:color w:val="auto"/>
        </w:rPr>
      </w:pPr>
      <w:r>
        <w:rPr>
          <w:rFonts w:ascii="Times New Roman" w:hAnsi="Times New Roman" w:cs="Times New Roman"/>
          <w:color w:val="auto"/>
        </w:rPr>
        <w:t>本项目所在地SO</w:t>
      </w:r>
      <w:r>
        <w:rPr>
          <w:rFonts w:ascii="Times New Roman" w:hAnsi="Times New Roman" w:cs="Times New Roman"/>
          <w:color w:val="auto"/>
          <w:vertAlign w:val="subscript"/>
        </w:rPr>
        <w:t>2</w:t>
      </w:r>
      <w:r>
        <w:rPr>
          <w:rFonts w:ascii="Times New Roman" w:hAnsi="Times New Roman" w:cs="Times New Roman"/>
          <w:color w:val="auto"/>
        </w:rPr>
        <w:t>、PM</w:t>
      </w:r>
      <w:r>
        <w:rPr>
          <w:rFonts w:ascii="Times New Roman" w:hAnsi="Times New Roman" w:cs="Times New Roman"/>
          <w:color w:val="auto"/>
          <w:vertAlign w:val="subscript"/>
        </w:rPr>
        <w:t>10</w:t>
      </w:r>
      <w:r>
        <w:rPr>
          <w:rFonts w:ascii="Times New Roman" w:hAnsi="Times New Roman" w:cs="Times New Roman"/>
          <w:color w:val="auto"/>
        </w:rPr>
        <w:t>、PM</w:t>
      </w:r>
      <w:r>
        <w:rPr>
          <w:rFonts w:ascii="Times New Roman" w:hAnsi="Times New Roman" w:cs="Times New Roman"/>
          <w:color w:val="auto"/>
          <w:vertAlign w:val="subscript"/>
        </w:rPr>
        <w:t>2.5</w:t>
      </w:r>
      <w:r>
        <w:rPr>
          <w:rFonts w:ascii="Times New Roman" w:hAnsi="Times New Roman" w:cs="Times New Roman"/>
          <w:color w:val="auto"/>
        </w:rPr>
        <w:t>、CO、O</w:t>
      </w:r>
      <w:r>
        <w:rPr>
          <w:rFonts w:ascii="Times New Roman" w:hAnsi="Times New Roman" w:cs="Times New Roman"/>
          <w:color w:val="auto"/>
          <w:vertAlign w:val="subscript"/>
        </w:rPr>
        <w:t>3</w:t>
      </w:r>
      <w:r>
        <w:rPr>
          <w:rFonts w:ascii="Times New Roman" w:hAnsi="Times New Roman" w:cs="Times New Roman"/>
          <w:color w:val="auto"/>
        </w:rPr>
        <w:t>、NO</w:t>
      </w:r>
      <w:r>
        <w:rPr>
          <w:rFonts w:ascii="Times New Roman" w:hAnsi="Times New Roman" w:cs="Times New Roman"/>
          <w:color w:val="auto"/>
          <w:vertAlign w:val="subscript"/>
        </w:rPr>
        <w:t>2</w:t>
      </w:r>
      <w:r>
        <w:rPr>
          <w:rFonts w:ascii="Times New Roman" w:hAnsi="Times New Roman" w:cs="Times New Roman"/>
          <w:color w:val="auto"/>
        </w:rPr>
        <w:t>、TSP执行《环境空气质量标准》（GB3095-2012）二级标准；硫酸雾参照执行《环境影响评价技术导则 大气环境》（HJ2.2-2018）中附录D标准；非甲烷总烃执行《大气污染物综合排放标准》详解中2.0mg/m</w:t>
      </w:r>
      <w:r>
        <w:rPr>
          <w:rFonts w:ascii="Times New Roman" w:hAnsi="Times New Roman" w:cs="Times New Roman"/>
          <w:color w:val="auto"/>
          <w:vertAlign w:val="superscript"/>
        </w:rPr>
        <w:t>3</w:t>
      </w:r>
      <w:r>
        <w:rPr>
          <w:rFonts w:ascii="Times New Roman" w:hAnsi="Times New Roman" w:cs="Times New Roman"/>
          <w:color w:val="auto"/>
        </w:rPr>
        <w:t>。具体见表2.2-3。</w:t>
      </w:r>
    </w:p>
    <w:p>
      <w:pPr>
        <w:pStyle w:val="1062"/>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表2.2-3  环境空气质量标准</w:t>
      </w:r>
    </w:p>
    <w:tbl>
      <w:tblPr>
        <w:tblStyle w:val="62"/>
        <w:tblW w:w="90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245"/>
        <w:gridCol w:w="1977"/>
        <w:gridCol w:w="1094"/>
        <w:gridCol w:w="32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1491" w:type="dxa"/>
            <w:vMerge w:val="restart"/>
            <w:vAlign w:val="center"/>
          </w:tcPr>
          <w:p>
            <w:pPr>
              <w:pStyle w:val="861"/>
              <w:rPr>
                <w:kern w:val="2"/>
                <w:szCs w:val="18"/>
              </w:rPr>
            </w:pPr>
            <w:r>
              <w:rPr>
                <w:kern w:val="2"/>
                <w:szCs w:val="18"/>
              </w:rPr>
              <w:t>污染物名称</w:t>
            </w:r>
          </w:p>
        </w:tc>
        <w:tc>
          <w:tcPr>
            <w:tcW w:w="4316" w:type="dxa"/>
            <w:gridSpan w:val="3"/>
            <w:vAlign w:val="center"/>
          </w:tcPr>
          <w:p>
            <w:pPr>
              <w:pStyle w:val="861"/>
              <w:rPr>
                <w:kern w:val="2"/>
                <w:szCs w:val="18"/>
              </w:rPr>
            </w:pPr>
            <w:r>
              <w:rPr>
                <w:kern w:val="2"/>
                <w:szCs w:val="18"/>
              </w:rPr>
              <w:t>浓度限值（μg/m</w:t>
            </w:r>
            <w:r>
              <w:rPr>
                <w:kern w:val="2"/>
                <w:szCs w:val="18"/>
                <w:vertAlign w:val="superscript"/>
              </w:rPr>
              <w:t>3</w:t>
            </w:r>
            <w:r>
              <w:rPr>
                <w:kern w:val="2"/>
                <w:szCs w:val="18"/>
              </w:rPr>
              <w:t>）</w:t>
            </w:r>
          </w:p>
        </w:tc>
        <w:tc>
          <w:tcPr>
            <w:tcW w:w="3210" w:type="dxa"/>
            <w:vMerge w:val="restart"/>
            <w:vAlign w:val="center"/>
          </w:tcPr>
          <w:p>
            <w:pPr>
              <w:pStyle w:val="861"/>
              <w:rPr>
                <w:kern w:val="2"/>
                <w:szCs w:val="18"/>
              </w:rPr>
            </w:pPr>
            <w:r>
              <w:rPr>
                <w:kern w:val="2"/>
                <w:szCs w:val="18"/>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1491" w:type="dxa"/>
            <w:vMerge w:val="continue"/>
            <w:vAlign w:val="center"/>
          </w:tcPr>
          <w:p>
            <w:pPr>
              <w:pStyle w:val="861"/>
              <w:rPr>
                <w:kern w:val="2"/>
                <w:szCs w:val="18"/>
              </w:rPr>
            </w:pPr>
          </w:p>
        </w:tc>
        <w:tc>
          <w:tcPr>
            <w:tcW w:w="1245" w:type="dxa"/>
            <w:vAlign w:val="center"/>
          </w:tcPr>
          <w:p>
            <w:pPr>
              <w:pStyle w:val="861"/>
              <w:rPr>
                <w:kern w:val="2"/>
                <w:szCs w:val="18"/>
              </w:rPr>
            </w:pPr>
            <w:r>
              <w:rPr>
                <w:kern w:val="2"/>
                <w:szCs w:val="18"/>
              </w:rPr>
              <w:t>小时平均</w:t>
            </w:r>
          </w:p>
        </w:tc>
        <w:tc>
          <w:tcPr>
            <w:tcW w:w="1977" w:type="dxa"/>
            <w:vAlign w:val="center"/>
          </w:tcPr>
          <w:p>
            <w:pPr>
              <w:pStyle w:val="861"/>
              <w:rPr>
                <w:kern w:val="2"/>
                <w:szCs w:val="18"/>
              </w:rPr>
            </w:pPr>
            <w:r>
              <w:rPr>
                <w:kern w:val="2"/>
                <w:szCs w:val="18"/>
              </w:rPr>
              <w:t>日平均</w:t>
            </w:r>
          </w:p>
        </w:tc>
        <w:tc>
          <w:tcPr>
            <w:tcW w:w="1094" w:type="dxa"/>
            <w:vAlign w:val="center"/>
          </w:tcPr>
          <w:p>
            <w:pPr>
              <w:pStyle w:val="861"/>
              <w:rPr>
                <w:kern w:val="2"/>
                <w:szCs w:val="18"/>
              </w:rPr>
            </w:pPr>
            <w:r>
              <w:rPr>
                <w:kern w:val="2"/>
                <w:szCs w:val="18"/>
              </w:rPr>
              <w:t>年平均</w:t>
            </w:r>
          </w:p>
        </w:tc>
        <w:tc>
          <w:tcPr>
            <w:tcW w:w="3210" w:type="dxa"/>
            <w:vMerge w:val="continue"/>
            <w:vAlign w:val="center"/>
          </w:tcPr>
          <w:p>
            <w:pPr>
              <w:pStyle w:val="861"/>
              <w:rPr>
                <w:kern w:val="2"/>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90" w:hRule="atLeast"/>
          <w:jc w:val="center"/>
        </w:trPr>
        <w:tc>
          <w:tcPr>
            <w:tcW w:w="1491" w:type="dxa"/>
            <w:vAlign w:val="center"/>
          </w:tcPr>
          <w:p>
            <w:pPr>
              <w:pStyle w:val="861"/>
              <w:rPr>
                <w:kern w:val="2"/>
                <w:szCs w:val="18"/>
              </w:rPr>
            </w:pPr>
            <w:r>
              <w:rPr>
                <w:kern w:val="2"/>
                <w:szCs w:val="18"/>
              </w:rPr>
              <w:t>SO</w:t>
            </w:r>
            <w:r>
              <w:rPr>
                <w:kern w:val="2"/>
                <w:szCs w:val="18"/>
                <w:vertAlign w:val="subscript"/>
              </w:rPr>
              <w:t>2</w:t>
            </w:r>
          </w:p>
        </w:tc>
        <w:tc>
          <w:tcPr>
            <w:tcW w:w="1245" w:type="dxa"/>
            <w:vAlign w:val="center"/>
          </w:tcPr>
          <w:p>
            <w:pPr>
              <w:pStyle w:val="861"/>
              <w:rPr>
                <w:kern w:val="2"/>
                <w:szCs w:val="18"/>
              </w:rPr>
            </w:pPr>
            <w:r>
              <w:rPr>
                <w:kern w:val="2"/>
                <w:szCs w:val="18"/>
              </w:rPr>
              <w:t>500</w:t>
            </w:r>
          </w:p>
        </w:tc>
        <w:tc>
          <w:tcPr>
            <w:tcW w:w="1977" w:type="dxa"/>
            <w:vAlign w:val="center"/>
          </w:tcPr>
          <w:p>
            <w:pPr>
              <w:pStyle w:val="861"/>
              <w:rPr>
                <w:kern w:val="2"/>
                <w:szCs w:val="18"/>
              </w:rPr>
            </w:pPr>
            <w:r>
              <w:rPr>
                <w:kern w:val="2"/>
                <w:szCs w:val="18"/>
              </w:rPr>
              <w:t>150</w:t>
            </w:r>
          </w:p>
        </w:tc>
        <w:tc>
          <w:tcPr>
            <w:tcW w:w="1094" w:type="dxa"/>
            <w:vAlign w:val="center"/>
          </w:tcPr>
          <w:p>
            <w:pPr>
              <w:pStyle w:val="861"/>
              <w:rPr>
                <w:kern w:val="2"/>
                <w:szCs w:val="18"/>
              </w:rPr>
            </w:pPr>
            <w:r>
              <w:rPr>
                <w:kern w:val="2"/>
                <w:szCs w:val="18"/>
              </w:rPr>
              <w:t>60</w:t>
            </w:r>
          </w:p>
        </w:tc>
        <w:tc>
          <w:tcPr>
            <w:tcW w:w="3210" w:type="dxa"/>
            <w:vMerge w:val="restart"/>
            <w:vAlign w:val="center"/>
          </w:tcPr>
          <w:p>
            <w:pPr>
              <w:pStyle w:val="861"/>
              <w:rPr>
                <w:kern w:val="2"/>
                <w:szCs w:val="18"/>
              </w:rPr>
            </w:pPr>
            <w:r>
              <w:rPr>
                <w:kern w:val="2"/>
                <w:szCs w:val="18"/>
              </w:rPr>
              <w:t>《环境空气质量标准》GB3095—2012二级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1491" w:type="dxa"/>
            <w:vAlign w:val="center"/>
          </w:tcPr>
          <w:p>
            <w:pPr>
              <w:pStyle w:val="861"/>
              <w:rPr>
                <w:kern w:val="2"/>
                <w:szCs w:val="18"/>
              </w:rPr>
            </w:pPr>
            <w:r>
              <w:rPr>
                <w:kern w:val="2"/>
                <w:szCs w:val="18"/>
              </w:rPr>
              <w:t>PM</w:t>
            </w:r>
            <w:r>
              <w:rPr>
                <w:kern w:val="2"/>
                <w:szCs w:val="18"/>
                <w:vertAlign w:val="subscript"/>
              </w:rPr>
              <w:t>10</w:t>
            </w:r>
          </w:p>
        </w:tc>
        <w:tc>
          <w:tcPr>
            <w:tcW w:w="1245" w:type="dxa"/>
            <w:vAlign w:val="center"/>
          </w:tcPr>
          <w:p>
            <w:pPr>
              <w:pStyle w:val="861"/>
              <w:rPr>
                <w:kern w:val="2"/>
                <w:szCs w:val="18"/>
              </w:rPr>
            </w:pPr>
            <w:r>
              <w:rPr>
                <w:kern w:val="2"/>
                <w:szCs w:val="18"/>
              </w:rPr>
              <w:t>/</w:t>
            </w:r>
          </w:p>
        </w:tc>
        <w:tc>
          <w:tcPr>
            <w:tcW w:w="1977" w:type="dxa"/>
            <w:vAlign w:val="center"/>
          </w:tcPr>
          <w:p>
            <w:pPr>
              <w:pStyle w:val="861"/>
              <w:rPr>
                <w:kern w:val="2"/>
                <w:szCs w:val="18"/>
              </w:rPr>
            </w:pPr>
            <w:r>
              <w:rPr>
                <w:kern w:val="2"/>
                <w:szCs w:val="18"/>
              </w:rPr>
              <w:t>150</w:t>
            </w:r>
          </w:p>
        </w:tc>
        <w:tc>
          <w:tcPr>
            <w:tcW w:w="1094" w:type="dxa"/>
            <w:vAlign w:val="center"/>
          </w:tcPr>
          <w:p>
            <w:pPr>
              <w:pStyle w:val="861"/>
              <w:rPr>
                <w:kern w:val="2"/>
                <w:szCs w:val="18"/>
              </w:rPr>
            </w:pPr>
            <w:r>
              <w:rPr>
                <w:kern w:val="2"/>
                <w:szCs w:val="18"/>
              </w:rPr>
              <w:t>70</w:t>
            </w:r>
          </w:p>
        </w:tc>
        <w:tc>
          <w:tcPr>
            <w:tcW w:w="3210" w:type="dxa"/>
            <w:vMerge w:val="continue"/>
            <w:vAlign w:val="center"/>
          </w:tcPr>
          <w:p>
            <w:pPr>
              <w:pStyle w:val="861"/>
              <w:rPr>
                <w:kern w:val="2"/>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1491" w:type="dxa"/>
            <w:vAlign w:val="center"/>
          </w:tcPr>
          <w:p>
            <w:pPr>
              <w:pStyle w:val="861"/>
              <w:rPr>
                <w:kern w:val="2"/>
                <w:szCs w:val="18"/>
              </w:rPr>
            </w:pPr>
            <w:r>
              <w:rPr>
                <w:kern w:val="2"/>
                <w:szCs w:val="18"/>
              </w:rPr>
              <w:t>PM</w:t>
            </w:r>
            <w:r>
              <w:rPr>
                <w:kern w:val="2"/>
                <w:szCs w:val="18"/>
                <w:vertAlign w:val="subscript"/>
              </w:rPr>
              <w:t>2.5</w:t>
            </w:r>
          </w:p>
        </w:tc>
        <w:tc>
          <w:tcPr>
            <w:tcW w:w="1245" w:type="dxa"/>
            <w:vAlign w:val="center"/>
          </w:tcPr>
          <w:p>
            <w:pPr>
              <w:pStyle w:val="861"/>
              <w:rPr>
                <w:kern w:val="2"/>
                <w:szCs w:val="18"/>
              </w:rPr>
            </w:pPr>
            <w:r>
              <w:rPr>
                <w:kern w:val="2"/>
                <w:szCs w:val="18"/>
              </w:rPr>
              <w:t>/</w:t>
            </w:r>
          </w:p>
        </w:tc>
        <w:tc>
          <w:tcPr>
            <w:tcW w:w="1977" w:type="dxa"/>
            <w:vAlign w:val="center"/>
          </w:tcPr>
          <w:p>
            <w:pPr>
              <w:pStyle w:val="861"/>
              <w:rPr>
                <w:kern w:val="2"/>
                <w:szCs w:val="18"/>
              </w:rPr>
            </w:pPr>
            <w:r>
              <w:rPr>
                <w:kern w:val="2"/>
                <w:szCs w:val="18"/>
              </w:rPr>
              <w:t>75</w:t>
            </w:r>
          </w:p>
        </w:tc>
        <w:tc>
          <w:tcPr>
            <w:tcW w:w="1094" w:type="dxa"/>
            <w:vAlign w:val="center"/>
          </w:tcPr>
          <w:p>
            <w:pPr>
              <w:pStyle w:val="861"/>
              <w:rPr>
                <w:kern w:val="2"/>
                <w:szCs w:val="18"/>
              </w:rPr>
            </w:pPr>
            <w:r>
              <w:rPr>
                <w:kern w:val="2"/>
                <w:szCs w:val="18"/>
              </w:rPr>
              <w:t>35</w:t>
            </w:r>
          </w:p>
        </w:tc>
        <w:tc>
          <w:tcPr>
            <w:tcW w:w="3210" w:type="dxa"/>
            <w:vMerge w:val="continue"/>
            <w:vAlign w:val="center"/>
          </w:tcPr>
          <w:p>
            <w:pPr>
              <w:pStyle w:val="861"/>
              <w:rPr>
                <w:kern w:val="2"/>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114" w:hRule="atLeast"/>
          <w:jc w:val="center"/>
        </w:trPr>
        <w:tc>
          <w:tcPr>
            <w:tcW w:w="1491" w:type="dxa"/>
            <w:vAlign w:val="center"/>
          </w:tcPr>
          <w:p>
            <w:pPr>
              <w:pStyle w:val="861"/>
              <w:rPr>
                <w:kern w:val="2"/>
                <w:szCs w:val="18"/>
              </w:rPr>
            </w:pPr>
            <w:r>
              <w:rPr>
                <w:kern w:val="2"/>
                <w:szCs w:val="18"/>
              </w:rPr>
              <w:t>NO</w:t>
            </w:r>
            <w:r>
              <w:rPr>
                <w:kern w:val="2"/>
                <w:szCs w:val="18"/>
                <w:vertAlign w:val="subscript"/>
              </w:rPr>
              <w:t>2</w:t>
            </w:r>
          </w:p>
        </w:tc>
        <w:tc>
          <w:tcPr>
            <w:tcW w:w="1245" w:type="dxa"/>
            <w:vAlign w:val="center"/>
          </w:tcPr>
          <w:p>
            <w:pPr>
              <w:pStyle w:val="861"/>
              <w:rPr>
                <w:kern w:val="2"/>
                <w:szCs w:val="18"/>
              </w:rPr>
            </w:pPr>
            <w:r>
              <w:rPr>
                <w:kern w:val="2"/>
                <w:szCs w:val="18"/>
              </w:rPr>
              <w:t>200</w:t>
            </w:r>
          </w:p>
        </w:tc>
        <w:tc>
          <w:tcPr>
            <w:tcW w:w="1977" w:type="dxa"/>
            <w:vAlign w:val="center"/>
          </w:tcPr>
          <w:p>
            <w:pPr>
              <w:pStyle w:val="861"/>
              <w:rPr>
                <w:kern w:val="2"/>
                <w:szCs w:val="18"/>
              </w:rPr>
            </w:pPr>
            <w:r>
              <w:rPr>
                <w:kern w:val="2"/>
                <w:szCs w:val="18"/>
              </w:rPr>
              <w:t>80</w:t>
            </w:r>
          </w:p>
        </w:tc>
        <w:tc>
          <w:tcPr>
            <w:tcW w:w="1094" w:type="dxa"/>
            <w:vAlign w:val="center"/>
          </w:tcPr>
          <w:p>
            <w:pPr>
              <w:pStyle w:val="861"/>
              <w:rPr>
                <w:kern w:val="2"/>
                <w:szCs w:val="18"/>
              </w:rPr>
            </w:pPr>
            <w:r>
              <w:rPr>
                <w:kern w:val="2"/>
                <w:szCs w:val="18"/>
              </w:rPr>
              <w:t>40</w:t>
            </w:r>
          </w:p>
        </w:tc>
        <w:tc>
          <w:tcPr>
            <w:tcW w:w="3210" w:type="dxa"/>
            <w:vMerge w:val="continue"/>
            <w:vAlign w:val="center"/>
          </w:tcPr>
          <w:p>
            <w:pPr>
              <w:pStyle w:val="861"/>
              <w:rPr>
                <w:kern w:val="2"/>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1491" w:type="dxa"/>
            <w:vAlign w:val="center"/>
          </w:tcPr>
          <w:p>
            <w:pPr>
              <w:pStyle w:val="861"/>
              <w:rPr>
                <w:kern w:val="2"/>
                <w:szCs w:val="18"/>
              </w:rPr>
            </w:pPr>
            <w:r>
              <w:rPr>
                <w:kern w:val="2"/>
                <w:szCs w:val="18"/>
              </w:rPr>
              <w:t>CO</w:t>
            </w:r>
          </w:p>
        </w:tc>
        <w:tc>
          <w:tcPr>
            <w:tcW w:w="1245" w:type="dxa"/>
            <w:vAlign w:val="center"/>
          </w:tcPr>
          <w:p>
            <w:pPr>
              <w:pStyle w:val="861"/>
              <w:rPr>
                <w:kern w:val="2"/>
                <w:szCs w:val="18"/>
              </w:rPr>
            </w:pPr>
            <w:r>
              <w:rPr>
                <w:kern w:val="2"/>
                <w:szCs w:val="18"/>
              </w:rPr>
              <w:t>10mg/m</w:t>
            </w:r>
            <w:r>
              <w:rPr>
                <w:kern w:val="2"/>
                <w:szCs w:val="18"/>
                <w:vertAlign w:val="superscript"/>
              </w:rPr>
              <w:t>3</w:t>
            </w:r>
          </w:p>
        </w:tc>
        <w:tc>
          <w:tcPr>
            <w:tcW w:w="1977" w:type="dxa"/>
            <w:vAlign w:val="center"/>
          </w:tcPr>
          <w:p>
            <w:pPr>
              <w:pStyle w:val="861"/>
              <w:rPr>
                <w:kern w:val="2"/>
                <w:szCs w:val="18"/>
              </w:rPr>
            </w:pPr>
            <w:r>
              <w:rPr>
                <w:kern w:val="2"/>
                <w:szCs w:val="18"/>
              </w:rPr>
              <w:t>4mg/m</w:t>
            </w:r>
            <w:r>
              <w:rPr>
                <w:kern w:val="2"/>
                <w:szCs w:val="18"/>
                <w:vertAlign w:val="superscript"/>
              </w:rPr>
              <w:t>3</w:t>
            </w:r>
          </w:p>
        </w:tc>
        <w:tc>
          <w:tcPr>
            <w:tcW w:w="1094" w:type="dxa"/>
            <w:vAlign w:val="center"/>
          </w:tcPr>
          <w:p>
            <w:pPr>
              <w:pStyle w:val="861"/>
              <w:rPr>
                <w:kern w:val="2"/>
                <w:szCs w:val="18"/>
              </w:rPr>
            </w:pPr>
            <w:r>
              <w:rPr>
                <w:kern w:val="2"/>
                <w:szCs w:val="18"/>
              </w:rPr>
              <w:t>8mg/m</w:t>
            </w:r>
            <w:r>
              <w:rPr>
                <w:kern w:val="2"/>
                <w:szCs w:val="18"/>
                <w:vertAlign w:val="superscript"/>
              </w:rPr>
              <w:t>3</w:t>
            </w:r>
          </w:p>
        </w:tc>
        <w:tc>
          <w:tcPr>
            <w:tcW w:w="3210" w:type="dxa"/>
            <w:vMerge w:val="continue"/>
            <w:vAlign w:val="center"/>
          </w:tcPr>
          <w:p>
            <w:pPr>
              <w:pStyle w:val="861"/>
              <w:rPr>
                <w:kern w:val="2"/>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1491" w:type="dxa"/>
            <w:vAlign w:val="center"/>
          </w:tcPr>
          <w:p>
            <w:pPr>
              <w:pStyle w:val="861"/>
              <w:rPr>
                <w:kern w:val="2"/>
                <w:szCs w:val="18"/>
              </w:rPr>
            </w:pPr>
            <w:r>
              <w:rPr>
                <w:kern w:val="2"/>
                <w:szCs w:val="18"/>
              </w:rPr>
              <w:t>O</w:t>
            </w:r>
            <w:r>
              <w:rPr>
                <w:kern w:val="2"/>
                <w:szCs w:val="18"/>
                <w:vertAlign w:val="subscript"/>
              </w:rPr>
              <w:t>3</w:t>
            </w:r>
          </w:p>
        </w:tc>
        <w:tc>
          <w:tcPr>
            <w:tcW w:w="1245" w:type="dxa"/>
            <w:vAlign w:val="center"/>
          </w:tcPr>
          <w:p>
            <w:pPr>
              <w:pStyle w:val="861"/>
              <w:rPr>
                <w:kern w:val="2"/>
                <w:szCs w:val="18"/>
              </w:rPr>
            </w:pPr>
            <w:r>
              <w:rPr>
                <w:kern w:val="2"/>
                <w:szCs w:val="18"/>
              </w:rPr>
              <w:t>200</w:t>
            </w:r>
          </w:p>
        </w:tc>
        <w:tc>
          <w:tcPr>
            <w:tcW w:w="1977" w:type="dxa"/>
            <w:vAlign w:val="center"/>
          </w:tcPr>
          <w:p>
            <w:pPr>
              <w:pStyle w:val="861"/>
              <w:rPr>
                <w:kern w:val="2"/>
                <w:szCs w:val="18"/>
              </w:rPr>
            </w:pPr>
            <w:r>
              <w:rPr>
                <w:kern w:val="2"/>
                <w:szCs w:val="18"/>
              </w:rPr>
              <w:t>160</w:t>
            </w:r>
          </w:p>
          <w:p>
            <w:pPr>
              <w:pStyle w:val="861"/>
              <w:rPr>
                <w:kern w:val="2"/>
                <w:szCs w:val="18"/>
              </w:rPr>
            </w:pPr>
            <w:r>
              <w:rPr>
                <w:kern w:val="2"/>
                <w:szCs w:val="18"/>
              </w:rPr>
              <w:t>（日最大8小时平均）</w:t>
            </w:r>
          </w:p>
        </w:tc>
        <w:tc>
          <w:tcPr>
            <w:tcW w:w="1094" w:type="dxa"/>
            <w:vAlign w:val="center"/>
          </w:tcPr>
          <w:p>
            <w:pPr>
              <w:pStyle w:val="861"/>
              <w:rPr>
                <w:kern w:val="2"/>
                <w:szCs w:val="18"/>
              </w:rPr>
            </w:pPr>
            <w:r>
              <w:rPr>
                <w:kern w:val="2"/>
                <w:szCs w:val="18"/>
              </w:rPr>
              <w:t>/</w:t>
            </w:r>
          </w:p>
        </w:tc>
        <w:tc>
          <w:tcPr>
            <w:tcW w:w="3210" w:type="dxa"/>
            <w:vMerge w:val="continue"/>
            <w:vAlign w:val="center"/>
          </w:tcPr>
          <w:p>
            <w:pPr>
              <w:pStyle w:val="861"/>
              <w:rPr>
                <w:kern w:val="2"/>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90" w:hRule="atLeast"/>
          <w:jc w:val="center"/>
        </w:trPr>
        <w:tc>
          <w:tcPr>
            <w:tcW w:w="1491" w:type="dxa"/>
            <w:vAlign w:val="center"/>
          </w:tcPr>
          <w:p>
            <w:pPr>
              <w:pStyle w:val="861"/>
              <w:rPr>
                <w:kern w:val="2"/>
                <w:szCs w:val="18"/>
              </w:rPr>
            </w:pPr>
            <w:r>
              <w:rPr>
                <w:kern w:val="2"/>
                <w:szCs w:val="18"/>
              </w:rPr>
              <w:t>TSP</w:t>
            </w:r>
          </w:p>
        </w:tc>
        <w:tc>
          <w:tcPr>
            <w:tcW w:w="1245" w:type="dxa"/>
            <w:vAlign w:val="center"/>
          </w:tcPr>
          <w:p>
            <w:pPr>
              <w:pStyle w:val="861"/>
              <w:rPr>
                <w:kern w:val="2"/>
                <w:szCs w:val="18"/>
              </w:rPr>
            </w:pPr>
            <w:r>
              <w:rPr>
                <w:kern w:val="2"/>
                <w:szCs w:val="18"/>
              </w:rPr>
              <w:t>/</w:t>
            </w:r>
          </w:p>
        </w:tc>
        <w:tc>
          <w:tcPr>
            <w:tcW w:w="1977" w:type="dxa"/>
            <w:vAlign w:val="center"/>
          </w:tcPr>
          <w:p>
            <w:pPr>
              <w:pStyle w:val="861"/>
              <w:rPr>
                <w:kern w:val="2"/>
                <w:szCs w:val="18"/>
              </w:rPr>
            </w:pPr>
            <w:r>
              <w:rPr>
                <w:kern w:val="2"/>
                <w:szCs w:val="18"/>
              </w:rPr>
              <w:t>300</w:t>
            </w:r>
          </w:p>
        </w:tc>
        <w:tc>
          <w:tcPr>
            <w:tcW w:w="1094" w:type="dxa"/>
            <w:vAlign w:val="center"/>
          </w:tcPr>
          <w:p>
            <w:pPr>
              <w:pStyle w:val="861"/>
              <w:rPr>
                <w:kern w:val="2"/>
                <w:szCs w:val="18"/>
              </w:rPr>
            </w:pPr>
            <w:r>
              <w:rPr>
                <w:kern w:val="2"/>
                <w:szCs w:val="18"/>
              </w:rPr>
              <w:t>200</w:t>
            </w:r>
          </w:p>
        </w:tc>
        <w:tc>
          <w:tcPr>
            <w:tcW w:w="3210" w:type="dxa"/>
            <w:vMerge w:val="continue"/>
            <w:vAlign w:val="center"/>
          </w:tcPr>
          <w:p>
            <w:pPr>
              <w:pStyle w:val="861"/>
              <w:rPr>
                <w:kern w:val="2"/>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1491" w:type="dxa"/>
            <w:vAlign w:val="center"/>
          </w:tcPr>
          <w:p>
            <w:pPr>
              <w:pStyle w:val="861"/>
              <w:rPr>
                <w:kern w:val="2"/>
                <w:szCs w:val="18"/>
              </w:rPr>
            </w:pPr>
            <w:r>
              <w:rPr>
                <w:kern w:val="2"/>
                <w:szCs w:val="18"/>
              </w:rPr>
              <w:t>硫酸雾</w:t>
            </w:r>
          </w:p>
        </w:tc>
        <w:tc>
          <w:tcPr>
            <w:tcW w:w="1245" w:type="dxa"/>
            <w:vAlign w:val="center"/>
          </w:tcPr>
          <w:p>
            <w:pPr>
              <w:pStyle w:val="861"/>
              <w:rPr>
                <w:kern w:val="2"/>
                <w:szCs w:val="18"/>
              </w:rPr>
            </w:pPr>
            <w:r>
              <w:rPr>
                <w:kern w:val="2"/>
                <w:szCs w:val="18"/>
              </w:rPr>
              <w:t>300</w:t>
            </w:r>
          </w:p>
        </w:tc>
        <w:tc>
          <w:tcPr>
            <w:tcW w:w="1977" w:type="dxa"/>
            <w:vAlign w:val="center"/>
          </w:tcPr>
          <w:p>
            <w:pPr>
              <w:pStyle w:val="861"/>
              <w:rPr>
                <w:kern w:val="2"/>
                <w:szCs w:val="18"/>
              </w:rPr>
            </w:pPr>
            <w:r>
              <w:rPr>
                <w:kern w:val="2"/>
                <w:szCs w:val="18"/>
              </w:rPr>
              <w:t>100</w:t>
            </w:r>
          </w:p>
        </w:tc>
        <w:tc>
          <w:tcPr>
            <w:tcW w:w="1094" w:type="dxa"/>
            <w:vAlign w:val="center"/>
          </w:tcPr>
          <w:p>
            <w:pPr>
              <w:pStyle w:val="861"/>
              <w:rPr>
                <w:kern w:val="2"/>
                <w:szCs w:val="18"/>
              </w:rPr>
            </w:pPr>
          </w:p>
        </w:tc>
        <w:tc>
          <w:tcPr>
            <w:tcW w:w="3210" w:type="dxa"/>
            <w:vAlign w:val="center"/>
          </w:tcPr>
          <w:p>
            <w:pPr>
              <w:pStyle w:val="861"/>
              <w:rPr>
                <w:kern w:val="2"/>
                <w:szCs w:val="18"/>
              </w:rPr>
            </w:pPr>
            <w:r>
              <w:rPr>
                <w:kern w:val="2"/>
                <w:szCs w:val="18"/>
              </w:rPr>
              <w:t>《环境影响评价技术导则 大气环境》（HJ2.2-2018）中附录D标准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90" w:hRule="atLeast"/>
          <w:jc w:val="center"/>
        </w:trPr>
        <w:tc>
          <w:tcPr>
            <w:tcW w:w="1491" w:type="dxa"/>
            <w:vAlign w:val="center"/>
          </w:tcPr>
          <w:p>
            <w:pPr>
              <w:pStyle w:val="861"/>
              <w:rPr>
                <w:kern w:val="2"/>
                <w:szCs w:val="18"/>
              </w:rPr>
            </w:pPr>
            <w:r>
              <w:rPr>
                <w:kern w:val="2"/>
                <w:szCs w:val="18"/>
              </w:rPr>
              <w:t>非甲烷总烃</w:t>
            </w:r>
          </w:p>
        </w:tc>
        <w:tc>
          <w:tcPr>
            <w:tcW w:w="1245" w:type="dxa"/>
            <w:vAlign w:val="center"/>
          </w:tcPr>
          <w:p>
            <w:pPr>
              <w:pStyle w:val="861"/>
              <w:rPr>
                <w:kern w:val="2"/>
                <w:szCs w:val="18"/>
              </w:rPr>
            </w:pPr>
            <w:r>
              <w:rPr>
                <w:kern w:val="2"/>
                <w:szCs w:val="18"/>
              </w:rPr>
              <w:t>2000</w:t>
            </w:r>
          </w:p>
        </w:tc>
        <w:tc>
          <w:tcPr>
            <w:tcW w:w="1977" w:type="dxa"/>
            <w:vAlign w:val="center"/>
          </w:tcPr>
          <w:p>
            <w:pPr>
              <w:pStyle w:val="861"/>
              <w:rPr>
                <w:kern w:val="2"/>
                <w:szCs w:val="18"/>
              </w:rPr>
            </w:pPr>
            <w:r>
              <w:rPr>
                <w:kern w:val="2"/>
                <w:szCs w:val="18"/>
              </w:rPr>
              <w:t>/</w:t>
            </w:r>
          </w:p>
        </w:tc>
        <w:tc>
          <w:tcPr>
            <w:tcW w:w="1094" w:type="dxa"/>
            <w:vAlign w:val="center"/>
          </w:tcPr>
          <w:p>
            <w:pPr>
              <w:pStyle w:val="861"/>
              <w:rPr>
                <w:kern w:val="2"/>
                <w:szCs w:val="18"/>
              </w:rPr>
            </w:pPr>
            <w:r>
              <w:rPr>
                <w:kern w:val="2"/>
                <w:szCs w:val="18"/>
              </w:rPr>
              <w:t>/</w:t>
            </w:r>
          </w:p>
        </w:tc>
        <w:tc>
          <w:tcPr>
            <w:tcW w:w="3210" w:type="dxa"/>
            <w:vAlign w:val="center"/>
          </w:tcPr>
          <w:p>
            <w:pPr>
              <w:pStyle w:val="861"/>
              <w:rPr>
                <w:kern w:val="2"/>
                <w:szCs w:val="18"/>
              </w:rPr>
            </w:pPr>
            <w:r>
              <w:rPr>
                <w:kern w:val="2"/>
                <w:szCs w:val="18"/>
              </w:rPr>
              <w:t>大气综标详解</w:t>
            </w:r>
          </w:p>
        </w:tc>
      </w:tr>
    </w:tbl>
    <w:p>
      <w:pPr>
        <w:spacing w:before="166" w:beforeLines="50"/>
        <w:ind w:firstLine="482"/>
        <w:rPr>
          <w:rFonts w:ascii="Times New Roman" w:hAnsi="Times New Roman" w:cs="Times New Roman"/>
          <w:b/>
          <w:color w:val="auto"/>
        </w:rPr>
      </w:pPr>
      <w:r>
        <w:rPr>
          <w:rFonts w:ascii="Times New Roman" w:hAnsi="Times New Roman" w:cs="Times New Roman"/>
          <w:b/>
          <w:color w:val="auto"/>
        </w:rPr>
        <w:t>（2）地表水环境质量标准</w:t>
      </w:r>
    </w:p>
    <w:p>
      <w:pPr>
        <w:ind w:firstLine="480"/>
        <w:rPr>
          <w:rFonts w:ascii="Times New Roman" w:hAnsi="Times New Roman" w:cs="Times New Roman"/>
          <w:bCs/>
          <w:color w:val="auto"/>
        </w:rPr>
      </w:pPr>
      <w:r>
        <w:rPr>
          <w:rFonts w:ascii="Times New Roman" w:hAnsi="Times New Roman" w:cs="Times New Roman"/>
          <w:color w:val="auto"/>
        </w:rPr>
        <w:t>根据《安徽省水地表（环境）功能区划》，店埠河、南淝河执行《地表水环境质量标准》（GB3838-2002）</w:t>
      </w:r>
      <w:r>
        <w:rPr>
          <w:rFonts w:ascii="Times New Roman" w:hAnsi="Times New Roman" w:cs="Times New Roman"/>
          <w:color w:val="auto"/>
        </w:rPr>
        <w:fldChar w:fldCharType="begin"/>
      </w:r>
      <w:r>
        <w:rPr>
          <w:rFonts w:ascii="Times New Roman" w:hAnsi="Times New Roman" w:cs="Times New Roman"/>
          <w:color w:val="auto"/>
        </w:rPr>
        <w:instrText xml:space="preserve"> = 4 \* ROMAN </w:instrText>
      </w:r>
      <w:r>
        <w:rPr>
          <w:rFonts w:ascii="Times New Roman" w:hAnsi="Times New Roman" w:cs="Times New Roman"/>
          <w:color w:val="auto"/>
        </w:rPr>
        <w:fldChar w:fldCharType="separate"/>
      </w:r>
      <w:r>
        <w:rPr>
          <w:rFonts w:ascii="Times New Roman" w:hAnsi="Times New Roman" w:cs="Times New Roman"/>
          <w:color w:val="auto"/>
        </w:rPr>
        <w:t>IV</w:t>
      </w:r>
      <w:r>
        <w:rPr>
          <w:rFonts w:ascii="Times New Roman" w:hAnsi="Times New Roman" w:cs="Times New Roman"/>
          <w:color w:val="auto"/>
        </w:rPr>
        <w:fldChar w:fldCharType="end"/>
      </w:r>
      <w:r>
        <w:rPr>
          <w:rFonts w:ascii="Times New Roman" w:hAnsi="Times New Roman" w:cs="Times New Roman"/>
          <w:color w:val="auto"/>
        </w:rPr>
        <w:t>类水质标准；巢湖执行《地表水环境质量标准》（GB3838-2002）</w:t>
      </w:r>
      <w:r>
        <w:rPr>
          <w:rFonts w:ascii="Times New Roman" w:hAnsi="Times New Roman" w:cs="Times New Roman"/>
          <w:color w:val="auto"/>
        </w:rPr>
        <w:fldChar w:fldCharType="begin"/>
      </w:r>
      <w:r>
        <w:rPr>
          <w:rFonts w:ascii="Times New Roman" w:hAnsi="Times New Roman" w:cs="Times New Roman"/>
          <w:color w:val="auto"/>
        </w:rPr>
        <w:instrText xml:space="preserve"> = 3 \* ROMAN  \* MERGEFORMAT </w:instrText>
      </w:r>
      <w:r>
        <w:rPr>
          <w:rFonts w:ascii="Times New Roman" w:hAnsi="Times New Roman" w:cs="Times New Roman"/>
          <w:color w:val="auto"/>
        </w:rPr>
        <w:fldChar w:fldCharType="separate"/>
      </w:r>
      <w:r>
        <w:rPr>
          <w:rFonts w:ascii="Times New Roman" w:hAnsi="Times New Roman" w:cs="Times New Roman"/>
          <w:color w:val="auto"/>
        </w:rPr>
        <w:t>III</w:t>
      </w:r>
      <w:r>
        <w:rPr>
          <w:rFonts w:ascii="Times New Roman" w:hAnsi="Times New Roman" w:cs="Times New Roman"/>
          <w:color w:val="auto"/>
        </w:rPr>
        <w:fldChar w:fldCharType="end"/>
      </w:r>
      <w:r>
        <w:rPr>
          <w:rFonts w:ascii="Times New Roman" w:hAnsi="Times New Roman" w:cs="Times New Roman"/>
          <w:color w:val="auto"/>
        </w:rPr>
        <w:t>类水质标准。详见表2.2-4</w:t>
      </w:r>
      <w:r>
        <w:rPr>
          <w:rFonts w:ascii="Times New Roman" w:hAnsi="Times New Roman" w:cs="Times New Roman"/>
          <w:bCs/>
          <w:color w:val="auto"/>
        </w:rPr>
        <w:t>。</w:t>
      </w:r>
    </w:p>
    <w:p>
      <w:pPr>
        <w:pStyle w:val="1062"/>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表2.2-4  地表水环境质量标准值表  （单位：mg/L，pH无量纲）</w:t>
      </w:r>
    </w:p>
    <w:tbl>
      <w:tblPr>
        <w:tblStyle w:val="62"/>
        <w:tblW w:w="9050" w:type="dxa"/>
        <w:tblInd w:w="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2701"/>
        <w:gridCol w:w="1743"/>
        <w:gridCol w:w="1525"/>
        <w:gridCol w:w="308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5" w:hRule="exact"/>
          <w:tblHeader/>
        </w:trPr>
        <w:tc>
          <w:tcPr>
            <w:tcW w:w="2701" w:type="dxa"/>
            <w:vAlign w:val="center"/>
          </w:tcPr>
          <w:p>
            <w:pPr>
              <w:pStyle w:val="861"/>
              <w:rPr>
                <w:kern w:val="2"/>
              </w:rPr>
            </w:pPr>
            <w:r>
              <w:t>污染物名称</w:t>
            </w:r>
          </w:p>
        </w:tc>
        <w:tc>
          <w:tcPr>
            <w:tcW w:w="1743" w:type="dxa"/>
            <w:tcBorders>
              <w:right w:val="single" w:color="auto" w:sz="4" w:space="0"/>
            </w:tcBorders>
            <w:vAlign w:val="center"/>
          </w:tcPr>
          <w:p>
            <w:pPr>
              <w:pStyle w:val="861"/>
              <w:rPr>
                <w:kern w:val="2"/>
              </w:rPr>
            </w:pPr>
            <w:r>
              <w:t>Ⅲ类</w:t>
            </w:r>
          </w:p>
        </w:tc>
        <w:tc>
          <w:tcPr>
            <w:tcW w:w="1525" w:type="dxa"/>
            <w:tcBorders>
              <w:left w:val="single" w:color="auto" w:sz="4" w:space="0"/>
            </w:tcBorders>
            <w:vAlign w:val="center"/>
          </w:tcPr>
          <w:p>
            <w:pPr>
              <w:pStyle w:val="861"/>
              <w:rPr>
                <w:kern w:val="2"/>
              </w:rPr>
            </w:pPr>
            <w:r>
              <w:rPr>
                <w:kern w:val="2"/>
              </w:rPr>
              <w:t>IV类</w:t>
            </w:r>
          </w:p>
        </w:tc>
        <w:tc>
          <w:tcPr>
            <w:tcW w:w="3081" w:type="dxa"/>
            <w:vAlign w:val="center"/>
          </w:tcPr>
          <w:p>
            <w:pPr>
              <w:pStyle w:val="861"/>
              <w:rPr>
                <w:kern w:val="2"/>
              </w:rPr>
            </w:pPr>
            <w:r>
              <w:t>依据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5" w:hRule="atLeast"/>
        </w:trPr>
        <w:tc>
          <w:tcPr>
            <w:tcW w:w="2701" w:type="dxa"/>
            <w:vAlign w:val="center"/>
          </w:tcPr>
          <w:p>
            <w:pPr>
              <w:pStyle w:val="861"/>
              <w:rPr>
                <w:kern w:val="2"/>
              </w:rPr>
            </w:pPr>
            <w:r>
              <w:t>pH</w:t>
            </w:r>
          </w:p>
        </w:tc>
        <w:tc>
          <w:tcPr>
            <w:tcW w:w="1743" w:type="dxa"/>
            <w:tcBorders>
              <w:right w:val="single" w:color="auto" w:sz="4" w:space="0"/>
            </w:tcBorders>
            <w:vAlign w:val="center"/>
          </w:tcPr>
          <w:p>
            <w:pPr>
              <w:pStyle w:val="861"/>
              <w:rPr>
                <w:kern w:val="2"/>
              </w:rPr>
            </w:pPr>
            <w:r>
              <w:t>6~9</w:t>
            </w:r>
          </w:p>
        </w:tc>
        <w:tc>
          <w:tcPr>
            <w:tcW w:w="1525" w:type="dxa"/>
            <w:tcBorders>
              <w:left w:val="single" w:color="auto" w:sz="4" w:space="0"/>
            </w:tcBorders>
            <w:vAlign w:val="center"/>
          </w:tcPr>
          <w:p>
            <w:pPr>
              <w:pStyle w:val="861"/>
              <w:rPr>
                <w:kern w:val="2"/>
              </w:rPr>
            </w:pPr>
            <w:r>
              <w:t>6~9</w:t>
            </w:r>
          </w:p>
        </w:tc>
        <w:tc>
          <w:tcPr>
            <w:tcW w:w="3081" w:type="dxa"/>
            <w:vMerge w:val="restart"/>
            <w:vAlign w:val="center"/>
          </w:tcPr>
          <w:p>
            <w:pPr>
              <w:pStyle w:val="861"/>
              <w:rPr>
                <w:kern w:val="2"/>
              </w:rPr>
            </w:pPr>
            <w:r>
              <w:t>《地表水环境质量标准》（GB3838-2002）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5" w:hRule="exact"/>
        </w:trPr>
        <w:tc>
          <w:tcPr>
            <w:tcW w:w="2701" w:type="dxa"/>
            <w:vAlign w:val="center"/>
          </w:tcPr>
          <w:p>
            <w:pPr>
              <w:pStyle w:val="861"/>
              <w:rPr>
                <w:kern w:val="2"/>
              </w:rPr>
            </w:pPr>
            <w:r>
              <w:t>COD</w:t>
            </w:r>
          </w:p>
        </w:tc>
        <w:tc>
          <w:tcPr>
            <w:tcW w:w="1743" w:type="dxa"/>
            <w:tcBorders>
              <w:right w:val="single" w:color="auto" w:sz="4" w:space="0"/>
            </w:tcBorders>
            <w:vAlign w:val="center"/>
          </w:tcPr>
          <w:p>
            <w:pPr>
              <w:pStyle w:val="861"/>
              <w:rPr>
                <w:kern w:val="2"/>
              </w:rPr>
            </w:pPr>
            <w:r>
              <w:t>≤20</w:t>
            </w:r>
          </w:p>
        </w:tc>
        <w:tc>
          <w:tcPr>
            <w:tcW w:w="1525" w:type="dxa"/>
            <w:tcBorders>
              <w:left w:val="single" w:color="auto" w:sz="4" w:space="0"/>
            </w:tcBorders>
            <w:vAlign w:val="center"/>
          </w:tcPr>
          <w:p>
            <w:pPr>
              <w:pStyle w:val="861"/>
              <w:rPr>
                <w:kern w:val="2"/>
              </w:rPr>
            </w:pPr>
            <w:r>
              <w:t>≤30</w:t>
            </w:r>
          </w:p>
        </w:tc>
        <w:tc>
          <w:tcPr>
            <w:tcW w:w="3081" w:type="dxa"/>
            <w:vMerge w:val="continue"/>
            <w:vAlign w:val="center"/>
          </w:tcPr>
          <w:p>
            <w:pPr>
              <w:pStyle w:val="861"/>
              <w:rPr>
                <w:sz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5" w:hRule="exact"/>
        </w:trPr>
        <w:tc>
          <w:tcPr>
            <w:tcW w:w="2701" w:type="dxa"/>
            <w:vAlign w:val="center"/>
          </w:tcPr>
          <w:p>
            <w:pPr>
              <w:pStyle w:val="861"/>
              <w:rPr>
                <w:kern w:val="2"/>
              </w:rPr>
            </w:pPr>
            <w:r>
              <w:t>BOD</w:t>
            </w:r>
            <w:r>
              <w:rPr>
                <w:vertAlign w:val="subscript"/>
              </w:rPr>
              <w:t>5</w:t>
            </w:r>
          </w:p>
        </w:tc>
        <w:tc>
          <w:tcPr>
            <w:tcW w:w="1743" w:type="dxa"/>
            <w:tcBorders>
              <w:right w:val="single" w:color="auto" w:sz="4" w:space="0"/>
            </w:tcBorders>
            <w:vAlign w:val="center"/>
          </w:tcPr>
          <w:p>
            <w:pPr>
              <w:pStyle w:val="861"/>
              <w:rPr>
                <w:kern w:val="2"/>
              </w:rPr>
            </w:pPr>
            <w:r>
              <w:t>≤4</w:t>
            </w:r>
          </w:p>
        </w:tc>
        <w:tc>
          <w:tcPr>
            <w:tcW w:w="1525" w:type="dxa"/>
            <w:tcBorders>
              <w:left w:val="single" w:color="auto" w:sz="4" w:space="0"/>
            </w:tcBorders>
            <w:vAlign w:val="center"/>
          </w:tcPr>
          <w:p>
            <w:pPr>
              <w:pStyle w:val="861"/>
              <w:rPr>
                <w:kern w:val="2"/>
              </w:rPr>
            </w:pPr>
            <w:r>
              <w:t>≤6</w:t>
            </w:r>
          </w:p>
        </w:tc>
        <w:tc>
          <w:tcPr>
            <w:tcW w:w="3081" w:type="dxa"/>
            <w:vMerge w:val="continue"/>
            <w:vAlign w:val="center"/>
          </w:tcPr>
          <w:p>
            <w:pPr>
              <w:pStyle w:val="861"/>
              <w:rPr>
                <w:sz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5" w:hRule="exact"/>
        </w:trPr>
        <w:tc>
          <w:tcPr>
            <w:tcW w:w="2701" w:type="dxa"/>
            <w:vAlign w:val="center"/>
          </w:tcPr>
          <w:p>
            <w:pPr>
              <w:pStyle w:val="861"/>
              <w:rPr>
                <w:kern w:val="2"/>
              </w:rPr>
            </w:pPr>
            <w:r>
              <w:t>氨氮（NH</w:t>
            </w:r>
            <w:r>
              <w:rPr>
                <w:vertAlign w:val="subscript"/>
              </w:rPr>
              <w:t>3</w:t>
            </w:r>
            <w:r>
              <w:t>-N）</w:t>
            </w:r>
          </w:p>
        </w:tc>
        <w:tc>
          <w:tcPr>
            <w:tcW w:w="1743" w:type="dxa"/>
            <w:tcBorders>
              <w:right w:val="single" w:color="auto" w:sz="4" w:space="0"/>
            </w:tcBorders>
            <w:vAlign w:val="center"/>
          </w:tcPr>
          <w:p>
            <w:pPr>
              <w:pStyle w:val="861"/>
              <w:rPr>
                <w:kern w:val="2"/>
              </w:rPr>
            </w:pPr>
            <w:r>
              <w:t>≤1.0</w:t>
            </w:r>
          </w:p>
        </w:tc>
        <w:tc>
          <w:tcPr>
            <w:tcW w:w="1525" w:type="dxa"/>
            <w:tcBorders>
              <w:left w:val="single" w:color="auto" w:sz="4" w:space="0"/>
            </w:tcBorders>
            <w:vAlign w:val="center"/>
          </w:tcPr>
          <w:p>
            <w:pPr>
              <w:pStyle w:val="861"/>
              <w:rPr>
                <w:kern w:val="2"/>
              </w:rPr>
            </w:pPr>
            <w:r>
              <w:t>≤</w:t>
            </w:r>
            <w:r>
              <w:rPr>
                <w:kern w:val="2"/>
              </w:rPr>
              <w:t>1.5</w:t>
            </w:r>
          </w:p>
        </w:tc>
        <w:tc>
          <w:tcPr>
            <w:tcW w:w="3081" w:type="dxa"/>
            <w:vMerge w:val="continue"/>
            <w:vAlign w:val="center"/>
          </w:tcPr>
          <w:p>
            <w:pPr>
              <w:pStyle w:val="861"/>
              <w:rPr>
                <w:sz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5" w:hRule="exact"/>
        </w:trPr>
        <w:tc>
          <w:tcPr>
            <w:tcW w:w="2701" w:type="dxa"/>
            <w:vAlign w:val="center"/>
          </w:tcPr>
          <w:p>
            <w:pPr>
              <w:pStyle w:val="861"/>
              <w:rPr>
                <w:kern w:val="2"/>
              </w:rPr>
            </w:pPr>
            <w:r>
              <w:t>总氮（TN）</w:t>
            </w:r>
          </w:p>
        </w:tc>
        <w:tc>
          <w:tcPr>
            <w:tcW w:w="1743" w:type="dxa"/>
            <w:tcBorders>
              <w:right w:val="single" w:color="auto" w:sz="4" w:space="0"/>
            </w:tcBorders>
            <w:vAlign w:val="center"/>
          </w:tcPr>
          <w:p>
            <w:pPr>
              <w:pStyle w:val="861"/>
              <w:rPr>
                <w:kern w:val="2"/>
              </w:rPr>
            </w:pPr>
            <w:r>
              <w:t>≤1.0</w:t>
            </w:r>
          </w:p>
        </w:tc>
        <w:tc>
          <w:tcPr>
            <w:tcW w:w="1525" w:type="dxa"/>
            <w:tcBorders>
              <w:left w:val="single" w:color="auto" w:sz="4" w:space="0"/>
            </w:tcBorders>
            <w:vAlign w:val="center"/>
          </w:tcPr>
          <w:p>
            <w:pPr>
              <w:pStyle w:val="861"/>
              <w:rPr>
                <w:kern w:val="2"/>
              </w:rPr>
            </w:pPr>
            <w:r>
              <w:t>≤1.5</w:t>
            </w:r>
          </w:p>
        </w:tc>
        <w:tc>
          <w:tcPr>
            <w:tcW w:w="3081" w:type="dxa"/>
            <w:vMerge w:val="continue"/>
            <w:vAlign w:val="center"/>
          </w:tcPr>
          <w:p>
            <w:pPr>
              <w:pStyle w:val="861"/>
              <w:rPr>
                <w:sz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5" w:hRule="exact"/>
        </w:trPr>
        <w:tc>
          <w:tcPr>
            <w:tcW w:w="2701" w:type="dxa"/>
            <w:vAlign w:val="center"/>
          </w:tcPr>
          <w:p>
            <w:pPr>
              <w:pStyle w:val="861"/>
              <w:rPr>
                <w:kern w:val="2"/>
              </w:rPr>
            </w:pPr>
            <w:r>
              <w:t>总磷（TP）</w:t>
            </w:r>
          </w:p>
        </w:tc>
        <w:tc>
          <w:tcPr>
            <w:tcW w:w="1743" w:type="dxa"/>
            <w:tcBorders>
              <w:right w:val="single" w:color="auto" w:sz="4" w:space="0"/>
            </w:tcBorders>
            <w:vAlign w:val="center"/>
          </w:tcPr>
          <w:p>
            <w:pPr>
              <w:pStyle w:val="861"/>
              <w:rPr>
                <w:kern w:val="2"/>
              </w:rPr>
            </w:pPr>
            <w:r>
              <w:t>≤0.2（湖泊0.05）</w:t>
            </w:r>
          </w:p>
        </w:tc>
        <w:tc>
          <w:tcPr>
            <w:tcW w:w="1525" w:type="dxa"/>
            <w:tcBorders>
              <w:left w:val="single" w:color="auto" w:sz="4" w:space="0"/>
            </w:tcBorders>
            <w:vAlign w:val="center"/>
          </w:tcPr>
          <w:p>
            <w:pPr>
              <w:pStyle w:val="861"/>
              <w:rPr>
                <w:kern w:val="2"/>
              </w:rPr>
            </w:pPr>
            <w:r>
              <w:t>≤0.3</w:t>
            </w:r>
          </w:p>
        </w:tc>
        <w:tc>
          <w:tcPr>
            <w:tcW w:w="3081" w:type="dxa"/>
            <w:vMerge w:val="continue"/>
            <w:vAlign w:val="center"/>
          </w:tcPr>
          <w:p>
            <w:pPr>
              <w:pStyle w:val="861"/>
              <w:rPr>
                <w:sz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5" w:hRule="exact"/>
        </w:trPr>
        <w:tc>
          <w:tcPr>
            <w:tcW w:w="2701" w:type="dxa"/>
            <w:vAlign w:val="center"/>
          </w:tcPr>
          <w:p>
            <w:pPr>
              <w:pStyle w:val="861"/>
            </w:pPr>
            <w:r>
              <w:t>石油类</w:t>
            </w:r>
          </w:p>
        </w:tc>
        <w:tc>
          <w:tcPr>
            <w:tcW w:w="1743" w:type="dxa"/>
            <w:tcBorders>
              <w:right w:val="single" w:color="auto" w:sz="4" w:space="0"/>
            </w:tcBorders>
            <w:vAlign w:val="center"/>
          </w:tcPr>
          <w:p>
            <w:pPr>
              <w:pStyle w:val="861"/>
            </w:pPr>
            <w:r>
              <w:t>≤0.05</w:t>
            </w:r>
          </w:p>
        </w:tc>
        <w:tc>
          <w:tcPr>
            <w:tcW w:w="1525" w:type="dxa"/>
            <w:tcBorders>
              <w:left w:val="single" w:color="auto" w:sz="4" w:space="0"/>
            </w:tcBorders>
            <w:vAlign w:val="center"/>
          </w:tcPr>
          <w:p>
            <w:pPr>
              <w:pStyle w:val="861"/>
            </w:pPr>
            <w:r>
              <w:t>≤0.5</w:t>
            </w:r>
          </w:p>
        </w:tc>
        <w:tc>
          <w:tcPr>
            <w:tcW w:w="3081" w:type="dxa"/>
            <w:vMerge w:val="continue"/>
            <w:vAlign w:val="center"/>
          </w:tcPr>
          <w:p>
            <w:pPr>
              <w:pStyle w:val="861"/>
              <w:rPr>
                <w:sz w:val="21"/>
              </w:rPr>
            </w:pPr>
          </w:p>
        </w:tc>
      </w:tr>
    </w:tbl>
    <w:p>
      <w:pPr>
        <w:ind w:firstLine="482"/>
        <w:rPr>
          <w:rFonts w:ascii="Times New Roman" w:hAnsi="Times New Roman" w:cs="Times New Roman"/>
          <w:b/>
          <w:color w:val="auto"/>
        </w:rPr>
      </w:pPr>
      <w:r>
        <w:rPr>
          <w:rFonts w:ascii="Times New Roman" w:hAnsi="Times New Roman" w:cs="Times New Roman"/>
          <w:b/>
          <w:color w:val="auto"/>
        </w:rPr>
        <w:t>（3）地下水质量标准</w:t>
      </w:r>
    </w:p>
    <w:p>
      <w:pPr>
        <w:ind w:firstLine="480"/>
        <w:rPr>
          <w:rFonts w:ascii="Times New Roman" w:hAnsi="Times New Roman" w:cs="Times New Roman"/>
          <w:color w:val="auto"/>
        </w:rPr>
      </w:pPr>
      <w:r>
        <w:rPr>
          <w:rFonts w:ascii="Times New Roman" w:hAnsi="Times New Roman" w:cs="Times New Roman"/>
          <w:color w:val="auto"/>
        </w:rPr>
        <w:t>项目所在地地下水执行《地下水质量标准》（GB/T14848-2017）中的Ⅲ类标准；具体见表2.2-5。</w:t>
      </w:r>
    </w:p>
    <w:p>
      <w:pPr>
        <w:spacing w:line="240" w:lineRule="auto"/>
        <w:ind w:firstLine="0" w:firstLineChars="0"/>
        <w:jc w:val="center"/>
        <w:rPr>
          <w:rFonts w:ascii="Times New Roman" w:hAnsi="Times New Roman" w:cs="Times New Roman"/>
          <w:b/>
          <w:color w:val="auto"/>
          <w:sz w:val="21"/>
          <w:szCs w:val="21"/>
        </w:rPr>
      </w:pPr>
      <w:r>
        <w:rPr>
          <w:rFonts w:ascii="Times New Roman" w:hAnsi="Times New Roman" w:cs="Times New Roman"/>
          <w:b/>
          <w:color w:val="auto"/>
          <w:sz w:val="21"/>
          <w:szCs w:val="21"/>
        </w:rPr>
        <w:t>表2.2-5   地下水环境质量标准</w:t>
      </w:r>
    </w:p>
    <w:tbl>
      <w:tblPr>
        <w:tblStyle w:val="62"/>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2909"/>
        <w:gridCol w:w="1178"/>
        <w:gridCol w:w="678"/>
        <w:gridCol w:w="2461"/>
        <w:gridCol w:w="13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4" w:hRule="atLeast"/>
          <w:jc w:val="center"/>
        </w:trPr>
        <w:tc>
          <w:tcPr>
            <w:tcW w:w="679" w:type="dxa"/>
            <w:tcBorders>
              <w:top w:val="single" w:color="auto" w:sz="12"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序号</w:t>
            </w:r>
          </w:p>
        </w:tc>
        <w:tc>
          <w:tcPr>
            <w:tcW w:w="2909" w:type="dxa"/>
            <w:tcBorders>
              <w:top w:val="single" w:color="auto" w:sz="12"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项目</w:t>
            </w:r>
          </w:p>
        </w:tc>
        <w:tc>
          <w:tcPr>
            <w:tcW w:w="1178" w:type="dxa"/>
            <w:tcBorders>
              <w:top w:val="single" w:color="auto" w:sz="12"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III类标准</w:t>
            </w:r>
          </w:p>
        </w:tc>
        <w:tc>
          <w:tcPr>
            <w:tcW w:w="678" w:type="dxa"/>
            <w:tcBorders>
              <w:top w:val="single" w:color="auto" w:sz="12"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序号</w:t>
            </w:r>
          </w:p>
        </w:tc>
        <w:tc>
          <w:tcPr>
            <w:tcW w:w="2461" w:type="dxa"/>
            <w:tcBorders>
              <w:top w:val="single" w:color="auto" w:sz="12"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项目</w:t>
            </w:r>
          </w:p>
        </w:tc>
        <w:tc>
          <w:tcPr>
            <w:tcW w:w="1382" w:type="dxa"/>
            <w:tcBorders>
              <w:top w:val="single" w:color="auto" w:sz="12"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pH（无量纲）</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6.5～8.5</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18</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铝（mg/L）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色度（铂钴色度单位）</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19</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挥发酚（mg/L）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嗅和味</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无</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阴离子表面活性剂（mg/L）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浑浊度（NTU）</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21</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耗氧量（mg/L）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肉眼可见物</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无</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22</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氨氮（mg/L）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6</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钠（mg/L）</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≤200</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硫化物（mg/L）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7</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氯化物（mg/L）</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≤250</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亚硝酸盐（mg/L）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8</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硝酸盐（mg/L）</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氟化物（mg/L）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9</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总硬度（mg/L）</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≤450</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26</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氰化物（mg/L）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溶解性总固体（mg/L）</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≤1000</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27</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碘化物（mg/L）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硫酸盐（mg/L）</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≤250</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汞（mg/L）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12</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铁（mg/L）</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≤0.3</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29</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砷（mg/L）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13</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锰（mg/L）</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≤0.10</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30</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硒（mg/L）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14</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总大肠菌群（MPN/100ml）</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31</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镉（mg/L）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群落总数（CFU/ml）</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32</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铅（mg/L）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16</w:t>
            </w:r>
          </w:p>
        </w:tc>
        <w:tc>
          <w:tcPr>
            <w:tcW w:w="2909" w:type="dxa"/>
            <w:tcBorders>
              <w:top w:val="single" w:color="auto" w:sz="4" w:space="0"/>
              <w:left w:val="nil"/>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铜（mg/L）</w:t>
            </w:r>
          </w:p>
        </w:tc>
        <w:tc>
          <w:tcPr>
            <w:tcW w:w="11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678"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33</w:t>
            </w:r>
          </w:p>
        </w:tc>
        <w:tc>
          <w:tcPr>
            <w:tcW w:w="2461" w:type="dxa"/>
            <w:tcBorders>
              <w:top w:val="single" w:color="auto" w:sz="4" w:space="0"/>
              <w:left w:val="single" w:color="auto" w:sz="4" w:space="0"/>
              <w:bottom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六价铬（mg/L）</w:t>
            </w:r>
          </w:p>
        </w:tc>
        <w:tc>
          <w:tcPr>
            <w:tcW w:w="1382" w:type="dxa"/>
            <w:tcBorders>
              <w:top w:val="single" w:color="auto" w:sz="4" w:space="0"/>
              <w:left w:val="single" w:color="auto" w:sz="4" w:space="0"/>
              <w:bottom w:val="single" w:color="auto" w:sz="4" w:space="0"/>
              <w:right w:val="nil"/>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679" w:type="dxa"/>
            <w:tcBorders>
              <w:top w:val="single" w:color="auto" w:sz="4" w:space="0"/>
              <w:left w:val="nil"/>
              <w:bottom w:val="single" w:color="auto" w:sz="12"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17</w:t>
            </w:r>
          </w:p>
        </w:tc>
        <w:tc>
          <w:tcPr>
            <w:tcW w:w="2909" w:type="dxa"/>
            <w:tcBorders>
              <w:top w:val="single" w:color="auto" w:sz="4" w:space="0"/>
              <w:left w:val="nil"/>
              <w:bottom w:val="single" w:color="auto" w:sz="12"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锌（mg/L）</w:t>
            </w:r>
          </w:p>
        </w:tc>
        <w:tc>
          <w:tcPr>
            <w:tcW w:w="1178" w:type="dxa"/>
            <w:tcBorders>
              <w:top w:val="single" w:color="auto" w:sz="4" w:space="0"/>
              <w:left w:val="single" w:color="auto" w:sz="4" w:space="0"/>
              <w:bottom w:val="single" w:color="auto" w:sz="12"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678" w:type="dxa"/>
            <w:tcBorders>
              <w:top w:val="single" w:color="auto" w:sz="4" w:space="0"/>
              <w:left w:val="single" w:color="auto" w:sz="4" w:space="0"/>
              <w:bottom w:val="single" w:color="auto" w:sz="12" w:space="0"/>
              <w:right w:val="single" w:color="auto" w:sz="4" w:space="0"/>
            </w:tcBorders>
            <w:vAlign w:val="center"/>
          </w:tcPr>
          <w:p>
            <w:pPr>
              <w:pStyle w:val="2556"/>
              <w:rPr>
                <w:rFonts w:ascii="Times New Roman" w:hAnsi="Times New Roman" w:cs="Times New Roman"/>
                <w:color w:val="auto"/>
                <w:sz w:val="18"/>
                <w:szCs w:val="18"/>
              </w:rPr>
            </w:pPr>
          </w:p>
        </w:tc>
        <w:tc>
          <w:tcPr>
            <w:tcW w:w="2461" w:type="dxa"/>
            <w:tcBorders>
              <w:top w:val="single" w:color="auto" w:sz="4" w:space="0"/>
              <w:left w:val="single" w:color="auto" w:sz="4" w:space="0"/>
              <w:bottom w:val="single" w:color="auto" w:sz="12" w:space="0"/>
              <w:right w:val="single" w:color="auto" w:sz="4" w:space="0"/>
            </w:tcBorders>
            <w:vAlign w:val="center"/>
          </w:tcPr>
          <w:p>
            <w:pPr>
              <w:pStyle w:val="2556"/>
              <w:rPr>
                <w:rFonts w:ascii="Times New Roman" w:hAnsi="Times New Roman" w:cs="Times New Roman"/>
                <w:color w:val="auto"/>
                <w:sz w:val="18"/>
                <w:szCs w:val="18"/>
              </w:rPr>
            </w:pPr>
          </w:p>
        </w:tc>
        <w:tc>
          <w:tcPr>
            <w:tcW w:w="1382" w:type="dxa"/>
            <w:tcBorders>
              <w:top w:val="single" w:color="auto" w:sz="4" w:space="0"/>
              <w:left w:val="single" w:color="auto" w:sz="4" w:space="0"/>
              <w:bottom w:val="single" w:color="auto" w:sz="12" w:space="0"/>
              <w:right w:val="nil"/>
            </w:tcBorders>
            <w:vAlign w:val="center"/>
          </w:tcPr>
          <w:p>
            <w:pPr>
              <w:pStyle w:val="2556"/>
              <w:rPr>
                <w:rFonts w:ascii="Times New Roman" w:hAnsi="Times New Roman" w:cs="Times New Roman"/>
                <w:color w:val="auto"/>
                <w:sz w:val="18"/>
                <w:szCs w:val="18"/>
              </w:rPr>
            </w:pPr>
          </w:p>
        </w:tc>
      </w:tr>
    </w:tbl>
    <w:p>
      <w:pPr>
        <w:spacing w:before="166" w:beforeLines="50"/>
        <w:ind w:firstLine="482"/>
        <w:rPr>
          <w:rFonts w:ascii="Times New Roman" w:hAnsi="Times New Roman" w:cs="Times New Roman"/>
          <w:b/>
          <w:color w:val="auto"/>
        </w:rPr>
      </w:pPr>
      <w:r>
        <w:rPr>
          <w:rFonts w:ascii="Times New Roman" w:hAnsi="Times New Roman" w:cs="Times New Roman"/>
          <w:b/>
          <w:color w:val="auto"/>
        </w:rPr>
        <w:t>（4）声环境质量标准</w:t>
      </w:r>
    </w:p>
    <w:p>
      <w:pPr>
        <w:ind w:firstLine="480"/>
        <w:rPr>
          <w:rFonts w:ascii="Times New Roman" w:hAnsi="Times New Roman" w:cs="Times New Roman"/>
          <w:color w:val="auto"/>
        </w:rPr>
      </w:pPr>
      <w:bookmarkStart w:id="83" w:name="_Hlk46330992"/>
      <w:r>
        <w:rPr>
          <w:rFonts w:ascii="Times New Roman" w:hAnsi="Times New Roman" w:cs="Times New Roman"/>
          <w:color w:val="auto"/>
          <w:szCs w:val="24"/>
        </w:rPr>
        <w:t>本项目码头</w:t>
      </w:r>
      <w:r>
        <w:rPr>
          <w:rFonts w:hint="eastAsia" w:ascii="Times New Roman" w:hAnsi="Times New Roman" w:cs="Times New Roman"/>
          <w:color w:val="auto"/>
          <w:szCs w:val="24"/>
        </w:rPr>
        <w:t>临</w:t>
      </w:r>
      <w:r>
        <w:rPr>
          <w:rFonts w:ascii="Times New Roman" w:hAnsi="Times New Roman" w:cs="Times New Roman"/>
          <w:color w:val="auto"/>
          <w:szCs w:val="24"/>
        </w:rPr>
        <w:t>店埠河航道侧</w:t>
      </w:r>
      <w:r>
        <w:rPr>
          <w:rFonts w:ascii="Times New Roman" w:hAnsi="Times New Roman" w:cs="Times New Roman"/>
          <w:color w:val="auto"/>
        </w:rPr>
        <w:t>声环境执行《声环境质量标准》（GB3096-2008）中4a类标准，项目其他区域执行3类标准。</w:t>
      </w:r>
      <w:bookmarkEnd w:id="83"/>
      <w:r>
        <w:rPr>
          <w:rFonts w:ascii="Times New Roman" w:hAnsi="Times New Roman" w:cs="Times New Roman"/>
          <w:color w:val="auto"/>
        </w:rPr>
        <w:t>具体详见表2.2-6。</w:t>
      </w:r>
    </w:p>
    <w:p>
      <w:pPr>
        <w:spacing w:line="240" w:lineRule="auto"/>
        <w:ind w:firstLine="0" w:firstLineChars="0"/>
        <w:jc w:val="center"/>
        <w:rPr>
          <w:rFonts w:ascii="Times New Roman" w:hAnsi="Times New Roman" w:cs="Times New Roman"/>
          <w:b/>
          <w:color w:val="auto"/>
          <w:sz w:val="21"/>
          <w:szCs w:val="21"/>
        </w:rPr>
      </w:pPr>
      <w:r>
        <w:rPr>
          <w:rFonts w:ascii="Times New Roman" w:hAnsi="Times New Roman" w:cs="Times New Roman"/>
          <w:b/>
          <w:color w:val="auto"/>
          <w:sz w:val="21"/>
          <w:szCs w:val="21"/>
        </w:rPr>
        <w:t>表2.2-6  环境噪声标准限值</w:t>
      </w:r>
    </w:p>
    <w:tbl>
      <w:tblPr>
        <w:tblStyle w:val="62"/>
        <w:tblW w:w="88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06"/>
        <w:gridCol w:w="2333"/>
        <w:gridCol w:w="2331"/>
        <w:gridCol w:w="2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9" w:hRule="atLeast"/>
          <w:tblHeader/>
          <w:jc w:val="center"/>
        </w:trPr>
        <w:tc>
          <w:tcPr>
            <w:tcW w:w="4239" w:type="dxa"/>
            <w:gridSpan w:val="2"/>
            <w:tcBorders>
              <w:top w:val="single" w:color="auto" w:sz="12" w:space="0"/>
              <w:left w:val="nil"/>
            </w:tcBorders>
            <w:vAlign w:val="center"/>
          </w:tcPr>
          <w:p>
            <w:pPr>
              <w:pStyle w:val="861"/>
            </w:pPr>
            <w:r>
              <w:t>标准类别</w:t>
            </w:r>
          </w:p>
        </w:tc>
        <w:tc>
          <w:tcPr>
            <w:tcW w:w="2331" w:type="dxa"/>
            <w:tcBorders>
              <w:top w:val="single" w:color="auto" w:sz="12" w:space="0"/>
            </w:tcBorders>
            <w:vAlign w:val="center"/>
          </w:tcPr>
          <w:p>
            <w:pPr>
              <w:pStyle w:val="861"/>
            </w:pPr>
            <w:r>
              <w:t>昼间dB（A）</w:t>
            </w:r>
          </w:p>
        </w:tc>
        <w:tc>
          <w:tcPr>
            <w:tcW w:w="2329" w:type="dxa"/>
            <w:tcBorders>
              <w:top w:val="single" w:color="auto" w:sz="12" w:space="0"/>
              <w:right w:val="nil"/>
            </w:tcBorders>
            <w:vAlign w:val="center"/>
          </w:tcPr>
          <w:p>
            <w:pPr>
              <w:pStyle w:val="861"/>
            </w:pPr>
            <w: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906" w:type="dxa"/>
            <w:vMerge w:val="restart"/>
            <w:tcBorders>
              <w:left w:val="nil"/>
            </w:tcBorders>
            <w:vAlign w:val="center"/>
          </w:tcPr>
          <w:p>
            <w:pPr>
              <w:pStyle w:val="861"/>
            </w:pPr>
            <w:r>
              <w:t>环境噪声</w:t>
            </w:r>
          </w:p>
        </w:tc>
        <w:tc>
          <w:tcPr>
            <w:tcW w:w="2333" w:type="dxa"/>
            <w:vAlign w:val="center"/>
          </w:tcPr>
          <w:p>
            <w:pPr>
              <w:pStyle w:val="861"/>
            </w:pPr>
            <w:r>
              <w:t>4a类标准</w:t>
            </w:r>
          </w:p>
        </w:tc>
        <w:tc>
          <w:tcPr>
            <w:tcW w:w="2331" w:type="dxa"/>
            <w:vAlign w:val="center"/>
          </w:tcPr>
          <w:p>
            <w:pPr>
              <w:pStyle w:val="861"/>
            </w:pPr>
            <w:r>
              <w:t>70</w:t>
            </w:r>
          </w:p>
        </w:tc>
        <w:tc>
          <w:tcPr>
            <w:tcW w:w="2329" w:type="dxa"/>
            <w:tcBorders>
              <w:right w:val="nil"/>
            </w:tcBorders>
            <w:vAlign w:val="center"/>
          </w:tcPr>
          <w:p>
            <w:pPr>
              <w:pStyle w:val="861"/>
            </w:pPr>
            <w: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906" w:type="dxa"/>
            <w:vMerge w:val="continue"/>
            <w:tcBorders>
              <w:left w:val="nil"/>
            </w:tcBorders>
            <w:vAlign w:val="center"/>
          </w:tcPr>
          <w:p>
            <w:pPr>
              <w:pStyle w:val="861"/>
            </w:pPr>
          </w:p>
        </w:tc>
        <w:tc>
          <w:tcPr>
            <w:tcW w:w="2333" w:type="dxa"/>
            <w:vAlign w:val="center"/>
          </w:tcPr>
          <w:p>
            <w:pPr>
              <w:pStyle w:val="861"/>
            </w:pPr>
            <w:r>
              <w:t>3类标准</w:t>
            </w:r>
          </w:p>
        </w:tc>
        <w:tc>
          <w:tcPr>
            <w:tcW w:w="2331" w:type="dxa"/>
            <w:vAlign w:val="center"/>
          </w:tcPr>
          <w:p>
            <w:pPr>
              <w:pStyle w:val="861"/>
            </w:pPr>
            <w:r>
              <w:t>65</w:t>
            </w:r>
          </w:p>
        </w:tc>
        <w:tc>
          <w:tcPr>
            <w:tcW w:w="2329" w:type="dxa"/>
            <w:tcBorders>
              <w:right w:val="nil"/>
            </w:tcBorders>
            <w:vAlign w:val="center"/>
          </w:tcPr>
          <w:p>
            <w:pPr>
              <w:pStyle w:val="861"/>
            </w:pPr>
            <w: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 w:hRule="atLeast"/>
          <w:jc w:val="center"/>
        </w:trPr>
        <w:tc>
          <w:tcPr>
            <w:tcW w:w="1906" w:type="dxa"/>
            <w:tcBorders>
              <w:left w:val="nil"/>
              <w:bottom w:val="single" w:color="auto" w:sz="12" w:space="0"/>
            </w:tcBorders>
            <w:vAlign w:val="center"/>
          </w:tcPr>
          <w:p>
            <w:pPr>
              <w:pStyle w:val="861"/>
            </w:pPr>
            <w:r>
              <w:t>标准来源</w:t>
            </w:r>
          </w:p>
        </w:tc>
        <w:tc>
          <w:tcPr>
            <w:tcW w:w="6993" w:type="dxa"/>
            <w:gridSpan w:val="3"/>
            <w:tcBorders>
              <w:bottom w:val="single" w:color="auto" w:sz="12" w:space="0"/>
              <w:right w:val="nil"/>
            </w:tcBorders>
            <w:vAlign w:val="center"/>
          </w:tcPr>
          <w:p>
            <w:pPr>
              <w:pStyle w:val="861"/>
            </w:pPr>
            <w:r>
              <w:t>《声环境质量标准》（GB3096-2008）</w:t>
            </w:r>
          </w:p>
        </w:tc>
      </w:tr>
    </w:tbl>
    <w:p>
      <w:pPr>
        <w:spacing w:before="166" w:beforeLines="50"/>
        <w:ind w:firstLine="482"/>
        <w:rPr>
          <w:rFonts w:ascii="Times New Roman" w:hAnsi="Times New Roman" w:cs="Times New Roman"/>
          <w:b/>
          <w:color w:val="auto"/>
        </w:rPr>
      </w:pPr>
      <w:r>
        <w:rPr>
          <w:rFonts w:ascii="Times New Roman" w:hAnsi="Times New Roman" w:cs="Times New Roman"/>
          <w:b/>
          <w:color w:val="auto"/>
        </w:rPr>
        <w:t>（5）土壤环境质量标准</w:t>
      </w:r>
    </w:p>
    <w:p>
      <w:pPr>
        <w:ind w:firstLine="480"/>
        <w:rPr>
          <w:rFonts w:ascii="Times New Roman" w:hAnsi="Times New Roman" w:cs="Times New Roman"/>
          <w:color w:val="auto"/>
        </w:rPr>
      </w:pPr>
      <w:bookmarkStart w:id="84" w:name="_Hlk46330999"/>
      <w:r>
        <w:rPr>
          <w:rFonts w:ascii="Times New Roman" w:hAnsi="Times New Roman" w:cs="Times New Roman"/>
          <w:color w:val="auto"/>
        </w:rPr>
        <w:t>项目码头区</w:t>
      </w:r>
      <w:r>
        <w:rPr>
          <w:rFonts w:hint="eastAsia" w:ascii="Times New Roman" w:hAnsi="Times New Roman" w:cs="Times New Roman"/>
          <w:color w:val="auto"/>
        </w:rPr>
        <w:t>撮镇灌溉渠、</w:t>
      </w:r>
      <w:r>
        <w:rPr>
          <w:rFonts w:ascii="Times New Roman" w:hAnsi="Times New Roman" w:cs="Times New Roman"/>
          <w:color w:val="auto"/>
        </w:rPr>
        <w:t>店埠河底泥及下游南淝河底泥执行《土壤环境质量-建设用地土壤污染风险管控标准（试行）》（GB36600-2018）中第二类用地筛选值要求；</w:t>
      </w:r>
      <w:bookmarkEnd w:id="84"/>
      <w:r>
        <w:rPr>
          <w:rFonts w:ascii="Times New Roman" w:hAnsi="Times New Roman" w:cs="Times New Roman"/>
          <w:color w:val="auto"/>
        </w:rPr>
        <w:t>具体见表2.2-7。</w:t>
      </w:r>
    </w:p>
    <w:p>
      <w:pPr>
        <w:spacing w:line="240" w:lineRule="auto"/>
        <w:ind w:firstLine="422"/>
        <w:jc w:val="center"/>
        <w:rPr>
          <w:rFonts w:ascii="Times New Roman" w:hAnsi="Times New Roman" w:cs="Times New Roman"/>
          <w:b/>
          <w:color w:val="auto"/>
          <w:sz w:val="21"/>
          <w:szCs w:val="21"/>
        </w:rPr>
      </w:pPr>
      <w:r>
        <w:rPr>
          <w:rFonts w:ascii="Times New Roman" w:hAnsi="Times New Roman" w:cs="Times New Roman"/>
          <w:b/>
          <w:color w:val="auto"/>
          <w:sz w:val="21"/>
          <w:szCs w:val="21"/>
        </w:rPr>
        <w:t>表2.2-7    建设用地土壤污染风险管控标准   单位：mg/kg</w:t>
      </w:r>
    </w:p>
    <w:tbl>
      <w:tblPr>
        <w:tblStyle w:val="62"/>
        <w:tblW w:w="911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6"/>
        <w:gridCol w:w="1925"/>
        <w:gridCol w:w="963"/>
        <w:gridCol w:w="963"/>
        <w:gridCol w:w="725"/>
        <w:gridCol w:w="1667"/>
        <w:gridCol w:w="992"/>
        <w:gridCol w:w="115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bottom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序号</w:t>
            </w:r>
          </w:p>
        </w:tc>
        <w:tc>
          <w:tcPr>
            <w:tcW w:w="1925" w:type="dxa"/>
            <w:tcBorders>
              <w:left w:val="single" w:color="auto" w:sz="4" w:space="0"/>
              <w:bottom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污染物项目</w:t>
            </w:r>
          </w:p>
        </w:tc>
        <w:tc>
          <w:tcPr>
            <w:tcW w:w="963" w:type="dxa"/>
            <w:tcBorders>
              <w:bottom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筛选值</w:t>
            </w:r>
          </w:p>
        </w:tc>
        <w:tc>
          <w:tcPr>
            <w:tcW w:w="963" w:type="dxa"/>
            <w:tcBorders>
              <w:left w:val="single" w:color="auto" w:sz="4" w:space="0"/>
              <w:bottom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管制值</w:t>
            </w:r>
          </w:p>
        </w:tc>
        <w:tc>
          <w:tcPr>
            <w:tcW w:w="725" w:type="dxa"/>
            <w:tcBorders>
              <w:left w:val="single" w:color="auto" w:sz="4" w:space="0"/>
              <w:bottom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序号</w:t>
            </w:r>
          </w:p>
        </w:tc>
        <w:tc>
          <w:tcPr>
            <w:tcW w:w="1667" w:type="dxa"/>
            <w:tcBorders>
              <w:left w:val="single" w:color="auto" w:sz="4" w:space="0"/>
              <w:bottom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污染物项目</w:t>
            </w:r>
          </w:p>
        </w:tc>
        <w:tc>
          <w:tcPr>
            <w:tcW w:w="992" w:type="dxa"/>
            <w:tcBorders>
              <w:bottom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筛选值</w:t>
            </w:r>
          </w:p>
        </w:tc>
        <w:tc>
          <w:tcPr>
            <w:tcW w:w="1156" w:type="dxa"/>
            <w:tcBorders>
              <w:lef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管制值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1</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砷</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60</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140</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24</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1,2,3-三氯丙烷</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0.5</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2</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镉</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65</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172</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25</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氯乙烯</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0.43</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3</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铬（六价）</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5.7</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78</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26</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苯</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4</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铜</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18000</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36000</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27</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氯苯</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270</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5</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铅</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800</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2500</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28</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1,2-二氯苯</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560</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560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6</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汞</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38</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82</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29</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1,4-二氯苯</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7</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镍</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900</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2000</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30</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乙苯</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8</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四氯化碳</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36</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31</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苯乙烯</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1290</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1290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9</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氯仿</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0.9</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32</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甲苯</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1200</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10</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氯甲烷</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37</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120</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33</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间+对二甲苯</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570</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570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11</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1,1-二氯乙烷</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9</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34</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邻二甲苯</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640</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640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12</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1,2-二氯乙烷</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21</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35</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硝基苯</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76</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760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13</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1,1氯乙烯</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66</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200</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36</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苯胺</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260</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663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14</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顺-1,2二氯乙烯</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596</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2000</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37</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2-氯酚</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2256</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4500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15</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反1,2二氯乙烯</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54</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163</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38</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苯并[a]蒽</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16</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二氯甲烷</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616</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2000</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39</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苯并[b]芘</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17</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1,2-二氯甲烷</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47</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40</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苯并[b]荧蒽</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18</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1,1,1,2-四氯乙烷</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41</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苯并[k]荧蒽</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151</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19</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1,1,2,2-四氯乙烷</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6.8</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50</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42</w:t>
            </w:r>
          </w:p>
        </w:tc>
        <w:tc>
          <w:tcPr>
            <w:tcW w:w="1667" w:type="dxa"/>
            <w:tcBorders>
              <w:left w:val="single" w:color="auto" w:sz="4" w:space="0"/>
            </w:tcBorders>
            <w:vAlign w:val="center"/>
          </w:tcPr>
          <w:p>
            <w:pPr>
              <w:pStyle w:val="2556"/>
              <w:rPr>
                <w:rFonts w:ascii="Times New Roman" w:hAnsi="Times New Roman" w:eastAsia="微软雅黑" w:cs="Times New Roman"/>
                <w:color w:val="auto"/>
                <w:sz w:val="18"/>
                <w:szCs w:val="18"/>
              </w:rPr>
            </w:pPr>
            <w:r>
              <w:rPr>
                <w:rFonts w:ascii="Times New Roman" w:hAnsi="Times New Roman" w:eastAsia="微软雅黑" w:cs="Times New Roman"/>
                <w:color w:val="auto"/>
                <w:sz w:val="18"/>
                <w:szCs w:val="18"/>
              </w:rPr>
              <w:t>䓛</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1293</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12900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20</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四氯乙烯</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53</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183</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43</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二苯并[a,h]蒽</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21</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1,1,1-三氯乙烷</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840</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840</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44</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茚并[1,2,3-cd]芘</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22</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1,1,2-三氯乙烷</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725" w:type="dxa"/>
            <w:tcBorders>
              <w:left w:val="single" w:color="auto" w:sz="4" w:space="0"/>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45</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萘</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70</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700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5" w:hRule="atLeast"/>
          <w:jc w:val="center"/>
        </w:trPr>
        <w:tc>
          <w:tcPr>
            <w:tcW w:w="726" w:type="dxa"/>
            <w:tcBorders>
              <w:right w:val="single" w:color="auto" w:sz="4" w:space="0"/>
            </w:tcBorders>
            <w:vAlign w:val="center"/>
          </w:tcPr>
          <w:p>
            <w:pPr>
              <w:pStyle w:val="2556"/>
              <w:rPr>
                <w:rFonts w:ascii="Times New Roman" w:hAnsi="Times New Roman" w:cs="Times New Roman"/>
                <w:b/>
                <w:color w:val="auto"/>
                <w:sz w:val="18"/>
                <w:szCs w:val="18"/>
              </w:rPr>
            </w:pPr>
            <w:r>
              <w:rPr>
                <w:rFonts w:ascii="Times New Roman" w:hAnsi="Times New Roman" w:cs="Times New Roman"/>
                <w:b/>
                <w:color w:val="auto"/>
                <w:sz w:val="18"/>
                <w:szCs w:val="18"/>
              </w:rPr>
              <w:t>23</w:t>
            </w:r>
          </w:p>
        </w:tc>
        <w:tc>
          <w:tcPr>
            <w:tcW w:w="1925"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三氯乙烯</w:t>
            </w:r>
          </w:p>
        </w:tc>
        <w:tc>
          <w:tcPr>
            <w:tcW w:w="963"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963"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725" w:type="dxa"/>
            <w:tcBorders>
              <w:left w:val="single" w:color="auto" w:sz="4" w:space="0"/>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46</w:t>
            </w:r>
          </w:p>
        </w:tc>
        <w:tc>
          <w:tcPr>
            <w:tcW w:w="1667"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石油烃（C10~C60）</w:t>
            </w:r>
          </w:p>
        </w:tc>
        <w:tc>
          <w:tcPr>
            <w:tcW w:w="992" w:type="dxa"/>
            <w:tcBorders>
              <w:righ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826</w:t>
            </w:r>
          </w:p>
        </w:tc>
        <w:tc>
          <w:tcPr>
            <w:tcW w:w="1156" w:type="dxa"/>
            <w:tcBorders>
              <w:left w:val="single" w:color="auto" w:sz="4" w:space="0"/>
            </w:tcBorders>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4500</w:t>
            </w:r>
          </w:p>
        </w:tc>
      </w:tr>
    </w:tbl>
    <w:p>
      <w:pPr>
        <w:ind w:firstLine="480"/>
        <w:rPr>
          <w:rFonts w:ascii="Times New Roman" w:hAnsi="Times New Roman" w:cs="Times New Roman"/>
          <w:color w:val="FF0000"/>
        </w:rPr>
      </w:pPr>
      <w:bookmarkStart w:id="85" w:name="_Toc102984264"/>
      <w:bookmarkStart w:id="86" w:name="_Toc104733304"/>
      <w:r>
        <w:rPr>
          <w:rFonts w:ascii="Times New Roman" w:hAnsi="Times New Roman" w:cs="Times New Roman"/>
          <w:color w:val="FF0000"/>
        </w:rPr>
        <w:t>项目区</w:t>
      </w:r>
      <w:r>
        <w:rPr>
          <w:rFonts w:hint="eastAsia" w:ascii="Times New Roman" w:hAnsi="Times New Roman" w:cs="Times New Roman"/>
          <w:color w:val="FF0000"/>
        </w:rPr>
        <w:t>周边现状耕地</w:t>
      </w:r>
      <w:r>
        <w:rPr>
          <w:rFonts w:ascii="Times New Roman" w:hAnsi="Times New Roman" w:cs="Times New Roman"/>
          <w:color w:val="FF0000"/>
        </w:rPr>
        <w:t>执行</w:t>
      </w:r>
      <w:r>
        <w:rPr>
          <w:rFonts w:hint="eastAsia" w:ascii="Times New Roman" w:hAnsi="Times New Roman" w:cs="Times New Roman"/>
          <w:color w:val="FF0000"/>
        </w:rPr>
        <w:t>《土壤环境质量 农用地土壤污染风险管控标准（试行）》(GB 15618-2018）</w:t>
      </w:r>
      <w:r>
        <w:rPr>
          <w:rFonts w:ascii="Times New Roman" w:hAnsi="Times New Roman" w:cs="Times New Roman"/>
          <w:color w:val="FF0000"/>
        </w:rPr>
        <w:t>中第二类用地筛选值要求；具体见表2.2-8。</w:t>
      </w:r>
    </w:p>
    <w:p>
      <w:pPr>
        <w:spacing w:line="240" w:lineRule="auto"/>
        <w:ind w:firstLine="422"/>
        <w:jc w:val="center"/>
        <w:rPr>
          <w:rFonts w:ascii="Times New Roman" w:hAnsi="Times New Roman" w:cs="Times New Roman"/>
          <w:b/>
          <w:color w:val="FF0000"/>
          <w:sz w:val="21"/>
          <w:szCs w:val="21"/>
        </w:rPr>
      </w:pPr>
      <w:r>
        <w:rPr>
          <w:rFonts w:ascii="Times New Roman" w:hAnsi="Times New Roman" w:cs="Times New Roman"/>
          <w:b/>
          <w:color w:val="FF0000"/>
          <w:sz w:val="21"/>
          <w:szCs w:val="21"/>
        </w:rPr>
        <w:t xml:space="preserve">表2.2-8   </w:t>
      </w:r>
      <w:r>
        <w:rPr>
          <w:rFonts w:hint="eastAsia" w:ascii="Times New Roman" w:hAnsi="Times New Roman" w:cs="Times New Roman"/>
          <w:b/>
          <w:color w:val="FF0000"/>
          <w:sz w:val="21"/>
          <w:szCs w:val="21"/>
        </w:rPr>
        <w:t>农用地土壤污染风险筛选值</w:t>
      </w:r>
      <w:r>
        <w:rPr>
          <w:rFonts w:ascii="Times New Roman" w:hAnsi="Times New Roman" w:cs="Times New Roman"/>
          <w:b/>
          <w:color w:val="FF0000"/>
          <w:sz w:val="21"/>
          <w:szCs w:val="21"/>
        </w:rPr>
        <w:t xml:space="preserve">   单位：mg/kg</w:t>
      </w:r>
    </w:p>
    <w:tbl>
      <w:tblPr>
        <w:tblStyle w:val="62"/>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5"/>
        <w:gridCol w:w="1284"/>
        <w:gridCol w:w="1283"/>
        <w:gridCol w:w="1284"/>
        <w:gridCol w:w="1569"/>
        <w:gridCol w:w="1500"/>
        <w:gridCol w:w="12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75" w:hRule="atLeast"/>
          <w:jc w:val="center"/>
        </w:trPr>
        <w:tc>
          <w:tcPr>
            <w:tcW w:w="855"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序号</w:t>
            </w:r>
          </w:p>
        </w:tc>
        <w:tc>
          <w:tcPr>
            <w:tcW w:w="2567" w:type="dxa"/>
            <w:gridSpan w:val="2"/>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污染物项目</w:t>
            </w:r>
          </w:p>
        </w:tc>
        <w:tc>
          <w:tcPr>
            <w:tcW w:w="5650" w:type="dxa"/>
            <w:gridSpan w:val="4"/>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风险筛选值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74" w:hRule="atLeast"/>
          <w:jc w:val="center"/>
        </w:trPr>
        <w:tc>
          <w:tcPr>
            <w:tcW w:w="855"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2567" w:type="dxa"/>
            <w:gridSpan w:val="2"/>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pH≤5.5</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5.5＜pH≤6.5</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6.5＜pH≤7.5</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pH＞7.5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w:t>
            </w:r>
          </w:p>
        </w:tc>
        <w:tc>
          <w:tcPr>
            <w:tcW w:w="1284"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镉</w:t>
            </w:r>
          </w:p>
        </w:tc>
        <w:tc>
          <w:tcPr>
            <w:tcW w:w="1283"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水田</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0.3</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0.4</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0.6</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1284"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1283"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其他</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0.3</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0.3</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0.3</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w:t>
            </w:r>
          </w:p>
        </w:tc>
        <w:tc>
          <w:tcPr>
            <w:tcW w:w="1284"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汞</w:t>
            </w:r>
          </w:p>
        </w:tc>
        <w:tc>
          <w:tcPr>
            <w:tcW w:w="1283"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水田</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0.5</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0.5</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0.6</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1284"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1283"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其他</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1.3</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1.8</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2.4</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3</w:t>
            </w:r>
          </w:p>
        </w:tc>
        <w:tc>
          <w:tcPr>
            <w:tcW w:w="1284"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砷</w:t>
            </w:r>
          </w:p>
        </w:tc>
        <w:tc>
          <w:tcPr>
            <w:tcW w:w="1283"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水田</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30</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30</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25</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1284"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1283"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其他</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40</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40</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30</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4</w:t>
            </w:r>
          </w:p>
        </w:tc>
        <w:tc>
          <w:tcPr>
            <w:tcW w:w="1284"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铅</w:t>
            </w:r>
          </w:p>
        </w:tc>
        <w:tc>
          <w:tcPr>
            <w:tcW w:w="1283"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水田</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80</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100</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140</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1284"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1283"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其他</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70</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90</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120</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5</w:t>
            </w:r>
          </w:p>
        </w:tc>
        <w:tc>
          <w:tcPr>
            <w:tcW w:w="1284"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铬</w:t>
            </w:r>
          </w:p>
        </w:tc>
        <w:tc>
          <w:tcPr>
            <w:tcW w:w="1283"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水田</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250</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250</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300</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1284"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1283"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其他</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150</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150</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200</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6</w:t>
            </w:r>
          </w:p>
        </w:tc>
        <w:tc>
          <w:tcPr>
            <w:tcW w:w="1284"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铜</w:t>
            </w:r>
          </w:p>
        </w:tc>
        <w:tc>
          <w:tcPr>
            <w:tcW w:w="1283"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水田</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150</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150</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200</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1284"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1283"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其他</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50</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50</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100</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7</w:t>
            </w:r>
          </w:p>
        </w:tc>
        <w:tc>
          <w:tcPr>
            <w:tcW w:w="2567" w:type="dxa"/>
            <w:gridSpan w:val="2"/>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镍</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60</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70</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100</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55"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8</w:t>
            </w:r>
          </w:p>
        </w:tc>
        <w:tc>
          <w:tcPr>
            <w:tcW w:w="2567" w:type="dxa"/>
            <w:gridSpan w:val="2"/>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锌</w:t>
            </w:r>
          </w:p>
        </w:tc>
        <w:tc>
          <w:tcPr>
            <w:tcW w:w="128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200</w:t>
            </w:r>
          </w:p>
        </w:tc>
        <w:tc>
          <w:tcPr>
            <w:tcW w:w="156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200</w:t>
            </w:r>
          </w:p>
        </w:tc>
        <w:tc>
          <w:tcPr>
            <w:tcW w:w="1500"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250</w:t>
            </w:r>
          </w:p>
        </w:tc>
        <w:tc>
          <w:tcPr>
            <w:tcW w:w="1297"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300</w:t>
            </w:r>
          </w:p>
        </w:tc>
      </w:tr>
    </w:tbl>
    <w:p>
      <w:pPr>
        <w:pStyle w:val="4"/>
        <w:numPr>
          <w:ilvl w:val="2"/>
          <w:numId w:val="0"/>
        </w:numPr>
        <w:spacing w:before="166" w:beforeLines="50"/>
        <w:jc w:val="both"/>
        <w:rPr>
          <w:rFonts w:ascii="Times New Roman" w:hAnsi="Times New Roman" w:cs="Times New Roman"/>
          <w:color w:val="auto"/>
        </w:rPr>
      </w:pPr>
      <w:r>
        <w:rPr>
          <w:rFonts w:ascii="Times New Roman" w:hAnsi="Times New Roman" w:cs="Times New Roman"/>
          <w:color w:val="auto"/>
        </w:rPr>
        <w:t>2.2.5污染物排放标准</w:t>
      </w:r>
      <w:bookmarkEnd w:id="85"/>
      <w:bookmarkEnd w:id="86"/>
    </w:p>
    <w:p>
      <w:pPr>
        <w:ind w:firstLine="482"/>
        <w:rPr>
          <w:rFonts w:ascii="Times New Roman" w:hAnsi="Times New Roman" w:cs="Times New Roman"/>
          <w:b/>
          <w:color w:val="auto"/>
        </w:rPr>
      </w:pPr>
      <w:r>
        <w:rPr>
          <w:rFonts w:ascii="Times New Roman" w:hAnsi="Times New Roman" w:cs="Times New Roman"/>
          <w:b/>
          <w:color w:val="auto"/>
        </w:rPr>
        <w:t>（1）大气污染物排放标准</w:t>
      </w:r>
    </w:p>
    <w:p>
      <w:pPr>
        <w:ind w:firstLine="480"/>
        <w:rPr>
          <w:rFonts w:ascii="Times New Roman" w:hAnsi="Times New Roman" w:cs="Times New Roman"/>
          <w:color w:val="auto"/>
          <w:szCs w:val="24"/>
        </w:rPr>
      </w:pPr>
      <w:r>
        <w:rPr>
          <w:rFonts w:ascii="Times New Roman" w:hAnsi="Times New Roman" w:cs="Times New Roman"/>
          <w:color w:val="auto"/>
          <w:szCs w:val="24"/>
        </w:rPr>
        <w:t>根据《石油化学工业污染物排放标准》（GB 31571-2015）中5.4.4 挥发性有机液体传输、接驳与分装过程挥发性有机液体装卸栈桥对铁路罐车、汽车罐车进行装载，</w:t>
      </w:r>
      <w:r>
        <w:rPr>
          <w:rFonts w:ascii="Times New Roman" w:hAnsi="Times New Roman" w:cs="Times New Roman"/>
          <w:b/>
          <w:bCs/>
          <w:color w:val="auto"/>
          <w:szCs w:val="24"/>
        </w:rPr>
        <w:t>挥发性有机液体装卸码头对船（驳）进行装载的设施</w:t>
      </w:r>
      <w:r>
        <w:rPr>
          <w:rFonts w:ascii="Times New Roman" w:hAnsi="Times New Roman" w:cs="Times New Roman"/>
          <w:color w:val="auto"/>
          <w:szCs w:val="24"/>
        </w:rPr>
        <w:t>，以及把挥发性有机液体分装到较小容器的分装设施，应密闭并设置有机废气收集、回收或处理装置，其大气污染物排放应符合标准规定的要求；</w:t>
      </w:r>
    </w:p>
    <w:p>
      <w:pPr>
        <w:pStyle w:val="25"/>
        <w:spacing w:line="360" w:lineRule="auto"/>
        <w:ind w:firstLine="480"/>
        <w:rPr>
          <w:rFonts w:ascii="Times New Roman" w:hAnsi="Times New Roman" w:cs="Times New Roman"/>
        </w:rPr>
      </w:pPr>
      <w:r>
        <w:rPr>
          <w:rFonts w:ascii="Times New Roman" w:hAnsi="Times New Roman" w:cs="Times New Roman"/>
          <w:szCs w:val="24"/>
        </w:rPr>
        <w:t>本项目码头柴油、汽油及航空煤油的油船运输及港区内汽车装车废气配套油气回收系统并</w:t>
      </w:r>
      <w:r>
        <w:rPr>
          <w:rFonts w:ascii="Times New Roman" w:hAnsi="Times New Roman" w:cs="Times New Roman"/>
        </w:rPr>
        <w:t>执行《油品运输大气污染物排放标准》（GB 20951-2020）中的4.1油罐车排放控制和4.2油船排放控制要求</w:t>
      </w:r>
      <w:r>
        <w:rPr>
          <w:rFonts w:ascii="Times New Roman" w:hAnsi="Times New Roman" w:cs="Times New Roman"/>
          <w:szCs w:val="24"/>
        </w:rPr>
        <w:t>。</w:t>
      </w:r>
    </w:p>
    <w:p>
      <w:pPr>
        <w:pStyle w:val="25"/>
        <w:spacing w:line="360" w:lineRule="auto"/>
        <w:ind w:firstLine="480"/>
        <w:rPr>
          <w:rFonts w:ascii="Times New Roman" w:hAnsi="Times New Roman" w:cs="Times New Roman"/>
        </w:rPr>
      </w:pPr>
      <w:r>
        <w:rPr>
          <w:rFonts w:ascii="Times New Roman" w:hAnsi="Times New Roman" w:cs="Times New Roman"/>
        </w:rPr>
        <w:t>本项目</w:t>
      </w:r>
      <w:r>
        <w:rPr>
          <w:rFonts w:hint="eastAsia" w:ascii="Times New Roman" w:hAnsi="Times New Roman" w:cs="Times New Roman"/>
        </w:rPr>
        <w:t>装船及装车</w:t>
      </w:r>
      <w:r>
        <w:rPr>
          <w:rFonts w:ascii="Times New Roman" w:hAnsi="Times New Roman" w:cs="Times New Roman"/>
        </w:rPr>
        <w:t>废气</w:t>
      </w:r>
      <w:r>
        <w:rPr>
          <w:rFonts w:ascii="Times New Roman" w:hAnsi="Times New Roman" w:cs="Times New Roman"/>
          <w:color w:val="auto"/>
          <w:szCs w:val="24"/>
        </w:rPr>
        <w:t>配套油气回收系统并执行《石油化学工业污染物排放标准》（GB31571-2015）</w:t>
      </w:r>
      <w:r>
        <w:rPr>
          <w:rFonts w:hint="eastAsia" w:ascii="Times New Roman" w:hAnsi="Times New Roman" w:cs="Times New Roman"/>
          <w:color w:val="auto"/>
          <w:szCs w:val="24"/>
        </w:rPr>
        <w:t>中表5非甲烷总烃</w:t>
      </w:r>
      <w:r>
        <w:rPr>
          <w:rFonts w:ascii="Times New Roman" w:hAnsi="Times New Roman" w:cs="Times New Roman"/>
          <w:color w:val="auto"/>
          <w:szCs w:val="24"/>
        </w:rPr>
        <w:t>特别排放限值要求</w:t>
      </w:r>
      <w:r>
        <w:rPr>
          <w:rFonts w:hint="eastAsia" w:ascii="Times New Roman" w:hAnsi="Times New Roman" w:cs="Times New Roman"/>
          <w:color w:val="auto"/>
          <w:szCs w:val="24"/>
        </w:rPr>
        <w:t>和</w:t>
      </w:r>
      <w:r>
        <w:rPr>
          <w:rFonts w:ascii="Times New Roman" w:hAnsi="Times New Roman" w:cs="Times New Roman"/>
        </w:rPr>
        <w:t>《储油库大气污染物排放标准》（GB 20950-2020）的相关排放限值要求。</w:t>
      </w:r>
    </w:p>
    <w:p>
      <w:pPr>
        <w:pStyle w:val="25"/>
        <w:spacing w:line="360" w:lineRule="auto"/>
        <w:ind w:firstLine="480"/>
        <w:rPr>
          <w:rFonts w:ascii="Times New Roman" w:hAnsi="Times New Roman" w:cs="Times New Roman"/>
        </w:rPr>
      </w:pPr>
      <w:r>
        <w:rPr>
          <w:rFonts w:ascii="Times New Roman" w:hAnsi="Times New Roman" w:cs="Times New Roman"/>
        </w:rPr>
        <w:t>本项目硫酸的卸船、储罐及装车废气经收集后配套酸性气体碱液中和处理装置处理后执行</w:t>
      </w:r>
      <w:r>
        <w:rPr>
          <w:rFonts w:ascii="Times New Roman" w:hAnsi="Times New Roman" w:cs="Times New Roman"/>
          <w:szCs w:val="18"/>
        </w:rPr>
        <w:t>《</w:t>
      </w:r>
      <w:r>
        <w:rPr>
          <w:rFonts w:ascii="Times New Roman" w:hAnsi="Times New Roman" w:cs="Times New Roman"/>
          <w:snapToGrid w:val="0"/>
          <w:szCs w:val="18"/>
        </w:rPr>
        <w:t>大气污染物综合排放标准</w:t>
      </w:r>
      <w:r>
        <w:rPr>
          <w:rFonts w:ascii="Times New Roman" w:hAnsi="Times New Roman" w:cs="Times New Roman"/>
          <w:szCs w:val="18"/>
        </w:rPr>
        <w:t>》（GB16297-1996）中表2中硫酸雾限值要求。</w:t>
      </w:r>
    </w:p>
    <w:p>
      <w:pPr>
        <w:ind w:firstLine="480"/>
        <w:rPr>
          <w:rFonts w:ascii="Times New Roman" w:hAnsi="Times New Roman" w:cs="Times New Roman"/>
          <w:color w:val="auto"/>
          <w:szCs w:val="24"/>
        </w:rPr>
      </w:pPr>
      <w:r>
        <w:rPr>
          <w:rFonts w:ascii="Times New Roman" w:hAnsi="Times New Roman" w:cs="Times New Roman"/>
          <w:color w:val="auto"/>
          <w:szCs w:val="24"/>
        </w:rPr>
        <w:t>项目港区边界非甲烷总烃执行</w:t>
      </w:r>
      <w:r>
        <w:rPr>
          <w:rFonts w:ascii="Times New Roman" w:hAnsi="Times New Roman" w:cs="Times New Roman"/>
        </w:rPr>
        <w:t>《储油库大气污染物排放标准》（GB 20950—2020）</w:t>
      </w:r>
      <w:r>
        <w:rPr>
          <w:rFonts w:ascii="Times New Roman" w:hAnsi="Times New Roman" w:cs="Times New Roman"/>
          <w:color w:val="auto"/>
          <w:szCs w:val="24"/>
        </w:rPr>
        <w:t>中任意1小时 NMHC平均浓度值不应超过4mg/m</w:t>
      </w:r>
      <w:r>
        <w:rPr>
          <w:rFonts w:ascii="Times New Roman" w:hAnsi="Times New Roman" w:cs="Times New Roman"/>
          <w:color w:val="auto"/>
          <w:szCs w:val="24"/>
          <w:vertAlign w:val="superscript"/>
        </w:rPr>
        <w:t>3</w:t>
      </w:r>
      <w:r>
        <w:rPr>
          <w:rFonts w:ascii="Times New Roman" w:hAnsi="Times New Roman" w:cs="Times New Roman"/>
          <w:color w:val="auto"/>
          <w:szCs w:val="24"/>
        </w:rPr>
        <w:t>要求。</w:t>
      </w:r>
    </w:p>
    <w:p>
      <w:pPr>
        <w:ind w:firstLine="480"/>
        <w:rPr>
          <w:rFonts w:ascii="Times New Roman" w:hAnsi="Times New Roman" w:cs="Times New Roman"/>
          <w:color w:val="auto"/>
          <w:szCs w:val="24"/>
        </w:rPr>
      </w:pPr>
      <w:r>
        <w:rPr>
          <w:rFonts w:ascii="Times New Roman" w:hAnsi="Times New Roman" w:cs="Times New Roman"/>
          <w:color w:val="auto"/>
          <w:szCs w:val="24"/>
        </w:rPr>
        <w:t>项目港区内VOCs无组织废气排放执行《挥发性有机物无组织排放控制标准》(GB37822-2019)中特别排放限值。</w:t>
      </w:r>
    </w:p>
    <w:p>
      <w:pPr>
        <w:pStyle w:val="25"/>
        <w:spacing w:line="240" w:lineRule="auto"/>
        <w:ind w:firstLine="0" w:firstLineChars="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表2.2-8   大气污染物排放标准</w:t>
      </w:r>
    </w:p>
    <w:tbl>
      <w:tblPr>
        <w:tblStyle w:val="62"/>
        <w:tblW w:w="913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54"/>
        <w:gridCol w:w="1115"/>
        <w:gridCol w:w="1498"/>
        <w:gridCol w:w="1478"/>
        <w:gridCol w:w="389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21" w:hRule="atLeast"/>
          <w:jc w:val="center"/>
        </w:trPr>
        <w:tc>
          <w:tcPr>
            <w:tcW w:w="1154" w:type="dxa"/>
            <w:vAlign w:val="center"/>
          </w:tcPr>
          <w:p>
            <w:pPr>
              <w:pStyle w:val="861"/>
              <w:rPr>
                <w:b/>
                <w:bCs/>
                <w:snapToGrid w:val="0"/>
                <w:szCs w:val="18"/>
              </w:rPr>
            </w:pPr>
            <w:r>
              <w:rPr>
                <w:b/>
                <w:bCs/>
                <w:snapToGrid w:val="0"/>
                <w:szCs w:val="18"/>
              </w:rPr>
              <w:t>因子</w:t>
            </w:r>
          </w:p>
        </w:tc>
        <w:tc>
          <w:tcPr>
            <w:tcW w:w="1115" w:type="dxa"/>
            <w:vAlign w:val="center"/>
          </w:tcPr>
          <w:p>
            <w:pPr>
              <w:pStyle w:val="861"/>
              <w:rPr>
                <w:b/>
                <w:bCs/>
                <w:snapToGrid w:val="0"/>
                <w:szCs w:val="18"/>
              </w:rPr>
            </w:pPr>
            <w:r>
              <w:rPr>
                <w:b/>
                <w:bCs/>
                <w:snapToGrid w:val="0"/>
                <w:szCs w:val="18"/>
              </w:rPr>
              <w:t>最高允许排放浓度（mg/m</w:t>
            </w:r>
            <w:r>
              <w:rPr>
                <w:b/>
                <w:bCs/>
                <w:snapToGrid w:val="0"/>
                <w:szCs w:val="18"/>
                <w:vertAlign w:val="superscript"/>
              </w:rPr>
              <w:t>3</w:t>
            </w:r>
            <w:r>
              <w:rPr>
                <w:b/>
                <w:bCs/>
                <w:snapToGrid w:val="0"/>
                <w:szCs w:val="18"/>
              </w:rPr>
              <w:t>）</w:t>
            </w:r>
          </w:p>
        </w:tc>
        <w:tc>
          <w:tcPr>
            <w:tcW w:w="1498" w:type="dxa"/>
            <w:vAlign w:val="center"/>
          </w:tcPr>
          <w:p>
            <w:pPr>
              <w:pStyle w:val="861"/>
              <w:rPr>
                <w:b/>
                <w:bCs/>
                <w:snapToGrid w:val="0"/>
                <w:szCs w:val="18"/>
              </w:rPr>
            </w:pPr>
            <w:r>
              <w:rPr>
                <w:b/>
                <w:bCs/>
                <w:snapToGrid w:val="0"/>
                <w:szCs w:val="18"/>
              </w:rPr>
              <w:t>最高允许排放速率（kg/h）</w:t>
            </w:r>
          </w:p>
        </w:tc>
        <w:tc>
          <w:tcPr>
            <w:tcW w:w="1478" w:type="dxa"/>
            <w:vAlign w:val="center"/>
          </w:tcPr>
          <w:p>
            <w:pPr>
              <w:pStyle w:val="861"/>
              <w:rPr>
                <w:b/>
                <w:bCs/>
                <w:snapToGrid w:val="0"/>
                <w:szCs w:val="18"/>
              </w:rPr>
            </w:pPr>
            <w:r>
              <w:rPr>
                <w:b/>
                <w:bCs/>
                <w:snapToGrid w:val="0"/>
                <w:szCs w:val="18"/>
              </w:rPr>
              <w:t>无组织排放监控浓度（mg/m</w:t>
            </w:r>
            <w:r>
              <w:rPr>
                <w:b/>
                <w:bCs/>
                <w:snapToGrid w:val="0"/>
                <w:szCs w:val="18"/>
                <w:vertAlign w:val="superscript"/>
              </w:rPr>
              <w:t>3</w:t>
            </w:r>
            <w:r>
              <w:rPr>
                <w:b/>
                <w:bCs/>
                <w:snapToGrid w:val="0"/>
                <w:szCs w:val="18"/>
              </w:rPr>
              <w:t>）</w:t>
            </w:r>
          </w:p>
        </w:tc>
        <w:tc>
          <w:tcPr>
            <w:tcW w:w="3890" w:type="dxa"/>
            <w:vAlign w:val="center"/>
          </w:tcPr>
          <w:p>
            <w:pPr>
              <w:pStyle w:val="861"/>
              <w:rPr>
                <w:b/>
                <w:bCs/>
                <w:snapToGrid w:val="0"/>
                <w:szCs w:val="18"/>
              </w:rPr>
            </w:pPr>
            <w:r>
              <w:rPr>
                <w:b/>
                <w:bCs/>
                <w:snapToGrid w:val="0"/>
                <w:szCs w:val="18"/>
              </w:rPr>
              <w:t>标准来源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613" w:hRule="atLeast"/>
          <w:jc w:val="center"/>
        </w:trPr>
        <w:tc>
          <w:tcPr>
            <w:tcW w:w="1154" w:type="dxa"/>
            <w:vAlign w:val="center"/>
          </w:tcPr>
          <w:p>
            <w:pPr>
              <w:pStyle w:val="861"/>
              <w:rPr>
                <w:szCs w:val="18"/>
              </w:rPr>
            </w:pPr>
            <w:r>
              <w:rPr>
                <w:szCs w:val="18"/>
              </w:rPr>
              <w:t>非甲烷总烃（乙醇）</w:t>
            </w:r>
          </w:p>
        </w:tc>
        <w:tc>
          <w:tcPr>
            <w:tcW w:w="1115" w:type="dxa"/>
            <w:vAlign w:val="center"/>
          </w:tcPr>
          <w:p>
            <w:pPr>
              <w:pStyle w:val="861"/>
              <w:rPr>
                <w:snapToGrid w:val="0"/>
                <w:szCs w:val="18"/>
              </w:rPr>
            </w:pPr>
            <w:r>
              <w:rPr>
                <w:szCs w:val="18"/>
              </w:rPr>
              <w:t>/</w:t>
            </w:r>
          </w:p>
        </w:tc>
        <w:tc>
          <w:tcPr>
            <w:tcW w:w="1498" w:type="dxa"/>
            <w:vAlign w:val="center"/>
          </w:tcPr>
          <w:p>
            <w:pPr>
              <w:widowControl/>
              <w:spacing w:line="240" w:lineRule="auto"/>
              <w:ind w:firstLine="0" w:firstLineChars="0"/>
              <w:jc w:val="center"/>
              <w:rPr>
                <w:rFonts w:ascii="Times New Roman" w:hAnsi="Times New Roman" w:cs="Times New Roman"/>
                <w:snapToGrid w:val="0"/>
                <w:color w:val="auto"/>
                <w:sz w:val="18"/>
                <w:szCs w:val="18"/>
              </w:rPr>
            </w:pPr>
            <w:r>
              <w:rPr>
                <w:rFonts w:ascii="Times New Roman" w:hAnsi="Times New Roman" w:cs="Times New Roman"/>
                <w:snapToGrid w:val="0"/>
                <w:sz w:val="18"/>
                <w:szCs w:val="18"/>
              </w:rPr>
              <w:t>处理装置处理效率≥97%</w:t>
            </w:r>
          </w:p>
        </w:tc>
        <w:tc>
          <w:tcPr>
            <w:tcW w:w="1478" w:type="dxa"/>
            <w:vAlign w:val="center"/>
          </w:tcPr>
          <w:p>
            <w:pPr>
              <w:widowControl/>
              <w:spacing w:line="240" w:lineRule="auto"/>
              <w:ind w:firstLine="0" w:firstLineChars="0"/>
              <w:jc w:val="center"/>
              <w:rPr>
                <w:rFonts w:ascii="Times New Roman" w:hAnsi="Times New Roman" w:cs="Times New Roman"/>
                <w:snapToGrid w:val="0"/>
                <w:color w:val="auto"/>
                <w:sz w:val="18"/>
                <w:szCs w:val="18"/>
              </w:rPr>
            </w:pPr>
            <w:r>
              <w:rPr>
                <w:rFonts w:ascii="Times New Roman" w:hAnsi="Times New Roman" w:cs="Times New Roman"/>
                <w:sz w:val="18"/>
                <w:szCs w:val="18"/>
              </w:rPr>
              <w:t>4.0</w:t>
            </w:r>
          </w:p>
        </w:tc>
        <w:tc>
          <w:tcPr>
            <w:tcW w:w="3890" w:type="dxa"/>
            <w:vAlign w:val="center"/>
          </w:tcPr>
          <w:p>
            <w:pPr>
              <w:spacing w:line="240" w:lineRule="auto"/>
              <w:ind w:firstLine="0" w:firstLineChars="0"/>
              <w:rPr>
                <w:rFonts w:ascii="Times New Roman" w:hAnsi="Times New Roman" w:cs="Times New Roman"/>
                <w:snapToGrid w:val="0"/>
                <w:color w:val="auto"/>
                <w:sz w:val="18"/>
                <w:szCs w:val="18"/>
              </w:rPr>
            </w:pPr>
            <w:r>
              <w:rPr>
                <w:rFonts w:ascii="Times New Roman" w:hAnsi="Times New Roman" w:cs="Times New Roman"/>
                <w:snapToGrid w:val="0"/>
                <w:color w:val="auto"/>
                <w:sz w:val="18"/>
                <w:szCs w:val="18"/>
              </w:rPr>
              <w:t>《石油化学工业污染物排放标准》（GB 31571-2015）表5中大气污染物特别排放限值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4" w:hRule="atLeast"/>
          <w:jc w:val="center"/>
        </w:trPr>
        <w:tc>
          <w:tcPr>
            <w:tcW w:w="1154" w:type="dxa"/>
            <w:vAlign w:val="center"/>
          </w:tcPr>
          <w:p>
            <w:pPr>
              <w:pStyle w:val="861"/>
              <w:rPr>
                <w:szCs w:val="18"/>
              </w:rPr>
            </w:pPr>
            <w:r>
              <w:rPr>
                <w:szCs w:val="18"/>
              </w:rPr>
              <w:t>硫酸雾</w:t>
            </w:r>
          </w:p>
        </w:tc>
        <w:tc>
          <w:tcPr>
            <w:tcW w:w="1115" w:type="dxa"/>
            <w:vAlign w:val="center"/>
          </w:tcPr>
          <w:p>
            <w:pPr>
              <w:pStyle w:val="861"/>
              <w:rPr>
                <w:snapToGrid w:val="0"/>
                <w:szCs w:val="18"/>
              </w:rPr>
            </w:pPr>
            <w:r>
              <w:rPr>
                <w:szCs w:val="18"/>
              </w:rPr>
              <w:t>45</w:t>
            </w:r>
          </w:p>
        </w:tc>
        <w:tc>
          <w:tcPr>
            <w:tcW w:w="1498" w:type="dxa"/>
            <w:vAlign w:val="center"/>
          </w:tcPr>
          <w:p>
            <w:pPr>
              <w:spacing w:line="240" w:lineRule="auto"/>
              <w:ind w:firstLine="0" w:firstLineChars="0"/>
              <w:jc w:val="center"/>
              <w:rPr>
                <w:rFonts w:ascii="Times New Roman" w:hAnsi="Times New Roman" w:cs="Times New Roman"/>
                <w:snapToGrid w:val="0"/>
                <w:sz w:val="18"/>
                <w:szCs w:val="18"/>
              </w:rPr>
            </w:pPr>
            <w:r>
              <w:rPr>
                <w:rFonts w:ascii="Times New Roman" w:hAnsi="Times New Roman" w:cs="Times New Roman"/>
                <w:snapToGrid w:val="0"/>
                <w:sz w:val="18"/>
                <w:szCs w:val="18"/>
              </w:rPr>
              <w:t>1.5</w:t>
            </w:r>
          </w:p>
        </w:tc>
        <w:tc>
          <w:tcPr>
            <w:tcW w:w="1478" w:type="dxa"/>
            <w:vAlign w:val="center"/>
          </w:tcPr>
          <w:p>
            <w:pPr>
              <w:widowControl/>
              <w:spacing w:line="240" w:lineRule="auto"/>
              <w:ind w:firstLine="0" w:firstLineChars="0"/>
              <w:jc w:val="center"/>
              <w:rPr>
                <w:rFonts w:ascii="Times New Roman" w:hAnsi="Times New Roman" w:cs="Times New Roman"/>
                <w:snapToGrid w:val="0"/>
                <w:color w:val="auto"/>
                <w:sz w:val="18"/>
                <w:szCs w:val="18"/>
              </w:rPr>
            </w:pPr>
            <w:r>
              <w:rPr>
                <w:rFonts w:ascii="Times New Roman" w:hAnsi="Times New Roman" w:cs="Times New Roman"/>
                <w:snapToGrid w:val="0"/>
                <w:color w:val="auto"/>
                <w:sz w:val="18"/>
                <w:szCs w:val="18"/>
              </w:rPr>
              <w:t>1.2</w:t>
            </w:r>
          </w:p>
        </w:tc>
        <w:tc>
          <w:tcPr>
            <w:tcW w:w="3890" w:type="dxa"/>
            <w:vAlign w:val="center"/>
          </w:tcPr>
          <w:p>
            <w:pPr>
              <w:pStyle w:val="861"/>
              <w:jc w:val="both"/>
              <w:rPr>
                <w:snapToGrid w:val="0"/>
                <w:szCs w:val="18"/>
              </w:rPr>
            </w:pPr>
            <w:r>
              <w:rPr>
                <w:szCs w:val="18"/>
              </w:rPr>
              <w:t>《</w:t>
            </w:r>
            <w:r>
              <w:rPr>
                <w:snapToGrid w:val="0"/>
                <w:szCs w:val="18"/>
              </w:rPr>
              <w:t>大气污染物综合排放标准</w:t>
            </w:r>
            <w:r>
              <w:rPr>
                <w:szCs w:val="18"/>
              </w:rPr>
              <w:t>》（GB16297-1996）中表2限值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57" w:hRule="atLeast"/>
          <w:jc w:val="center"/>
        </w:trPr>
        <w:tc>
          <w:tcPr>
            <w:tcW w:w="1154" w:type="dxa"/>
            <w:vAlign w:val="center"/>
          </w:tcPr>
          <w:p>
            <w:pPr>
              <w:pStyle w:val="861"/>
              <w:rPr>
                <w:szCs w:val="18"/>
              </w:rPr>
            </w:pPr>
            <w:r>
              <w:rPr>
                <w:szCs w:val="18"/>
              </w:rPr>
              <w:t>非甲烷总烃</w:t>
            </w:r>
          </w:p>
        </w:tc>
        <w:tc>
          <w:tcPr>
            <w:tcW w:w="1115" w:type="dxa"/>
            <w:vAlign w:val="center"/>
          </w:tcPr>
          <w:p>
            <w:pPr>
              <w:pStyle w:val="861"/>
              <w:rPr>
                <w:snapToGrid w:val="0"/>
                <w:szCs w:val="18"/>
              </w:rPr>
            </w:pPr>
            <w:r>
              <w:rPr>
                <w:szCs w:val="18"/>
              </w:rPr>
              <w:t>≤25</w:t>
            </w:r>
            <w:r>
              <w:rPr>
                <w:snapToGrid w:val="0"/>
                <w:szCs w:val="18"/>
              </w:rPr>
              <w:t>g/m</w:t>
            </w:r>
            <w:r>
              <w:rPr>
                <w:snapToGrid w:val="0"/>
                <w:szCs w:val="18"/>
                <w:vertAlign w:val="superscript"/>
              </w:rPr>
              <w:t>3</w:t>
            </w:r>
          </w:p>
        </w:tc>
        <w:tc>
          <w:tcPr>
            <w:tcW w:w="1498" w:type="dxa"/>
            <w:vAlign w:val="center"/>
          </w:tcPr>
          <w:p>
            <w:pPr>
              <w:pStyle w:val="861"/>
              <w:rPr>
                <w:snapToGrid w:val="0"/>
                <w:szCs w:val="18"/>
              </w:rPr>
            </w:pPr>
            <w:r>
              <w:rPr>
                <w:snapToGrid w:val="0"/>
                <w:szCs w:val="18"/>
              </w:rPr>
              <w:t>油气处理装置处理效率≥95%</w:t>
            </w:r>
          </w:p>
        </w:tc>
        <w:tc>
          <w:tcPr>
            <w:tcW w:w="1478" w:type="dxa"/>
            <w:vAlign w:val="center"/>
          </w:tcPr>
          <w:p>
            <w:pPr>
              <w:widowControl/>
              <w:spacing w:line="240" w:lineRule="auto"/>
              <w:ind w:firstLine="0" w:firstLineChars="0"/>
              <w:jc w:val="center"/>
              <w:rPr>
                <w:rFonts w:ascii="Times New Roman" w:hAnsi="Times New Roman" w:cs="Times New Roman"/>
                <w:snapToGrid w:val="0"/>
                <w:color w:val="auto"/>
                <w:sz w:val="18"/>
                <w:szCs w:val="18"/>
              </w:rPr>
            </w:pPr>
            <w:r>
              <w:rPr>
                <w:rFonts w:ascii="Times New Roman" w:hAnsi="Times New Roman" w:cs="Times New Roman"/>
                <w:snapToGrid w:val="0"/>
                <w:color w:val="auto"/>
                <w:sz w:val="18"/>
                <w:szCs w:val="18"/>
              </w:rPr>
              <w:t>4.0</w:t>
            </w:r>
          </w:p>
        </w:tc>
        <w:tc>
          <w:tcPr>
            <w:tcW w:w="3890" w:type="dxa"/>
            <w:vAlign w:val="center"/>
          </w:tcPr>
          <w:p>
            <w:pPr>
              <w:pStyle w:val="861"/>
              <w:rPr>
                <w:snapToGrid w:val="0"/>
                <w:szCs w:val="18"/>
              </w:rPr>
            </w:pPr>
            <w:r>
              <w:rPr>
                <w:szCs w:val="18"/>
              </w:rPr>
              <w:t>《储油库大气污染物排放标准》（GB20950-2020）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11" w:hRule="atLeast"/>
          <w:jc w:val="center"/>
        </w:trPr>
        <w:tc>
          <w:tcPr>
            <w:tcW w:w="1154" w:type="dxa"/>
            <w:vMerge w:val="restart"/>
            <w:vAlign w:val="center"/>
          </w:tcPr>
          <w:p>
            <w:pPr>
              <w:pStyle w:val="861"/>
              <w:rPr>
                <w:szCs w:val="18"/>
              </w:rPr>
            </w:pPr>
            <w:r>
              <w:rPr>
                <w:szCs w:val="18"/>
              </w:rPr>
              <w:t>VOCs</w:t>
            </w:r>
          </w:p>
        </w:tc>
        <w:tc>
          <w:tcPr>
            <w:tcW w:w="1115" w:type="dxa"/>
            <w:vAlign w:val="center"/>
          </w:tcPr>
          <w:p>
            <w:pPr>
              <w:pStyle w:val="861"/>
              <w:rPr>
                <w:szCs w:val="18"/>
              </w:rPr>
            </w:pPr>
            <w:r>
              <w:rPr>
                <w:szCs w:val="18"/>
              </w:rPr>
              <w:t>/</w:t>
            </w:r>
          </w:p>
        </w:tc>
        <w:tc>
          <w:tcPr>
            <w:tcW w:w="1498" w:type="dxa"/>
            <w:vAlign w:val="center"/>
          </w:tcPr>
          <w:p>
            <w:pPr>
              <w:pStyle w:val="861"/>
              <w:rPr>
                <w:szCs w:val="18"/>
              </w:rPr>
            </w:pPr>
            <w:r>
              <w:rPr>
                <w:szCs w:val="18"/>
              </w:rPr>
              <w:t>/</w:t>
            </w:r>
          </w:p>
        </w:tc>
        <w:tc>
          <w:tcPr>
            <w:tcW w:w="1478"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6.0</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（1h平均）</w:t>
            </w:r>
          </w:p>
        </w:tc>
        <w:tc>
          <w:tcPr>
            <w:tcW w:w="3890" w:type="dxa"/>
            <w:vMerge w:val="restart"/>
            <w:vAlign w:val="center"/>
          </w:tcPr>
          <w:p>
            <w:pPr>
              <w:pStyle w:val="861"/>
              <w:rPr>
                <w:snapToGrid w:val="0"/>
                <w:szCs w:val="18"/>
              </w:rPr>
            </w:pPr>
            <w:r>
              <w:rPr>
                <w:rFonts w:hint="eastAsia"/>
                <w:szCs w:val="18"/>
              </w:rPr>
              <w:t>厂区内</w:t>
            </w:r>
            <w:r>
              <w:rPr>
                <w:szCs w:val="18"/>
              </w:rPr>
              <w:t>无组织VOCs排放限值执行《挥发性有机物无组织排放控制标准》（GB 37822-2019）中表A.1标准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11" w:hRule="atLeast"/>
          <w:jc w:val="center"/>
        </w:trPr>
        <w:tc>
          <w:tcPr>
            <w:tcW w:w="1154" w:type="dxa"/>
            <w:vMerge w:val="continue"/>
            <w:vAlign w:val="center"/>
          </w:tcPr>
          <w:p>
            <w:pPr>
              <w:pStyle w:val="861"/>
              <w:rPr>
                <w:szCs w:val="18"/>
              </w:rPr>
            </w:pPr>
          </w:p>
        </w:tc>
        <w:tc>
          <w:tcPr>
            <w:tcW w:w="1115" w:type="dxa"/>
            <w:vAlign w:val="center"/>
          </w:tcPr>
          <w:p>
            <w:pPr>
              <w:pStyle w:val="861"/>
              <w:rPr>
                <w:szCs w:val="18"/>
              </w:rPr>
            </w:pPr>
            <w:r>
              <w:rPr>
                <w:szCs w:val="18"/>
              </w:rPr>
              <w:t>/</w:t>
            </w:r>
          </w:p>
        </w:tc>
        <w:tc>
          <w:tcPr>
            <w:tcW w:w="1498" w:type="dxa"/>
            <w:vAlign w:val="center"/>
          </w:tcPr>
          <w:p>
            <w:pPr>
              <w:pStyle w:val="861"/>
              <w:rPr>
                <w:szCs w:val="18"/>
              </w:rPr>
            </w:pPr>
            <w:r>
              <w:rPr>
                <w:szCs w:val="18"/>
              </w:rPr>
              <w:t>/</w:t>
            </w:r>
          </w:p>
        </w:tc>
        <w:tc>
          <w:tcPr>
            <w:tcW w:w="1478"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（一次值）</w:t>
            </w:r>
          </w:p>
        </w:tc>
        <w:tc>
          <w:tcPr>
            <w:tcW w:w="3890" w:type="dxa"/>
            <w:vMerge w:val="continue"/>
            <w:vAlign w:val="center"/>
          </w:tcPr>
          <w:p>
            <w:pPr>
              <w:pStyle w:val="861"/>
              <w:rPr>
                <w:szCs w:val="18"/>
              </w:rPr>
            </w:pPr>
          </w:p>
        </w:tc>
      </w:tr>
    </w:tbl>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船舶废气执行国际海协MARPOL73/78防污公约中的相关规定，见表2.2-9。</w:t>
      </w:r>
    </w:p>
    <w:p>
      <w:pPr>
        <w:pStyle w:val="25"/>
        <w:spacing w:line="240" w:lineRule="auto"/>
        <w:ind w:firstLine="0" w:firstLineChars="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表2.2-9  国际海协MARPOL73/78防污公约船用柴油机污染物排放控制水平</w:t>
      </w:r>
    </w:p>
    <w:tbl>
      <w:tblPr>
        <w:tblStyle w:val="62"/>
        <w:tblW w:w="908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4571"/>
        <w:gridCol w:w="45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4571" w:type="dxa"/>
            <w:vAlign w:val="center"/>
          </w:tcPr>
          <w:p>
            <w:pPr>
              <w:spacing w:line="280" w:lineRule="exact"/>
              <w:ind w:firstLine="360"/>
              <w:jc w:val="center"/>
              <w:rPr>
                <w:rFonts w:ascii="Times New Roman" w:hAnsi="Times New Roman" w:cs="Times New Roman"/>
                <w:bCs/>
                <w:color w:val="auto"/>
                <w:sz w:val="18"/>
                <w:szCs w:val="18"/>
                <w:shd w:val="clear" w:color="auto" w:fill="FFFFFF"/>
              </w:rPr>
            </w:pPr>
            <w:r>
              <w:rPr>
                <w:rFonts w:ascii="Times New Roman" w:hAnsi="Times New Roman" w:cs="Times New Roman"/>
                <w:bCs/>
                <w:color w:val="auto"/>
                <w:sz w:val="18"/>
                <w:szCs w:val="18"/>
                <w:shd w:val="clear" w:color="auto" w:fill="FFFFFF"/>
              </w:rPr>
              <w:t>柴油机（功率&gt;130kW）n（rpm）次/分</w:t>
            </w:r>
          </w:p>
        </w:tc>
        <w:tc>
          <w:tcPr>
            <w:tcW w:w="4510" w:type="dxa"/>
            <w:vAlign w:val="center"/>
          </w:tcPr>
          <w:p>
            <w:pPr>
              <w:spacing w:line="280" w:lineRule="exact"/>
              <w:ind w:firstLine="360"/>
              <w:jc w:val="center"/>
              <w:rPr>
                <w:rFonts w:ascii="Times New Roman" w:hAnsi="Times New Roman" w:cs="Times New Roman"/>
                <w:bCs/>
                <w:color w:val="auto"/>
                <w:sz w:val="18"/>
                <w:szCs w:val="18"/>
                <w:shd w:val="clear" w:color="auto" w:fill="FFFFFF"/>
              </w:rPr>
            </w:pPr>
            <w:r>
              <w:rPr>
                <w:rFonts w:ascii="Times New Roman" w:hAnsi="Times New Roman" w:cs="Times New Roman"/>
                <w:bCs/>
                <w:color w:val="auto"/>
                <w:sz w:val="18"/>
                <w:szCs w:val="18"/>
                <w:shd w:val="clear" w:color="auto" w:fill="FFFFFF"/>
              </w:rPr>
              <w:t>NO</w:t>
            </w:r>
            <w:r>
              <w:rPr>
                <w:rFonts w:ascii="Times New Roman" w:hAnsi="Times New Roman" w:cs="Times New Roman"/>
                <w:bCs/>
                <w:color w:val="auto"/>
                <w:sz w:val="18"/>
                <w:szCs w:val="18"/>
                <w:shd w:val="clear" w:color="auto" w:fill="FFFFFF"/>
                <w:vertAlign w:val="subscript"/>
              </w:rPr>
              <w:t>X</w:t>
            </w:r>
            <w:r>
              <w:rPr>
                <w:rFonts w:ascii="Times New Roman" w:hAnsi="Times New Roman" w:cs="Times New Roman"/>
                <w:bCs/>
                <w:color w:val="auto"/>
                <w:sz w:val="18"/>
                <w:szCs w:val="18"/>
                <w:shd w:val="clear" w:color="auto" w:fill="FFFFFF"/>
              </w:rPr>
              <w:t>控制水平g/kWh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4571" w:type="dxa"/>
            <w:vAlign w:val="center"/>
          </w:tcPr>
          <w:p>
            <w:pPr>
              <w:spacing w:line="280" w:lineRule="exact"/>
              <w:ind w:firstLine="360"/>
              <w:jc w:val="center"/>
              <w:rPr>
                <w:rFonts w:ascii="Times New Roman" w:hAnsi="Times New Roman" w:cs="Times New Roman"/>
                <w:bCs/>
                <w:color w:val="auto"/>
                <w:sz w:val="18"/>
                <w:szCs w:val="18"/>
                <w:shd w:val="clear" w:color="auto" w:fill="FFFFFF"/>
              </w:rPr>
            </w:pPr>
            <w:r>
              <w:rPr>
                <w:rFonts w:ascii="Times New Roman" w:hAnsi="Times New Roman" w:cs="Times New Roman"/>
                <w:bCs/>
                <w:color w:val="auto"/>
                <w:sz w:val="18"/>
                <w:szCs w:val="18"/>
                <w:shd w:val="clear" w:color="auto" w:fill="FFFFFF"/>
              </w:rPr>
              <w:t>n&lt;130r/min</w:t>
            </w:r>
          </w:p>
        </w:tc>
        <w:tc>
          <w:tcPr>
            <w:tcW w:w="4510" w:type="dxa"/>
            <w:vAlign w:val="center"/>
          </w:tcPr>
          <w:p>
            <w:pPr>
              <w:spacing w:line="280" w:lineRule="exact"/>
              <w:ind w:firstLine="360"/>
              <w:jc w:val="center"/>
              <w:rPr>
                <w:rFonts w:ascii="Times New Roman" w:hAnsi="Times New Roman" w:cs="Times New Roman"/>
                <w:bCs/>
                <w:color w:val="auto"/>
                <w:sz w:val="18"/>
                <w:szCs w:val="18"/>
                <w:shd w:val="clear" w:color="auto" w:fill="FFFFFF"/>
              </w:rPr>
            </w:pPr>
            <w:r>
              <w:rPr>
                <w:rFonts w:ascii="Times New Roman" w:hAnsi="Times New Roman" w:cs="Times New Roman"/>
                <w:bCs/>
                <w:color w:val="auto"/>
                <w:sz w:val="18"/>
                <w:szCs w:val="18"/>
                <w:shd w:val="clear" w:color="auto" w:fill="FFFFFF"/>
              </w:rPr>
              <w:t>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4571" w:type="dxa"/>
            <w:vAlign w:val="center"/>
          </w:tcPr>
          <w:p>
            <w:pPr>
              <w:spacing w:line="280" w:lineRule="exact"/>
              <w:ind w:firstLine="360"/>
              <w:jc w:val="center"/>
              <w:rPr>
                <w:rFonts w:ascii="Times New Roman" w:hAnsi="Times New Roman" w:cs="Times New Roman"/>
                <w:bCs/>
                <w:color w:val="auto"/>
                <w:sz w:val="18"/>
                <w:szCs w:val="18"/>
                <w:shd w:val="clear" w:color="auto" w:fill="FFFFFF"/>
                <w:lang w:val="de-DE"/>
              </w:rPr>
            </w:pPr>
            <w:r>
              <w:rPr>
                <w:rFonts w:ascii="Times New Roman" w:hAnsi="Times New Roman" w:cs="Times New Roman"/>
                <w:bCs/>
                <w:color w:val="auto"/>
                <w:sz w:val="18"/>
                <w:szCs w:val="18"/>
                <w:shd w:val="clear" w:color="auto" w:fill="FFFFFF"/>
                <w:lang w:val="de-DE"/>
              </w:rPr>
              <w:t>130r/min</w:t>
            </w:r>
            <w:r>
              <w:rPr>
                <w:rFonts w:hint="eastAsia" w:ascii="宋体" w:hAnsi="宋体" w:cs="宋体"/>
                <w:bCs/>
                <w:color w:val="auto"/>
                <w:sz w:val="18"/>
                <w:szCs w:val="18"/>
                <w:shd w:val="clear" w:color="auto" w:fill="FFFFFF"/>
                <w:lang w:val="de-DE"/>
              </w:rPr>
              <w:t>≦</w:t>
            </w:r>
            <w:r>
              <w:rPr>
                <w:rFonts w:ascii="Times New Roman" w:hAnsi="Times New Roman" w:cs="Times New Roman"/>
                <w:bCs/>
                <w:color w:val="auto"/>
                <w:sz w:val="18"/>
                <w:szCs w:val="18"/>
                <w:shd w:val="clear" w:color="auto" w:fill="FFFFFF"/>
                <w:lang w:val="de-DE"/>
              </w:rPr>
              <w:t>n&lt;2000r/min</w:t>
            </w:r>
          </w:p>
        </w:tc>
        <w:tc>
          <w:tcPr>
            <w:tcW w:w="4510" w:type="dxa"/>
            <w:vAlign w:val="center"/>
          </w:tcPr>
          <w:p>
            <w:pPr>
              <w:spacing w:line="280" w:lineRule="exact"/>
              <w:ind w:firstLine="360"/>
              <w:jc w:val="center"/>
              <w:rPr>
                <w:rFonts w:ascii="Times New Roman" w:hAnsi="Times New Roman" w:cs="Times New Roman"/>
                <w:bCs/>
                <w:color w:val="auto"/>
                <w:sz w:val="18"/>
                <w:szCs w:val="18"/>
                <w:shd w:val="clear" w:color="auto" w:fill="FFFFFF"/>
                <w:vertAlign w:val="superscript"/>
              </w:rPr>
            </w:pPr>
            <w:r>
              <w:rPr>
                <w:rFonts w:ascii="Times New Roman" w:hAnsi="Times New Roman" w:cs="Times New Roman"/>
                <w:bCs/>
                <w:color w:val="auto"/>
                <w:sz w:val="18"/>
                <w:szCs w:val="18"/>
                <w:shd w:val="clear" w:color="auto" w:fill="FFFFFF"/>
              </w:rPr>
              <w:t>45×n</w:t>
            </w:r>
            <w:r>
              <w:rPr>
                <w:rFonts w:ascii="Times New Roman" w:hAnsi="Times New Roman" w:cs="Times New Roman"/>
                <w:bCs/>
                <w:color w:val="auto"/>
                <w:sz w:val="18"/>
                <w:szCs w:val="18"/>
                <w:shd w:val="clear" w:color="auto" w:fill="FFFFFF"/>
                <w:vertAlign w:val="superscript"/>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4571" w:type="dxa"/>
            <w:vAlign w:val="center"/>
          </w:tcPr>
          <w:p>
            <w:pPr>
              <w:spacing w:line="280" w:lineRule="exact"/>
              <w:ind w:firstLine="360"/>
              <w:jc w:val="center"/>
              <w:rPr>
                <w:rFonts w:ascii="Times New Roman" w:hAnsi="Times New Roman" w:cs="Times New Roman"/>
                <w:bCs/>
                <w:color w:val="auto"/>
                <w:sz w:val="18"/>
                <w:szCs w:val="18"/>
                <w:shd w:val="clear" w:color="auto" w:fill="FFFFFF"/>
              </w:rPr>
            </w:pPr>
            <w:r>
              <w:rPr>
                <w:rFonts w:ascii="Times New Roman" w:hAnsi="Times New Roman" w:cs="Times New Roman"/>
                <w:bCs/>
                <w:color w:val="auto"/>
                <w:sz w:val="18"/>
                <w:szCs w:val="18"/>
                <w:shd w:val="clear" w:color="auto" w:fill="FFFFFF"/>
              </w:rPr>
              <w:t>n</w:t>
            </w:r>
            <w:r>
              <w:rPr>
                <w:rFonts w:hint="eastAsia" w:ascii="宋体" w:hAnsi="宋体" w:cs="宋体"/>
                <w:bCs/>
                <w:color w:val="auto"/>
                <w:sz w:val="18"/>
                <w:szCs w:val="18"/>
                <w:shd w:val="clear" w:color="auto" w:fill="FFFFFF"/>
              </w:rPr>
              <w:t>≧</w:t>
            </w:r>
            <w:r>
              <w:rPr>
                <w:rFonts w:ascii="Times New Roman" w:hAnsi="Times New Roman" w:cs="Times New Roman"/>
                <w:bCs/>
                <w:color w:val="auto"/>
                <w:sz w:val="18"/>
                <w:szCs w:val="18"/>
                <w:shd w:val="clear" w:color="auto" w:fill="FFFFFF"/>
              </w:rPr>
              <w:t>2000r/min</w:t>
            </w:r>
          </w:p>
        </w:tc>
        <w:tc>
          <w:tcPr>
            <w:tcW w:w="4510" w:type="dxa"/>
            <w:vAlign w:val="center"/>
          </w:tcPr>
          <w:p>
            <w:pPr>
              <w:spacing w:line="280" w:lineRule="exact"/>
              <w:ind w:firstLine="360"/>
              <w:jc w:val="center"/>
              <w:rPr>
                <w:rFonts w:ascii="Times New Roman" w:hAnsi="Times New Roman" w:cs="Times New Roman"/>
                <w:bCs/>
                <w:color w:val="auto"/>
                <w:sz w:val="18"/>
                <w:szCs w:val="18"/>
                <w:shd w:val="clear" w:color="auto" w:fill="FFFFFF"/>
              </w:rPr>
            </w:pPr>
            <w:r>
              <w:rPr>
                <w:rFonts w:ascii="Times New Roman" w:hAnsi="Times New Roman" w:cs="Times New Roman"/>
                <w:bCs/>
                <w:color w:val="auto"/>
                <w:sz w:val="18"/>
                <w:szCs w:val="18"/>
                <w:shd w:val="clear" w:color="auto" w:fill="FFFFFF"/>
              </w:rPr>
              <w:t>9.8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9081" w:type="dxa"/>
            <w:gridSpan w:val="2"/>
            <w:vAlign w:val="center"/>
          </w:tcPr>
          <w:p>
            <w:pPr>
              <w:spacing w:line="280" w:lineRule="exact"/>
              <w:ind w:firstLine="360"/>
              <w:jc w:val="center"/>
              <w:rPr>
                <w:rFonts w:ascii="Times New Roman" w:hAnsi="Times New Roman" w:cs="Times New Roman"/>
                <w:bCs/>
                <w:color w:val="auto"/>
                <w:sz w:val="18"/>
                <w:szCs w:val="18"/>
                <w:shd w:val="clear" w:color="auto" w:fill="FFFFFF"/>
              </w:rPr>
            </w:pPr>
            <w:r>
              <w:rPr>
                <w:rFonts w:ascii="Times New Roman" w:hAnsi="Times New Roman" w:cs="Times New Roman"/>
                <w:bCs/>
                <w:color w:val="auto"/>
                <w:sz w:val="18"/>
                <w:szCs w:val="18"/>
                <w:shd w:val="clear" w:color="auto" w:fill="FFFFFF"/>
              </w:rPr>
              <w:t>船上使用的任何燃油中的含硫量（质量组分）不得超过4.5％</w:t>
            </w:r>
          </w:p>
        </w:tc>
      </w:tr>
    </w:tbl>
    <w:p>
      <w:pPr>
        <w:spacing w:before="166" w:beforeLines="50"/>
        <w:ind w:firstLine="482"/>
        <w:rPr>
          <w:rFonts w:ascii="Times New Roman" w:hAnsi="Times New Roman" w:cs="Times New Roman"/>
          <w:b/>
          <w:color w:val="auto"/>
        </w:rPr>
      </w:pPr>
      <w:r>
        <w:rPr>
          <w:rFonts w:ascii="Times New Roman" w:hAnsi="Times New Roman" w:cs="Times New Roman"/>
          <w:b/>
          <w:color w:val="auto"/>
        </w:rPr>
        <w:t>（2）废水污染物排放标准</w:t>
      </w:r>
    </w:p>
    <w:p>
      <w:pPr>
        <w:ind w:firstLine="464"/>
        <w:rPr>
          <w:rFonts w:ascii="Times New Roman" w:hAnsi="Times New Roman" w:cs="Times New Roman"/>
          <w:color w:val="auto"/>
        </w:rPr>
      </w:pPr>
      <w:r>
        <w:rPr>
          <w:rFonts w:ascii="Times New Roman" w:hAnsi="Times New Roman" w:cs="Times New Roman"/>
          <w:color w:val="auto"/>
          <w:spacing w:val="-4"/>
          <w:shd w:val="clear" w:color="auto" w:fill="FFFFFF"/>
        </w:rPr>
        <w:t>根据《船舶水污染物排放控制标准》(GB3552-2018)、《关于全面加强生态环境保护坚决打好污染防治攻坚战的意见》、《国务院关于印发&lt;水污染行动计划&gt;的通知》、《安徽省水污染防治工作方案的通知》等要求。</w:t>
      </w:r>
      <w:r>
        <w:rPr>
          <w:rFonts w:ascii="Times New Roman" w:hAnsi="Times New Roman" w:cs="Times New Roman"/>
          <w:color w:val="auto"/>
        </w:rPr>
        <w:t>本项目码头泊位配套建设船舶生活污水、油污水接收设施；船舶生活污水经码头平台接收装置接收后经管道泵送至后方陆域化粪池预处理后接管排入合肥循环经济园污水处理厂处理；船舶油污水经码头平台接收装置接收后排入密闭式含油污水收集池，再经含油污水处理装置处理达标后接管排合肥循环经济园污水处理厂处理。</w:t>
      </w:r>
    </w:p>
    <w:p>
      <w:pPr>
        <w:ind w:firstLine="480"/>
        <w:rPr>
          <w:rFonts w:ascii="Times New Roman" w:hAnsi="Times New Roman" w:cs="Times New Roman"/>
          <w:color w:val="auto"/>
        </w:rPr>
      </w:pPr>
      <w:r>
        <w:rPr>
          <w:rFonts w:ascii="Times New Roman" w:hAnsi="Times New Roman" w:cs="Times New Roman"/>
          <w:color w:val="auto"/>
        </w:rPr>
        <w:t>码头平台、装车区及罐区冲洗水、初期雨水、油罐切罐废水经收集</w:t>
      </w:r>
      <w:r>
        <w:rPr>
          <w:rFonts w:ascii="Times New Roman" w:hAnsi="Times New Roman" w:cs="Times New Roman"/>
          <w:color w:val="auto"/>
          <w:spacing w:val="10"/>
          <w:szCs w:val="24"/>
        </w:rPr>
        <w:t>预处理后通过泵送经管道进入</w:t>
      </w:r>
      <w:r>
        <w:rPr>
          <w:rFonts w:ascii="Times New Roman" w:hAnsi="Times New Roman" w:cs="Times New Roman"/>
          <w:color w:val="auto"/>
        </w:rPr>
        <w:t>合肥循环经济园污水处理厂处理。合肥循环经济园污水处理厂尾水出水水质执行《巢湖流域城镇污水处理厂和工业行业主要水污染物排放限值》（DB34/2710-2016）及《城镇污水处理厂污染物排放标准》（GB18918-2002）一级A标准，合肥循环经济园污水处理厂出水主要指标排放标准详见表2.2-10。</w:t>
      </w:r>
    </w:p>
    <w:p>
      <w:pPr>
        <w:pStyle w:val="1062"/>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表2.2-10  废水污染物排放标准主要指标值表（单位：mg/L，pH无量纲）</w:t>
      </w:r>
    </w:p>
    <w:tbl>
      <w:tblPr>
        <w:tblStyle w:val="62"/>
        <w:tblW w:w="888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809"/>
        <w:gridCol w:w="1809"/>
        <w:gridCol w:w="2543"/>
        <w:gridCol w:w="27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 w:hRule="atLeast"/>
        </w:trPr>
        <w:tc>
          <w:tcPr>
            <w:tcW w:w="1809" w:type="dxa"/>
            <w:vAlign w:val="center"/>
          </w:tcPr>
          <w:p>
            <w:pPr>
              <w:pStyle w:val="861"/>
              <w:rPr>
                <w:kern w:val="2"/>
                <w:szCs w:val="18"/>
              </w:rPr>
            </w:pPr>
            <w:r>
              <w:rPr>
                <w:kern w:val="2"/>
                <w:szCs w:val="18"/>
              </w:rPr>
              <w:t>序号</w:t>
            </w:r>
          </w:p>
        </w:tc>
        <w:tc>
          <w:tcPr>
            <w:tcW w:w="1809" w:type="dxa"/>
            <w:vAlign w:val="center"/>
          </w:tcPr>
          <w:p>
            <w:pPr>
              <w:pStyle w:val="861"/>
              <w:rPr>
                <w:kern w:val="2"/>
                <w:szCs w:val="18"/>
              </w:rPr>
            </w:pPr>
            <w:r>
              <w:rPr>
                <w:kern w:val="2"/>
                <w:szCs w:val="18"/>
              </w:rPr>
              <w:t>污染物</w:t>
            </w:r>
          </w:p>
        </w:tc>
        <w:tc>
          <w:tcPr>
            <w:tcW w:w="2543" w:type="dxa"/>
            <w:vAlign w:val="center"/>
          </w:tcPr>
          <w:p>
            <w:pPr>
              <w:pStyle w:val="861"/>
              <w:rPr>
                <w:kern w:val="2"/>
                <w:szCs w:val="18"/>
              </w:rPr>
            </w:pPr>
            <w:r>
              <w:rPr>
                <w:kern w:val="2"/>
                <w:szCs w:val="18"/>
              </w:rPr>
              <w:t>污水厂接管标准</w:t>
            </w:r>
          </w:p>
        </w:tc>
        <w:tc>
          <w:tcPr>
            <w:tcW w:w="2720" w:type="dxa"/>
          </w:tcPr>
          <w:p>
            <w:pPr>
              <w:pStyle w:val="861"/>
              <w:rPr>
                <w:kern w:val="2"/>
                <w:szCs w:val="18"/>
              </w:rPr>
            </w:pPr>
            <w:r>
              <w:rPr>
                <w:kern w:val="2"/>
                <w:szCs w:val="18"/>
              </w:rPr>
              <w:t>出水标准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 w:hRule="atLeast"/>
        </w:trPr>
        <w:tc>
          <w:tcPr>
            <w:tcW w:w="1809" w:type="dxa"/>
            <w:vAlign w:val="center"/>
          </w:tcPr>
          <w:p>
            <w:pPr>
              <w:pStyle w:val="861"/>
              <w:rPr>
                <w:kern w:val="2"/>
                <w:szCs w:val="18"/>
              </w:rPr>
            </w:pPr>
            <w:r>
              <w:rPr>
                <w:kern w:val="2"/>
                <w:szCs w:val="18"/>
              </w:rPr>
              <w:t>1</w:t>
            </w:r>
          </w:p>
        </w:tc>
        <w:tc>
          <w:tcPr>
            <w:tcW w:w="1809" w:type="dxa"/>
            <w:vAlign w:val="center"/>
          </w:tcPr>
          <w:p>
            <w:pPr>
              <w:pStyle w:val="861"/>
              <w:rPr>
                <w:kern w:val="2"/>
                <w:szCs w:val="18"/>
              </w:rPr>
            </w:pPr>
            <w:r>
              <w:rPr>
                <w:kern w:val="2"/>
                <w:szCs w:val="18"/>
              </w:rPr>
              <w:t>pH</w:t>
            </w:r>
          </w:p>
        </w:tc>
        <w:tc>
          <w:tcPr>
            <w:tcW w:w="2543" w:type="dxa"/>
            <w:vAlign w:val="center"/>
          </w:tcPr>
          <w:p>
            <w:pPr>
              <w:pStyle w:val="861"/>
              <w:rPr>
                <w:kern w:val="2"/>
                <w:szCs w:val="18"/>
              </w:rPr>
            </w:pPr>
            <w:r>
              <w:rPr>
                <w:kern w:val="2"/>
                <w:szCs w:val="18"/>
              </w:rPr>
              <w:t>6~9</w:t>
            </w:r>
          </w:p>
        </w:tc>
        <w:tc>
          <w:tcPr>
            <w:tcW w:w="2720" w:type="dxa"/>
          </w:tcPr>
          <w:p>
            <w:pPr>
              <w:pStyle w:val="861"/>
              <w:rPr>
                <w:kern w:val="2"/>
                <w:szCs w:val="18"/>
              </w:rPr>
            </w:pPr>
            <w:r>
              <w:rPr>
                <w:kern w:val="2"/>
                <w:szCs w:val="18"/>
              </w:rPr>
              <w:t>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 w:hRule="atLeast"/>
        </w:trPr>
        <w:tc>
          <w:tcPr>
            <w:tcW w:w="1809" w:type="dxa"/>
            <w:vAlign w:val="center"/>
          </w:tcPr>
          <w:p>
            <w:pPr>
              <w:pStyle w:val="861"/>
              <w:rPr>
                <w:kern w:val="2"/>
                <w:szCs w:val="18"/>
              </w:rPr>
            </w:pPr>
            <w:r>
              <w:rPr>
                <w:kern w:val="2"/>
                <w:szCs w:val="18"/>
              </w:rPr>
              <w:t>2</w:t>
            </w:r>
          </w:p>
        </w:tc>
        <w:tc>
          <w:tcPr>
            <w:tcW w:w="1809" w:type="dxa"/>
            <w:vAlign w:val="center"/>
          </w:tcPr>
          <w:p>
            <w:pPr>
              <w:pStyle w:val="861"/>
              <w:rPr>
                <w:kern w:val="2"/>
                <w:szCs w:val="18"/>
              </w:rPr>
            </w:pPr>
            <w:r>
              <w:rPr>
                <w:kern w:val="2"/>
                <w:szCs w:val="18"/>
              </w:rPr>
              <w:t>COD</w:t>
            </w:r>
          </w:p>
        </w:tc>
        <w:tc>
          <w:tcPr>
            <w:tcW w:w="2543" w:type="dxa"/>
            <w:vAlign w:val="center"/>
          </w:tcPr>
          <w:p>
            <w:pPr>
              <w:pStyle w:val="861"/>
              <w:rPr>
                <w:kern w:val="2"/>
                <w:szCs w:val="18"/>
              </w:rPr>
            </w:pPr>
            <w:r>
              <w:rPr>
                <w:kern w:val="2"/>
                <w:szCs w:val="18"/>
              </w:rPr>
              <w:t>500</w:t>
            </w:r>
          </w:p>
        </w:tc>
        <w:tc>
          <w:tcPr>
            <w:tcW w:w="2720" w:type="dxa"/>
          </w:tcPr>
          <w:p>
            <w:pPr>
              <w:pStyle w:val="861"/>
              <w:rPr>
                <w:kern w:val="2"/>
                <w:szCs w:val="18"/>
              </w:rPr>
            </w:pPr>
            <w:r>
              <w:rPr>
                <w:kern w:val="2"/>
                <w:szCs w:val="18"/>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 w:hRule="atLeast"/>
        </w:trPr>
        <w:tc>
          <w:tcPr>
            <w:tcW w:w="1809" w:type="dxa"/>
            <w:vAlign w:val="center"/>
          </w:tcPr>
          <w:p>
            <w:pPr>
              <w:pStyle w:val="861"/>
              <w:rPr>
                <w:kern w:val="2"/>
                <w:szCs w:val="18"/>
              </w:rPr>
            </w:pPr>
            <w:r>
              <w:rPr>
                <w:kern w:val="2"/>
                <w:szCs w:val="18"/>
              </w:rPr>
              <w:t>3</w:t>
            </w:r>
          </w:p>
        </w:tc>
        <w:tc>
          <w:tcPr>
            <w:tcW w:w="1809" w:type="dxa"/>
            <w:vAlign w:val="center"/>
          </w:tcPr>
          <w:p>
            <w:pPr>
              <w:pStyle w:val="861"/>
              <w:rPr>
                <w:kern w:val="2"/>
                <w:szCs w:val="18"/>
              </w:rPr>
            </w:pPr>
            <w:r>
              <w:rPr>
                <w:kern w:val="2"/>
                <w:szCs w:val="18"/>
              </w:rPr>
              <w:t>BOD</w:t>
            </w:r>
            <w:r>
              <w:rPr>
                <w:kern w:val="2"/>
                <w:szCs w:val="18"/>
                <w:vertAlign w:val="subscript"/>
              </w:rPr>
              <w:t>5</w:t>
            </w:r>
          </w:p>
        </w:tc>
        <w:tc>
          <w:tcPr>
            <w:tcW w:w="2543" w:type="dxa"/>
            <w:vAlign w:val="center"/>
          </w:tcPr>
          <w:p>
            <w:pPr>
              <w:pStyle w:val="861"/>
              <w:rPr>
                <w:kern w:val="2"/>
                <w:szCs w:val="18"/>
              </w:rPr>
            </w:pPr>
            <w:r>
              <w:rPr>
                <w:kern w:val="2"/>
                <w:szCs w:val="18"/>
              </w:rPr>
              <w:t>200</w:t>
            </w:r>
          </w:p>
        </w:tc>
        <w:tc>
          <w:tcPr>
            <w:tcW w:w="2720" w:type="dxa"/>
          </w:tcPr>
          <w:p>
            <w:pPr>
              <w:pStyle w:val="861"/>
              <w:rPr>
                <w:kern w:val="2"/>
                <w:szCs w:val="18"/>
              </w:rPr>
            </w:pPr>
            <w:r>
              <w:rPr>
                <w:kern w:val="2"/>
                <w:szCs w:val="18"/>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22" w:hRule="atLeast"/>
        </w:trPr>
        <w:tc>
          <w:tcPr>
            <w:tcW w:w="1809" w:type="dxa"/>
            <w:vAlign w:val="center"/>
          </w:tcPr>
          <w:p>
            <w:pPr>
              <w:pStyle w:val="861"/>
              <w:rPr>
                <w:kern w:val="2"/>
                <w:szCs w:val="18"/>
              </w:rPr>
            </w:pPr>
            <w:r>
              <w:rPr>
                <w:kern w:val="2"/>
                <w:szCs w:val="18"/>
              </w:rPr>
              <w:t>4</w:t>
            </w:r>
          </w:p>
        </w:tc>
        <w:tc>
          <w:tcPr>
            <w:tcW w:w="1809" w:type="dxa"/>
            <w:vAlign w:val="center"/>
          </w:tcPr>
          <w:p>
            <w:pPr>
              <w:pStyle w:val="861"/>
              <w:rPr>
                <w:kern w:val="2"/>
                <w:szCs w:val="18"/>
              </w:rPr>
            </w:pPr>
            <w:r>
              <w:rPr>
                <w:kern w:val="2"/>
                <w:szCs w:val="18"/>
              </w:rPr>
              <w:t>总磷</w:t>
            </w:r>
          </w:p>
        </w:tc>
        <w:tc>
          <w:tcPr>
            <w:tcW w:w="2543" w:type="dxa"/>
            <w:vAlign w:val="center"/>
          </w:tcPr>
          <w:p>
            <w:pPr>
              <w:pStyle w:val="861"/>
              <w:rPr>
                <w:kern w:val="2"/>
                <w:szCs w:val="18"/>
              </w:rPr>
            </w:pPr>
            <w:r>
              <w:rPr>
                <w:kern w:val="2"/>
                <w:szCs w:val="18"/>
              </w:rPr>
              <w:t>400</w:t>
            </w:r>
          </w:p>
        </w:tc>
        <w:tc>
          <w:tcPr>
            <w:tcW w:w="2720" w:type="dxa"/>
          </w:tcPr>
          <w:p>
            <w:pPr>
              <w:pStyle w:val="861"/>
              <w:rPr>
                <w:kern w:val="2"/>
                <w:szCs w:val="18"/>
              </w:rPr>
            </w:pPr>
            <w:r>
              <w:rPr>
                <w:kern w:val="2"/>
                <w:szCs w:val="18"/>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 w:hRule="atLeast"/>
        </w:trPr>
        <w:tc>
          <w:tcPr>
            <w:tcW w:w="1809" w:type="dxa"/>
            <w:vAlign w:val="center"/>
          </w:tcPr>
          <w:p>
            <w:pPr>
              <w:pStyle w:val="861"/>
              <w:rPr>
                <w:kern w:val="2"/>
                <w:szCs w:val="18"/>
              </w:rPr>
            </w:pPr>
            <w:r>
              <w:rPr>
                <w:kern w:val="2"/>
                <w:szCs w:val="18"/>
              </w:rPr>
              <w:t>5</w:t>
            </w:r>
          </w:p>
        </w:tc>
        <w:tc>
          <w:tcPr>
            <w:tcW w:w="1809" w:type="dxa"/>
            <w:vAlign w:val="center"/>
          </w:tcPr>
          <w:p>
            <w:pPr>
              <w:pStyle w:val="861"/>
              <w:rPr>
                <w:kern w:val="2"/>
                <w:szCs w:val="18"/>
              </w:rPr>
            </w:pPr>
            <w:r>
              <w:rPr>
                <w:kern w:val="2"/>
                <w:szCs w:val="18"/>
              </w:rPr>
              <w:t>NH</w:t>
            </w:r>
            <w:r>
              <w:rPr>
                <w:kern w:val="2"/>
                <w:szCs w:val="18"/>
                <w:vertAlign w:val="subscript"/>
              </w:rPr>
              <w:t>3</w:t>
            </w:r>
            <w:r>
              <w:rPr>
                <w:kern w:val="2"/>
                <w:szCs w:val="18"/>
              </w:rPr>
              <w:t>-N</w:t>
            </w:r>
          </w:p>
        </w:tc>
        <w:tc>
          <w:tcPr>
            <w:tcW w:w="2543" w:type="dxa"/>
            <w:vAlign w:val="center"/>
          </w:tcPr>
          <w:p>
            <w:pPr>
              <w:pStyle w:val="861"/>
              <w:rPr>
                <w:kern w:val="2"/>
                <w:szCs w:val="18"/>
              </w:rPr>
            </w:pPr>
            <w:r>
              <w:rPr>
                <w:kern w:val="2"/>
                <w:szCs w:val="18"/>
              </w:rPr>
              <w:t>30</w:t>
            </w:r>
          </w:p>
        </w:tc>
        <w:tc>
          <w:tcPr>
            <w:tcW w:w="2720" w:type="dxa"/>
          </w:tcPr>
          <w:p>
            <w:pPr>
              <w:pStyle w:val="861"/>
              <w:rPr>
                <w:kern w:val="2"/>
                <w:szCs w:val="18"/>
              </w:rPr>
            </w:pPr>
            <w:r>
              <w:rPr>
                <w:kern w:val="2"/>
                <w:szCs w:val="18"/>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 w:hRule="atLeast"/>
        </w:trPr>
        <w:tc>
          <w:tcPr>
            <w:tcW w:w="1809" w:type="dxa"/>
            <w:vAlign w:val="center"/>
          </w:tcPr>
          <w:p>
            <w:pPr>
              <w:pStyle w:val="861"/>
              <w:rPr>
                <w:kern w:val="2"/>
                <w:szCs w:val="18"/>
              </w:rPr>
            </w:pPr>
            <w:r>
              <w:rPr>
                <w:kern w:val="2"/>
                <w:szCs w:val="18"/>
              </w:rPr>
              <w:t>6</w:t>
            </w:r>
          </w:p>
        </w:tc>
        <w:tc>
          <w:tcPr>
            <w:tcW w:w="1809" w:type="dxa"/>
            <w:vAlign w:val="center"/>
          </w:tcPr>
          <w:p>
            <w:pPr>
              <w:pStyle w:val="861"/>
              <w:rPr>
                <w:kern w:val="2"/>
                <w:szCs w:val="18"/>
              </w:rPr>
            </w:pPr>
            <w:r>
              <w:rPr>
                <w:kern w:val="2"/>
                <w:szCs w:val="18"/>
              </w:rPr>
              <w:t>TN</w:t>
            </w:r>
          </w:p>
        </w:tc>
        <w:tc>
          <w:tcPr>
            <w:tcW w:w="2543" w:type="dxa"/>
            <w:vAlign w:val="center"/>
          </w:tcPr>
          <w:p>
            <w:pPr>
              <w:pStyle w:val="861"/>
              <w:rPr>
                <w:kern w:val="2"/>
                <w:szCs w:val="18"/>
              </w:rPr>
            </w:pPr>
            <w:r>
              <w:rPr>
                <w:kern w:val="2"/>
                <w:szCs w:val="18"/>
              </w:rPr>
              <w:t>/</w:t>
            </w:r>
          </w:p>
        </w:tc>
        <w:tc>
          <w:tcPr>
            <w:tcW w:w="2720" w:type="dxa"/>
          </w:tcPr>
          <w:p>
            <w:pPr>
              <w:pStyle w:val="861"/>
              <w:rPr>
                <w:kern w:val="2"/>
                <w:szCs w:val="18"/>
              </w:rPr>
            </w:pPr>
            <w:r>
              <w:rPr>
                <w:kern w:val="2"/>
                <w:szCs w:val="18"/>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 w:hRule="atLeast"/>
        </w:trPr>
        <w:tc>
          <w:tcPr>
            <w:tcW w:w="1809" w:type="dxa"/>
            <w:vAlign w:val="center"/>
          </w:tcPr>
          <w:p>
            <w:pPr>
              <w:pStyle w:val="861"/>
              <w:rPr>
                <w:kern w:val="2"/>
                <w:szCs w:val="18"/>
              </w:rPr>
            </w:pPr>
            <w:r>
              <w:rPr>
                <w:kern w:val="2"/>
                <w:szCs w:val="18"/>
              </w:rPr>
              <w:t>7</w:t>
            </w:r>
          </w:p>
        </w:tc>
        <w:tc>
          <w:tcPr>
            <w:tcW w:w="1809" w:type="dxa"/>
            <w:vAlign w:val="center"/>
          </w:tcPr>
          <w:p>
            <w:pPr>
              <w:pStyle w:val="861"/>
              <w:rPr>
                <w:kern w:val="2"/>
                <w:szCs w:val="18"/>
              </w:rPr>
            </w:pPr>
            <w:r>
              <w:rPr>
                <w:kern w:val="2"/>
                <w:szCs w:val="18"/>
              </w:rPr>
              <w:t>石油类</w:t>
            </w:r>
          </w:p>
        </w:tc>
        <w:tc>
          <w:tcPr>
            <w:tcW w:w="2543" w:type="dxa"/>
            <w:vAlign w:val="center"/>
          </w:tcPr>
          <w:p>
            <w:pPr>
              <w:pStyle w:val="861"/>
              <w:rPr>
                <w:kern w:val="2"/>
                <w:szCs w:val="18"/>
              </w:rPr>
            </w:pPr>
            <w:r>
              <w:rPr>
                <w:kern w:val="2"/>
                <w:szCs w:val="18"/>
              </w:rPr>
              <w:t>20</w:t>
            </w:r>
          </w:p>
        </w:tc>
        <w:tc>
          <w:tcPr>
            <w:tcW w:w="2720" w:type="dxa"/>
          </w:tcPr>
          <w:p>
            <w:pPr>
              <w:pStyle w:val="861"/>
              <w:rPr>
                <w:kern w:val="2"/>
                <w:szCs w:val="18"/>
              </w:rPr>
            </w:pPr>
            <w:r>
              <w:rPr>
                <w:kern w:val="2"/>
                <w:szCs w:val="18"/>
              </w:rPr>
              <w:t>1.0</w:t>
            </w:r>
          </w:p>
        </w:tc>
      </w:tr>
    </w:tbl>
    <w:p>
      <w:pPr>
        <w:spacing w:before="166" w:beforeLines="50"/>
        <w:ind w:firstLine="482"/>
        <w:rPr>
          <w:rFonts w:ascii="Times New Roman" w:hAnsi="Times New Roman" w:cs="Times New Roman"/>
          <w:b/>
          <w:color w:val="auto"/>
        </w:rPr>
      </w:pPr>
      <w:r>
        <w:rPr>
          <w:rFonts w:ascii="Times New Roman" w:hAnsi="Times New Roman" w:cs="Times New Roman"/>
          <w:b/>
          <w:color w:val="auto"/>
        </w:rPr>
        <w:t>（3）噪声排放标准</w:t>
      </w:r>
    </w:p>
    <w:p>
      <w:pPr>
        <w:ind w:firstLine="480"/>
        <w:rPr>
          <w:rFonts w:ascii="Times New Roman" w:hAnsi="Times New Roman" w:cs="Times New Roman"/>
          <w:color w:val="auto"/>
        </w:rPr>
      </w:pPr>
      <w:r>
        <w:rPr>
          <w:rFonts w:ascii="Times New Roman" w:hAnsi="Times New Roman" w:cs="Times New Roman"/>
          <w:color w:val="auto"/>
        </w:rPr>
        <w:t>运营期项目码头临店埠河航道侧噪声排放执行《工业企业厂界环境噪声排放标准》（GB12348-2008）4类排放限值；项目其他区域噪声排放执行3类排放限值，详见表2.2-11。</w:t>
      </w:r>
    </w:p>
    <w:p>
      <w:pPr>
        <w:pStyle w:val="1062"/>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表2.2-11 本项目运营期噪声排放执行标准</w:t>
      </w:r>
    </w:p>
    <w:tbl>
      <w:tblPr>
        <w:tblStyle w:val="62"/>
        <w:tblW w:w="90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410"/>
        <w:gridCol w:w="3987"/>
        <w:gridCol w:w="2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2410" w:type="dxa"/>
            <w:tcBorders>
              <w:top w:val="single" w:color="auto" w:sz="12" w:space="0"/>
              <w:left w:val="nil"/>
              <w:bottom w:val="single" w:color="auto" w:sz="4" w:space="0"/>
              <w:right w:val="single" w:color="auto" w:sz="4" w:space="0"/>
            </w:tcBorders>
            <w:vAlign w:val="center"/>
          </w:tcPr>
          <w:p>
            <w:pPr>
              <w:pStyle w:val="861"/>
              <w:rPr>
                <w:kern w:val="2"/>
                <w:szCs w:val="18"/>
              </w:rPr>
            </w:pPr>
            <w:r>
              <w:rPr>
                <w:kern w:val="2"/>
                <w:szCs w:val="18"/>
              </w:rPr>
              <w:t>类别</w:t>
            </w:r>
          </w:p>
        </w:tc>
        <w:tc>
          <w:tcPr>
            <w:tcW w:w="3987" w:type="dxa"/>
            <w:tcBorders>
              <w:top w:val="single" w:color="auto" w:sz="12" w:space="0"/>
              <w:left w:val="single" w:color="auto" w:sz="4" w:space="0"/>
              <w:bottom w:val="single" w:color="auto" w:sz="4" w:space="0"/>
              <w:right w:val="single" w:color="auto" w:sz="4" w:space="0"/>
            </w:tcBorders>
            <w:vAlign w:val="center"/>
          </w:tcPr>
          <w:p>
            <w:pPr>
              <w:pStyle w:val="861"/>
              <w:rPr>
                <w:kern w:val="2"/>
                <w:szCs w:val="18"/>
              </w:rPr>
            </w:pPr>
            <w:r>
              <w:rPr>
                <w:kern w:val="2"/>
                <w:szCs w:val="18"/>
              </w:rPr>
              <w:t>昼间dB（A）</w:t>
            </w:r>
          </w:p>
        </w:tc>
        <w:tc>
          <w:tcPr>
            <w:tcW w:w="2620" w:type="dxa"/>
            <w:tcBorders>
              <w:top w:val="single" w:color="auto" w:sz="12" w:space="0"/>
              <w:left w:val="single" w:color="auto" w:sz="4" w:space="0"/>
              <w:bottom w:val="single" w:color="auto" w:sz="4" w:space="0"/>
              <w:right w:val="nil"/>
            </w:tcBorders>
            <w:vAlign w:val="center"/>
          </w:tcPr>
          <w:p>
            <w:pPr>
              <w:pStyle w:val="861"/>
              <w:rPr>
                <w:kern w:val="2"/>
                <w:szCs w:val="18"/>
              </w:rPr>
            </w:pPr>
            <w:r>
              <w:rPr>
                <w:kern w:val="2"/>
                <w:szCs w:val="18"/>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2410" w:type="dxa"/>
            <w:tcBorders>
              <w:top w:val="single" w:color="auto" w:sz="4" w:space="0"/>
              <w:left w:val="nil"/>
              <w:bottom w:val="single" w:color="auto" w:sz="4" w:space="0"/>
              <w:right w:val="single" w:color="auto" w:sz="4" w:space="0"/>
            </w:tcBorders>
            <w:vAlign w:val="center"/>
          </w:tcPr>
          <w:p>
            <w:pPr>
              <w:pStyle w:val="861"/>
              <w:rPr>
                <w:kern w:val="2"/>
                <w:szCs w:val="18"/>
              </w:rPr>
            </w:pPr>
            <w:r>
              <w:rPr>
                <w:kern w:val="2"/>
                <w:szCs w:val="18"/>
              </w:rPr>
              <w:t>3类标准</w:t>
            </w:r>
          </w:p>
        </w:tc>
        <w:tc>
          <w:tcPr>
            <w:tcW w:w="3987" w:type="dxa"/>
            <w:tcBorders>
              <w:top w:val="single" w:color="auto" w:sz="4" w:space="0"/>
              <w:left w:val="single" w:color="auto" w:sz="4" w:space="0"/>
              <w:bottom w:val="single" w:color="auto" w:sz="4" w:space="0"/>
              <w:right w:val="single" w:color="auto" w:sz="4" w:space="0"/>
            </w:tcBorders>
            <w:vAlign w:val="center"/>
          </w:tcPr>
          <w:p>
            <w:pPr>
              <w:pStyle w:val="861"/>
              <w:rPr>
                <w:kern w:val="2"/>
                <w:szCs w:val="18"/>
              </w:rPr>
            </w:pPr>
            <w:r>
              <w:rPr>
                <w:kern w:val="2"/>
                <w:szCs w:val="18"/>
              </w:rPr>
              <w:t>65</w:t>
            </w:r>
          </w:p>
        </w:tc>
        <w:tc>
          <w:tcPr>
            <w:tcW w:w="2620" w:type="dxa"/>
            <w:tcBorders>
              <w:top w:val="single" w:color="auto" w:sz="4" w:space="0"/>
              <w:left w:val="single" w:color="auto" w:sz="4" w:space="0"/>
              <w:bottom w:val="single" w:color="auto" w:sz="4" w:space="0"/>
              <w:right w:val="nil"/>
            </w:tcBorders>
            <w:vAlign w:val="center"/>
          </w:tcPr>
          <w:p>
            <w:pPr>
              <w:pStyle w:val="861"/>
              <w:rPr>
                <w:kern w:val="2"/>
                <w:szCs w:val="18"/>
              </w:rPr>
            </w:pPr>
            <w:r>
              <w:rPr>
                <w:kern w:val="2"/>
                <w:szCs w:val="18"/>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2410" w:type="dxa"/>
            <w:tcBorders>
              <w:top w:val="single" w:color="auto" w:sz="4" w:space="0"/>
              <w:left w:val="nil"/>
              <w:bottom w:val="single" w:color="auto" w:sz="4" w:space="0"/>
              <w:right w:val="single" w:color="auto" w:sz="4" w:space="0"/>
            </w:tcBorders>
            <w:vAlign w:val="center"/>
          </w:tcPr>
          <w:p>
            <w:pPr>
              <w:pStyle w:val="861"/>
              <w:rPr>
                <w:kern w:val="2"/>
                <w:szCs w:val="18"/>
              </w:rPr>
            </w:pPr>
            <w:r>
              <w:rPr>
                <w:kern w:val="2"/>
                <w:szCs w:val="18"/>
              </w:rPr>
              <w:t>4类标准</w:t>
            </w:r>
          </w:p>
        </w:tc>
        <w:tc>
          <w:tcPr>
            <w:tcW w:w="3987" w:type="dxa"/>
            <w:tcBorders>
              <w:top w:val="single" w:color="auto" w:sz="4" w:space="0"/>
              <w:left w:val="single" w:color="auto" w:sz="4" w:space="0"/>
              <w:bottom w:val="single" w:color="auto" w:sz="4" w:space="0"/>
              <w:right w:val="single" w:color="auto" w:sz="4" w:space="0"/>
            </w:tcBorders>
            <w:vAlign w:val="center"/>
          </w:tcPr>
          <w:p>
            <w:pPr>
              <w:pStyle w:val="861"/>
              <w:rPr>
                <w:kern w:val="2"/>
                <w:szCs w:val="18"/>
              </w:rPr>
            </w:pPr>
            <w:r>
              <w:rPr>
                <w:kern w:val="2"/>
                <w:szCs w:val="18"/>
              </w:rPr>
              <w:t>70</w:t>
            </w:r>
          </w:p>
        </w:tc>
        <w:tc>
          <w:tcPr>
            <w:tcW w:w="2620" w:type="dxa"/>
            <w:tcBorders>
              <w:top w:val="single" w:color="auto" w:sz="4" w:space="0"/>
              <w:left w:val="single" w:color="auto" w:sz="4" w:space="0"/>
              <w:bottom w:val="single" w:color="auto" w:sz="4" w:space="0"/>
              <w:right w:val="nil"/>
            </w:tcBorders>
            <w:vAlign w:val="center"/>
          </w:tcPr>
          <w:p>
            <w:pPr>
              <w:pStyle w:val="861"/>
              <w:rPr>
                <w:kern w:val="2"/>
                <w:szCs w:val="18"/>
              </w:rPr>
            </w:pPr>
            <w:r>
              <w:rPr>
                <w:kern w:val="2"/>
                <w:szCs w:val="18"/>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2410" w:type="dxa"/>
            <w:tcBorders>
              <w:top w:val="single" w:color="auto" w:sz="4" w:space="0"/>
              <w:left w:val="nil"/>
              <w:bottom w:val="single" w:color="auto" w:sz="12" w:space="0"/>
              <w:right w:val="single" w:color="auto" w:sz="4" w:space="0"/>
            </w:tcBorders>
            <w:vAlign w:val="center"/>
          </w:tcPr>
          <w:p>
            <w:pPr>
              <w:pStyle w:val="861"/>
              <w:rPr>
                <w:kern w:val="2"/>
                <w:szCs w:val="18"/>
              </w:rPr>
            </w:pPr>
            <w:r>
              <w:rPr>
                <w:kern w:val="2"/>
                <w:szCs w:val="18"/>
              </w:rPr>
              <w:t>标准来源</w:t>
            </w:r>
          </w:p>
        </w:tc>
        <w:tc>
          <w:tcPr>
            <w:tcW w:w="6607" w:type="dxa"/>
            <w:gridSpan w:val="2"/>
            <w:tcBorders>
              <w:top w:val="single" w:color="auto" w:sz="4" w:space="0"/>
              <w:left w:val="single" w:color="auto" w:sz="4" w:space="0"/>
              <w:bottom w:val="single" w:color="auto" w:sz="12" w:space="0"/>
              <w:right w:val="nil"/>
            </w:tcBorders>
            <w:vAlign w:val="center"/>
          </w:tcPr>
          <w:p>
            <w:pPr>
              <w:pStyle w:val="861"/>
              <w:rPr>
                <w:kern w:val="2"/>
                <w:szCs w:val="18"/>
              </w:rPr>
            </w:pPr>
            <w:r>
              <w:rPr>
                <w:kern w:val="2"/>
                <w:szCs w:val="18"/>
              </w:rPr>
              <w:t>《工业企业厂界环境噪声排放标准》（GB12348-2008）</w:t>
            </w:r>
          </w:p>
        </w:tc>
      </w:tr>
    </w:tbl>
    <w:p>
      <w:pPr>
        <w:spacing w:before="166" w:beforeLines="50"/>
        <w:ind w:firstLine="480"/>
        <w:rPr>
          <w:rFonts w:ascii="Times New Roman" w:hAnsi="Times New Roman" w:cs="Times New Roman"/>
          <w:color w:val="auto"/>
        </w:rPr>
      </w:pPr>
      <w:r>
        <w:rPr>
          <w:rFonts w:ascii="Times New Roman" w:hAnsi="Times New Roman" w:cs="Times New Roman"/>
          <w:color w:val="auto"/>
        </w:rPr>
        <w:t>本项目施工期噪声排放执行《建筑施工场界环境噪声排放标准》（GB12523-2011），详见表2.2-12。</w:t>
      </w:r>
    </w:p>
    <w:p>
      <w:pPr>
        <w:pStyle w:val="1062"/>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表2.2-12  本项目施工期噪声排放执行标准</w:t>
      </w:r>
    </w:p>
    <w:tbl>
      <w:tblPr>
        <w:tblStyle w:val="62"/>
        <w:tblW w:w="901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2457"/>
        <w:gridCol w:w="3940"/>
        <w:gridCol w:w="262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2457" w:type="dxa"/>
            <w:vAlign w:val="center"/>
          </w:tcPr>
          <w:p>
            <w:pPr>
              <w:pStyle w:val="861"/>
              <w:rPr>
                <w:kern w:val="2"/>
                <w:szCs w:val="18"/>
              </w:rPr>
            </w:pPr>
            <w:r>
              <w:rPr>
                <w:kern w:val="2"/>
                <w:szCs w:val="18"/>
              </w:rPr>
              <w:t>类别</w:t>
            </w:r>
          </w:p>
        </w:tc>
        <w:tc>
          <w:tcPr>
            <w:tcW w:w="3940" w:type="dxa"/>
            <w:vAlign w:val="center"/>
          </w:tcPr>
          <w:p>
            <w:pPr>
              <w:pStyle w:val="861"/>
              <w:rPr>
                <w:kern w:val="2"/>
                <w:szCs w:val="18"/>
              </w:rPr>
            </w:pPr>
            <w:r>
              <w:rPr>
                <w:kern w:val="2"/>
                <w:szCs w:val="18"/>
              </w:rPr>
              <w:t>昼间dB（A）</w:t>
            </w:r>
          </w:p>
        </w:tc>
        <w:tc>
          <w:tcPr>
            <w:tcW w:w="2620" w:type="dxa"/>
            <w:vAlign w:val="center"/>
          </w:tcPr>
          <w:p>
            <w:pPr>
              <w:pStyle w:val="861"/>
              <w:rPr>
                <w:kern w:val="2"/>
                <w:szCs w:val="18"/>
              </w:rPr>
            </w:pPr>
            <w:r>
              <w:rPr>
                <w:kern w:val="2"/>
                <w:szCs w:val="18"/>
              </w:rPr>
              <w:t>夜间dB（A）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2457" w:type="dxa"/>
            <w:vAlign w:val="center"/>
          </w:tcPr>
          <w:p>
            <w:pPr>
              <w:pStyle w:val="861"/>
              <w:rPr>
                <w:kern w:val="2"/>
                <w:szCs w:val="18"/>
              </w:rPr>
            </w:pPr>
            <w:r>
              <w:rPr>
                <w:kern w:val="2"/>
                <w:szCs w:val="18"/>
              </w:rPr>
              <w:t>/</w:t>
            </w:r>
          </w:p>
        </w:tc>
        <w:tc>
          <w:tcPr>
            <w:tcW w:w="3940" w:type="dxa"/>
            <w:vAlign w:val="center"/>
          </w:tcPr>
          <w:p>
            <w:pPr>
              <w:pStyle w:val="861"/>
              <w:rPr>
                <w:kern w:val="2"/>
                <w:szCs w:val="18"/>
              </w:rPr>
            </w:pPr>
            <w:r>
              <w:rPr>
                <w:kern w:val="2"/>
                <w:szCs w:val="18"/>
              </w:rPr>
              <w:t>70</w:t>
            </w:r>
          </w:p>
        </w:tc>
        <w:tc>
          <w:tcPr>
            <w:tcW w:w="2620" w:type="dxa"/>
            <w:vAlign w:val="center"/>
          </w:tcPr>
          <w:p>
            <w:pPr>
              <w:pStyle w:val="861"/>
              <w:rPr>
                <w:kern w:val="2"/>
                <w:szCs w:val="18"/>
              </w:rPr>
            </w:pPr>
            <w:r>
              <w:rPr>
                <w:kern w:val="2"/>
                <w:szCs w:val="18"/>
              </w:rPr>
              <w:t>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Pr>
        <w:tc>
          <w:tcPr>
            <w:tcW w:w="2457" w:type="dxa"/>
            <w:vAlign w:val="center"/>
          </w:tcPr>
          <w:p>
            <w:pPr>
              <w:pStyle w:val="861"/>
              <w:rPr>
                <w:kern w:val="2"/>
                <w:szCs w:val="18"/>
              </w:rPr>
            </w:pPr>
            <w:r>
              <w:rPr>
                <w:kern w:val="2"/>
                <w:szCs w:val="18"/>
              </w:rPr>
              <w:t>标准来源</w:t>
            </w:r>
          </w:p>
        </w:tc>
        <w:tc>
          <w:tcPr>
            <w:tcW w:w="6560" w:type="dxa"/>
            <w:gridSpan w:val="2"/>
            <w:vAlign w:val="center"/>
          </w:tcPr>
          <w:p>
            <w:pPr>
              <w:pStyle w:val="861"/>
              <w:rPr>
                <w:kern w:val="2"/>
                <w:szCs w:val="18"/>
              </w:rPr>
            </w:pPr>
            <w:r>
              <w:rPr>
                <w:kern w:val="2"/>
                <w:szCs w:val="18"/>
              </w:rPr>
              <w:t>《建筑施工场界环境噪声排放标准》（GB12523-2011）</w:t>
            </w:r>
          </w:p>
        </w:tc>
      </w:tr>
    </w:tbl>
    <w:p>
      <w:pPr>
        <w:adjustRightInd/>
        <w:snapToGrid/>
        <w:spacing w:line="240" w:lineRule="auto"/>
        <w:ind w:firstLine="0" w:firstLineChars="0"/>
        <w:rPr>
          <w:rFonts w:ascii="Times New Roman" w:hAnsi="Times New Roman" w:cs="Times New Roman"/>
          <w:color w:val="auto"/>
          <w:kern w:val="0"/>
          <w:sz w:val="18"/>
          <w:szCs w:val="18"/>
        </w:rPr>
      </w:pPr>
      <w:r>
        <w:rPr>
          <w:rFonts w:ascii="Times New Roman" w:hAnsi="Times New Roman" w:cs="Times New Roman"/>
          <w:color w:val="auto"/>
          <w:kern w:val="0"/>
          <w:sz w:val="18"/>
          <w:szCs w:val="18"/>
        </w:rPr>
        <w:t>注：夜间噪声最大声级超过限值的幅度不得高于15dB（A）。</w:t>
      </w:r>
    </w:p>
    <w:p>
      <w:pPr>
        <w:spacing w:before="166" w:beforeLines="50"/>
        <w:ind w:firstLine="482"/>
        <w:rPr>
          <w:rFonts w:ascii="Times New Roman" w:hAnsi="Times New Roman" w:cs="Times New Roman"/>
          <w:b/>
          <w:color w:val="auto"/>
        </w:rPr>
      </w:pPr>
      <w:r>
        <w:rPr>
          <w:rFonts w:ascii="Times New Roman" w:hAnsi="Times New Roman" w:cs="Times New Roman"/>
          <w:b/>
          <w:color w:val="auto"/>
        </w:rPr>
        <w:t>（4）固体废物排放标准</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内河禁止倾倒船舶垃圾，按《船舶水污染物排放控制标准》（GB3552-2018）中要求，本项目码头设置船舶垃圾收集及接收设施，接受后统一交当地环卫部门处理。</w:t>
      </w:r>
    </w:p>
    <w:p>
      <w:pPr>
        <w:ind w:firstLine="480"/>
        <w:rPr>
          <w:rFonts w:ascii="Times New Roman" w:hAnsi="Times New Roman" w:cs="Times New Roman"/>
          <w:color w:val="auto"/>
        </w:rPr>
      </w:pPr>
      <w:r>
        <w:rPr>
          <w:rFonts w:ascii="Times New Roman" w:hAnsi="Times New Roman" w:cs="Times New Roman"/>
          <w:color w:val="auto"/>
        </w:rPr>
        <w:t>拟建项目一般工业固体废物参照《一般工业固体废物贮存、处置场污染控制标准》（GB18599-2020）进行暂存、处置；危险固废的暂存及污染控制执行《危险废物贮存污染控制标准》（GB18597-2001）及（环保部公告2013年第36号）进行暂存、处置。</w:t>
      </w:r>
    </w:p>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87" w:name="_Toc1794"/>
      <w:bookmarkStart w:id="88" w:name="_Toc32667"/>
      <w:bookmarkStart w:id="89" w:name="_Toc102979808"/>
      <w:bookmarkStart w:id="90" w:name="_Toc17992"/>
      <w:bookmarkStart w:id="91" w:name="_Toc104733305"/>
      <w:bookmarkStart w:id="92" w:name="_Toc26824"/>
      <w:bookmarkStart w:id="93" w:name="_Toc11914334"/>
      <w:r>
        <w:rPr>
          <w:rFonts w:ascii="Times New Roman" w:hAnsi="Times New Roman" w:eastAsia="黑体" w:cs="Times New Roman"/>
          <w:color w:val="auto"/>
          <w:kern w:val="2"/>
          <w:sz w:val="28"/>
        </w:rPr>
        <w:t>2.3评价工作等级和评价范围</w:t>
      </w:r>
      <w:bookmarkEnd w:id="87"/>
      <w:bookmarkEnd w:id="88"/>
      <w:bookmarkEnd w:id="89"/>
      <w:bookmarkEnd w:id="90"/>
      <w:bookmarkEnd w:id="91"/>
      <w:bookmarkEnd w:id="92"/>
      <w:bookmarkEnd w:id="93"/>
    </w:p>
    <w:p>
      <w:pPr>
        <w:pStyle w:val="4"/>
        <w:numPr>
          <w:ilvl w:val="2"/>
          <w:numId w:val="0"/>
        </w:numPr>
        <w:jc w:val="both"/>
        <w:rPr>
          <w:rFonts w:ascii="Times New Roman" w:hAnsi="Times New Roman" w:cs="Times New Roman"/>
          <w:color w:val="auto"/>
        </w:rPr>
      </w:pPr>
      <w:bookmarkStart w:id="94" w:name="_Toc102984266"/>
      <w:bookmarkStart w:id="95" w:name="_Toc104733306"/>
      <w:r>
        <w:rPr>
          <w:rFonts w:ascii="Times New Roman" w:hAnsi="Times New Roman" w:cs="Times New Roman"/>
          <w:color w:val="auto"/>
        </w:rPr>
        <w:t>2.3.1评价工作等级</w:t>
      </w:r>
      <w:bookmarkEnd w:id="94"/>
      <w:bookmarkEnd w:id="95"/>
    </w:p>
    <w:p>
      <w:pPr>
        <w:ind w:firstLine="480"/>
        <w:rPr>
          <w:rFonts w:ascii="Times New Roman" w:hAnsi="Times New Roman" w:cs="Times New Roman"/>
          <w:color w:val="auto"/>
        </w:rPr>
      </w:pPr>
      <w:r>
        <w:rPr>
          <w:rFonts w:ascii="Times New Roman" w:hAnsi="Times New Roman" w:cs="Times New Roman"/>
          <w:color w:val="auto"/>
        </w:rPr>
        <w:t>（1）地表水环境影响评价等级</w:t>
      </w:r>
    </w:p>
    <w:p>
      <w:pPr>
        <w:ind w:firstLine="480"/>
        <w:rPr>
          <w:rFonts w:ascii="Times New Roman" w:hAnsi="Times New Roman" w:cs="Times New Roman"/>
          <w:color w:val="FF0000"/>
        </w:rPr>
      </w:pPr>
      <w:r>
        <w:rPr>
          <w:rFonts w:ascii="Times New Roman" w:hAnsi="Times New Roman" w:cs="Times New Roman"/>
          <w:color w:val="FF0000"/>
        </w:rPr>
        <w:t>本项目码头转折处下游侧（1#~5#泊位）采用顺岸连片式布置型式，泊位长度460m；上游侧（6#~7#泊位）采用挖入式港池布置型式，泊位长度180m。泊位总长度640m，泊位宽度25m。前方港区占地约30亩，泊位工程垂直投影面积面积约20000m</w:t>
      </w:r>
      <w:r>
        <w:rPr>
          <w:rFonts w:ascii="Times New Roman" w:hAnsi="Times New Roman" w:cs="Times New Roman"/>
          <w:color w:val="FF0000"/>
          <w:vertAlign w:val="superscript"/>
        </w:rPr>
        <w:t>2</w:t>
      </w:r>
      <w:r>
        <w:rPr>
          <w:rFonts w:ascii="Times New Roman" w:hAnsi="Times New Roman" w:cs="Times New Roman"/>
          <w:color w:val="FF0000"/>
        </w:rPr>
        <w:t>；综合港池疏浚，工程扰动水底面积为泊位工程垂直投影面积向河道外沿60m，面积约100000m</w:t>
      </w:r>
      <w:r>
        <w:rPr>
          <w:rFonts w:ascii="Times New Roman" w:hAnsi="Times New Roman" w:cs="Times New Roman"/>
          <w:color w:val="FF0000"/>
          <w:vertAlign w:val="superscript"/>
        </w:rPr>
        <w:t>2</w:t>
      </w:r>
      <w:r>
        <w:rPr>
          <w:rFonts w:ascii="Times New Roman" w:hAnsi="Times New Roman" w:cs="Times New Roman"/>
          <w:color w:val="FF0000"/>
        </w:rPr>
        <w:t>；根据《环境影响评价技术导则-地表水环境》（HJ2.3-2018）表2，本项目A1=0.02km</w:t>
      </w:r>
      <w:r>
        <w:rPr>
          <w:rFonts w:ascii="Times New Roman" w:hAnsi="Times New Roman" w:cs="Times New Roman"/>
          <w:color w:val="FF0000"/>
          <w:vertAlign w:val="superscript"/>
        </w:rPr>
        <w:t>2</w:t>
      </w:r>
      <w:r>
        <w:rPr>
          <w:rFonts w:ascii="Times New Roman" w:hAnsi="Times New Roman" w:cs="Times New Roman"/>
          <w:color w:val="FF0000"/>
        </w:rPr>
        <w:t>≤0.05km</w:t>
      </w:r>
      <w:r>
        <w:rPr>
          <w:rFonts w:ascii="Times New Roman" w:hAnsi="Times New Roman" w:cs="Times New Roman"/>
          <w:color w:val="FF0000"/>
          <w:vertAlign w:val="superscript"/>
        </w:rPr>
        <w:t>2</w:t>
      </w:r>
      <w:r>
        <w:rPr>
          <w:rFonts w:ascii="Times New Roman" w:hAnsi="Times New Roman" w:cs="Times New Roman"/>
          <w:color w:val="FF0000"/>
        </w:rPr>
        <w:t>，A2=0.1km</w:t>
      </w:r>
      <w:r>
        <w:rPr>
          <w:rFonts w:ascii="Times New Roman" w:hAnsi="Times New Roman" w:cs="Times New Roman"/>
          <w:color w:val="FF0000"/>
          <w:vertAlign w:val="superscript"/>
        </w:rPr>
        <w:t>2</w:t>
      </w:r>
      <w:r>
        <w:rPr>
          <w:rFonts w:ascii="Times New Roman" w:hAnsi="Times New Roman" w:cs="Times New Roman"/>
          <w:color w:val="FF0000"/>
        </w:rPr>
        <w:t>≤0.2km</w:t>
      </w:r>
      <w:r>
        <w:rPr>
          <w:rFonts w:ascii="Times New Roman" w:hAnsi="Times New Roman" w:cs="Times New Roman"/>
          <w:color w:val="FF0000"/>
          <w:vertAlign w:val="superscript"/>
        </w:rPr>
        <w:t>2</w:t>
      </w:r>
      <w:r>
        <w:rPr>
          <w:rFonts w:ascii="Times New Roman" w:hAnsi="Times New Roman" w:cs="Times New Roman"/>
          <w:color w:val="FF0000"/>
        </w:rPr>
        <w:t>，确定地表水水文要素影响评价工作等级为三级。</w:t>
      </w:r>
    </w:p>
    <w:p>
      <w:pPr>
        <w:pStyle w:val="1429"/>
        <w:spacing w:line="240" w:lineRule="auto"/>
        <w:ind w:firstLine="422"/>
        <w:rPr>
          <w:rFonts w:ascii="Times New Roman" w:hAnsi="Times New Roman"/>
          <w:color w:val="auto"/>
        </w:rPr>
      </w:pPr>
      <w:r>
        <w:rPr>
          <w:rFonts w:ascii="Times New Roman" w:hAnsi="Times New Roman"/>
          <w:color w:val="auto"/>
        </w:rPr>
        <w:t>表2.3-1   地表水环境影响评价等级判定（水文要素影响型）</w:t>
      </w:r>
    </w:p>
    <w:tbl>
      <w:tblPr>
        <w:tblStyle w:val="62"/>
        <w:tblW w:w="92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6"/>
        <w:gridCol w:w="1085"/>
        <w:gridCol w:w="1220"/>
        <w:gridCol w:w="1055"/>
        <w:gridCol w:w="1670"/>
        <w:gridCol w:w="1670"/>
        <w:gridCol w:w="2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46" w:type="dxa"/>
            <w:vMerge w:val="restart"/>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评价等级</w:t>
            </w:r>
          </w:p>
        </w:tc>
        <w:tc>
          <w:tcPr>
            <w:tcW w:w="1085"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水温</w:t>
            </w:r>
          </w:p>
        </w:tc>
        <w:tc>
          <w:tcPr>
            <w:tcW w:w="2275" w:type="dxa"/>
            <w:gridSpan w:val="2"/>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径流</w:t>
            </w:r>
          </w:p>
        </w:tc>
        <w:tc>
          <w:tcPr>
            <w:tcW w:w="5381" w:type="dxa"/>
            <w:gridSpan w:val="3"/>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受影响地表水域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46" w:type="dxa"/>
            <w:vMerge w:val="continue"/>
            <w:tcBorders>
              <w:tl2br w:val="nil"/>
              <w:tr2bl w:val="nil"/>
            </w:tcBorders>
            <w:vAlign w:val="center"/>
          </w:tcPr>
          <w:p>
            <w:pPr>
              <w:pStyle w:val="1125"/>
              <w:spacing w:line="240" w:lineRule="auto"/>
              <w:ind w:firstLine="360"/>
              <w:rPr>
                <w:rFonts w:ascii="Times New Roman" w:hAnsi="Times New Roman" w:cs="Times New Roman"/>
                <w:bCs/>
                <w:color w:val="auto"/>
                <w:sz w:val="18"/>
                <w:szCs w:val="18"/>
              </w:rPr>
            </w:pPr>
          </w:p>
        </w:tc>
        <w:tc>
          <w:tcPr>
            <w:tcW w:w="1085" w:type="dxa"/>
            <w:vMerge w:val="restart"/>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年径流量与总库容百分比α/%</w:t>
            </w:r>
          </w:p>
        </w:tc>
        <w:tc>
          <w:tcPr>
            <w:tcW w:w="1220" w:type="dxa"/>
            <w:vMerge w:val="restart"/>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兴利库容与年径流量百分比β/%</w:t>
            </w:r>
          </w:p>
        </w:tc>
        <w:tc>
          <w:tcPr>
            <w:tcW w:w="1055" w:type="dxa"/>
            <w:vMerge w:val="restart"/>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取水量占多年平均径流量百分比γ/%</w:t>
            </w:r>
          </w:p>
        </w:tc>
        <w:tc>
          <w:tcPr>
            <w:tcW w:w="3340" w:type="dxa"/>
            <w:gridSpan w:val="2"/>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工程垂直投影面积及外扩面积范围A1/km</w:t>
            </w:r>
            <w:r>
              <w:rPr>
                <w:rFonts w:ascii="Times New Roman" w:hAnsi="Times New Roman" w:cs="Times New Roman"/>
                <w:bCs/>
                <w:color w:val="auto"/>
                <w:sz w:val="18"/>
                <w:szCs w:val="18"/>
                <w:vertAlign w:val="superscript"/>
              </w:rPr>
              <w:t>2</w:t>
            </w:r>
            <w:r>
              <w:rPr>
                <w:rFonts w:ascii="Times New Roman" w:hAnsi="Times New Roman" w:cs="Times New Roman"/>
                <w:bCs/>
                <w:color w:val="auto"/>
                <w:sz w:val="18"/>
                <w:szCs w:val="18"/>
              </w:rPr>
              <w:t>；工程扰动水底面积A2/km</w:t>
            </w:r>
            <w:r>
              <w:rPr>
                <w:rFonts w:ascii="Times New Roman" w:hAnsi="Times New Roman" w:cs="Times New Roman"/>
                <w:bCs/>
                <w:color w:val="auto"/>
                <w:sz w:val="18"/>
                <w:szCs w:val="18"/>
                <w:vertAlign w:val="superscript"/>
              </w:rPr>
              <w:t>2</w:t>
            </w:r>
            <w:r>
              <w:rPr>
                <w:rFonts w:ascii="Times New Roman" w:hAnsi="Times New Roman" w:cs="Times New Roman"/>
                <w:bCs/>
                <w:color w:val="auto"/>
                <w:sz w:val="18"/>
                <w:szCs w:val="18"/>
              </w:rPr>
              <w:t>；过水断面宽度占用比例或占用水域比例R%</w:t>
            </w:r>
          </w:p>
        </w:tc>
        <w:tc>
          <w:tcPr>
            <w:tcW w:w="2041"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工程垂直投影面积及外扩范围A1/km</w:t>
            </w:r>
            <w:r>
              <w:rPr>
                <w:rFonts w:ascii="Times New Roman" w:hAnsi="Times New Roman" w:cs="Times New Roman"/>
                <w:bCs/>
                <w:color w:val="auto"/>
                <w:sz w:val="18"/>
                <w:szCs w:val="18"/>
                <w:vertAlign w:val="superscript"/>
              </w:rPr>
              <w:t>2</w:t>
            </w:r>
            <w:r>
              <w:rPr>
                <w:rFonts w:ascii="Times New Roman" w:hAnsi="Times New Roman" w:cs="Times New Roman"/>
                <w:bCs/>
                <w:color w:val="auto"/>
                <w:sz w:val="18"/>
                <w:szCs w:val="18"/>
              </w:rPr>
              <w:t>；工程扰动水底面积A2/km</w:t>
            </w:r>
            <w:r>
              <w:rPr>
                <w:rFonts w:ascii="Times New Roman" w:hAnsi="Times New Roman" w:cs="Times New Roman"/>
                <w:bCs/>
                <w:color w:val="auto"/>
                <w:sz w:val="18"/>
                <w:szCs w:val="18"/>
                <w:vertAlign w:val="superscript"/>
              </w:rPr>
              <w:t>2</w:t>
            </w:r>
            <w:r>
              <w:rPr>
                <w:rFonts w:ascii="Times New Roman" w:hAnsi="Times New Roman" w:cs="Times New Roman"/>
                <w:bCs/>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46" w:type="dxa"/>
            <w:vMerge w:val="continue"/>
            <w:tcBorders>
              <w:tl2br w:val="nil"/>
              <w:tr2bl w:val="nil"/>
            </w:tcBorders>
            <w:vAlign w:val="center"/>
          </w:tcPr>
          <w:p>
            <w:pPr>
              <w:pStyle w:val="1125"/>
              <w:spacing w:line="240" w:lineRule="auto"/>
              <w:ind w:firstLine="360"/>
              <w:rPr>
                <w:rFonts w:ascii="Times New Roman" w:hAnsi="Times New Roman" w:cs="Times New Roman"/>
                <w:bCs/>
                <w:color w:val="auto"/>
                <w:sz w:val="18"/>
                <w:szCs w:val="18"/>
              </w:rPr>
            </w:pPr>
          </w:p>
        </w:tc>
        <w:tc>
          <w:tcPr>
            <w:tcW w:w="1085" w:type="dxa"/>
            <w:vMerge w:val="continue"/>
            <w:tcBorders>
              <w:tl2br w:val="nil"/>
              <w:tr2bl w:val="nil"/>
            </w:tcBorders>
            <w:vAlign w:val="center"/>
          </w:tcPr>
          <w:p>
            <w:pPr>
              <w:pStyle w:val="1125"/>
              <w:spacing w:line="240" w:lineRule="auto"/>
              <w:ind w:firstLine="360"/>
              <w:rPr>
                <w:rFonts w:ascii="Times New Roman" w:hAnsi="Times New Roman" w:cs="Times New Roman"/>
                <w:bCs/>
                <w:color w:val="auto"/>
                <w:sz w:val="18"/>
                <w:szCs w:val="18"/>
              </w:rPr>
            </w:pPr>
          </w:p>
        </w:tc>
        <w:tc>
          <w:tcPr>
            <w:tcW w:w="1220" w:type="dxa"/>
            <w:vMerge w:val="continue"/>
            <w:tcBorders>
              <w:tl2br w:val="nil"/>
              <w:tr2bl w:val="nil"/>
            </w:tcBorders>
            <w:vAlign w:val="center"/>
          </w:tcPr>
          <w:p>
            <w:pPr>
              <w:pStyle w:val="1125"/>
              <w:spacing w:line="240" w:lineRule="auto"/>
              <w:ind w:firstLine="360"/>
              <w:rPr>
                <w:rFonts w:ascii="Times New Roman" w:hAnsi="Times New Roman" w:cs="Times New Roman"/>
                <w:bCs/>
                <w:color w:val="auto"/>
                <w:sz w:val="18"/>
                <w:szCs w:val="18"/>
              </w:rPr>
            </w:pPr>
          </w:p>
        </w:tc>
        <w:tc>
          <w:tcPr>
            <w:tcW w:w="1055" w:type="dxa"/>
            <w:vMerge w:val="continue"/>
            <w:tcBorders>
              <w:tl2br w:val="nil"/>
              <w:tr2bl w:val="nil"/>
            </w:tcBorders>
            <w:vAlign w:val="center"/>
          </w:tcPr>
          <w:p>
            <w:pPr>
              <w:pStyle w:val="1125"/>
              <w:spacing w:line="240" w:lineRule="auto"/>
              <w:ind w:firstLine="360"/>
              <w:rPr>
                <w:rFonts w:ascii="Times New Roman" w:hAnsi="Times New Roman" w:cs="Times New Roman"/>
                <w:bCs/>
                <w:color w:val="auto"/>
                <w:sz w:val="18"/>
                <w:szCs w:val="18"/>
              </w:rPr>
            </w:pPr>
          </w:p>
        </w:tc>
        <w:tc>
          <w:tcPr>
            <w:tcW w:w="1670"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河流</w:t>
            </w:r>
          </w:p>
        </w:tc>
        <w:tc>
          <w:tcPr>
            <w:tcW w:w="1670"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湖库</w:t>
            </w:r>
          </w:p>
        </w:tc>
        <w:tc>
          <w:tcPr>
            <w:tcW w:w="2041"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入海河口、近岸海域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46"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一级</w:t>
            </w:r>
          </w:p>
        </w:tc>
        <w:tc>
          <w:tcPr>
            <w:tcW w:w="1085"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α≤10；或稳定</w:t>
            </w:r>
          </w:p>
        </w:tc>
        <w:tc>
          <w:tcPr>
            <w:tcW w:w="1220"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β≥20；或完全年调节与多年调节</w:t>
            </w:r>
          </w:p>
        </w:tc>
        <w:tc>
          <w:tcPr>
            <w:tcW w:w="1055"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γ≥30</w:t>
            </w:r>
          </w:p>
        </w:tc>
        <w:tc>
          <w:tcPr>
            <w:tcW w:w="1670"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A1≥0.3；或A2≥1.5；或R≥10</w:t>
            </w:r>
          </w:p>
        </w:tc>
        <w:tc>
          <w:tcPr>
            <w:tcW w:w="1670"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A1≥0.3；或A2≥1.5；或R≥10</w:t>
            </w:r>
          </w:p>
        </w:tc>
        <w:tc>
          <w:tcPr>
            <w:tcW w:w="2041"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A1≥0.5；或A2≥3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46"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二级</w:t>
            </w:r>
          </w:p>
        </w:tc>
        <w:tc>
          <w:tcPr>
            <w:tcW w:w="1085"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2＞α＞10；或不稳定分层</w:t>
            </w:r>
          </w:p>
        </w:tc>
        <w:tc>
          <w:tcPr>
            <w:tcW w:w="1220" w:type="dxa"/>
            <w:tcBorders>
              <w:tl2br w:val="nil"/>
              <w:tr2bl w:val="nil"/>
            </w:tcBorders>
            <w:vAlign w:val="center"/>
          </w:tcPr>
          <w:p>
            <w:pPr>
              <w:pStyle w:val="1125"/>
              <w:spacing w:line="240" w:lineRule="auto"/>
              <w:ind w:firstLine="360"/>
              <w:rPr>
                <w:rFonts w:ascii="Times New Roman" w:hAnsi="Times New Roman" w:cs="Times New Roman"/>
                <w:bCs/>
                <w:color w:val="auto"/>
                <w:sz w:val="18"/>
                <w:szCs w:val="18"/>
              </w:rPr>
            </w:pPr>
            <w:r>
              <w:rPr>
                <w:rFonts w:ascii="Times New Roman" w:hAnsi="Times New Roman" w:cs="Times New Roman"/>
                <w:bCs/>
                <w:color w:val="auto"/>
                <w:sz w:val="18"/>
                <w:szCs w:val="18"/>
              </w:rPr>
              <w:t>20＞β＞2；或季调节与不完全年调节</w:t>
            </w:r>
          </w:p>
        </w:tc>
        <w:tc>
          <w:tcPr>
            <w:tcW w:w="1055"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30＞γ＞10</w:t>
            </w:r>
          </w:p>
        </w:tc>
        <w:tc>
          <w:tcPr>
            <w:tcW w:w="1670"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0.3＞A1＞0.05；或1.5＞A2＞0.2；或10＞R＞5</w:t>
            </w:r>
          </w:p>
        </w:tc>
        <w:tc>
          <w:tcPr>
            <w:tcW w:w="1670" w:type="dxa"/>
            <w:tcBorders>
              <w:tl2br w:val="nil"/>
              <w:tr2bl w:val="nil"/>
            </w:tcBorders>
            <w:vAlign w:val="center"/>
          </w:tcPr>
          <w:p>
            <w:pPr>
              <w:pStyle w:val="1125"/>
              <w:spacing w:line="240" w:lineRule="auto"/>
              <w:ind w:firstLine="0" w:firstLineChars="0"/>
              <w:jc w:val="both"/>
              <w:rPr>
                <w:rFonts w:ascii="Times New Roman" w:hAnsi="Times New Roman" w:cs="Times New Roman"/>
                <w:bCs/>
                <w:color w:val="auto"/>
                <w:sz w:val="18"/>
                <w:szCs w:val="18"/>
              </w:rPr>
            </w:pPr>
            <w:r>
              <w:rPr>
                <w:rFonts w:ascii="Times New Roman" w:hAnsi="Times New Roman" w:cs="Times New Roman"/>
                <w:bCs/>
                <w:color w:val="auto"/>
                <w:sz w:val="18"/>
                <w:szCs w:val="18"/>
              </w:rPr>
              <w:t>0.3＞A1＞0.05；或1.5＞A2＞0.2；或10＞R＞5</w:t>
            </w:r>
          </w:p>
        </w:tc>
        <w:tc>
          <w:tcPr>
            <w:tcW w:w="2041"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0.5＞A1＞0.15；或3＞A2＞0.5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46"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三级</w:t>
            </w:r>
          </w:p>
        </w:tc>
        <w:tc>
          <w:tcPr>
            <w:tcW w:w="1085"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α≥20；或混合型</w:t>
            </w:r>
          </w:p>
        </w:tc>
        <w:tc>
          <w:tcPr>
            <w:tcW w:w="1220" w:type="dxa"/>
            <w:tcBorders>
              <w:tl2br w:val="nil"/>
              <w:tr2bl w:val="nil"/>
            </w:tcBorders>
            <w:vAlign w:val="center"/>
          </w:tcPr>
          <w:p>
            <w:pPr>
              <w:pStyle w:val="1125"/>
              <w:spacing w:line="240" w:lineRule="auto"/>
              <w:ind w:firstLine="360"/>
              <w:rPr>
                <w:rFonts w:ascii="Times New Roman" w:hAnsi="Times New Roman" w:cs="Times New Roman"/>
                <w:bCs/>
                <w:color w:val="auto"/>
                <w:sz w:val="18"/>
                <w:szCs w:val="18"/>
              </w:rPr>
            </w:pPr>
            <w:r>
              <w:rPr>
                <w:rFonts w:ascii="Times New Roman" w:hAnsi="Times New Roman" w:cs="Times New Roman"/>
                <w:bCs/>
                <w:color w:val="auto"/>
                <w:sz w:val="18"/>
                <w:szCs w:val="18"/>
              </w:rPr>
              <w:t>β≤2；或无调节</w:t>
            </w:r>
          </w:p>
        </w:tc>
        <w:tc>
          <w:tcPr>
            <w:tcW w:w="1055"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γ≤10</w:t>
            </w:r>
          </w:p>
        </w:tc>
        <w:tc>
          <w:tcPr>
            <w:tcW w:w="1670"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A1≤0.05；或A2≤0.2；或R≤5</w:t>
            </w:r>
          </w:p>
        </w:tc>
        <w:tc>
          <w:tcPr>
            <w:tcW w:w="1670" w:type="dxa"/>
            <w:tcBorders>
              <w:tl2br w:val="nil"/>
              <w:tr2bl w:val="nil"/>
            </w:tcBorders>
            <w:vAlign w:val="center"/>
          </w:tcPr>
          <w:p>
            <w:pPr>
              <w:pStyle w:val="1125"/>
              <w:spacing w:line="240" w:lineRule="auto"/>
              <w:ind w:firstLine="360"/>
              <w:rPr>
                <w:rFonts w:ascii="Times New Roman" w:hAnsi="Times New Roman" w:cs="Times New Roman"/>
                <w:bCs/>
                <w:color w:val="auto"/>
                <w:sz w:val="18"/>
                <w:szCs w:val="18"/>
              </w:rPr>
            </w:pPr>
            <w:r>
              <w:rPr>
                <w:rFonts w:ascii="Times New Roman" w:hAnsi="Times New Roman" w:cs="Times New Roman"/>
                <w:bCs/>
                <w:color w:val="auto"/>
                <w:sz w:val="18"/>
                <w:szCs w:val="18"/>
              </w:rPr>
              <w:t>A1≤0.05；或A2≤0.2；或R≤5</w:t>
            </w:r>
          </w:p>
        </w:tc>
        <w:tc>
          <w:tcPr>
            <w:tcW w:w="2041" w:type="dxa"/>
            <w:tcBorders>
              <w:tl2br w:val="nil"/>
              <w:tr2bl w:val="nil"/>
            </w:tcBorders>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A1≤0.15；或A2≤0.5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9287" w:type="dxa"/>
            <w:gridSpan w:val="7"/>
            <w:tcBorders>
              <w:tl2br w:val="nil"/>
              <w:tr2bl w:val="nil"/>
            </w:tcBorders>
            <w:vAlign w:val="center"/>
          </w:tcPr>
          <w:p>
            <w:pPr>
              <w:pStyle w:val="1125"/>
              <w:spacing w:line="240" w:lineRule="auto"/>
              <w:ind w:firstLine="360"/>
              <w:jc w:val="left"/>
              <w:rPr>
                <w:rFonts w:ascii="Times New Roman" w:hAnsi="Times New Roman" w:cs="Times New Roman"/>
                <w:bCs/>
                <w:color w:val="auto"/>
                <w:sz w:val="18"/>
                <w:szCs w:val="18"/>
              </w:rPr>
            </w:pPr>
            <w:r>
              <w:rPr>
                <w:rFonts w:ascii="Times New Roman" w:hAnsi="Times New Roman" w:cs="Times New Roman"/>
                <w:bCs/>
                <w:color w:val="auto"/>
                <w:sz w:val="18"/>
                <w:szCs w:val="18"/>
              </w:rPr>
              <w:t>注1：影响范围涉及饮用水水源保护区、重点保护与珍稀水生生物的栖息地、重要水生生物的自然产卵场、自然保护区等保护目标，评价等级应不低于二级。</w:t>
            </w:r>
          </w:p>
          <w:p>
            <w:pPr>
              <w:pStyle w:val="1125"/>
              <w:spacing w:line="240" w:lineRule="auto"/>
              <w:ind w:firstLine="360"/>
              <w:jc w:val="left"/>
              <w:rPr>
                <w:rFonts w:ascii="Times New Roman" w:hAnsi="Times New Roman" w:cs="Times New Roman"/>
                <w:bCs/>
                <w:color w:val="auto"/>
                <w:sz w:val="18"/>
                <w:szCs w:val="18"/>
              </w:rPr>
            </w:pPr>
            <w:r>
              <w:rPr>
                <w:rFonts w:ascii="Times New Roman" w:hAnsi="Times New Roman" w:cs="Times New Roman"/>
                <w:bCs/>
                <w:color w:val="auto"/>
                <w:sz w:val="18"/>
                <w:szCs w:val="18"/>
              </w:rPr>
              <w:t>注2：跨流域调水、引水式电站、可能受到河流感潮河段影响，评价等级不低于二级。</w:t>
            </w:r>
          </w:p>
          <w:p>
            <w:pPr>
              <w:pStyle w:val="1125"/>
              <w:spacing w:line="240" w:lineRule="auto"/>
              <w:ind w:firstLine="360"/>
              <w:jc w:val="left"/>
              <w:rPr>
                <w:rFonts w:ascii="Times New Roman" w:hAnsi="Times New Roman" w:cs="Times New Roman"/>
                <w:bCs/>
                <w:color w:val="auto"/>
                <w:sz w:val="18"/>
                <w:szCs w:val="18"/>
              </w:rPr>
            </w:pPr>
            <w:r>
              <w:rPr>
                <w:rFonts w:ascii="Times New Roman" w:hAnsi="Times New Roman" w:cs="Times New Roman"/>
                <w:bCs/>
                <w:color w:val="auto"/>
                <w:sz w:val="18"/>
                <w:szCs w:val="18"/>
              </w:rPr>
              <w:t>注3：造成入海河口（湾口）宽度束窄（束窄尺度达到原宽度的 5%以上），评价等级应不低于二级。</w:t>
            </w:r>
          </w:p>
          <w:p>
            <w:pPr>
              <w:pStyle w:val="1125"/>
              <w:spacing w:line="240" w:lineRule="auto"/>
              <w:ind w:firstLine="360"/>
              <w:jc w:val="left"/>
              <w:rPr>
                <w:rFonts w:ascii="Times New Roman" w:hAnsi="Times New Roman" w:cs="Times New Roman"/>
                <w:bCs/>
                <w:color w:val="auto"/>
                <w:sz w:val="18"/>
                <w:szCs w:val="18"/>
              </w:rPr>
            </w:pPr>
            <w:r>
              <w:rPr>
                <w:rFonts w:ascii="Times New Roman" w:hAnsi="Times New Roman" w:cs="Times New Roman"/>
                <w:bCs/>
                <w:color w:val="auto"/>
                <w:sz w:val="18"/>
                <w:szCs w:val="18"/>
              </w:rPr>
              <w:t>注4：对不透水的单方向建筑尺度较长的水工建筑物（如防波堤、导流堤等），其与潮流或水流主流向切线垂直方向投影长度大于 2 km 时，评价等级应不低于二级。</w:t>
            </w:r>
          </w:p>
          <w:p>
            <w:pPr>
              <w:pStyle w:val="1125"/>
              <w:spacing w:line="240" w:lineRule="auto"/>
              <w:ind w:firstLine="360"/>
              <w:jc w:val="left"/>
              <w:rPr>
                <w:rFonts w:ascii="Times New Roman" w:hAnsi="Times New Roman" w:cs="Times New Roman"/>
                <w:bCs/>
                <w:color w:val="auto"/>
                <w:sz w:val="18"/>
                <w:szCs w:val="18"/>
              </w:rPr>
            </w:pPr>
            <w:r>
              <w:rPr>
                <w:rFonts w:ascii="Times New Roman" w:hAnsi="Times New Roman" w:cs="Times New Roman"/>
                <w:bCs/>
                <w:color w:val="auto"/>
                <w:sz w:val="18"/>
                <w:szCs w:val="18"/>
              </w:rPr>
              <w:t>注5：允许在一类海域建设的项目，评价等级为一级。</w:t>
            </w:r>
          </w:p>
          <w:p>
            <w:pPr>
              <w:pStyle w:val="1125"/>
              <w:spacing w:line="240" w:lineRule="auto"/>
              <w:ind w:firstLine="360"/>
              <w:jc w:val="left"/>
              <w:rPr>
                <w:rFonts w:ascii="Times New Roman" w:hAnsi="Times New Roman" w:cs="Times New Roman"/>
                <w:bCs/>
                <w:color w:val="auto"/>
                <w:sz w:val="18"/>
                <w:szCs w:val="18"/>
              </w:rPr>
            </w:pPr>
            <w:r>
              <w:rPr>
                <w:rFonts w:ascii="Times New Roman" w:hAnsi="Times New Roman" w:cs="Times New Roman"/>
                <w:bCs/>
                <w:color w:val="auto"/>
                <w:sz w:val="18"/>
                <w:szCs w:val="18"/>
              </w:rPr>
              <w:t>注6：同时存在多个水文要素影响的建设项目，分别判定各水文要素影响评价等级，并取其中最高等级作为水文要素影响型建设项目评价等级。</w:t>
            </w:r>
          </w:p>
        </w:tc>
      </w:tr>
    </w:tbl>
    <w:p>
      <w:pPr>
        <w:ind w:firstLine="480"/>
        <w:rPr>
          <w:rFonts w:ascii="Times New Roman" w:hAnsi="Times New Roman" w:cs="Times New Roman"/>
          <w:color w:val="auto"/>
          <w:szCs w:val="24"/>
        </w:rPr>
      </w:pPr>
      <w:r>
        <w:rPr>
          <w:rFonts w:ascii="Times New Roman" w:hAnsi="Times New Roman" w:cs="Times New Roman"/>
          <w:color w:val="auto"/>
        </w:rPr>
        <w:t>本项目接收的船舶生活污水、油污水；港区工作人员生活污水；码头平台、罐区及装车区冲洗水、初期雨水、油罐切水经收集处理达到合肥循环经济园污水处理厂接管标准要求后，由区域污水管网接入合肥循环经济园污水处理厂集中处理，尾水处理达标后排入店埠河，经南淝河最终汇入巢湖。</w:t>
      </w:r>
    </w:p>
    <w:p>
      <w:pPr>
        <w:ind w:firstLine="480"/>
        <w:rPr>
          <w:rFonts w:ascii="Times New Roman" w:hAnsi="Times New Roman" w:cs="Times New Roman"/>
          <w:color w:val="auto"/>
        </w:rPr>
      </w:pPr>
      <w:r>
        <w:rPr>
          <w:rFonts w:ascii="Times New Roman" w:hAnsi="Times New Roman" w:cs="Times New Roman"/>
          <w:color w:val="auto"/>
        </w:rPr>
        <w:t>根据《环境影响评价技术导则-地表水环境》（HJ2.3-2018）可知，属于间接排放，确定地表水环境影响评价工作等级为三级B。具体见表2.3-2</w:t>
      </w:r>
      <w:r>
        <w:rPr>
          <w:rFonts w:ascii="Times New Roman" w:hAnsi="Times New Roman" w:cs="Times New Roman"/>
          <w:color w:val="auto"/>
          <w:szCs w:val="24"/>
        </w:rPr>
        <w:t>。</w:t>
      </w:r>
    </w:p>
    <w:p>
      <w:pPr>
        <w:pStyle w:val="1429"/>
        <w:spacing w:line="240" w:lineRule="auto"/>
        <w:ind w:firstLine="422"/>
        <w:rPr>
          <w:rFonts w:ascii="Times New Roman" w:hAnsi="Times New Roman"/>
          <w:color w:val="auto"/>
        </w:rPr>
      </w:pPr>
      <w:r>
        <w:rPr>
          <w:rFonts w:ascii="Times New Roman" w:hAnsi="Times New Roman"/>
          <w:color w:val="auto"/>
        </w:rPr>
        <w:t>表2.3-2  地表水评价工作等级判定</w:t>
      </w:r>
    </w:p>
    <w:tbl>
      <w:tblPr>
        <w:tblStyle w:val="62"/>
        <w:tblW w:w="9031"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fixed"/>
        <w:tblCellMar>
          <w:top w:w="0" w:type="dxa"/>
          <w:left w:w="108" w:type="dxa"/>
          <w:bottom w:w="0" w:type="dxa"/>
          <w:right w:w="108" w:type="dxa"/>
        </w:tblCellMar>
      </w:tblPr>
      <w:tblGrid>
        <w:gridCol w:w="1549"/>
        <w:gridCol w:w="2755"/>
        <w:gridCol w:w="472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cantSplit/>
          <w:trHeight w:val="104" w:hRule="atLeast"/>
          <w:jc w:val="center"/>
        </w:trPr>
        <w:tc>
          <w:tcPr>
            <w:tcW w:w="1549" w:type="dxa"/>
            <w:vMerge w:val="restart"/>
            <w:shd w:val="clear" w:color="auto" w:fill="FFFFFF"/>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评价等级</w:t>
            </w:r>
          </w:p>
        </w:tc>
        <w:tc>
          <w:tcPr>
            <w:tcW w:w="7482" w:type="dxa"/>
            <w:gridSpan w:val="2"/>
            <w:shd w:val="clear" w:color="auto" w:fill="FFFFFF"/>
            <w:vAlign w:val="center"/>
          </w:tcPr>
          <w:p>
            <w:pPr>
              <w:pStyle w:val="1125"/>
              <w:spacing w:line="240" w:lineRule="auto"/>
              <w:ind w:firstLine="360"/>
              <w:rPr>
                <w:rFonts w:ascii="Times New Roman" w:hAnsi="Times New Roman" w:cs="Times New Roman"/>
                <w:bCs/>
                <w:color w:val="auto"/>
                <w:sz w:val="18"/>
                <w:szCs w:val="18"/>
              </w:rPr>
            </w:pPr>
            <w:r>
              <w:rPr>
                <w:rFonts w:ascii="Times New Roman" w:hAnsi="Times New Roman" w:cs="Times New Roman"/>
                <w:bCs/>
                <w:color w:val="auto"/>
                <w:sz w:val="18"/>
                <w:szCs w:val="18"/>
              </w:rPr>
              <w:t>判定依据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cantSplit/>
          <w:trHeight w:val="541" w:hRule="atLeast"/>
          <w:jc w:val="center"/>
        </w:trPr>
        <w:tc>
          <w:tcPr>
            <w:tcW w:w="1549" w:type="dxa"/>
            <w:vMerge w:val="continue"/>
            <w:shd w:val="clear" w:color="auto" w:fill="auto"/>
            <w:vAlign w:val="center"/>
          </w:tcPr>
          <w:p>
            <w:pPr>
              <w:widowControl/>
              <w:adjustRightInd/>
              <w:snapToGrid/>
              <w:spacing w:line="240" w:lineRule="auto"/>
              <w:ind w:firstLine="0" w:firstLineChars="0"/>
              <w:jc w:val="center"/>
              <w:rPr>
                <w:rFonts w:ascii="Times New Roman" w:hAnsi="Times New Roman" w:cs="Times New Roman"/>
                <w:bCs/>
                <w:color w:val="auto"/>
                <w:sz w:val="18"/>
                <w:szCs w:val="18"/>
              </w:rPr>
            </w:pPr>
          </w:p>
        </w:tc>
        <w:tc>
          <w:tcPr>
            <w:tcW w:w="2755" w:type="dxa"/>
            <w:shd w:val="clear" w:color="auto" w:fill="FFFFFF"/>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排放方式</w:t>
            </w:r>
          </w:p>
        </w:tc>
        <w:tc>
          <w:tcPr>
            <w:tcW w:w="4727" w:type="dxa"/>
            <w:shd w:val="clear" w:color="auto" w:fill="FFFFFF"/>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废水排放量Q/(m</w:t>
            </w:r>
            <w:r>
              <w:rPr>
                <w:rFonts w:ascii="Times New Roman" w:hAnsi="Times New Roman" w:cs="Times New Roman"/>
                <w:bCs/>
                <w:color w:val="auto"/>
                <w:sz w:val="18"/>
                <w:szCs w:val="18"/>
                <w:vertAlign w:val="superscript"/>
              </w:rPr>
              <w:t>3</w:t>
            </w:r>
            <w:r>
              <w:rPr>
                <w:rFonts w:ascii="Times New Roman" w:hAnsi="Times New Roman" w:cs="Times New Roman"/>
                <w:bCs/>
                <w:color w:val="auto"/>
                <w:sz w:val="18"/>
                <w:szCs w:val="18"/>
              </w:rPr>
              <w:t>/d)；</w:t>
            </w:r>
          </w:p>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水污染物当量属W/(无量纲)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cantSplit/>
          <w:trHeight w:val="279" w:hRule="atLeast"/>
          <w:jc w:val="center"/>
        </w:trPr>
        <w:tc>
          <w:tcPr>
            <w:tcW w:w="1549" w:type="dxa"/>
            <w:shd w:val="clear" w:color="auto" w:fill="FFFFFF"/>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一级</w:t>
            </w:r>
          </w:p>
        </w:tc>
        <w:tc>
          <w:tcPr>
            <w:tcW w:w="2755" w:type="dxa"/>
            <w:shd w:val="clear" w:color="auto" w:fill="FFFFFF"/>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直接排放</w:t>
            </w:r>
          </w:p>
        </w:tc>
        <w:tc>
          <w:tcPr>
            <w:tcW w:w="4727" w:type="dxa"/>
            <w:shd w:val="clear" w:color="auto" w:fill="FFFFFF"/>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Q≥20000或W≥600000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cantSplit/>
          <w:trHeight w:val="262" w:hRule="atLeast"/>
          <w:jc w:val="center"/>
        </w:trPr>
        <w:tc>
          <w:tcPr>
            <w:tcW w:w="1549" w:type="dxa"/>
            <w:shd w:val="clear" w:color="auto" w:fill="FFFFFF"/>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二级</w:t>
            </w:r>
          </w:p>
        </w:tc>
        <w:tc>
          <w:tcPr>
            <w:tcW w:w="2755" w:type="dxa"/>
            <w:shd w:val="clear" w:color="auto" w:fill="FFFFFF"/>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直接排放</w:t>
            </w:r>
          </w:p>
        </w:tc>
        <w:tc>
          <w:tcPr>
            <w:tcW w:w="4727" w:type="dxa"/>
            <w:shd w:val="clear" w:color="auto" w:fill="FFFFFF"/>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cantSplit/>
          <w:trHeight w:val="262" w:hRule="atLeast"/>
          <w:jc w:val="center"/>
        </w:trPr>
        <w:tc>
          <w:tcPr>
            <w:tcW w:w="1549" w:type="dxa"/>
            <w:shd w:val="clear" w:color="auto" w:fill="FFFFFF"/>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三级A</w:t>
            </w:r>
          </w:p>
        </w:tc>
        <w:tc>
          <w:tcPr>
            <w:tcW w:w="2755" w:type="dxa"/>
            <w:shd w:val="clear" w:color="auto" w:fill="FFFFFF"/>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直接排放</w:t>
            </w:r>
          </w:p>
        </w:tc>
        <w:tc>
          <w:tcPr>
            <w:tcW w:w="4727" w:type="dxa"/>
            <w:shd w:val="clear" w:color="auto" w:fill="FFFFFF"/>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Q＜200且W＜6000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cantSplit/>
          <w:trHeight w:val="262" w:hRule="atLeast"/>
          <w:jc w:val="center"/>
        </w:trPr>
        <w:tc>
          <w:tcPr>
            <w:tcW w:w="1549" w:type="dxa"/>
            <w:shd w:val="clear" w:color="auto" w:fill="BEBEBE"/>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三级B</w:t>
            </w:r>
          </w:p>
        </w:tc>
        <w:tc>
          <w:tcPr>
            <w:tcW w:w="2755" w:type="dxa"/>
            <w:shd w:val="clear" w:color="auto" w:fill="BEBEBE"/>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间接排放</w:t>
            </w:r>
          </w:p>
        </w:tc>
        <w:tc>
          <w:tcPr>
            <w:tcW w:w="4727" w:type="dxa"/>
            <w:shd w:val="clear" w:color="auto" w:fill="BEBEBE"/>
            <w:vAlign w:val="center"/>
          </w:tcPr>
          <w:p>
            <w:pPr>
              <w:pStyle w:val="1125"/>
              <w:spacing w:line="240" w:lineRule="auto"/>
              <w:ind w:firstLine="0" w:firstLineChars="0"/>
              <w:rPr>
                <w:rFonts w:ascii="Times New Roman" w:hAnsi="Times New Roman" w:cs="Times New Roman"/>
                <w:bCs/>
                <w:color w:val="auto"/>
                <w:sz w:val="18"/>
                <w:szCs w:val="18"/>
              </w:rPr>
            </w:pPr>
            <w:r>
              <w:rPr>
                <w:rFonts w:ascii="Times New Roman" w:hAnsi="Times New Roman" w:cs="Times New Roman"/>
                <w:bCs/>
                <w:color w:val="auto"/>
                <w:sz w:val="18"/>
                <w:szCs w:val="18"/>
              </w:rPr>
              <w:t>——</w:t>
            </w:r>
          </w:p>
        </w:tc>
      </w:tr>
    </w:tbl>
    <w:p>
      <w:pPr>
        <w:spacing w:before="166" w:beforeLines="50"/>
        <w:ind w:firstLine="480"/>
        <w:rPr>
          <w:rFonts w:ascii="Times New Roman" w:hAnsi="Times New Roman" w:cs="Times New Roman"/>
          <w:color w:val="auto"/>
        </w:rPr>
      </w:pPr>
      <w:r>
        <w:rPr>
          <w:rFonts w:ascii="Times New Roman" w:hAnsi="Times New Roman" w:cs="Times New Roman"/>
          <w:color w:val="auto"/>
        </w:rPr>
        <w:t>（2）大气环境影响评价等级</w:t>
      </w:r>
    </w:p>
    <w:p>
      <w:pPr>
        <w:ind w:firstLine="480"/>
        <w:rPr>
          <w:rFonts w:ascii="Times New Roman" w:hAnsi="Times New Roman" w:cs="Times New Roman"/>
          <w:color w:val="auto"/>
        </w:rPr>
      </w:pPr>
      <w:r>
        <w:rPr>
          <w:rFonts w:ascii="Times New Roman" w:hAnsi="Times New Roman" w:cs="Times New Roman"/>
          <w:color w:val="auto"/>
        </w:rPr>
        <w:t>按照《环境影响评价技术导则 大气环境》（HJ 2.2-2018）规定，分别计算每一种污染物的最大地面浓度占标率</w:t>
      </w:r>
      <w:r>
        <w:rPr>
          <w:rFonts w:ascii="Times New Roman" w:hAnsi="Times New Roman" w:cs="Times New Roman"/>
          <w:i/>
          <w:color w:val="auto"/>
        </w:rPr>
        <w:t>Pi</w:t>
      </w:r>
      <w:r>
        <w:rPr>
          <w:rFonts w:ascii="Times New Roman" w:hAnsi="Times New Roman" w:cs="Times New Roman"/>
          <w:color w:val="auto"/>
        </w:rPr>
        <w:t>（第i个污染物），及第i个污染物的地面浓度达标准限值10%时所对应的最远距离</w:t>
      </w:r>
      <w:r>
        <w:rPr>
          <w:rFonts w:ascii="Times New Roman" w:hAnsi="Times New Roman" w:cs="Times New Roman"/>
          <w:i/>
          <w:color w:val="auto"/>
        </w:rPr>
        <w:t>D</w:t>
      </w:r>
      <w:r>
        <w:rPr>
          <w:rFonts w:ascii="Times New Roman" w:hAnsi="Times New Roman" w:cs="Times New Roman"/>
          <w:i/>
          <w:color w:val="auto"/>
          <w:vertAlign w:val="subscript"/>
        </w:rPr>
        <w:t>10%</w:t>
      </w:r>
      <w:r>
        <w:rPr>
          <w:rFonts w:ascii="Times New Roman" w:hAnsi="Times New Roman" w:cs="Times New Roman"/>
          <w:color w:val="auto"/>
        </w:rPr>
        <w:t>，其中</w:t>
      </w:r>
      <w:r>
        <w:rPr>
          <w:rFonts w:ascii="Times New Roman" w:hAnsi="Times New Roman" w:cs="Times New Roman"/>
          <w:i/>
          <w:color w:val="auto"/>
        </w:rPr>
        <w:t>Pi</w:t>
      </w:r>
      <w:r>
        <w:rPr>
          <w:rFonts w:ascii="Times New Roman" w:hAnsi="Times New Roman" w:cs="Times New Roman"/>
          <w:color w:val="auto"/>
        </w:rPr>
        <w:t>定义为：</w:t>
      </w:r>
    </w:p>
    <w:p>
      <w:pPr>
        <w:pStyle w:val="1138"/>
        <w:adjustRightInd/>
        <w:snapToGrid/>
        <w:ind w:firstLine="480"/>
        <w:jc w:val="center"/>
        <w:rPr>
          <w:rFonts w:ascii="Times New Roman" w:hAnsi="Times New Roman" w:cs="Times New Roman"/>
          <w:color w:val="auto"/>
        </w:rPr>
      </w:pPr>
      <w:r>
        <w:rPr>
          <w:rFonts w:ascii="Times New Roman" w:hAnsi="Times New Roman" w:cs="Times New Roman"/>
          <w:color w:val="auto"/>
          <w:position w:val="-30"/>
        </w:rPr>
        <w:object>
          <v:shape id="_x0000_i1026" o:spt="75" type="#_x0000_t75" style="height:34.5pt;width:77.25pt;" o:ole="t" filled="f" o:preferrelative="t" stroked="f" coordsize="21600,21600">
            <v:path/>
            <v:fill on="f" focussize="0,0"/>
            <v:stroke on="f" joinstyle="miter"/>
            <v:imagedata r:id="rId26" o:title=""/>
            <o:lock v:ext="edit" aspectratio="t"/>
            <w10:wrap type="none"/>
            <w10:anchorlock/>
          </v:shape>
          <o:OLEObject Type="Embed" ProgID="Equation.3" ShapeID="_x0000_i1026" DrawAspect="Content" ObjectID="_1468075726" r:id="rId25">
            <o:LockedField>false</o:LockedField>
          </o:OLEObject>
        </w:object>
      </w:r>
    </w:p>
    <w:p>
      <w:pPr>
        <w:pStyle w:val="1138"/>
        <w:adjustRightInd/>
        <w:snapToGrid/>
        <w:ind w:firstLine="480"/>
        <w:jc w:val="left"/>
        <w:rPr>
          <w:rFonts w:ascii="Times New Roman" w:hAnsi="Times New Roman" w:cs="Times New Roman"/>
          <w:bCs/>
          <w:color w:val="auto"/>
        </w:rPr>
      </w:pPr>
      <w:r>
        <w:rPr>
          <w:rFonts w:ascii="Times New Roman" w:hAnsi="Times New Roman" w:cs="Times New Roman"/>
          <w:bCs/>
          <w:color w:val="auto"/>
        </w:rPr>
        <w:t>式中：</w:t>
      </w:r>
      <w:r>
        <w:rPr>
          <w:rFonts w:ascii="Times New Roman" w:hAnsi="Times New Roman" w:cs="Times New Roman"/>
          <w:bCs/>
          <w:color w:val="auto"/>
          <w:position w:val="-12"/>
        </w:rPr>
        <w:object>
          <v:shape id="_x0000_i1027" o:spt="75" type="#_x0000_t75" style="height:18.75pt;width:11.25pt;" o:ole="t" filled="f" o:preferrelative="t" stroked="f" coordsize="21600,21600">
            <v:path/>
            <v:fill on="f" focussize="0,0"/>
            <v:stroke on="f" joinstyle="miter"/>
            <v:imagedata r:id="rId28" o:title=""/>
            <o:lock v:ext="edit" aspectratio="t"/>
            <w10:wrap type="none"/>
            <w10:anchorlock/>
          </v:shape>
          <o:OLEObject Type="Embed" ProgID="Equation.3" ShapeID="_x0000_i1027" DrawAspect="Content" ObjectID="_1468075727" r:id="rId27">
            <o:LockedField>false</o:LockedField>
          </o:OLEObject>
        </w:object>
      </w:r>
      <w:r>
        <w:rPr>
          <w:rFonts w:ascii="Times New Roman" w:hAnsi="Times New Roman" w:cs="Times New Roman"/>
          <w:bCs/>
          <w:color w:val="auto"/>
        </w:rPr>
        <w:t>－第i个污染物的最大地面空气质量浓度占标率，%；</w:t>
      </w:r>
    </w:p>
    <w:p>
      <w:pPr>
        <w:pStyle w:val="1138"/>
        <w:ind w:firstLine="1200" w:firstLineChars="500"/>
        <w:jc w:val="left"/>
        <w:rPr>
          <w:rFonts w:ascii="Times New Roman" w:hAnsi="Times New Roman" w:cs="Times New Roman"/>
          <w:bCs/>
          <w:color w:val="auto"/>
        </w:rPr>
      </w:pPr>
      <w:r>
        <w:rPr>
          <w:rFonts w:ascii="Times New Roman" w:hAnsi="Times New Roman" w:cs="Times New Roman"/>
          <w:bCs/>
          <w:color w:val="auto"/>
          <w:position w:val="-12"/>
        </w:rPr>
        <w:object>
          <v:shape id="_x0000_i1028" o:spt="75" type="#_x0000_t75" style="height:18.75pt;width:13.5pt;" o:ole="t" filled="f" o:preferrelative="t" stroked="f" coordsize="21600,21600">
            <v:path/>
            <v:fill on="f" focussize="0,0"/>
            <v:stroke on="f" joinstyle="miter"/>
            <v:imagedata r:id="rId30" o:title=""/>
            <o:lock v:ext="edit" aspectratio="t"/>
            <w10:wrap type="none"/>
            <w10:anchorlock/>
          </v:shape>
          <o:OLEObject Type="Embed" ProgID="Equation.3" ShapeID="_x0000_i1028" DrawAspect="Content" ObjectID="_1468075728" r:id="rId29">
            <o:LockedField>false</o:LockedField>
          </o:OLEObject>
        </w:object>
      </w:r>
      <w:r>
        <w:rPr>
          <w:rFonts w:ascii="Times New Roman" w:hAnsi="Times New Roman" w:cs="Times New Roman"/>
          <w:bCs/>
          <w:color w:val="auto"/>
        </w:rPr>
        <w:t>－采用估算模型计算出的第i个污染物的最大1 h地面空气质量浓度，μg/m</w:t>
      </w:r>
      <w:r>
        <w:rPr>
          <w:rFonts w:ascii="Times New Roman" w:hAnsi="Times New Roman" w:cs="Times New Roman"/>
          <w:bCs/>
          <w:color w:val="auto"/>
          <w:vertAlign w:val="superscript"/>
        </w:rPr>
        <w:t>3</w:t>
      </w:r>
      <w:r>
        <w:rPr>
          <w:rFonts w:ascii="Times New Roman" w:hAnsi="Times New Roman" w:cs="Times New Roman"/>
          <w:bCs/>
          <w:color w:val="auto"/>
        </w:rPr>
        <w:t>；</w:t>
      </w:r>
    </w:p>
    <w:p>
      <w:pPr>
        <w:pStyle w:val="1138"/>
        <w:ind w:firstLine="1140" w:firstLineChars="475"/>
        <w:jc w:val="left"/>
        <w:rPr>
          <w:rFonts w:ascii="Times New Roman" w:hAnsi="Times New Roman" w:cs="Times New Roman"/>
          <w:bCs/>
          <w:color w:val="auto"/>
        </w:rPr>
      </w:pPr>
      <w:r>
        <w:rPr>
          <w:rFonts w:ascii="Times New Roman" w:hAnsi="Times New Roman" w:cs="Times New Roman"/>
          <w:bCs/>
          <w:color w:val="auto"/>
          <w:position w:val="-12"/>
        </w:rPr>
        <w:object>
          <v:shape id="_x0000_i1029" o:spt="75" type="#_x0000_t75" style="height:18.75pt;width:15.75pt;" o:ole="t" filled="f" o:preferrelative="t" stroked="f" coordsize="21600,21600">
            <v:path/>
            <v:fill on="f" focussize="0,0"/>
            <v:stroke on="f" joinstyle="miter"/>
            <v:imagedata r:id="rId32" o:title=""/>
            <o:lock v:ext="edit" aspectratio="t"/>
            <w10:wrap type="none"/>
            <w10:anchorlock/>
          </v:shape>
          <o:OLEObject Type="Embed" ProgID="Equation.3" ShapeID="_x0000_i1029" DrawAspect="Content" ObjectID="_1468075729" r:id="rId31">
            <o:LockedField>false</o:LockedField>
          </o:OLEObject>
        </w:object>
      </w:r>
      <w:r>
        <w:rPr>
          <w:rFonts w:ascii="Times New Roman" w:hAnsi="Times New Roman" w:cs="Times New Roman"/>
          <w:bCs/>
          <w:color w:val="auto"/>
        </w:rPr>
        <w:t>－第i个污染物的环境空气质量浓度标准，μg/m</w:t>
      </w:r>
      <w:r>
        <w:rPr>
          <w:rFonts w:ascii="Times New Roman" w:hAnsi="Times New Roman" w:cs="Times New Roman"/>
          <w:bCs/>
          <w:color w:val="auto"/>
          <w:vertAlign w:val="superscript"/>
        </w:rPr>
        <w:t>3</w:t>
      </w:r>
      <w:r>
        <w:rPr>
          <w:rFonts w:ascii="Times New Roman" w:hAnsi="Times New Roman" w:cs="Times New Roman"/>
          <w:bCs/>
          <w:color w:val="auto"/>
        </w:rPr>
        <w:t>。一般选用GB 3095中1 h平均质量浓度的二级浓度限值，如项目位于一类环境空气功能区，应选择相应的一级浓度限值；对该标准中未包含的污染物，使用章节5.2.2确定的各评价因子1h平均质量浓度限值。对仅有8 h平均质量浓度限值、日平均质量浓度限值或年平均质量浓度限值的，可分别按2倍、3倍、6倍折算为1h平均质量浓度限值。</w:t>
      </w:r>
    </w:p>
    <w:p>
      <w:pPr>
        <w:ind w:firstLine="480"/>
        <w:rPr>
          <w:rFonts w:ascii="Times New Roman" w:hAnsi="Times New Roman" w:cs="Times New Roman"/>
          <w:color w:val="auto"/>
          <w:kern w:val="0"/>
        </w:rPr>
      </w:pPr>
      <w:r>
        <w:rPr>
          <w:rFonts w:ascii="Times New Roman" w:hAnsi="Times New Roman" w:cs="Times New Roman"/>
          <w:color w:val="auto"/>
          <w:kern w:val="0"/>
        </w:rPr>
        <w:t>根据《环境影响评价技术导则---大气环境》(HJ2.2-2018)推荐模式清单中的估算模式分别计算本项目各个污染源排放污染物的下风向轴线浓度，并计算相应浓度占标率，估算模型参数取值见表2.3-3，评价工作等级判断计算结果见表2.3-4。</w:t>
      </w:r>
    </w:p>
    <w:p>
      <w:pPr>
        <w:spacing w:line="240" w:lineRule="auto"/>
        <w:ind w:firstLine="422"/>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表2.3-3  估算模型参数取值一览表</w:t>
      </w:r>
    </w:p>
    <w:tbl>
      <w:tblPr>
        <w:tblStyle w:val="62"/>
        <w:tblW w:w="928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095"/>
        <w:gridCol w:w="3097"/>
        <w:gridCol w:w="309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6192" w:type="dxa"/>
            <w:gridSpan w:val="2"/>
            <w:vAlign w:val="center"/>
          </w:tcPr>
          <w:p>
            <w:pPr>
              <w:spacing w:line="240" w:lineRule="auto"/>
              <w:ind w:firstLine="0" w:firstLineChars="0"/>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参数</w:t>
            </w:r>
          </w:p>
        </w:tc>
        <w:tc>
          <w:tcPr>
            <w:tcW w:w="3096" w:type="dxa"/>
            <w:vAlign w:val="center"/>
          </w:tcPr>
          <w:p>
            <w:pPr>
              <w:spacing w:line="240" w:lineRule="auto"/>
              <w:ind w:firstLine="0" w:firstLineChars="0"/>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取值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3095"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城市/农村选项</w:t>
            </w:r>
          </w:p>
        </w:tc>
        <w:tc>
          <w:tcPr>
            <w:tcW w:w="30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城市/农村</w:t>
            </w:r>
          </w:p>
        </w:tc>
        <w:tc>
          <w:tcPr>
            <w:tcW w:w="30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城市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3095"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30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人口数（城市选项时）</w:t>
            </w:r>
          </w:p>
        </w:tc>
        <w:tc>
          <w:tcPr>
            <w:tcW w:w="30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6192" w:type="dxa"/>
            <w:gridSpan w:val="2"/>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最高环境温度/℃</w:t>
            </w:r>
          </w:p>
        </w:tc>
        <w:tc>
          <w:tcPr>
            <w:tcW w:w="30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6192" w:type="dxa"/>
            <w:gridSpan w:val="2"/>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最低环境温度/℃</w:t>
            </w:r>
          </w:p>
        </w:tc>
        <w:tc>
          <w:tcPr>
            <w:tcW w:w="30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6192" w:type="dxa"/>
            <w:gridSpan w:val="2"/>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土地利用类型</w:t>
            </w:r>
          </w:p>
        </w:tc>
        <w:tc>
          <w:tcPr>
            <w:tcW w:w="30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建设用地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6192" w:type="dxa"/>
            <w:gridSpan w:val="2"/>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区域湿度条件</w:t>
            </w:r>
          </w:p>
        </w:tc>
        <w:tc>
          <w:tcPr>
            <w:tcW w:w="3096"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潮湿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3095"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是否考虑地形</w:t>
            </w:r>
          </w:p>
        </w:tc>
        <w:tc>
          <w:tcPr>
            <w:tcW w:w="30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考虑地形</w:t>
            </w:r>
          </w:p>
        </w:tc>
        <w:tc>
          <w:tcPr>
            <w:tcW w:w="30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是（√）      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3095"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30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地形数据分辨率/m</w:t>
            </w:r>
          </w:p>
        </w:tc>
        <w:tc>
          <w:tcPr>
            <w:tcW w:w="30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3095"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是否考虑岸线熏烟</w:t>
            </w:r>
          </w:p>
        </w:tc>
        <w:tc>
          <w:tcPr>
            <w:tcW w:w="30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考虑岸线熏烟</w:t>
            </w:r>
          </w:p>
        </w:tc>
        <w:tc>
          <w:tcPr>
            <w:tcW w:w="30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是（）      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3095"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30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岸线距离/km</w:t>
            </w:r>
          </w:p>
        </w:tc>
        <w:tc>
          <w:tcPr>
            <w:tcW w:w="30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3095"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30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岸线方向/°</w:t>
            </w:r>
          </w:p>
        </w:tc>
        <w:tc>
          <w:tcPr>
            <w:tcW w:w="30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bl>
    <w:p>
      <w:pPr>
        <w:spacing w:before="166" w:beforeLines="50" w:line="240" w:lineRule="auto"/>
        <w:ind w:firstLine="422"/>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表2.3-4  估算模式参数取值一览表</w:t>
      </w:r>
    </w:p>
    <w:tbl>
      <w:tblPr>
        <w:tblStyle w:val="62"/>
        <w:tblW w:w="928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68"/>
        <w:gridCol w:w="992"/>
        <w:gridCol w:w="1276"/>
        <w:gridCol w:w="1248"/>
        <w:gridCol w:w="1311"/>
        <w:gridCol w:w="902"/>
        <w:gridCol w:w="933"/>
        <w:gridCol w:w="95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668"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污染源</w:t>
            </w:r>
          </w:p>
        </w:tc>
        <w:tc>
          <w:tcPr>
            <w:tcW w:w="992"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污染因子</w:t>
            </w:r>
          </w:p>
        </w:tc>
        <w:tc>
          <w:tcPr>
            <w:tcW w:w="1276"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最大落地浓度(μg/m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w:t>
            </w:r>
          </w:p>
        </w:tc>
        <w:tc>
          <w:tcPr>
            <w:tcW w:w="1248"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最大落地浓度位置(m)</w:t>
            </w:r>
          </w:p>
        </w:tc>
        <w:tc>
          <w:tcPr>
            <w:tcW w:w="1311"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评价标准(μg/m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w:t>
            </w:r>
          </w:p>
        </w:tc>
        <w:tc>
          <w:tcPr>
            <w:tcW w:w="902"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占标率(%)</w:t>
            </w:r>
          </w:p>
        </w:tc>
        <w:tc>
          <w:tcPr>
            <w:tcW w:w="933"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w:t>
            </w:r>
            <w:r>
              <w:rPr>
                <w:rFonts w:ascii="Times New Roman" w:hAnsi="Times New Roman" w:cs="Times New Roman"/>
                <w:color w:val="auto"/>
                <w:sz w:val="18"/>
                <w:szCs w:val="18"/>
                <w:vertAlign w:val="subscript"/>
              </w:rPr>
              <w:t>10%</w:t>
            </w:r>
            <w:r>
              <w:rPr>
                <w:rFonts w:ascii="Times New Roman" w:hAnsi="Times New Roman" w:cs="Times New Roman"/>
                <w:color w:val="auto"/>
                <w:sz w:val="18"/>
                <w:szCs w:val="18"/>
              </w:rPr>
              <w:t>(m)</w:t>
            </w:r>
          </w:p>
        </w:tc>
        <w:tc>
          <w:tcPr>
            <w:tcW w:w="957"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推荐评价等级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668"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装船</w:t>
            </w:r>
            <w:r>
              <w:rPr>
                <w:rFonts w:ascii="Times New Roman" w:hAnsi="Times New Roman" w:cs="Times New Roman"/>
                <w:color w:val="auto"/>
                <w:sz w:val="18"/>
                <w:szCs w:val="18"/>
              </w:rPr>
              <w:t>油气回收装置排气筒（DA001）</w:t>
            </w:r>
          </w:p>
        </w:tc>
        <w:tc>
          <w:tcPr>
            <w:tcW w:w="992"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kern w:val="0"/>
                <w:sz w:val="18"/>
                <w:szCs w:val="18"/>
                <w:lang w:bidi="ar"/>
              </w:rPr>
              <w:t>非甲烷总烃</w:t>
            </w:r>
          </w:p>
        </w:tc>
        <w:tc>
          <w:tcPr>
            <w:tcW w:w="1276"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192.25</w:t>
            </w:r>
          </w:p>
        </w:tc>
        <w:tc>
          <w:tcPr>
            <w:tcW w:w="1248"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04</w:t>
            </w:r>
          </w:p>
        </w:tc>
        <w:tc>
          <w:tcPr>
            <w:tcW w:w="1311"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2000</w:t>
            </w:r>
          </w:p>
        </w:tc>
        <w:tc>
          <w:tcPr>
            <w:tcW w:w="902"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9.61</w:t>
            </w:r>
          </w:p>
        </w:tc>
        <w:tc>
          <w:tcPr>
            <w:tcW w:w="933"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57"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二级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trPr>
        <w:tc>
          <w:tcPr>
            <w:tcW w:w="1668"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装车</w:t>
            </w:r>
            <w:r>
              <w:rPr>
                <w:rFonts w:ascii="Times New Roman" w:hAnsi="Times New Roman" w:cs="Times New Roman"/>
                <w:color w:val="auto"/>
                <w:sz w:val="18"/>
                <w:szCs w:val="18"/>
              </w:rPr>
              <w:t>油气回收装置排气筒（DA002）</w:t>
            </w:r>
          </w:p>
        </w:tc>
        <w:tc>
          <w:tcPr>
            <w:tcW w:w="99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非甲烷总烃</w:t>
            </w:r>
          </w:p>
        </w:tc>
        <w:tc>
          <w:tcPr>
            <w:tcW w:w="1276"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2</w:t>
            </w:r>
            <w:r>
              <w:rPr>
                <w:rFonts w:ascii="Times New Roman" w:hAnsi="Times New Roman" w:cs="Times New Roman"/>
                <w:color w:val="auto"/>
                <w:sz w:val="18"/>
                <w:szCs w:val="18"/>
              </w:rPr>
              <w:t>17.7</w:t>
            </w:r>
          </w:p>
        </w:tc>
        <w:tc>
          <w:tcPr>
            <w:tcW w:w="1248"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07</w:t>
            </w:r>
          </w:p>
        </w:tc>
        <w:tc>
          <w:tcPr>
            <w:tcW w:w="1311"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2000</w:t>
            </w:r>
          </w:p>
        </w:tc>
        <w:tc>
          <w:tcPr>
            <w:tcW w:w="902"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0.89</w:t>
            </w:r>
          </w:p>
        </w:tc>
        <w:tc>
          <w:tcPr>
            <w:tcW w:w="933"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p>
        </w:tc>
        <w:tc>
          <w:tcPr>
            <w:tcW w:w="957"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一</w:t>
            </w:r>
            <w:r>
              <w:rPr>
                <w:rFonts w:ascii="Times New Roman" w:hAnsi="Times New Roman" w:cs="Times New Roman"/>
                <w:color w:val="auto"/>
                <w:sz w:val="18"/>
                <w:szCs w:val="18"/>
              </w:rPr>
              <w:t>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blHeader/>
        </w:trPr>
        <w:tc>
          <w:tcPr>
            <w:tcW w:w="1668"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硫酸碱液中和罐</w:t>
            </w:r>
            <w:r>
              <w:rPr>
                <w:rFonts w:ascii="Times New Roman" w:hAnsi="Times New Roman" w:cs="Times New Roman"/>
                <w:color w:val="auto"/>
                <w:sz w:val="18"/>
                <w:szCs w:val="18"/>
              </w:rPr>
              <w:t>装置排气筒（DA003）</w:t>
            </w:r>
          </w:p>
        </w:tc>
        <w:tc>
          <w:tcPr>
            <w:tcW w:w="99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硫酸雾</w:t>
            </w:r>
          </w:p>
        </w:tc>
        <w:tc>
          <w:tcPr>
            <w:tcW w:w="1276"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1.875</w:t>
            </w:r>
          </w:p>
        </w:tc>
        <w:tc>
          <w:tcPr>
            <w:tcW w:w="1248"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300</w:t>
            </w:r>
          </w:p>
        </w:tc>
        <w:tc>
          <w:tcPr>
            <w:tcW w:w="1311"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300</w:t>
            </w:r>
          </w:p>
        </w:tc>
        <w:tc>
          <w:tcPr>
            <w:tcW w:w="902"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3.96</w:t>
            </w:r>
          </w:p>
        </w:tc>
        <w:tc>
          <w:tcPr>
            <w:tcW w:w="933"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57"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二级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90" w:hRule="atLeast"/>
          <w:tblHeader/>
        </w:trPr>
        <w:tc>
          <w:tcPr>
            <w:tcW w:w="1668" w:type="dxa"/>
            <w:vAlign w:val="center"/>
          </w:tcPr>
          <w:p>
            <w:pPr>
              <w:overflowPunct w:val="0"/>
              <w:adjustRightInd/>
              <w:spacing w:line="240" w:lineRule="auto"/>
              <w:ind w:firstLine="0" w:firstLineChars="0"/>
              <w:jc w:val="center"/>
              <w:rPr>
                <w:rFonts w:ascii="Times New Roman" w:hAnsi="Times New Roman" w:cs="Times New Roman"/>
                <w:color w:val="auto"/>
                <w:spacing w:val="-2"/>
                <w:kern w:val="0"/>
                <w:sz w:val="18"/>
                <w:szCs w:val="18"/>
                <w:lang w:bidi="ar"/>
              </w:rPr>
            </w:pPr>
            <w:r>
              <w:rPr>
                <w:rFonts w:hint="eastAsia" w:ascii="Times New Roman" w:hAnsi="Times New Roman" w:cs="Times New Roman"/>
                <w:color w:val="auto"/>
                <w:spacing w:val="-2"/>
                <w:kern w:val="0"/>
                <w:sz w:val="18"/>
                <w:szCs w:val="18"/>
                <w:lang w:bidi="ar"/>
              </w:rPr>
              <w:t>汽油、航煤及乙醇内浮顶罐区</w:t>
            </w:r>
          </w:p>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pacing w:val="-2"/>
                <w:kern w:val="0"/>
                <w:sz w:val="18"/>
                <w:szCs w:val="18"/>
                <w:lang w:bidi="ar"/>
              </w:rPr>
              <w:t>（面源）</w:t>
            </w:r>
          </w:p>
        </w:tc>
        <w:tc>
          <w:tcPr>
            <w:tcW w:w="992"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kern w:val="0"/>
                <w:sz w:val="18"/>
                <w:szCs w:val="18"/>
                <w:lang w:bidi="ar"/>
              </w:rPr>
              <w:t>非甲烷总烃</w:t>
            </w:r>
          </w:p>
        </w:tc>
        <w:tc>
          <w:tcPr>
            <w:tcW w:w="1276"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590.8</w:t>
            </w:r>
          </w:p>
        </w:tc>
        <w:tc>
          <w:tcPr>
            <w:tcW w:w="1248"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57</w:t>
            </w:r>
          </w:p>
        </w:tc>
        <w:tc>
          <w:tcPr>
            <w:tcW w:w="1311"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2000</w:t>
            </w:r>
          </w:p>
        </w:tc>
        <w:tc>
          <w:tcPr>
            <w:tcW w:w="902"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29.54</w:t>
            </w:r>
          </w:p>
        </w:tc>
        <w:tc>
          <w:tcPr>
            <w:tcW w:w="933"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57"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一</w:t>
            </w:r>
            <w:r>
              <w:rPr>
                <w:rFonts w:ascii="Times New Roman" w:hAnsi="Times New Roman" w:cs="Times New Roman"/>
                <w:color w:val="auto"/>
                <w:sz w:val="18"/>
                <w:szCs w:val="18"/>
              </w:rPr>
              <w:t>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blHeader/>
        </w:trPr>
        <w:tc>
          <w:tcPr>
            <w:tcW w:w="1668" w:type="dxa"/>
            <w:vAlign w:val="center"/>
          </w:tcPr>
          <w:p>
            <w:pPr>
              <w:overflowPunct w:val="0"/>
              <w:adjustRightInd/>
              <w:spacing w:line="240" w:lineRule="auto"/>
              <w:ind w:firstLine="0" w:firstLineChars="0"/>
              <w:jc w:val="center"/>
              <w:rPr>
                <w:rFonts w:ascii="Times New Roman" w:hAnsi="Times New Roman" w:cs="Times New Roman"/>
                <w:color w:val="auto"/>
                <w:spacing w:val="-2"/>
                <w:kern w:val="0"/>
                <w:sz w:val="18"/>
                <w:szCs w:val="18"/>
                <w:lang w:bidi="ar"/>
              </w:rPr>
            </w:pPr>
            <w:r>
              <w:rPr>
                <w:rFonts w:hint="eastAsia" w:ascii="Times New Roman" w:hAnsi="Times New Roman" w:cs="Times New Roman"/>
                <w:color w:val="auto"/>
                <w:spacing w:val="-2"/>
                <w:kern w:val="0"/>
                <w:sz w:val="18"/>
                <w:szCs w:val="18"/>
                <w:lang w:bidi="ar"/>
              </w:rPr>
              <w:t>柴油固定顶</w:t>
            </w:r>
            <w:r>
              <w:rPr>
                <w:rFonts w:ascii="Times New Roman" w:hAnsi="Times New Roman" w:cs="Times New Roman"/>
                <w:color w:val="auto"/>
                <w:spacing w:val="-2"/>
                <w:kern w:val="0"/>
                <w:sz w:val="18"/>
                <w:szCs w:val="18"/>
                <w:lang w:bidi="ar"/>
              </w:rPr>
              <w:t>罐区</w:t>
            </w:r>
          </w:p>
          <w:p>
            <w:pPr>
              <w:overflowPunct w:val="0"/>
              <w:adjustRightInd/>
              <w:spacing w:line="240" w:lineRule="auto"/>
              <w:ind w:firstLine="0" w:firstLineChars="0"/>
              <w:jc w:val="center"/>
              <w:rPr>
                <w:rFonts w:ascii="Times New Roman" w:hAnsi="Times New Roman" w:cs="Times New Roman"/>
                <w:color w:val="auto"/>
                <w:spacing w:val="-2"/>
                <w:kern w:val="0"/>
                <w:sz w:val="18"/>
                <w:szCs w:val="18"/>
                <w:lang w:bidi="ar"/>
              </w:rPr>
            </w:pPr>
            <w:r>
              <w:rPr>
                <w:rFonts w:ascii="Times New Roman" w:hAnsi="Times New Roman" w:cs="Times New Roman"/>
                <w:color w:val="auto"/>
                <w:spacing w:val="-2"/>
                <w:kern w:val="0"/>
                <w:sz w:val="18"/>
                <w:szCs w:val="18"/>
                <w:lang w:bidi="ar"/>
              </w:rPr>
              <w:t>（面源）</w:t>
            </w:r>
          </w:p>
        </w:tc>
        <w:tc>
          <w:tcPr>
            <w:tcW w:w="99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非甲烷总烃</w:t>
            </w:r>
          </w:p>
        </w:tc>
        <w:tc>
          <w:tcPr>
            <w:tcW w:w="1276"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704.1</w:t>
            </w:r>
          </w:p>
        </w:tc>
        <w:tc>
          <w:tcPr>
            <w:tcW w:w="1248"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176</w:t>
            </w:r>
          </w:p>
        </w:tc>
        <w:tc>
          <w:tcPr>
            <w:tcW w:w="1311"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2000</w:t>
            </w:r>
          </w:p>
        </w:tc>
        <w:tc>
          <w:tcPr>
            <w:tcW w:w="902"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35.2</w:t>
            </w:r>
          </w:p>
        </w:tc>
        <w:tc>
          <w:tcPr>
            <w:tcW w:w="933"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57" w:type="dxa"/>
            <w:vAlign w:val="center"/>
          </w:tcPr>
          <w:p>
            <w:pPr>
              <w:overflowPunct w:val="0"/>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一</w:t>
            </w:r>
            <w:r>
              <w:rPr>
                <w:rFonts w:ascii="Times New Roman" w:hAnsi="Times New Roman" w:cs="Times New Roman"/>
                <w:color w:val="auto"/>
                <w:sz w:val="18"/>
                <w:szCs w:val="18"/>
              </w:rPr>
              <w:t>级</w:t>
            </w:r>
          </w:p>
        </w:tc>
      </w:tr>
    </w:tbl>
    <w:p>
      <w:pPr>
        <w:spacing w:before="166" w:beforeLines="50" w:line="240" w:lineRule="auto"/>
        <w:ind w:firstLine="0" w:firstLineChars="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表2.3-5  评价工作等级划分依据一览表</w:t>
      </w:r>
    </w:p>
    <w:tbl>
      <w:tblPr>
        <w:tblStyle w:val="62"/>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80"/>
        <w:gridCol w:w="52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80" w:type="dxa"/>
            <w:vAlign w:val="center"/>
          </w:tcPr>
          <w:p>
            <w:pPr>
              <w:spacing w:line="240" w:lineRule="auto"/>
              <w:ind w:firstLine="0" w:firstLineChars="0"/>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评价工作等级</w:t>
            </w:r>
          </w:p>
        </w:tc>
        <w:tc>
          <w:tcPr>
            <w:tcW w:w="5207" w:type="dxa"/>
            <w:vAlign w:val="center"/>
          </w:tcPr>
          <w:p>
            <w:pPr>
              <w:spacing w:line="240" w:lineRule="auto"/>
              <w:ind w:firstLine="0" w:firstLineChars="0"/>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评价工作等级判据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8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一级</w:t>
            </w:r>
          </w:p>
        </w:tc>
        <w:tc>
          <w:tcPr>
            <w:tcW w:w="52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8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二级</w:t>
            </w:r>
          </w:p>
        </w:tc>
        <w:tc>
          <w:tcPr>
            <w:tcW w:w="52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8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三级</w:t>
            </w:r>
          </w:p>
        </w:tc>
        <w:tc>
          <w:tcPr>
            <w:tcW w:w="52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Pmax&lt;1%</w:t>
            </w:r>
          </w:p>
        </w:tc>
      </w:tr>
    </w:tbl>
    <w:p>
      <w:pPr>
        <w:spacing w:before="166" w:beforeLines="50"/>
        <w:ind w:firstLine="480"/>
        <w:jc w:val="left"/>
        <w:rPr>
          <w:rFonts w:ascii="Times New Roman" w:hAnsi="Times New Roman" w:cs="Times New Roman"/>
          <w:color w:val="auto"/>
        </w:rPr>
      </w:pPr>
      <w:r>
        <w:rPr>
          <w:rFonts w:ascii="Times New Roman" w:hAnsi="Times New Roman" w:cs="Times New Roman"/>
          <w:color w:val="auto"/>
        </w:rPr>
        <w:t>依据《环境影响评价技术导则 大气环境》（HJ 2.2-2018）中的相关规定，结合工程分析结果，计算本评价的大气环境评价工作等级计算结果见表2.3-3。</w:t>
      </w:r>
    </w:p>
    <w:p>
      <w:pPr>
        <w:overflowPunct w:val="0"/>
        <w:adjustRightInd/>
        <w:ind w:firstLine="0" w:firstLineChars="0"/>
        <w:jc w:val="left"/>
        <w:rPr>
          <w:rFonts w:ascii="Times New Roman" w:hAnsi="Times New Roman" w:cs="Times New Roman"/>
          <w:color w:val="auto"/>
        </w:rPr>
      </w:pPr>
      <w:r>
        <w:rPr>
          <w:rFonts w:hint="eastAsia" w:ascii="Times New Roman" w:hAnsi="Times New Roman" w:cs="Times New Roman"/>
          <w:color w:val="auto"/>
        </w:rPr>
        <w:t xml:space="preserve"> </w:t>
      </w:r>
      <w:r>
        <w:rPr>
          <w:rFonts w:ascii="Times New Roman" w:hAnsi="Times New Roman" w:cs="Times New Roman"/>
          <w:color w:val="auto"/>
        </w:rPr>
        <w:t xml:space="preserve">  本项目</w:t>
      </w:r>
      <w:r>
        <w:rPr>
          <w:rFonts w:hint="eastAsia" w:ascii="Times New Roman" w:hAnsi="Times New Roman" w:cs="Times New Roman"/>
          <w:color w:val="auto"/>
        </w:rPr>
        <w:t>装车</w:t>
      </w:r>
      <w:r>
        <w:rPr>
          <w:rFonts w:ascii="Times New Roman" w:hAnsi="Times New Roman" w:cs="Times New Roman"/>
          <w:color w:val="auto"/>
        </w:rPr>
        <w:t>油气回收装置排气筒（DA002）</w:t>
      </w:r>
      <w:r>
        <w:rPr>
          <w:rFonts w:hint="eastAsia" w:ascii="Times New Roman" w:hAnsi="Times New Roman" w:cs="Times New Roman"/>
          <w:color w:val="auto"/>
        </w:rPr>
        <w:t>、内浮顶罐区</w:t>
      </w:r>
      <w:r>
        <w:rPr>
          <w:rFonts w:ascii="Times New Roman" w:hAnsi="Times New Roman" w:cs="Times New Roman"/>
          <w:color w:val="auto"/>
        </w:rPr>
        <w:t>面源</w:t>
      </w:r>
      <w:r>
        <w:rPr>
          <w:rFonts w:hint="eastAsia" w:ascii="Times New Roman" w:hAnsi="Times New Roman" w:cs="Times New Roman"/>
          <w:color w:val="auto"/>
        </w:rPr>
        <w:t>及固定顶</w:t>
      </w:r>
      <w:r>
        <w:rPr>
          <w:rFonts w:ascii="Times New Roman" w:hAnsi="Times New Roman" w:cs="Times New Roman"/>
          <w:color w:val="auto"/>
        </w:rPr>
        <w:t>罐区面源无组织废气中非甲烷总烃最大占标率Pmax计算结果</w:t>
      </w:r>
      <w:r>
        <w:rPr>
          <w:rFonts w:hint="eastAsia" w:ascii="Times New Roman" w:hAnsi="Times New Roman" w:cs="Times New Roman"/>
          <w:color w:val="auto"/>
        </w:rPr>
        <w:t>均大于</w:t>
      </w:r>
      <w:r>
        <w:rPr>
          <w:rFonts w:ascii="Times New Roman" w:hAnsi="Times New Roman" w:cs="Times New Roman"/>
          <w:color w:val="auto"/>
        </w:rPr>
        <w:t>10%。</w:t>
      </w:r>
      <w:r>
        <w:rPr>
          <w:rFonts w:hint="eastAsia" w:ascii="Times New Roman" w:hAnsi="Times New Roman" w:cs="Times New Roman"/>
          <w:color w:val="auto"/>
        </w:rPr>
        <w:t>本</w:t>
      </w:r>
      <w:r>
        <w:rPr>
          <w:rFonts w:ascii="Times New Roman" w:hAnsi="Times New Roman" w:cs="Times New Roman"/>
          <w:color w:val="auto"/>
          <w:shd w:val="clear" w:color="auto" w:fill="FFFFFF"/>
        </w:rPr>
        <w:t>项目环境空气影响评价等级为</w:t>
      </w:r>
      <w:r>
        <w:rPr>
          <w:rFonts w:hint="eastAsia" w:ascii="Times New Roman" w:hAnsi="Times New Roman" w:cs="Times New Roman"/>
          <w:color w:val="auto"/>
          <w:shd w:val="clear" w:color="auto" w:fill="FFFFFF"/>
        </w:rPr>
        <w:t>一</w:t>
      </w:r>
      <w:r>
        <w:rPr>
          <w:rFonts w:ascii="Times New Roman" w:hAnsi="Times New Roman" w:cs="Times New Roman"/>
          <w:color w:val="auto"/>
          <w:shd w:val="clear" w:color="auto" w:fill="FFFFFF"/>
        </w:rPr>
        <w:t>级。</w:t>
      </w:r>
    </w:p>
    <w:p>
      <w:pPr>
        <w:ind w:firstLine="480"/>
        <w:rPr>
          <w:rFonts w:ascii="Times New Roman" w:hAnsi="Times New Roman" w:cs="Times New Roman"/>
          <w:color w:val="auto"/>
          <w:szCs w:val="24"/>
        </w:rPr>
      </w:pPr>
      <w:r>
        <w:rPr>
          <w:rFonts w:ascii="Times New Roman" w:hAnsi="Times New Roman" w:cs="Times New Roman"/>
          <w:color w:val="auto"/>
          <w:szCs w:val="24"/>
        </w:rPr>
        <w:t>（3）声环境影响评价等级</w:t>
      </w:r>
    </w:p>
    <w:p>
      <w:pPr>
        <w:ind w:firstLine="480"/>
        <w:rPr>
          <w:rFonts w:ascii="Times New Roman" w:hAnsi="Times New Roman" w:cs="Times New Roman"/>
          <w:color w:val="auto"/>
          <w:szCs w:val="24"/>
        </w:rPr>
      </w:pPr>
      <w:r>
        <w:rPr>
          <w:rFonts w:ascii="Times New Roman" w:hAnsi="Times New Roman" w:cs="Times New Roman"/>
          <w:color w:val="auto"/>
        </w:rPr>
        <w:t>根据《环境影响评价技术导则声环境》（HJ 2.4-2021）中相关规定</w:t>
      </w:r>
      <w:r>
        <w:rPr>
          <w:rFonts w:ascii="Times New Roman" w:hAnsi="Times New Roman" w:cs="Times New Roman"/>
          <w:color w:val="auto"/>
          <w:szCs w:val="24"/>
        </w:rPr>
        <w:t>，项目所处的声环境功能区为GB3096-2008规定的3类及4a类地区，项目建设前后评价范围内敏感目标噪声级增高量达3dB(A)以下（不含3dB(A)），且受影响人口数量变化不大时，按三级评价。具体见表2.3-6。</w:t>
      </w:r>
    </w:p>
    <w:p>
      <w:pPr>
        <w:pStyle w:val="1429"/>
        <w:spacing w:line="240" w:lineRule="auto"/>
        <w:ind w:firstLine="422"/>
        <w:rPr>
          <w:rFonts w:ascii="Times New Roman" w:hAnsi="Times New Roman"/>
          <w:color w:val="auto"/>
        </w:rPr>
      </w:pPr>
      <w:r>
        <w:rPr>
          <w:rFonts w:ascii="Times New Roman" w:hAnsi="Times New Roman"/>
          <w:color w:val="auto"/>
        </w:rPr>
        <w:t>表2.3-6   声环境评价工作等级判定表</w:t>
      </w:r>
    </w:p>
    <w:tbl>
      <w:tblPr>
        <w:tblStyle w:val="62"/>
        <w:tblW w:w="899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33"/>
        <w:gridCol w:w="2662"/>
        <w:gridCol w:w="2249"/>
        <w:gridCol w:w="22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833" w:type="dxa"/>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功能区</w:t>
            </w:r>
          </w:p>
        </w:tc>
        <w:tc>
          <w:tcPr>
            <w:tcW w:w="2662" w:type="dxa"/>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建设前后噪声级的增加量</w:t>
            </w:r>
          </w:p>
        </w:tc>
        <w:tc>
          <w:tcPr>
            <w:tcW w:w="2249" w:type="dxa"/>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受影响人口变化情况</w:t>
            </w:r>
          </w:p>
        </w:tc>
        <w:tc>
          <w:tcPr>
            <w:tcW w:w="2248" w:type="dxa"/>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判定等级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5" w:hRule="atLeast"/>
          <w:jc w:val="center"/>
        </w:trPr>
        <w:tc>
          <w:tcPr>
            <w:tcW w:w="1833" w:type="dxa"/>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3类及4a类</w:t>
            </w:r>
          </w:p>
        </w:tc>
        <w:tc>
          <w:tcPr>
            <w:tcW w:w="2662" w:type="dxa"/>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≤3dB(A)</w:t>
            </w:r>
          </w:p>
        </w:tc>
        <w:tc>
          <w:tcPr>
            <w:tcW w:w="2249" w:type="dxa"/>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不大</w:t>
            </w:r>
          </w:p>
        </w:tc>
        <w:tc>
          <w:tcPr>
            <w:tcW w:w="2248" w:type="dxa"/>
            <w:vAlign w:val="center"/>
          </w:tcPr>
          <w:p>
            <w:pPr>
              <w:pStyle w:val="2556"/>
              <w:rPr>
                <w:rFonts w:ascii="Times New Roman" w:hAnsi="Times New Roman" w:cs="Times New Roman"/>
                <w:color w:val="auto"/>
                <w:sz w:val="18"/>
                <w:szCs w:val="18"/>
              </w:rPr>
            </w:pPr>
            <w:r>
              <w:rPr>
                <w:rFonts w:ascii="Times New Roman" w:hAnsi="Times New Roman" w:cs="Times New Roman"/>
                <w:color w:val="auto"/>
                <w:sz w:val="18"/>
                <w:szCs w:val="18"/>
              </w:rPr>
              <w:t>三级</w:t>
            </w:r>
          </w:p>
        </w:tc>
      </w:tr>
    </w:tbl>
    <w:p>
      <w:pPr>
        <w:spacing w:before="166" w:beforeLines="50"/>
        <w:ind w:firstLine="480"/>
        <w:rPr>
          <w:rFonts w:ascii="Times New Roman" w:hAnsi="Times New Roman" w:cs="Times New Roman"/>
          <w:color w:val="auto"/>
          <w:szCs w:val="24"/>
        </w:rPr>
      </w:pPr>
      <w:r>
        <w:rPr>
          <w:rFonts w:ascii="Times New Roman" w:hAnsi="Times New Roman" w:cs="Times New Roman"/>
          <w:color w:val="auto"/>
          <w:szCs w:val="24"/>
        </w:rPr>
        <w:t>（4）地下水环境</w:t>
      </w:r>
    </w:p>
    <w:p>
      <w:pPr>
        <w:ind w:firstLine="480"/>
        <w:rPr>
          <w:rFonts w:ascii="Times New Roman" w:hAnsi="Times New Roman" w:cs="Times New Roman"/>
          <w:color w:val="auto"/>
        </w:rPr>
      </w:pPr>
      <w:r>
        <w:rPr>
          <w:rFonts w:ascii="Times New Roman" w:hAnsi="Times New Roman" w:cs="Times New Roman"/>
          <w:color w:val="auto"/>
        </w:rPr>
        <w:t>对照《环境影响评价技术导则 地下水环境》（HJ 610-2016）中“附录A 地下水环境影响评价行业分类表”， 本项目为“S 水运：129、油气、液体化工码头”，属于II类项目。</w:t>
      </w:r>
    </w:p>
    <w:p>
      <w:pPr>
        <w:ind w:firstLine="480"/>
        <w:rPr>
          <w:rFonts w:ascii="Times New Roman" w:hAnsi="Times New Roman" w:cs="Times New Roman"/>
          <w:color w:val="auto"/>
        </w:rPr>
      </w:pPr>
      <w:r>
        <w:rPr>
          <w:rFonts w:ascii="Times New Roman" w:hAnsi="Times New Roman" w:cs="Times New Roman"/>
          <w:color w:val="auto"/>
        </w:rPr>
        <w:t>地下水环境敏感程度分级一览表及评价工作等级判定依据见表2.3-7、表2.3-8所示。</w:t>
      </w:r>
    </w:p>
    <w:p>
      <w:pPr>
        <w:pStyle w:val="1429"/>
        <w:spacing w:line="240" w:lineRule="auto"/>
        <w:ind w:firstLine="422"/>
        <w:rPr>
          <w:rFonts w:ascii="Times New Roman" w:hAnsi="Times New Roman"/>
          <w:color w:val="auto"/>
        </w:rPr>
      </w:pPr>
      <w:r>
        <w:rPr>
          <w:rFonts w:ascii="Times New Roman" w:hAnsi="Times New Roman"/>
          <w:color w:val="auto"/>
        </w:rPr>
        <w:t>表2.3-7  地下水环境敏感程度分级一览表</w:t>
      </w:r>
    </w:p>
    <w:tbl>
      <w:tblPr>
        <w:tblStyle w:val="62"/>
        <w:tblW w:w="91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3"/>
        <w:gridCol w:w="81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3" w:type="dxa"/>
            <w:vAlign w:val="center"/>
          </w:tcPr>
          <w:p>
            <w:pPr>
              <w:spacing w:line="240" w:lineRule="auto"/>
              <w:ind w:firstLine="0" w:firstLineChars="0"/>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敏感程度</w:t>
            </w:r>
          </w:p>
        </w:tc>
        <w:tc>
          <w:tcPr>
            <w:tcW w:w="8106" w:type="dxa"/>
            <w:vAlign w:val="center"/>
          </w:tcPr>
          <w:p>
            <w:pPr>
              <w:spacing w:line="240" w:lineRule="auto"/>
              <w:ind w:firstLine="0" w:firstLineChars="0"/>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地下水环境敏感特征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07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敏感</w:t>
            </w:r>
          </w:p>
        </w:tc>
        <w:tc>
          <w:tcPr>
            <w:tcW w:w="8106"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较敏感</w:t>
            </w:r>
          </w:p>
        </w:tc>
        <w:tc>
          <w:tcPr>
            <w:tcW w:w="8106"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107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不敏感</w:t>
            </w:r>
          </w:p>
        </w:tc>
        <w:tc>
          <w:tcPr>
            <w:tcW w:w="8106"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上述地区之外的其它地区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9" w:type="dxa"/>
            <w:gridSpan w:val="2"/>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注：a“环境敏感区”是指《建设项目环境影响评价分类管理名录》中所界定的涉及地下水的环境敏感区</w:t>
            </w:r>
          </w:p>
        </w:tc>
      </w:tr>
    </w:tbl>
    <w:p>
      <w:pPr>
        <w:pStyle w:val="1429"/>
        <w:spacing w:before="166" w:beforeLines="50" w:line="240" w:lineRule="auto"/>
        <w:ind w:firstLine="422"/>
        <w:rPr>
          <w:rFonts w:ascii="Times New Roman" w:hAnsi="Times New Roman"/>
          <w:color w:val="auto"/>
        </w:rPr>
      </w:pPr>
      <w:r>
        <w:rPr>
          <w:rFonts w:ascii="Times New Roman" w:hAnsi="Times New Roman"/>
          <w:color w:val="auto"/>
        </w:rPr>
        <w:t>表2.3-8  地下水评价工作等级分级表</w:t>
      </w:r>
    </w:p>
    <w:tbl>
      <w:tblPr>
        <w:tblStyle w:val="62"/>
        <w:tblW w:w="917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58"/>
        <w:gridCol w:w="2580"/>
        <w:gridCol w:w="2296"/>
        <w:gridCol w:w="214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0" w:hRule="atLeast"/>
          <w:jc w:val="center"/>
        </w:trPr>
        <w:tc>
          <w:tcPr>
            <w:tcW w:w="2158" w:type="dxa"/>
            <w:vAlign w:val="center"/>
          </w:tcPr>
          <w:p>
            <w:pPr>
              <w:spacing w:line="240" w:lineRule="auto"/>
              <w:ind w:firstLine="0" w:firstLineChars="0"/>
              <w:jc w:val="right"/>
              <w:rPr>
                <w:rFonts w:ascii="Times New Roman" w:hAnsi="Times New Roman" w:cs="Times New Roman"/>
                <w:b/>
                <w:bCs/>
                <w:color w:val="auto"/>
                <w:sz w:val="18"/>
                <w:szCs w:val="18"/>
              </w:rPr>
            </w:pPr>
            <w:r>
              <w:rPr>
                <w:rFonts w:ascii="Times New Roman" w:hAnsi="Times New Roman" w:cs="Times New Roman"/>
                <w:b/>
                <w:bCs/>
                <w:color w:val="auto"/>
                <w:sz w:val="18"/>
                <w:szCs w:val="18"/>
              </w:rPr>
              <w:t xml:space="preserve">        项目类别</w:t>
            </w:r>
          </w:p>
          <w:p>
            <w:pPr>
              <w:spacing w:line="240" w:lineRule="auto"/>
              <w:ind w:firstLine="0" w:firstLineChars="0"/>
              <w:rPr>
                <w:rFonts w:ascii="Times New Roman" w:hAnsi="Times New Roman" w:cs="Times New Roman"/>
                <w:b/>
                <w:bCs/>
                <w:color w:val="auto"/>
                <w:sz w:val="18"/>
                <w:szCs w:val="18"/>
              </w:rPr>
            </w:pPr>
            <w:r>
              <w:rPr>
                <w:rFonts w:ascii="Times New Roman" w:hAnsi="Times New Roman" w:cs="Times New Roman"/>
                <w:b/>
                <w:bCs/>
                <w:color w:val="auto"/>
                <w:sz w:val="18"/>
                <w:szCs w:val="18"/>
              </w:rPr>
              <w:t>环境敏感程度</w:t>
            </w:r>
          </w:p>
        </w:tc>
        <w:tc>
          <w:tcPr>
            <w:tcW w:w="2580" w:type="dxa"/>
            <w:vAlign w:val="center"/>
          </w:tcPr>
          <w:p>
            <w:pPr>
              <w:spacing w:line="240" w:lineRule="auto"/>
              <w:ind w:firstLine="0" w:firstLineChars="0"/>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I类项目</w:t>
            </w:r>
          </w:p>
        </w:tc>
        <w:tc>
          <w:tcPr>
            <w:tcW w:w="2296" w:type="dxa"/>
            <w:vAlign w:val="center"/>
          </w:tcPr>
          <w:p>
            <w:pPr>
              <w:spacing w:line="240" w:lineRule="auto"/>
              <w:ind w:firstLine="0" w:firstLineChars="0"/>
              <w:jc w:val="center"/>
              <w:rPr>
                <w:rFonts w:ascii="Times New Roman" w:hAnsi="Times New Roman" w:cs="Times New Roman"/>
                <w:b/>
                <w:bCs/>
                <w:color w:val="auto"/>
                <w:sz w:val="18"/>
                <w:szCs w:val="18"/>
              </w:rPr>
            </w:pPr>
            <w:bookmarkStart w:id="96" w:name="_Hlk104789786"/>
            <w:r>
              <w:rPr>
                <w:rFonts w:ascii="Times New Roman" w:hAnsi="Times New Roman" w:cs="Times New Roman"/>
                <w:b/>
                <w:bCs/>
                <w:color w:val="auto"/>
                <w:sz w:val="18"/>
                <w:szCs w:val="18"/>
              </w:rPr>
              <w:t>II类项目</w:t>
            </w:r>
            <w:bookmarkEnd w:id="96"/>
          </w:p>
        </w:tc>
        <w:tc>
          <w:tcPr>
            <w:tcW w:w="2145" w:type="dxa"/>
            <w:vAlign w:val="center"/>
          </w:tcPr>
          <w:p>
            <w:pPr>
              <w:spacing w:line="240" w:lineRule="auto"/>
              <w:ind w:firstLine="0" w:firstLineChars="0"/>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III类项目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90" w:hRule="atLeast"/>
          <w:jc w:val="center"/>
        </w:trPr>
        <w:tc>
          <w:tcPr>
            <w:tcW w:w="215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敏感</w:t>
            </w:r>
          </w:p>
        </w:tc>
        <w:tc>
          <w:tcPr>
            <w:tcW w:w="258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一</w:t>
            </w:r>
          </w:p>
        </w:tc>
        <w:tc>
          <w:tcPr>
            <w:tcW w:w="22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一</w:t>
            </w:r>
          </w:p>
        </w:tc>
        <w:tc>
          <w:tcPr>
            <w:tcW w:w="214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5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较敏感</w:t>
            </w:r>
          </w:p>
        </w:tc>
        <w:tc>
          <w:tcPr>
            <w:tcW w:w="258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一</w:t>
            </w:r>
          </w:p>
        </w:tc>
        <w:tc>
          <w:tcPr>
            <w:tcW w:w="2296" w:type="dxa"/>
            <w:vAlign w:val="center"/>
          </w:tcPr>
          <w:p>
            <w:pPr>
              <w:spacing w:line="240" w:lineRule="auto"/>
              <w:ind w:firstLine="0" w:firstLineChars="0"/>
              <w:jc w:val="center"/>
              <w:rPr>
                <w:rFonts w:ascii="Times New Roman" w:hAnsi="Times New Roman" w:cs="Times New Roman"/>
                <w:color w:val="auto"/>
                <w:kern w:val="28"/>
                <w:sz w:val="18"/>
                <w:szCs w:val="18"/>
              </w:rPr>
            </w:pPr>
            <w:r>
              <w:rPr>
                <w:rFonts w:ascii="Times New Roman" w:hAnsi="Times New Roman" w:cs="Times New Roman"/>
                <w:color w:val="auto"/>
                <w:kern w:val="28"/>
                <w:sz w:val="18"/>
                <w:szCs w:val="18"/>
              </w:rPr>
              <w:t>二</w:t>
            </w:r>
          </w:p>
        </w:tc>
        <w:tc>
          <w:tcPr>
            <w:tcW w:w="2145" w:type="dxa"/>
            <w:vAlign w:val="center"/>
          </w:tcPr>
          <w:p>
            <w:pPr>
              <w:spacing w:line="240" w:lineRule="auto"/>
              <w:ind w:firstLine="0" w:firstLineChars="0"/>
              <w:jc w:val="center"/>
              <w:rPr>
                <w:rFonts w:ascii="Times New Roman" w:hAnsi="Times New Roman" w:cs="Times New Roman"/>
                <w:color w:val="auto"/>
                <w:kern w:val="28"/>
                <w:sz w:val="18"/>
                <w:szCs w:val="18"/>
              </w:rPr>
            </w:pPr>
            <w:r>
              <w:rPr>
                <w:rFonts w:ascii="Times New Roman" w:hAnsi="Times New Roman" w:cs="Times New Roman"/>
                <w:color w:val="auto"/>
                <w:kern w:val="28"/>
                <w:sz w:val="18"/>
                <w:szCs w:val="18"/>
              </w:rPr>
              <w:t>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90" w:hRule="atLeast"/>
          <w:jc w:val="center"/>
        </w:trPr>
        <w:tc>
          <w:tcPr>
            <w:tcW w:w="2158"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不敏感</w:t>
            </w:r>
          </w:p>
        </w:tc>
        <w:tc>
          <w:tcPr>
            <w:tcW w:w="2580"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二</w:t>
            </w:r>
          </w:p>
        </w:tc>
        <w:tc>
          <w:tcPr>
            <w:tcW w:w="2296" w:type="dxa"/>
            <w:shd w:val="clear" w:color="auto" w:fill="A6A6A6"/>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三</w:t>
            </w:r>
          </w:p>
        </w:tc>
        <w:tc>
          <w:tcPr>
            <w:tcW w:w="214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三</w:t>
            </w:r>
          </w:p>
        </w:tc>
      </w:tr>
    </w:tbl>
    <w:p>
      <w:pPr>
        <w:spacing w:before="166" w:beforeLines="50"/>
        <w:ind w:firstLine="480"/>
        <w:rPr>
          <w:rFonts w:ascii="Times New Roman" w:hAnsi="Times New Roman" w:cs="Times New Roman"/>
          <w:color w:val="auto"/>
        </w:rPr>
      </w:pPr>
      <w:r>
        <w:rPr>
          <w:rFonts w:ascii="Times New Roman" w:hAnsi="Times New Roman" w:cs="Times New Roman"/>
          <w:color w:val="auto"/>
        </w:rPr>
        <w:t>经过现场调查，项目周边</w:t>
      </w:r>
      <w:r>
        <w:rPr>
          <w:rFonts w:hint="eastAsia" w:ascii="Times New Roman" w:hAnsi="Times New Roman" w:cs="Times New Roman"/>
          <w:color w:val="auto"/>
        </w:rPr>
        <w:t>地下水评价范围内</w:t>
      </w:r>
      <w:r>
        <w:rPr>
          <w:rFonts w:ascii="Times New Roman" w:hAnsi="Times New Roman" w:cs="Times New Roman"/>
          <w:color w:val="auto"/>
        </w:rPr>
        <w:t>区域居民饮用水均由城市自来水厂供水</w:t>
      </w:r>
      <w:r>
        <w:rPr>
          <w:rFonts w:hint="eastAsia" w:ascii="Times New Roman" w:hAnsi="Times New Roman" w:cs="Times New Roman"/>
          <w:color w:val="auto"/>
        </w:rPr>
        <w:t>；区域村庄民井（分散式饮用水源）均已不具备饮用功能</w:t>
      </w:r>
      <w:r>
        <w:rPr>
          <w:rFonts w:ascii="Times New Roman" w:hAnsi="Times New Roman" w:cs="Times New Roman"/>
          <w:color w:val="auto"/>
        </w:rPr>
        <w:t>；此外，项目所在区域无集中式饮用水水源(包括已建成的在用、备用、应急水源，在建和规划的饮用水水源)准保护区；无除集中式饮用水水源以外的国家或地方政府设定的与地下水环境相关的其它保护区，如热水、矿泉水、温泉等特殊地下水资源保护区等敏感区；因此，根据《环境影响评价技术导则 地下水环境》（HJ 610-2016）</w:t>
      </w:r>
      <w:r>
        <w:rPr>
          <w:rFonts w:hint="eastAsia" w:ascii="Times New Roman" w:hAnsi="Times New Roman" w:cs="Times New Roman"/>
          <w:color w:val="auto"/>
        </w:rPr>
        <w:t>判定，</w:t>
      </w:r>
      <w:r>
        <w:rPr>
          <w:rFonts w:ascii="Times New Roman" w:hAnsi="Times New Roman" w:cs="Times New Roman"/>
          <w:color w:val="auto"/>
        </w:rPr>
        <w:t>本项目所在区域地下水环境敏感程度为不敏感。</w:t>
      </w:r>
    </w:p>
    <w:p>
      <w:pPr>
        <w:ind w:firstLine="480"/>
        <w:rPr>
          <w:rFonts w:ascii="Times New Roman" w:hAnsi="Times New Roman" w:cs="Times New Roman"/>
          <w:color w:val="auto"/>
          <w:szCs w:val="24"/>
        </w:rPr>
      </w:pPr>
      <w:r>
        <w:rPr>
          <w:rFonts w:ascii="Times New Roman" w:hAnsi="Times New Roman" w:cs="Times New Roman"/>
          <w:color w:val="auto"/>
        </w:rPr>
        <w:t>综上所述，本次地下水评价等级为三级。</w:t>
      </w:r>
    </w:p>
    <w:p>
      <w:pPr>
        <w:ind w:firstLine="480"/>
        <w:rPr>
          <w:rFonts w:ascii="Times New Roman" w:hAnsi="Times New Roman" w:cs="Times New Roman"/>
          <w:bCs/>
          <w:color w:val="auto"/>
          <w:szCs w:val="24"/>
        </w:rPr>
      </w:pPr>
      <w:r>
        <w:rPr>
          <w:rFonts w:ascii="Times New Roman" w:hAnsi="Times New Roman" w:cs="Times New Roman"/>
          <w:bCs/>
          <w:color w:val="auto"/>
          <w:szCs w:val="24"/>
        </w:rPr>
        <w:t>（5）环境风险评价等级</w:t>
      </w:r>
    </w:p>
    <w:p>
      <w:pPr>
        <w:ind w:firstLine="480"/>
        <w:rPr>
          <w:rFonts w:ascii="Times New Roman" w:hAnsi="Times New Roman" w:cs="Times New Roman"/>
          <w:color w:val="auto"/>
          <w:szCs w:val="24"/>
        </w:rPr>
      </w:pPr>
      <w:bookmarkStart w:id="97" w:name="_Hlk46329953"/>
      <w:bookmarkStart w:id="98" w:name="_Toc112857245"/>
      <w:r>
        <w:rPr>
          <w:rFonts w:ascii="Times New Roman" w:hAnsi="Times New Roman" w:cs="Times New Roman"/>
          <w:color w:val="auto"/>
          <w:szCs w:val="24"/>
        </w:rPr>
        <w:t>根据《建设项目环境风险评价技术导则（HJ 169-2018）》，对环境风险评价工作等级进行判定。</w:t>
      </w:r>
      <w:r>
        <w:rPr>
          <w:rFonts w:hint="eastAsia" w:ascii="Times New Roman" w:hAnsi="Times New Roman" w:cs="Times New Roman"/>
          <w:color w:val="auto"/>
          <w:szCs w:val="24"/>
        </w:rPr>
        <w:t>根据本项目工艺范围及评价范围，本项目危险物质Q值计算情况考虑：陆域储罐的最大储存量；靠泊船舶的货种最大装载量（本项目设计船型为1000t级）。</w:t>
      </w:r>
    </w:p>
    <w:p>
      <w:pPr>
        <w:pStyle w:val="25"/>
        <w:ind w:firstLine="480"/>
        <w:rPr>
          <w:color w:val="FF0000"/>
        </w:rPr>
      </w:pPr>
      <w:r>
        <w:rPr>
          <w:rFonts w:hint="eastAsia"/>
          <w:color w:val="FF0000"/>
        </w:rPr>
        <w:t>①危险物质数量与临界量比值Q值判定</w:t>
      </w:r>
    </w:p>
    <w:p>
      <w:pPr>
        <w:pStyle w:val="25"/>
        <w:spacing w:line="360" w:lineRule="auto"/>
        <w:ind w:right="-141" w:rightChars="-59" w:firstLine="480"/>
        <w:rPr>
          <w:rFonts w:ascii="Times New Roman" w:hAnsi="Times New Roman" w:cs="Times New Roman"/>
          <w:color w:val="FF0000"/>
          <w:szCs w:val="24"/>
        </w:rPr>
      </w:pPr>
      <w:r>
        <w:rPr>
          <w:rFonts w:ascii="宋体" w:hAnsi="宋体" w:cs="Times New Roman"/>
          <w:color w:val="FF0000"/>
          <w:szCs w:val="24"/>
        </w:rPr>
        <w:t>码头泊位</w:t>
      </w:r>
      <w:r>
        <w:rPr>
          <w:rFonts w:ascii="Times New Roman" w:hAnsi="Times New Roman" w:cs="Times New Roman"/>
          <w:color w:val="FF0000"/>
          <w:szCs w:val="24"/>
        </w:rPr>
        <w:t>Q</w:t>
      </w:r>
      <w:r>
        <w:fldChar w:fldCharType="begin"/>
      </w:r>
      <w:r>
        <w:instrText xml:space="preserve"> HYPERLINK \l "_bookmark162" </w:instrText>
      </w:r>
      <w:r>
        <w:fldChar w:fldCharType="separate"/>
      </w:r>
      <w:r>
        <w:rPr>
          <w:rStyle w:val="85"/>
          <w:rFonts w:ascii="宋体" w:hAnsi="宋体" w:cs="Times New Roman"/>
          <w:color w:val="FF0000"/>
          <w:szCs w:val="24"/>
        </w:rPr>
        <w:t>值计算的物质选取见表</w:t>
      </w:r>
      <w:r>
        <w:rPr>
          <w:rStyle w:val="85"/>
          <w:rFonts w:ascii="Times New Roman" w:hAnsi="Times New Roman" w:cs="Times New Roman"/>
          <w:color w:val="FF0000"/>
          <w:szCs w:val="24"/>
        </w:rPr>
        <w:t>2.3-9</w:t>
      </w:r>
      <w:r>
        <w:rPr>
          <w:rStyle w:val="85"/>
          <w:rFonts w:ascii="Times New Roman" w:hAnsi="Times New Roman" w:cs="Times New Roman"/>
          <w:color w:val="FF0000"/>
          <w:szCs w:val="24"/>
        </w:rPr>
        <w:fldChar w:fldCharType="end"/>
      </w:r>
      <w:r>
        <w:rPr>
          <w:rFonts w:hint="eastAsia"/>
          <w:color w:val="FF0000"/>
          <w:szCs w:val="24"/>
        </w:rPr>
        <w:t>，</w:t>
      </w:r>
      <w:r>
        <w:rPr>
          <w:rFonts w:ascii="宋体" w:hAnsi="宋体" w:cs="Times New Roman"/>
          <w:color w:val="FF0000"/>
          <w:szCs w:val="24"/>
        </w:rPr>
        <w:t>罐区</w:t>
      </w:r>
      <w:r>
        <w:rPr>
          <w:rFonts w:ascii="Times New Roman" w:hAnsi="Times New Roman" w:cs="Times New Roman"/>
          <w:color w:val="FF0000"/>
          <w:szCs w:val="24"/>
        </w:rPr>
        <w:t>Q</w:t>
      </w:r>
      <w:r>
        <w:fldChar w:fldCharType="begin"/>
      </w:r>
      <w:r>
        <w:instrText xml:space="preserve"> HYPERLINK \l "_bookmark162" </w:instrText>
      </w:r>
      <w:r>
        <w:fldChar w:fldCharType="separate"/>
      </w:r>
      <w:r>
        <w:rPr>
          <w:rStyle w:val="85"/>
          <w:rFonts w:ascii="宋体" w:hAnsi="宋体" w:cs="Times New Roman"/>
          <w:color w:val="FF0000"/>
          <w:szCs w:val="24"/>
        </w:rPr>
        <w:t>值计算的物质选取见表</w:t>
      </w:r>
      <w:r>
        <w:rPr>
          <w:rStyle w:val="85"/>
          <w:rFonts w:ascii="Times New Roman" w:hAnsi="Times New Roman" w:cs="Times New Roman"/>
          <w:color w:val="FF0000"/>
          <w:szCs w:val="24"/>
        </w:rPr>
        <w:t>2.3-10</w:t>
      </w:r>
      <w:r>
        <w:rPr>
          <w:rStyle w:val="85"/>
          <w:rFonts w:ascii="Times New Roman" w:hAnsi="Times New Roman" w:cs="Times New Roman"/>
          <w:color w:val="FF0000"/>
          <w:szCs w:val="24"/>
        </w:rPr>
        <w:fldChar w:fldCharType="end"/>
      </w:r>
      <w:r>
        <w:rPr>
          <w:rFonts w:ascii="宋体" w:hAnsi="宋体" w:cs="Times New Roman"/>
          <w:color w:val="FF0000"/>
          <w:szCs w:val="24"/>
        </w:rPr>
        <w:t>。</w:t>
      </w:r>
    </w:p>
    <w:p>
      <w:pPr>
        <w:pStyle w:val="4"/>
        <w:spacing w:before="5" w:line="273" w:lineRule="auto"/>
        <w:jc w:val="center"/>
        <w:rPr>
          <w:rFonts w:ascii="Times New Roman" w:hAnsi="Times New Roman" w:cs="Times New Roman"/>
          <w:color w:val="FF0000"/>
          <w:sz w:val="22"/>
          <w:szCs w:val="22"/>
        </w:rPr>
      </w:pPr>
      <w:r>
        <w:rPr>
          <w:rFonts w:ascii="宋体" w:hAnsi="宋体" w:cs="Times New Roman"/>
          <w:color w:val="FF0000"/>
          <w:sz w:val="22"/>
          <w:szCs w:val="22"/>
        </w:rPr>
        <w:t>表</w:t>
      </w:r>
      <w:r>
        <w:rPr>
          <w:rFonts w:ascii="Times New Roman" w:hAnsi="Times New Roman" w:cs="Times New Roman"/>
          <w:color w:val="FF0000"/>
          <w:sz w:val="22"/>
          <w:szCs w:val="22"/>
        </w:rPr>
        <w:t xml:space="preserve">2.3-9     </w:t>
      </w:r>
      <w:r>
        <w:rPr>
          <w:rFonts w:ascii="宋体" w:hAnsi="宋体" w:cs="Times New Roman"/>
          <w:color w:val="FF0000"/>
          <w:sz w:val="22"/>
          <w:szCs w:val="22"/>
        </w:rPr>
        <w:t>码头泊位</w:t>
      </w:r>
      <w:r>
        <w:rPr>
          <w:rFonts w:ascii="Times New Roman" w:hAnsi="Times New Roman" w:cs="Times New Roman"/>
          <w:color w:val="FF0000"/>
          <w:sz w:val="22"/>
          <w:szCs w:val="22"/>
        </w:rPr>
        <w:t>Q</w:t>
      </w:r>
      <w:r>
        <w:rPr>
          <w:rFonts w:ascii="宋体" w:hAnsi="宋体" w:cs="Times New Roman"/>
          <w:color w:val="FF0000"/>
          <w:sz w:val="22"/>
          <w:szCs w:val="22"/>
        </w:rPr>
        <w:t>值</w:t>
      </w:r>
      <w:r>
        <w:rPr>
          <w:rFonts w:hint="eastAsia" w:ascii="宋体" w:hAnsi="宋体" w:cs="Times New Roman"/>
          <w:color w:val="FF0000"/>
          <w:sz w:val="22"/>
          <w:szCs w:val="22"/>
        </w:rPr>
        <w:t>计算结果</w:t>
      </w:r>
      <w:r>
        <w:rPr>
          <w:rFonts w:ascii="宋体" w:hAnsi="宋体" w:cs="Times New Roman"/>
          <w:color w:val="FF0000"/>
          <w:sz w:val="22"/>
          <w:szCs w:val="22"/>
        </w:rPr>
        <w:t>一览表</w:t>
      </w:r>
    </w:p>
    <w:p>
      <w:pPr>
        <w:pStyle w:val="25"/>
        <w:spacing w:before="1"/>
        <w:ind w:firstLine="141"/>
        <w:rPr>
          <w:rFonts w:ascii="Times New Roman" w:hAnsi="Times New Roman" w:cs="Times New Roman"/>
          <w:b/>
          <w:bCs/>
          <w:color w:val="FF0000"/>
          <w:sz w:val="7"/>
          <w:szCs w:val="7"/>
        </w:rPr>
      </w:pPr>
      <w:r>
        <w:rPr>
          <w:rFonts w:ascii="Times New Roman" w:hAnsi="Times New Roman" w:cs="Times New Roman"/>
          <w:b/>
          <w:bCs/>
          <w:color w:val="FF0000"/>
          <w:sz w:val="7"/>
          <w:szCs w:val="7"/>
        </w:rPr>
        <w:t xml:space="preserve"> </w:t>
      </w:r>
    </w:p>
    <w:tbl>
      <w:tblPr>
        <w:tblStyle w:val="62"/>
        <w:tblW w:w="9179" w:type="dxa"/>
        <w:tblInd w:w="125"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117"/>
        <w:gridCol w:w="1701"/>
        <w:gridCol w:w="1701"/>
        <w:gridCol w:w="1134"/>
        <w:gridCol w:w="1276"/>
        <w:gridCol w:w="225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8" w:hRule="atLeast"/>
        </w:trPr>
        <w:tc>
          <w:tcPr>
            <w:tcW w:w="1117" w:type="dxa"/>
            <w:tcBorders>
              <w:top w:val="single" w:color="000000" w:sz="12" w:space="0"/>
              <w:left w:val="nil"/>
              <w:bottom w:val="single" w:color="000000" w:sz="6" w:space="0"/>
              <w:right w:val="single" w:color="000000" w:sz="6" w:space="0"/>
            </w:tcBorders>
            <w:vAlign w:val="center"/>
          </w:tcPr>
          <w:p>
            <w:pPr>
              <w:pStyle w:val="861"/>
              <w:widowControl w:val="0"/>
              <w:rPr>
                <w:color w:val="FF0000"/>
                <w:szCs w:val="18"/>
              </w:rPr>
            </w:pPr>
            <w:r>
              <w:rPr>
                <w:color w:val="FF0000"/>
              </w:rPr>
              <w:t>泊位</w:t>
            </w:r>
          </w:p>
        </w:tc>
        <w:tc>
          <w:tcPr>
            <w:tcW w:w="1701" w:type="dxa"/>
            <w:tcBorders>
              <w:top w:val="single" w:color="000000" w:sz="12"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装卸物质</w:t>
            </w:r>
          </w:p>
        </w:tc>
        <w:tc>
          <w:tcPr>
            <w:tcW w:w="1701" w:type="dxa"/>
            <w:tcBorders>
              <w:top w:val="single" w:color="000000" w:sz="12"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靠泊船最大载货量t</w:t>
            </w:r>
          </w:p>
        </w:tc>
        <w:tc>
          <w:tcPr>
            <w:tcW w:w="1134" w:type="dxa"/>
            <w:tcBorders>
              <w:top w:val="single" w:color="000000" w:sz="12" w:space="0"/>
              <w:left w:val="nil"/>
              <w:bottom w:val="single" w:color="000000" w:sz="6" w:space="0"/>
              <w:right w:val="single" w:color="000000" w:sz="6" w:space="0"/>
            </w:tcBorders>
            <w:vAlign w:val="center"/>
          </w:tcPr>
          <w:p>
            <w:pPr>
              <w:pStyle w:val="861"/>
              <w:widowControl w:val="0"/>
              <w:rPr>
                <w:color w:val="FF0000"/>
              </w:rPr>
            </w:pPr>
            <w:r>
              <w:rPr>
                <w:color w:val="FF0000"/>
              </w:rPr>
              <w:t>临界量t</w:t>
            </w:r>
          </w:p>
        </w:tc>
        <w:tc>
          <w:tcPr>
            <w:tcW w:w="1276" w:type="dxa"/>
            <w:tcBorders>
              <w:top w:val="single" w:color="000000" w:sz="12"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Q</w:t>
            </w:r>
            <w:r>
              <w:rPr>
                <w:rFonts w:ascii="宋体" w:hAnsi="宋体"/>
                <w:color w:val="FF0000"/>
              </w:rPr>
              <w:t>值</w:t>
            </w:r>
          </w:p>
        </w:tc>
        <w:tc>
          <w:tcPr>
            <w:tcW w:w="2250" w:type="dxa"/>
            <w:tcBorders>
              <w:top w:val="single" w:color="000000" w:sz="12" w:space="0"/>
              <w:left w:val="nil"/>
              <w:bottom w:val="single" w:color="000000" w:sz="6" w:space="0"/>
              <w:right w:val="nil"/>
            </w:tcBorders>
            <w:vAlign w:val="center"/>
          </w:tcPr>
          <w:p>
            <w:pPr>
              <w:pStyle w:val="861"/>
              <w:widowControl w:val="0"/>
              <w:rPr>
                <w:color w:val="FF0000"/>
              </w:rPr>
            </w:pPr>
            <w:r>
              <w:rPr>
                <w:color w:val="FF0000"/>
              </w:rPr>
              <w:t xml:space="preserve">Q </w:t>
            </w:r>
            <w:r>
              <w:rPr>
                <w:rFonts w:ascii="宋体" w:hAnsi="宋体"/>
                <w:color w:val="FF0000"/>
              </w:rPr>
              <w:t>值计算风险物质选取</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8" w:hRule="atLeast"/>
        </w:trPr>
        <w:tc>
          <w:tcPr>
            <w:tcW w:w="1117"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1#</w:t>
            </w:r>
            <w:r>
              <w:rPr>
                <w:rFonts w:ascii="宋体" w:hAnsi="宋体"/>
                <w:color w:val="FF0000"/>
              </w:rPr>
              <w:t>泊位</w:t>
            </w:r>
          </w:p>
        </w:tc>
        <w:tc>
          <w:tcPr>
            <w:tcW w:w="1701"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98%</w:t>
            </w:r>
            <w:r>
              <w:rPr>
                <w:rFonts w:ascii="宋体" w:hAnsi="宋体"/>
                <w:color w:val="FF0000"/>
              </w:rPr>
              <w:t>硫酸</w:t>
            </w:r>
          </w:p>
        </w:tc>
        <w:tc>
          <w:tcPr>
            <w:tcW w:w="1701"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1000</w:t>
            </w:r>
          </w:p>
        </w:tc>
        <w:tc>
          <w:tcPr>
            <w:tcW w:w="1134"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10</w:t>
            </w:r>
          </w:p>
        </w:tc>
        <w:tc>
          <w:tcPr>
            <w:tcW w:w="1276"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100</w:t>
            </w:r>
          </w:p>
        </w:tc>
        <w:tc>
          <w:tcPr>
            <w:tcW w:w="2250" w:type="dxa"/>
            <w:tcBorders>
              <w:top w:val="single" w:color="000000" w:sz="6" w:space="0"/>
              <w:left w:val="nil"/>
              <w:bottom w:val="single" w:color="000000" w:sz="6" w:space="0"/>
              <w:right w:val="nil"/>
            </w:tcBorders>
            <w:vAlign w:val="center"/>
          </w:tcPr>
          <w:p>
            <w:pPr>
              <w:pStyle w:val="861"/>
              <w:widowControl w:val="0"/>
              <w:rPr>
                <w:color w:val="FF0000"/>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9" w:hRule="atLeast"/>
        </w:trPr>
        <w:tc>
          <w:tcPr>
            <w:tcW w:w="1117"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2#</w:t>
            </w:r>
            <w:r>
              <w:rPr>
                <w:rFonts w:ascii="宋体" w:hAnsi="宋体"/>
                <w:color w:val="FF0000"/>
              </w:rPr>
              <w:t>泊位</w:t>
            </w:r>
          </w:p>
        </w:tc>
        <w:tc>
          <w:tcPr>
            <w:tcW w:w="1701"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98%</w:t>
            </w:r>
            <w:r>
              <w:rPr>
                <w:rFonts w:ascii="宋体" w:hAnsi="宋体"/>
                <w:color w:val="FF0000"/>
              </w:rPr>
              <w:t>硫酸</w:t>
            </w:r>
          </w:p>
        </w:tc>
        <w:tc>
          <w:tcPr>
            <w:tcW w:w="1701"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1000</w:t>
            </w:r>
          </w:p>
        </w:tc>
        <w:tc>
          <w:tcPr>
            <w:tcW w:w="1134"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10</w:t>
            </w:r>
          </w:p>
        </w:tc>
        <w:tc>
          <w:tcPr>
            <w:tcW w:w="1276"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100</w:t>
            </w:r>
          </w:p>
        </w:tc>
        <w:tc>
          <w:tcPr>
            <w:tcW w:w="2250" w:type="dxa"/>
            <w:tcBorders>
              <w:top w:val="single" w:color="000000" w:sz="6" w:space="0"/>
              <w:left w:val="nil"/>
              <w:bottom w:val="single" w:color="000000" w:sz="6" w:space="0"/>
              <w:right w:val="nil"/>
            </w:tcBorders>
            <w:vAlign w:val="center"/>
          </w:tcPr>
          <w:p>
            <w:pPr>
              <w:pStyle w:val="861"/>
              <w:widowControl w:val="0"/>
              <w:rPr>
                <w:color w:val="FF0000"/>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9" w:hRule="atLeast"/>
        </w:trPr>
        <w:tc>
          <w:tcPr>
            <w:tcW w:w="1117"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3#</w:t>
            </w:r>
            <w:r>
              <w:rPr>
                <w:rFonts w:ascii="宋体" w:hAnsi="宋体"/>
                <w:color w:val="FF0000"/>
              </w:rPr>
              <w:t>泊位</w:t>
            </w:r>
          </w:p>
        </w:tc>
        <w:tc>
          <w:tcPr>
            <w:tcW w:w="1701"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50%</w:t>
            </w:r>
            <w:r>
              <w:rPr>
                <w:rFonts w:ascii="宋体" w:hAnsi="宋体"/>
                <w:color w:val="FF0000"/>
              </w:rPr>
              <w:t>液碱</w:t>
            </w:r>
          </w:p>
        </w:tc>
        <w:tc>
          <w:tcPr>
            <w:tcW w:w="1701"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1000</w:t>
            </w:r>
          </w:p>
        </w:tc>
        <w:tc>
          <w:tcPr>
            <w:tcW w:w="1134"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50</w:t>
            </w:r>
          </w:p>
        </w:tc>
        <w:tc>
          <w:tcPr>
            <w:tcW w:w="1276"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20</w:t>
            </w:r>
          </w:p>
        </w:tc>
        <w:tc>
          <w:tcPr>
            <w:tcW w:w="2250" w:type="dxa"/>
            <w:tcBorders>
              <w:top w:val="single" w:color="000000" w:sz="6" w:space="0"/>
              <w:left w:val="nil"/>
              <w:bottom w:val="single" w:color="000000" w:sz="6" w:space="0"/>
              <w:right w:val="nil"/>
            </w:tcBorders>
            <w:vAlign w:val="center"/>
          </w:tcPr>
          <w:p>
            <w:pPr>
              <w:pStyle w:val="861"/>
              <w:widowControl w:val="0"/>
              <w:rPr>
                <w:color w:val="FF0000"/>
              </w:rPr>
            </w:pPr>
            <w:r>
              <w:rPr>
                <w:color w:val="FF0000"/>
              </w:rPr>
              <w:t>健康危险急性毒性物质</w:t>
            </w:r>
          </w:p>
          <w:p>
            <w:pPr>
              <w:pStyle w:val="861"/>
              <w:widowControl w:val="0"/>
              <w:rPr>
                <w:color w:val="FF0000"/>
              </w:rPr>
            </w:pPr>
            <w:r>
              <w:rPr>
                <w:color w:val="FF0000"/>
              </w:rPr>
              <w:t>（类别 2</w:t>
            </w:r>
            <w:r>
              <w:rPr>
                <w:rFonts w:ascii="宋体" w:hAnsi="宋体"/>
                <w:color w:val="FF0000"/>
              </w:rPr>
              <w:t xml:space="preserve">，类别 </w:t>
            </w:r>
            <w:r>
              <w:rPr>
                <w:color w:val="FF0000"/>
              </w:rPr>
              <w:t>3</w:t>
            </w:r>
            <w:r>
              <w:rPr>
                <w:rFonts w:ascii="宋体" w:hAnsi="宋体"/>
                <w:color w:val="FF0000"/>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9" w:hRule="atLeast"/>
        </w:trPr>
        <w:tc>
          <w:tcPr>
            <w:tcW w:w="1117"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4#</w:t>
            </w:r>
            <w:r>
              <w:rPr>
                <w:rFonts w:ascii="宋体" w:hAnsi="宋体"/>
                <w:color w:val="FF0000"/>
              </w:rPr>
              <w:t>泊位</w:t>
            </w:r>
          </w:p>
        </w:tc>
        <w:tc>
          <w:tcPr>
            <w:tcW w:w="1701"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乙醇</w:t>
            </w:r>
          </w:p>
        </w:tc>
        <w:tc>
          <w:tcPr>
            <w:tcW w:w="1701"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1000</w:t>
            </w:r>
          </w:p>
        </w:tc>
        <w:tc>
          <w:tcPr>
            <w:tcW w:w="1134"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50</w:t>
            </w:r>
          </w:p>
        </w:tc>
        <w:tc>
          <w:tcPr>
            <w:tcW w:w="1276"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20</w:t>
            </w:r>
          </w:p>
        </w:tc>
        <w:tc>
          <w:tcPr>
            <w:tcW w:w="2250" w:type="dxa"/>
            <w:tcBorders>
              <w:top w:val="single" w:color="000000" w:sz="6" w:space="0"/>
              <w:left w:val="nil"/>
              <w:bottom w:val="single" w:color="000000" w:sz="6" w:space="0"/>
              <w:right w:val="nil"/>
            </w:tcBorders>
            <w:vAlign w:val="center"/>
          </w:tcPr>
          <w:p>
            <w:pPr>
              <w:pStyle w:val="861"/>
              <w:widowControl w:val="0"/>
              <w:rPr>
                <w:color w:val="FF0000"/>
              </w:rPr>
            </w:pPr>
            <w:r>
              <w:rPr>
                <w:color w:val="FF0000"/>
              </w:rPr>
              <w:t>健康危险急性毒性物质</w:t>
            </w:r>
          </w:p>
          <w:p>
            <w:pPr>
              <w:pStyle w:val="861"/>
              <w:widowControl w:val="0"/>
              <w:rPr>
                <w:color w:val="FF0000"/>
              </w:rPr>
            </w:pPr>
            <w:r>
              <w:rPr>
                <w:color w:val="FF0000"/>
              </w:rPr>
              <w:t>（类别 2</w:t>
            </w:r>
            <w:r>
              <w:rPr>
                <w:rFonts w:ascii="宋体" w:hAnsi="宋体"/>
                <w:color w:val="FF0000"/>
              </w:rPr>
              <w:t xml:space="preserve">，类别 </w:t>
            </w:r>
            <w:r>
              <w:rPr>
                <w:color w:val="FF0000"/>
              </w:rPr>
              <w:t>3</w:t>
            </w:r>
            <w:r>
              <w:rPr>
                <w:rFonts w:ascii="宋体" w:hAnsi="宋体"/>
                <w:color w:val="FF0000"/>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9" w:hRule="atLeast"/>
        </w:trPr>
        <w:tc>
          <w:tcPr>
            <w:tcW w:w="1117"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5#</w:t>
            </w:r>
            <w:r>
              <w:rPr>
                <w:rFonts w:ascii="宋体" w:hAnsi="宋体"/>
                <w:color w:val="FF0000"/>
              </w:rPr>
              <w:t>泊位</w:t>
            </w:r>
          </w:p>
        </w:tc>
        <w:tc>
          <w:tcPr>
            <w:tcW w:w="1701" w:type="dxa"/>
            <w:tcBorders>
              <w:top w:val="single" w:color="000000" w:sz="6" w:space="0"/>
              <w:left w:val="single" w:color="000000" w:sz="6" w:space="0"/>
              <w:bottom w:val="single" w:color="000000" w:sz="6" w:space="0"/>
              <w:right w:val="single" w:color="000000" w:sz="6" w:space="0"/>
            </w:tcBorders>
          </w:tcPr>
          <w:p>
            <w:pPr>
              <w:pStyle w:val="861"/>
              <w:widowControl w:val="0"/>
              <w:rPr>
                <w:color w:val="FF0000"/>
              </w:rPr>
            </w:pPr>
            <w:r>
              <w:rPr>
                <w:color w:val="FF0000"/>
              </w:rPr>
              <w:t>汽/</w:t>
            </w:r>
            <w:r>
              <w:rPr>
                <w:rFonts w:ascii="宋体" w:hAnsi="宋体"/>
                <w:color w:val="FF0000"/>
              </w:rPr>
              <w:t>柴油</w:t>
            </w:r>
            <w:r>
              <w:rPr>
                <w:color w:val="FF0000"/>
              </w:rPr>
              <w:t>/</w:t>
            </w:r>
            <w:r>
              <w:rPr>
                <w:rFonts w:ascii="宋体" w:hAnsi="宋体"/>
                <w:color w:val="FF0000"/>
              </w:rPr>
              <w:t>航空煤油</w:t>
            </w:r>
          </w:p>
        </w:tc>
        <w:tc>
          <w:tcPr>
            <w:tcW w:w="1701"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1000</w:t>
            </w:r>
          </w:p>
        </w:tc>
        <w:tc>
          <w:tcPr>
            <w:tcW w:w="1134"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2500</w:t>
            </w:r>
          </w:p>
        </w:tc>
        <w:tc>
          <w:tcPr>
            <w:tcW w:w="1276"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0.4</w:t>
            </w:r>
          </w:p>
        </w:tc>
        <w:tc>
          <w:tcPr>
            <w:tcW w:w="2250" w:type="dxa"/>
            <w:tcBorders>
              <w:top w:val="single" w:color="000000" w:sz="6" w:space="0"/>
              <w:left w:val="nil"/>
              <w:bottom w:val="single" w:color="000000" w:sz="6" w:space="0"/>
              <w:right w:val="nil"/>
            </w:tcBorders>
            <w:vAlign w:val="center"/>
          </w:tcPr>
          <w:p>
            <w:pPr>
              <w:pStyle w:val="861"/>
              <w:widowControl w:val="0"/>
              <w:rPr>
                <w:color w:val="FF0000"/>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9" w:hRule="atLeast"/>
        </w:trPr>
        <w:tc>
          <w:tcPr>
            <w:tcW w:w="1117"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6#</w:t>
            </w:r>
            <w:r>
              <w:rPr>
                <w:rFonts w:ascii="宋体" w:hAnsi="宋体"/>
                <w:color w:val="FF0000"/>
              </w:rPr>
              <w:t>泊位</w:t>
            </w:r>
          </w:p>
        </w:tc>
        <w:tc>
          <w:tcPr>
            <w:tcW w:w="1701" w:type="dxa"/>
            <w:tcBorders>
              <w:top w:val="single" w:color="000000" w:sz="6" w:space="0"/>
              <w:left w:val="single" w:color="000000" w:sz="6" w:space="0"/>
              <w:bottom w:val="single" w:color="000000" w:sz="6" w:space="0"/>
              <w:right w:val="single" w:color="000000" w:sz="6" w:space="0"/>
            </w:tcBorders>
          </w:tcPr>
          <w:p>
            <w:pPr>
              <w:pStyle w:val="861"/>
              <w:widowControl w:val="0"/>
              <w:rPr>
                <w:color w:val="FF0000"/>
              </w:rPr>
            </w:pPr>
            <w:r>
              <w:rPr>
                <w:color w:val="FF0000"/>
              </w:rPr>
              <w:t>汽/</w:t>
            </w:r>
            <w:r>
              <w:rPr>
                <w:rFonts w:ascii="宋体" w:hAnsi="宋体"/>
                <w:color w:val="FF0000"/>
              </w:rPr>
              <w:t>柴油</w:t>
            </w:r>
            <w:r>
              <w:rPr>
                <w:color w:val="FF0000"/>
              </w:rPr>
              <w:t>/</w:t>
            </w:r>
            <w:r>
              <w:rPr>
                <w:rFonts w:ascii="宋体" w:hAnsi="宋体"/>
                <w:color w:val="FF0000"/>
              </w:rPr>
              <w:t>航空煤油</w:t>
            </w:r>
          </w:p>
        </w:tc>
        <w:tc>
          <w:tcPr>
            <w:tcW w:w="1701"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1000</w:t>
            </w:r>
          </w:p>
        </w:tc>
        <w:tc>
          <w:tcPr>
            <w:tcW w:w="1134"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2500</w:t>
            </w:r>
          </w:p>
        </w:tc>
        <w:tc>
          <w:tcPr>
            <w:tcW w:w="1276"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0.4</w:t>
            </w:r>
          </w:p>
        </w:tc>
        <w:tc>
          <w:tcPr>
            <w:tcW w:w="2250" w:type="dxa"/>
            <w:tcBorders>
              <w:top w:val="single" w:color="000000" w:sz="6" w:space="0"/>
              <w:left w:val="nil"/>
              <w:bottom w:val="single" w:color="000000" w:sz="6" w:space="0"/>
              <w:right w:val="nil"/>
            </w:tcBorders>
            <w:vAlign w:val="center"/>
          </w:tcPr>
          <w:p>
            <w:pPr>
              <w:pStyle w:val="861"/>
              <w:widowControl w:val="0"/>
              <w:rPr>
                <w:color w:val="FF0000"/>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9" w:hRule="atLeast"/>
        </w:trPr>
        <w:tc>
          <w:tcPr>
            <w:tcW w:w="1117"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7#</w:t>
            </w:r>
            <w:r>
              <w:rPr>
                <w:rFonts w:ascii="宋体" w:hAnsi="宋体"/>
                <w:color w:val="FF0000"/>
              </w:rPr>
              <w:t>泊位</w:t>
            </w:r>
          </w:p>
        </w:tc>
        <w:tc>
          <w:tcPr>
            <w:tcW w:w="1701" w:type="dxa"/>
            <w:tcBorders>
              <w:top w:val="single" w:color="000000" w:sz="6" w:space="0"/>
              <w:left w:val="single" w:color="000000" w:sz="6" w:space="0"/>
              <w:bottom w:val="single" w:color="000000" w:sz="6" w:space="0"/>
              <w:right w:val="single" w:color="000000" w:sz="6" w:space="0"/>
            </w:tcBorders>
          </w:tcPr>
          <w:p>
            <w:pPr>
              <w:pStyle w:val="861"/>
              <w:widowControl w:val="0"/>
              <w:rPr>
                <w:color w:val="FF0000"/>
              </w:rPr>
            </w:pPr>
            <w:r>
              <w:rPr>
                <w:color w:val="FF0000"/>
              </w:rPr>
              <w:t>汽/</w:t>
            </w:r>
            <w:r>
              <w:rPr>
                <w:rFonts w:ascii="宋体" w:hAnsi="宋体"/>
                <w:color w:val="FF0000"/>
              </w:rPr>
              <w:t>柴油</w:t>
            </w:r>
            <w:r>
              <w:rPr>
                <w:color w:val="FF0000"/>
              </w:rPr>
              <w:t>/</w:t>
            </w:r>
            <w:r>
              <w:rPr>
                <w:rFonts w:ascii="宋体" w:hAnsi="宋体"/>
                <w:color w:val="FF0000"/>
              </w:rPr>
              <w:t>航空煤油</w:t>
            </w:r>
          </w:p>
        </w:tc>
        <w:tc>
          <w:tcPr>
            <w:tcW w:w="1701"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1000</w:t>
            </w:r>
          </w:p>
        </w:tc>
        <w:tc>
          <w:tcPr>
            <w:tcW w:w="1134"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2500</w:t>
            </w:r>
          </w:p>
        </w:tc>
        <w:tc>
          <w:tcPr>
            <w:tcW w:w="1276"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0.4</w:t>
            </w:r>
          </w:p>
        </w:tc>
        <w:tc>
          <w:tcPr>
            <w:tcW w:w="2250" w:type="dxa"/>
            <w:tcBorders>
              <w:top w:val="single" w:color="000000" w:sz="6" w:space="0"/>
              <w:left w:val="nil"/>
              <w:bottom w:val="single" w:color="000000" w:sz="6" w:space="0"/>
              <w:right w:val="nil"/>
            </w:tcBorders>
            <w:vAlign w:val="center"/>
          </w:tcPr>
          <w:p>
            <w:pPr>
              <w:pStyle w:val="861"/>
              <w:widowControl w:val="0"/>
              <w:rPr>
                <w:color w:val="FF0000"/>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9" w:hRule="atLeast"/>
        </w:trPr>
        <w:tc>
          <w:tcPr>
            <w:tcW w:w="5653" w:type="dxa"/>
            <w:gridSpan w:val="4"/>
            <w:tcBorders>
              <w:top w:val="single" w:color="000000" w:sz="6" w:space="0"/>
              <w:left w:val="nil"/>
              <w:bottom w:val="single" w:color="000000" w:sz="12" w:space="0"/>
              <w:right w:val="single" w:color="000000" w:sz="6" w:space="0"/>
            </w:tcBorders>
            <w:vAlign w:val="center"/>
          </w:tcPr>
          <w:p>
            <w:pPr>
              <w:pStyle w:val="861"/>
              <w:widowControl w:val="0"/>
              <w:rPr>
                <w:color w:val="FF0000"/>
              </w:rPr>
            </w:pPr>
            <w:r>
              <w:rPr>
                <w:color w:val="FF0000"/>
              </w:rPr>
              <w:t>合计</w:t>
            </w:r>
          </w:p>
        </w:tc>
        <w:tc>
          <w:tcPr>
            <w:tcW w:w="1276" w:type="dxa"/>
            <w:tcBorders>
              <w:top w:val="single" w:color="000000" w:sz="6" w:space="0"/>
              <w:left w:val="single" w:color="000000" w:sz="6" w:space="0"/>
              <w:bottom w:val="single" w:color="000000" w:sz="12" w:space="0"/>
              <w:right w:val="single" w:color="auto" w:sz="4" w:space="0"/>
            </w:tcBorders>
            <w:vAlign w:val="center"/>
          </w:tcPr>
          <w:p>
            <w:pPr>
              <w:pStyle w:val="861"/>
              <w:widowControl w:val="0"/>
              <w:rPr>
                <w:color w:val="FF0000"/>
              </w:rPr>
            </w:pPr>
            <w:r>
              <w:rPr>
                <w:color w:val="FF0000"/>
              </w:rPr>
              <w:t>241.2</w:t>
            </w:r>
          </w:p>
        </w:tc>
        <w:tc>
          <w:tcPr>
            <w:tcW w:w="2250" w:type="dxa"/>
            <w:tcBorders>
              <w:top w:val="single" w:color="000000" w:sz="6" w:space="0"/>
              <w:left w:val="nil"/>
              <w:bottom w:val="single" w:color="000000" w:sz="12" w:space="0"/>
              <w:right w:val="nil"/>
            </w:tcBorders>
            <w:vAlign w:val="center"/>
          </w:tcPr>
          <w:p>
            <w:pPr>
              <w:pStyle w:val="861"/>
              <w:widowControl w:val="0"/>
              <w:rPr>
                <w:color w:val="FF0000"/>
              </w:rPr>
            </w:pPr>
          </w:p>
        </w:tc>
      </w:tr>
    </w:tbl>
    <w:p>
      <w:pPr>
        <w:pStyle w:val="4"/>
        <w:spacing w:before="5" w:line="240" w:lineRule="auto"/>
        <w:jc w:val="center"/>
        <w:rPr>
          <w:rFonts w:ascii="Times New Roman" w:hAnsi="Times New Roman" w:cs="Times New Roman"/>
          <w:color w:val="FF0000"/>
          <w:sz w:val="22"/>
          <w:szCs w:val="22"/>
        </w:rPr>
      </w:pPr>
      <w:r>
        <w:rPr>
          <w:rFonts w:ascii="宋体" w:hAnsi="宋体" w:cs="Times New Roman"/>
          <w:color w:val="FF0000"/>
          <w:sz w:val="22"/>
          <w:szCs w:val="22"/>
        </w:rPr>
        <w:t>表</w:t>
      </w:r>
      <w:r>
        <w:rPr>
          <w:rFonts w:ascii="Times New Roman" w:hAnsi="Times New Roman" w:cs="Times New Roman"/>
          <w:color w:val="FF0000"/>
          <w:sz w:val="22"/>
          <w:szCs w:val="22"/>
        </w:rPr>
        <w:t xml:space="preserve">2.3-10    </w:t>
      </w:r>
      <w:r>
        <w:rPr>
          <w:rFonts w:ascii="宋体" w:hAnsi="宋体" w:cs="Times New Roman"/>
          <w:color w:val="FF0000"/>
          <w:sz w:val="22"/>
          <w:szCs w:val="22"/>
        </w:rPr>
        <w:t>罐区</w:t>
      </w:r>
      <w:r>
        <w:rPr>
          <w:rFonts w:ascii="Times New Roman" w:hAnsi="Times New Roman" w:cs="Times New Roman"/>
          <w:color w:val="FF0000"/>
          <w:sz w:val="22"/>
          <w:szCs w:val="22"/>
        </w:rPr>
        <w:t>Q</w:t>
      </w:r>
      <w:r>
        <w:rPr>
          <w:rFonts w:ascii="宋体" w:hAnsi="宋体" w:cs="Times New Roman"/>
          <w:color w:val="FF0000"/>
          <w:sz w:val="22"/>
          <w:szCs w:val="22"/>
        </w:rPr>
        <w:t>值计算</w:t>
      </w:r>
      <w:r>
        <w:rPr>
          <w:rFonts w:hint="eastAsia" w:ascii="宋体" w:hAnsi="宋体" w:cs="Times New Roman"/>
          <w:color w:val="FF0000"/>
          <w:sz w:val="22"/>
          <w:szCs w:val="22"/>
        </w:rPr>
        <w:t>结果</w:t>
      </w:r>
      <w:r>
        <w:rPr>
          <w:rFonts w:ascii="宋体" w:hAnsi="宋体" w:cs="Times New Roman"/>
          <w:color w:val="FF0000"/>
          <w:sz w:val="22"/>
          <w:szCs w:val="22"/>
        </w:rPr>
        <w:t>一览表</w:t>
      </w:r>
    </w:p>
    <w:p>
      <w:pPr>
        <w:pStyle w:val="25"/>
        <w:spacing w:before="1"/>
        <w:ind w:firstLine="141"/>
        <w:rPr>
          <w:rFonts w:ascii="Times New Roman" w:hAnsi="Times New Roman" w:cs="Times New Roman"/>
          <w:b/>
          <w:bCs/>
          <w:color w:val="FF0000"/>
          <w:sz w:val="7"/>
          <w:szCs w:val="7"/>
        </w:rPr>
      </w:pPr>
      <w:r>
        <w:rPr>
          <w:rFonts w:ascii="Times New Roman" w:hAnsi="Times New Roman" w:cs="Times New Roman"/>
          <w:b/>
          <w:bCs/>
          <w:color w:val="FF0000"/>
          <w:sz w:val="7"/>
          <w:szCs w:val="7"/>
        </w:rPr>
        <w:t xml:space="preserve"> </w:t>
      </w:r>
    </w:p>
    <w:tbl>
      <w:tblPr>
        <w:tblStyle w:val="62"/>
        <w:tblW w:w="9179" w:type="dxa"/>
        <w:tblInd w:w="125"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117"/>
        <w:gridCol w:w="1701"/>
        <w:gridCol w:w="1134"/>
        <w:gridCol w:w="851"/>
        <w:gridCol w:w="992"/>
        <w:gridCol w:w="851"/>
        <w:gridCol w:w="992"/>
        <w:gridCol w:w="154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8" w:hRule="atLeast"/>
        </w:trPr>
        <w:tc>
          <w:tcPr>
            <w:tcW w:w="1117" w:type="dxa"/>
            <w:tcBorders>
              <w:top w:val="single" w:color="000000" w:sz="12" w:space="0"/>
              <w:left w:val="nil"/>
              <w:bottom w:val="single" w:color="000000" w:sz="6" w:space="0"/>
              <w:right w:val="single" w:color="000000" w:sz="6" w:space="0"/>
            </w:tcBorders>
            <w:vAlign w:val="center"/>
          </w:tcPr>
          <w:p>
            <w:pPr>
              <w:pStyle w:val="861"/>
              <w:widowControl w:val="0"/>
              <w:rPr>
                <w:color w:val="FF0000"/>
                <w:szCs w:val="18"/>
              </w:rPr>
            </w:pPr>
            <w:r>
              <w:rPr>
                <w:color w:val="FF0000"/>
              </w:rPr>
              <w:t>罐区</w:t>
            </w:r>
          </w:p>
        </w:tc>
        <w:tc>
          <w:tcPr>
            <w:tcW w:w="1701" w:type="dxa"/>
            <w:tcBorders>
              <w:top w:val="single" w:color="000000" w:sz="12"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储存物质</w:t>
            </w:r>
          </w:p>
        </w:tc>
        <w:tc>
          <w:tcPr>
            <w:tcW w:w="1134" w:type="dxa"/>
            <w:tcBorders>
              <w:top w:val="single" w:color="000000" w:sz="12"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储罐总容积</w:t>
            </w:r>
          </w:p>
        </w:tc>
        <w:tc>
          <w:tcPr>
            <w:tcW w:w="851" w:type="dxa"/>
            <w:tcBorders>
              <w:top w:val="single" w:color="000000" w:sz="12" w:space="0"/>
              <w:left w:val="nil"/>
              <w:bottom w:val="single" w:color="000000" w:sz="6" w:space="0"/>
              <w:right w:val="single" w:color="auto" w:sz="4" w:space="0"/>
            </w:tcBorders>
            <w:vAlign w:val="center"/>
          </w:tcPr>
          <w:p>
            <w:pPr>
              <w:pStyle w:val="861"/>
              <w:widowControl w:val="0"/>
              <w:rPr>
                <w:color w:val="FF0000"/>
              </w:rPr>
            </w:pPr>
            <w:r>
              <w:rPr>
                <w:color w:val="FF0000"/>
              </w:rPr>
              <w:t>装填系数</w:t>
            </w:r>
          </w:p>
        </w:tc>
        <w:tc>
          <w:tcPr>
            <w:tcW w:w="992" w:type="dxa"/>
            <w:tcBorders>
              <w:top w:val="single" w:color="000000" w:sz="12" w:space="0"/>
              <w:left w:val="nil"/>
              <w:bottom w:val="single" w:color="000000" w:sz="6" w:space="0"/>
              <w:right w:val="single" w:color="auto" w:sz="4" w:space="0"/>
            </w:tcBorders>
            <w:vAlign w:val="center"/>
          </w:tcPr>
          <w:p>
            <w:pPr>
              <w:pStyle w:val="861"/>
              <w:widowControl w:val="0"/>
              <w:rPr>
                <w:color w:val="FF0000"/>
              </w:rPr>
            </w:pPr>
            <w:r>
              <w:rPr>
                <w:color w:val="FF0000"/>
              </w:rPr>
              <w:t>最大储存量t</w:t>
            </w:r>
          </w:p>
        </w:tc>
        <w:tc>
          <w:tcPr>
            <w:tcW w:w="851" w:type="dxa"/>
            <w:tcBorders>
              <w:top w:val="single" w:color="000000" w:sz="12" w:space="0"/>
              <w:left w:val="nil"/>
              <w:bottom w:val="single" w:color="000000" w:sz="6" w:space="0"/>
              <w:right w:val="single" w:color="000000" w:sz="6" w:space="0"/>
            </w:tcBorders>
            <w:vAlign w:val="center"/>
          </w:tcPr>
          <w:p>
            <w:pPr>
              <w:pStyle w:val="861"/>
              <w:widowControl w:val="0"/>
              <w:rPr>
                <w:color w:val="FF0000"/>
              </w:rPr>
            </w:pPr>
            <w:r>
              <w:rPr>
                <w:color w:val="FF0000"/>
              </w:rPr>
              <w:t>临界量t</w:t>
            </w:r>
          </w:p>
        </w:tc>
        <w:tc>
          <w:tcPr>
            <w:tcW w:w="992" w:type="dxa"/>
            <w:tcBorders>
              <w:top w:val="single" w:color="000000" w:sz="12"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Q</w:t>
            </w:r>
            <w:r>
              <w:rPr>
                <w:rFonts w:ascii="宋体" w:hAnsi="宋体"/>
                <w:color w:val="FF0000"/>
              </w:rPr>
              <w:t>值</w:t>
            </w:r>
          </w:p>
        </w:tc>
        <w:tc>
          <w:tcPr>
            <w:tcW w:w="1541" w:type="dxa"/>
            <w:tcBorders>
              <w:top w:val="single" w:color="000000" w:sz="12" w:space="0"/>
              <w:left w:val="nil"/>
              <w:bottom w:val="single" w:color="000000" w:sz="6" w:space="0"/>
              <w:right w:val="nil"/>
            </w:tcBorders>
            <w:vAlign w:val="center"/>
          </w:tcPr>
          <w:p>
            <w:pPr>
              <w:pStyle w:val="861"/>
              <w:widowControl w:val="0"/>
              <w:rPr>
                <w:color w:val="FF0000"/>
              </w:rPr>
            </w:pPr>
            <w:r>
              <w:rPr>
                <w:color w:val="FF0000"/>
              </w:rPr>
              <w:t>备注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58" w:hRule="atLeast"/>
        </w:trPr>
        <w:tc>
          <w:tcPr>
            <w:tcW w:w="1117" w:type="dxa"/>
            <w:vMerge w:val="restart"/>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油品罐区</w:t>
            </w:r>
          </w:p>
        </w:tc>
        <w:tc>
          <w:tcPr>
            <w:tcW w:w="1701"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汽油</w:t>
            </w:r>
          </w:p>
        </w:tc>
        <w:tc>
          <w:tcPr>
            <w:tcW w:w="1134"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3.9</w:t>
            </w:r>
            <w:r>
              <w:rPr>
                <w:rFonts w:ascii="宋体" w:hAnsi="宋体"/>
                <w:color w:val="FF0000"/>
              </w:rPr>
              <w:t>万</w:t>
            </w:r>
            <w:r>
              <w:rPr>
                <w:color w:val="FF0000"/>
              </w:rPr>
              <w:t>m</w:t>
            </w:r>
            <w:r>
              <w:rPr>
                <w:color w:val="FF0000"/>
                <w:vertAlign w:val="superscript"/>
              </w:rPr>
              <w:t>3</w:t>
            </w:r>
          </w:p>
        </w:tc>
        <w:tc>
          <w:tcPr>
            <w:tcW w:w="851"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0.85</w:t>
            </w:r>
          </w:p>
        </w:tc>
        <w:tc>
          <w:tcPr>
            <w:tcW w:w="992"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25194</w:t>
            </w:r>
          </w:p>
        </w:tc>
        <w:tc>
          <w:tcPr>
            <w:tcW w:w="851"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2500</w:t>
            </w:r>
          </w:p>
        </w:tc>
        <w:tc>
          <w:tcPr>
            <w:tcW w:w="992"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10.08</w:t>
            </w:r>
          </w:p>
        </w:tc>
        <w:tc>
          <w:tcPr>
            <w:tcW w:w="1541" w:type="dxa"/>
            <w:tcBorders>
              <w:top w:val="single" w:color="000000" w:sz="6" w:space="0"/>
              <w:left w:val="nil"/>
              <w:bottom w:val="single" w:color="000000" w:sz="6" w:space="0"/>
              <w:right w:val="nil"/>
            </w:tcBorders>
            <w:vAlign w:val="center"/>
          </w:tcPr>
          <w:p>
            <w:pPr>
              <w:pStyle w:val="861"/>
              <w:widowControl w:val="0"/>
              <w:rPr>
                <w:color w:val="FF0000"/>
              </w:rPr>
            </w:pPr>
            <w:r>
              <w:rPr>
                <w:color w:val="FF0000"/>
              </w:rPr>
              <w:t>密度取0.76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9" w:hRule="atLeast"/>
        </w:trPr>
        <w:tc>
          <w:tcPr>
            <w:tcW w:w="1117" w:type="dxa"/>
            <w:vMerge w:val="continue"/>
            <w:tcBorders>
              <w:top w:val="single" w:color="000000" w:sz="6" w:space="0"/>
              <w:left w:val="nil"/>
              <w:bottom w:val="single" w:color="000000" w:sz="6" w:space="0"/>
              <w:right w:val="single" w:color="000000" w:sz="6" w:space="0"/>
            </w:tcBorders>
            <w:vAlign w:val="center"/>
          </w:tcPr>
          <w:p>
            <w:pPr>
              <w:widowControl/>
              <w:adjustRightInd/>
              <w:snapToGrid/>
              <w:spacing w:line="240" w:lineRule="auto"/>
              <w:ind w:firstLine="0" w:firstLineChars="0"/>
              <w:jc w:val="left"/>
              <w:rPr>
                <w:rFonts w:ascii="Times New Roman" w:hAnsi="Times New Roman" w:cs="Times New Roman"/>
                <w:color w:val="FF0000"/>
                <w:kern w:val="0"/>
                <w:sz w:val="18"/>
                <w:szCs w:val="18"/>
              </w:rPr>
            </w:pPr>
          </w:p>
        </w:tc>
        <w:tc>
          <w:tcPr>
            <w:tcW w:w="1701"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 xml:space="preserve">柴油 </w:t>
            </w:r>
          </w:p>
        </w:tc>
        <w:tc>
          <w:tcPr>
            <w:tcW w:w="1134"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6.5</w:t>
            </w:r>
            <w:r>
              <w:rPr>
                <w:rFonts w:ascii="宋体" w:hAnsi="宋体"/>
                <w:color w:val="FF0000"/>
              </w:rPr>
              <w:t>万</w:t>
            </w:r>
            <w:r>
              <w:rPr>
                <w:color w:val="FF0000"/>
              </w:rPr>
              <w:t>m</w:t>
            </w:r>
            <w:r>
              <w:rPr>
                <w:color w:val="FF0000"/>
                <w:vertAlign w:val="superscript"/>
              </w:rPr>
              <w:t>3</w:t>
            </w:r>
          </w:p>
        </w:tc>
        <w:tc>
          <w:tcPr>
            <w:tcW w:w="851"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0.85</w:t>
            </w:r>
          </w:p>
        </w:tc>
        <w:tc>
          <w:tcPr>
            <w:tcW w:w="992"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46410</w:t>
            </w:r>
          </w:p>
        </w:tc>
        <w:tc>
          <w:tcPr>
            <w:tcW w:w="851"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2500</w:t>
            </w:r>
          </w:p>
        </w:tc>
        <w:tc>
          <w:tcPr>
            <w:tcW w:w="992"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18.56</w:t>
            </w:r>
          </w:p>
        </w:tc>
        <w:tc>
          <w:tcPr>
            <w:tcW w:w="1541" w:type="dxa"/>
            <w:tcBorders>
              <w:top w:val="single" w:color="000000" w:sz="6" w:space="0"/>
              <w:left w:val="nil"/>
              <w:bottom w:val="single" w:color="000000" w:sz="6" w:space="0"/>
              <w:right w:val="nil"/>
            </w:tcBorders>
            <w:vAlign w:val="center"/>
          </w:tcPr>
          <w:p>
            <w:pPr>
              <w:pStyle w:val="861"/>
              <w:widowControl w:val="0"/>
              <w:rPr>
                <w:color w:val="FF0000"/>
              </w:rPr>
            </w:pPr>
            <w:r>
              <w:rPr>
                <w:color w:val="FF0000"/>
              </w:rPr>
              <w:t>密度取0.84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59" w:hRule="atLeast"/>
        </w:trPr>
        <w:tc>
          <w:tcPr>
            <w:tcW w:w="1117" w:type="dxa"/>
            <w:vMerge w:val="continue"/>
            <w:tcBorders>
              <w:top w:val="single" w:color="000000" w:sz="6" w:space="0"/>
              <w:left w:val="nil"/>
              <w:bottom w:val="single" w:color="000000" w:sz="6" w:space="0"/>
              <w:right w:val="single" w:color="000000" w:sz="6" w:space="0"/>
            </w:tcBorders>
            <w:vAlign w:val="center"/>
          </w:tcPr>
          <w:p>
            <w:pPr>
              <w:widowControl/>
              <w:adjustRightInd/>
              <w:snapToGrid/>
              <w:spacing w:line="240" w:lineRule="auto"/>
              <w:ind w:firstLine="0" w:firstLineChars="0"/>
              <w:jc w:val="left"/>
              <w:rPr>
                <w:rFonts w:ascii="Times New Roman" w:hAnsi="Times New Roman" w:cs="Times New Roman"/>
                <w:color w:val="FF0000"/>
                <w:kern w:val="0"/>
                <w:sz w:val="18"/>
                <w:szCs w:val="18"/>
              </w:rPr>
            </w:pPr>
          </w:p>
        </w:tc>
        <w:tc>
          <w:tcPr>
            <w:tcW w:w="1701"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航空煤油</w:t>
            </w:r>
          </w:p>
        </w:tc>
        <w:tc>
          <w:tcPr>
            <w:tcW w:w="1134"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1.5</w:t>
            </w:r>
            <w:r>
              <w:rPr>
                <w:rFonts w:ascii="宋体" w:hAnsi="宋体"/>
                <w:color w:val="FF0000"/>
              </w:rPr>
              <w:t>万</w:t>
            </w:r>
            <w:r>
              <w:rPr>
                <w:color w:val="FF0000"/>
              </w:rPr>
              <w:t>m</w:t>
            </w:r>
            <w:r>
              <w:rPr>
                <w:color w:val="FF0000"/>
                <w:vertAlign w:val="superscript"/>
              </w:rPr>
              <w:t>3</w:t>
            </w:r>
          </w:p>
        </w:tc>
        <w:tc>
          <w:tcPr>
            <w:tcW w:w="851"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0.85</w:t>
            </w:r>
          </w:p>
        </w:tc>
        <w:tc>
          <w:tcPr>
            <w:tcW w:w="992"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9945</w:t>
            </w:r>
          </w:p>
        </w:tc>
        <w:tc>
          <w:tcPr>
            <w:tcW w:w="851"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2500</w:t>
            </w:r>
          </w:p>
        </w:tc>
        <w:tc>
          <w:tcPr>
            <w:tcW w:w="992"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3.98</w:t>
            </w:r>
          </w:p>
        </w:tc>
        <w:tc>
          <w:tcPr>
            <w:tcW w:w="1541" w:type="dxa"/>
            <w:tcBorders>
              <w:top w:val="single" w:color="000000" w:sz="6" w:space="0"/>
              <w:left w:val="nil"/>
              <w:bottom w:val="single" w:color="000000" w:sz="6" w:space="0"/>
              <w:right w:val="nil"/>
            </w:tcBorders>
            <w:vAlign w:val="center"/>
          </w:tcPr>
          <w:p>
            <w:pPr>
              <w:pStyle w:val="861"/>
              <w:widowControl w:val="0"/>
              <w:rPr>
                <w:color w:val="FF0000"/>
              </w:rPr>
            </w:pPr>
            <w:r>
              <w:rPr>
                <w:color w:val="FF0000"/>
              </w:rPr>
              <w:t>密度取0.78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9" w:hRule="atLeast"/>
        </w:trPr>
        <w:tc>
          <w:tcPr>
            <w:tcW w:w="1117" w:type="dxa"/>
            <w:vMerge w:val="restart"/>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酸碱罐区</w:t>
            </w:r>
          </w:p>
        </w:tc>
        <w:tc>
          <w:tcPr>
            <w:tcW w:w="1701"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32%</w:t>
            </w:r>
            <w:r>
              <w:rPr>
                <w:rFonts w:ascii="宋体" w:hAnsi="宋体"/>
                <w:color w:val="FF0000"/>
              </w:rPr>
              <w:t>、</w:t>
            </w:r>
            <w:r>
              <w:rPr>
                <w:color w:val="FF0000"/>
              </w:rPr>
              <w:t>50%</w:t>
            </w:r>
            <w:r>
              <w:rPr>
                <w:rFonts w:ascii="宋体" w:hAnsi="宋体"/>
                <w:color w:val="FF0000"/>
              </w:rPr>
              <w:t>氢氧化钠</w:t>
            </w:r>
          </w:p>
        </w:tc>
        <w:tc>
          <w:tcPr>
            <w:tcW w:w="1134"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4.5</w:t>
            </w:r>
            <w:r>
              <w:rPr>
                <w:rFonts w:ascii="宋体" w:hAnsi="宋体"/>
                <w:color w:val="FF0000"/>
              </w:rPr>
              <w:t>万</w:t>
            </w:r>
            <w:r>
              <w:rPr>
                <w:color w:val="FF0000"/>
              </w:rPr>
              <w:t>m</w:t>
            </w:r>
            <w:r>
              <w:rPr>
                <w:color w:val="FF0000"/>
                <w:vertAlign w:val="superscript"/>
              </w:rPr>
              <w:t>3</w:t>
            </w:r>
          </w:p>
        </w:tc>
        <w:tc>
          <w:tcPr>
            <w:tcW w:w="851"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0.85</w:t>
            </w:r>
          </w:p>
        </w:tc>
        <w:tc>
          <w:tcPr>
            <w:tcW w:w="992"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22070</w:t>
            </w:r>
          </w:p>
          <w:p>
            <w:pPr>
              <w:pStyle w:val="861"/>
              <w:widowControl w:val="0"/>
              <w:rPr>
                <w:color w:val="FF0000"/>
              </w:rPr>
            </w:pPr>
            <w:r>
              <w:rPr>
                <w:color w:val="FF0000"/>
              </w:rPr>
              <w:t>（折纯）</w:t>
            </w:r>
          </w:p>
        </w:tc>
        <w:tc>
          <w:tcPr>
            <w:tcW w:w="851"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50</w:t>
            </w:r>
          </w:p>
        </w:tc>
        <w:tc>
          <w:tcPr>
            <w:tcW w:w="992"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441.4</w:t>
            </w:r>
          </w:p>
        </w:tc>
        <w:tc>
          <w:tcPr>
            <w:tcW w:w="1541" w:type="dxa"/>
            <w:tcBorders>
              <w:top w:val="single" w:color="000000" w:sz="6" w:space="0"/>
              <w:left w:val="nil"/>
              <w:bottom w:val="single" w:color="000000" w:sz="6" w:space="0"/>
              <w:right w:val="nil"/>
            </w:tcBorders>
            <w:vAlign w:val="center"/>
          </w:tcPr>
          <w:p>
            <w:pPr>
              <w:pStyle w:val="861"/>
              <w:widowControl w:val="0"/>
              <w:rPr>
                <w:color w:val="FF0000"/>
              </w:rPr>
            </w:pPr>
            <w:r>
              <w:rPr>
                <w:color w:val="FF0000"/>
              </w:rPr>
              <w:t>密度取1.154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59" w:hRule="atLeast"/>
        </w:trPr>
        <w:tc>
          <w:tcPr>
            <w:tcW w:w="1117" w:type="dxa"/>
            <w:vMerge w:val="continue"/>
            <w:tcBorders>
              <w:top w:val="single" w:color="000000" w:sz="6" w:space="0"/>
              <w:left w:val="nil"/>
              <w:bottom w:val="single" w:color="000000" w:sz="6" w:space="0"/>
              <w:right w:val="single" w:color="000000" w:sz="6" w:space="0"/>
            </w:tcBorders>
            <w:vAlign w:val="center"/>
          </w:tcPr>
          <w:p>
            <w:pPr>
              <w:widowControl/>
              <w:adjustRightInd/>
              <w:snapToGrid/>
              <w:spacing w:line="240" w:lineRule="auto"/>
              <w:ind w:firstLine="0" w:firstLineChars="0"/>
              <w:jc w:val="left"/>
              <w:rPr>
                <w:rFonts w:ascii="Times New Roman" w:hAnsi="Times New Roman" w:cs="Times New Roman"/>
                <w:color w:val="FF0000"/>
                <w:kern w:val="0"/>
                <w:sz w:val="18"/>
                <w:szCs w:val="18"/>
              </w:rPr>
            </w:pPr>
          </w:p>
        </w:tc>
        <w:tc>
          <w:tcPr>
            <w:tcW w:w="1701" w:type="dxa"/>
            <w:tcBorders>
              <w:top w:val="single" w:color="000000" w:sz="6" w:space="0"/>
              <w:left w:val="single" w:color="000000" w:sz="6" w:space="0"/>
              <w:bottom w:val="single" w:color="000000" w:sz="6" w:space="0"/>
              <w:right w:val="single" w:color="000000" w:sz="6" w:space="0"/>
            </w:tcBorders>
          </w:tcPr>
          <w:p>
            <w:pPr>
              <w:pStyle w:val="861"/>
              <w:widowControl w:val="0"/>
              <w:rPr>
                <w:color w:val="FF0000"/>
              </w:rPr>
            </w:pPr>
            <w:r>
              <w:rPr>
                <w:color w:val="FF0000"/>
              </w:rPr>
              <w:t>98%</w:t>
            </w:r>
            <w:r>
              <w:rPr>
                <w:rFonts w:ascii="宋体" w:hAnsi="宋体"/>
                <w:color w:val="FF0000"/>
              </w:rPr>
              <w:t>硫酸</w:t>
            </w:r>
          </w:p>
        </w:tc>
        <w:tc>
          <w:tcPr>
            <w:tcW w:w="1134"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2</w:t>
            </w:r>
            <w:r>
              <w:rPr>
                <w:rFonts w:ascii="宋体" w:hAnsi="宋体"/>
                <w:color w:val="FF0000"/>
              </w:rPr>
              <w:t>万</w:t>
            </w:r>
            <w:r>
              <w:rPr>
                <w:color w:val="FF0000"/>
              </w:rPr>
              <w:t>m</w:t>
            </w:r>
            <w:r>
              <w:rPr>
                <w:color w:val="FF0000"/>
                <w:vertAlign w:val="superscript"/>
              </w:rPr>
              <w:t>3</w:t>
            </w:r>
          </w:p>
        </w:tc>
        <w:tc>
          <w:tcPr>
            <w:tcW w:w="851"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0.85</w:t>
            </w:r>
          </w:p>
        </w:tc>
        <w:tc>
          <w:tcPr>
            <w:tcW w:w="992"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30654</w:t>
            </w:r>
          </w:p>
        </w:tc>
        <w:tc>
          <w:tcPr>
            <w:tcW w:w="851"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10</w:t>
            </w:r>
          </w:p>
        </w:tc>
        <w:tc>
          <w:tcPr>
            <w:tcW w:w="992"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3065.4</w:t>
            </w:r>
          </w:p>
        </w:tc>
        <w:tc>
          <w:tcPr>
            <w:tcW w:w="1541" w:type="dxa"/>
            <w:tcBorders>
              <w:top w:val="single" w:color="000000" w:sz="6" w:space="0"/>
              <w:left w:val="nil"/>
              <w:bottom w:val="single" w:color="000000" w:sz="6" w:space="0"/>
              <w:right w:val="nil"/>
            </w:tcBorders>
            <w:vAlign w:val="center"/>
          </w:tcPr>
          <w:p>
            <w:pPr>
              <w:pStyle w:val="861"/>
              <w:widowControl w:val="0"/>
              <w:rPr>
                <w:color w:val="FF0000"/>
              </w:rPr>
            </w:pPr>
            <w:r>
              <w:rPr>
                <w:color w:val="FF0000"/>
              </w:rPr>
              <w:t>密度取1.84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9" w:hRule="atLeast"/>
        </w:trPr>
        <w:tc>
          <w:tcPr>
            <w:tcW w:w="1117" w:type="dxa"/>
            <w:vMerge w:val="continue"/>
            <w:tcBorders>
              <w:top w:val="single" w:color="000000" w:sz="6" w:space="0"/>
              <w:left w:val="nil"/>
              <w:bottom w:val="single" w:color="000000" w:sz="6" w:space="0"/>
              <w:right w:val="single" w:color="000000" w:sz="6" w:space="0"/>
            </w:tcBorders>
            <w:vAlign w:val="center"/>
          </w:tcPr>
          <w:p>
            <w:pPr>
              <w:widowControl/>
              <w:adjustRightInd/>
              <w:snapToGrid/>
              <w:spacing w:line="240" w:lineRule="auto"/>
              <w:ind w:firstLine="0" w:firstLineChars="0"/>
              <w:jc w:val="left"/>
              <w:rPr>
                <w:rFonts w:ascii="Times New Roman" w:hAnsi="Times New Roman" w:cs="Times New Roman"/>
                <w:color w:val="FF0000"/>
                <w:kern w:val="0"/>
                <w:sz w:val="18"/>
                <w:szCs w:val="18"/>
              </w:rPr>
            </w:pPr>
          </w:p>
        </w:tc>
        <w:tc>
          <w:tcPr>
            <w:tcW w:w="1701" w:type="dxa"/>
            <w:tcBorders>
              <w:top w:val="single" w:color="000000" w:sz="6" w:space="0"/>
              <w:left w:val="single" w:color="000000" w:sz="6" w:space="0"/>
              <w:bottom w:val="single" w:color="000000" w:sz="6" w:space="0"/>
              <w:right w:val="single" w:color="000000" w:sz="6" w:space="0"/>
            </w:tcBorders>
          </w:tcPr>
          <w:p>
            <w:pPr>
              <w:pStyle w:val="861"/>
              <w:widowControl w:val="0"/>
              <w:rPr>
                <w:color w:val="FF0000"/>
              </w:rPr>
            </w:pPr>
            <w:r>
              <w:rPr>
                <w:color w:val="FF0000"/>
                <w:sz w:val="20"/>
              </w:rPr>
              <w:t>氢氧化钾</w:t>
            </w:r>
          </w:p>
        </w:tc>
        <w:tc>
          <w:tcPr>
            <w:tcW w:w="1134"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0.5</w:t>
            </w:r>
            <w:r>
              <w:rPr>
                <w:rFonts w:ascii="宋体" w:hAnsi="宋体"/>
                <w:color w:val="FF0000"/>
              </w:rPr>
              <w:t>万</w:t>
            </w:r>
            <w:r>
              <w:rPr>
                <w:color w:val="FF0000"/>
              </w:rPr>
              <w:t>m</w:t>
            </w:r>
            <w:r>
              <w:rPr>
                <w:color w:val="FF0000"/>
                <w:vertAlign w:val="superscript"/>
              </w:rPr>
              <w:t>3</w:t>
            </w:r>
          </w:p>
        </w:tc>
        <w:tc>
          <w:tcPr>
            <w:tcW w:w="851"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0.85</w:t>
            </w:r>
          </w:p>
        </w:tc>
        <w:tc>
          <w:tcPr>
            <w:tcW w:w="992"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5440</w:t>
            </w:r>
          </w:p>
        </w:tc>
        <w:tc>
          <w:tcPr>
            <w:tcW w:w="851"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50</w:t>
            </w:r>
          </w:p>
        </w:tc>
        <w:tc>
          <w:tcPr>
            <w:tcW w:w="992"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108.8</w:t>
            </w:r>
          </w:p>
        </w:tc>
        <w:tc>
          <w:tcPr>
            <w:tcW w:w="1541" w:type="dxa"/>
            <w:tcBorders>
              <w:top w:val="single" w:color="000000" w:sz="6" w:space="0"/>
              <w:left w:val="nil"/>
              <w:bottom w:val="single" w:color="000000" w:sz="6" w:space="0"/>
              <w:right w:val="nil"/>
            </w:tcBorders>
            <w:vAlign w:val="center"/>
          </w:tcPr>
          <w:p>
            <w:pPr>
              <w:pStyle w:val="861"/>
              <w:widowControl w:val="0"/>
              <w:rPr>
                <w:color w:val="FF0000"/>
              </w:rPr>
            </w:pPr>
            <w:r>
              <w:rPr>
                <w:color w:val="FF0000"/>
              </w:rPr>
              <w:t>密度取1.28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59" w:hRule="atLeast"/>
        </w:trPr>
        <w:tc>
          <w:tcPr>
            <w:tcW w:w="1117" w:type="dxa"/>
            <w:tcBorders>
              <w:top w:val="single" w:color="auto" w:sz="4" w:space="0"/>
              <w:left w:val="nil"/>
              <w:bottom w:val="single" w:color="000000" w:sz="6" w:space="0"/>
              <w:right w:val="single" w:color="000000" w:sz="6" w:space="0"/>
            </w:tcBorders>
            <w:vAlign w:val="center"/>
          </w:tcPr>
          <w:p>
            <w:pPr>
              <w:pStyle w:val="861"/>
              <w:widowControl w:val="0"/>
              <w:rPr>
                <w:color w:val="FF0000"/>
              </w:rPr>
            </w:pPr>
            <w:r>
              <w:rPr>
                <w:color w:val="FF0000"/>
              </w:rPr>
              <w:t>乙醇罐区</w:t>
            </w:r>
          </w:p>
        </w:tc>
        <w:tc>
          <w:tcPr>
            <w:tcW w:w="1701" w:type="dxa"/>
            <w:tcBorders>
              <w:top w:val="single" w:color="000000" w:sz="6" w:space="0"/>
              <w:left w:val="single" w:color="000000" w:sz="6" w:space="0"/>
              <w:bottom w:val="single" w:color="000000" w:sz="6" w:space="0"/>
              <w:right w:val="single" w:color="000000" w:sz="6" w:space="0"/>
            </w:tcBorders>
          </w:tcPr>
          <w:p>
            <w:pPr>
              <w:pStyle w:val="861"/>
              <w:widowControl w:val="0"/>
              <w:rPr>
                <w:color w:val="FF0000"/>
              </w:rPr>
            </w:pPr>
            <w:r>
              <w:rPr>
                <w:color w:val="FF0000"/>
              </w:rPr>
              <w:t>乙醇</w:t>
            </w:r>
          </w:p>
        </w:tc>
        <w:tc>
          <w:tcPr>
            <w:tcW w:w="1134"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0.2</w:t>
            </w:r>
            <w:r>
              <w:rPr>
                <w:rFonts w:ascii="宋体" w:hAnsi="宋体"/>
                <w:color w:val="FF0000"/>
              </w:rPr>
              <w:t>万</w:t>
            </w:r>
            <w:r>
              <w:rPr>
                <w:color w:val="FF0000"/>
              </w:rPr>
              <w:t>m</w:t>
            </w:r>
            <w:r>
              <w:rPr>
                <w:color w:val="FF0000"/>
                <w:vertAlign w:val="superscript"/>
              </w:rPr>
              <w:t>3</w:t>
            </w:r>
          </w:p>
        </w:tc>
        <w:tc>
          <w:tcPr>
            <w:tcW w:w="851"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0.85</w:t>
            </w:r>
          </w:p>
        </w:tc>
        <w:tc>
          <w:tcPr>
            <w:tcW w:w="992" w:type="dxa"/>
            <w:tcBorders>
              <w:top w:val="single" w:color="000000" w:sz="6" w:space="0"/>
              <w:left w:val="nil"/>
              <w:bottom w:val="single" w:color="000000" w:sz="6" w:space="0"/>
              <w:right w:val="single" w:color="auto" w:sz="4" w:space="0"/>
            </w:tcBorders>
            <w:vAlign w:val="center"/>
          </w:tcPr>
          <w:p>
            <w:pPr>
              <w:pStyle w:val="861"/>
              <w:widowControl w:val="0"/>
              <w:rPr>
                <w:color w:val="FF0000"/>
              </w:rPr>
            </w:pPr>
            <w:r>
              <w:rPr>
                <w:color w:val="FF0000"/>
              </w:rPr>
              <w:t>1343</w:t>
            </w:r>
          </w:p>
        </w:tc>
        <w:tc>
          <w:tcPr>
            <w:tcW w:w="851"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50</w:t>
            </w:r>
          </w:p>
        </w:tc>
        <w:tc>
          <w:tcPr>
            <w:tcW w:w="992" w:type="dxa"/>
            <w:tcBorders>
              <w:top w:val="single" w:color="000000" w:sz="6" w:space="0"/>
              <w:left w:val="single" w:color="000000" w:sz="6" w:space="0"/>
              <w:bottom w:val="single" w:color="000000" w:sz="6" w:space="0"/>
              <w:right w:val="single" w:color="auto" w:sz="4" w:space="0"/>
            </w:tcBorders>
            <w:vAlign w:val="center"/>
          </w:tcPr>
          <w:p>
            <w:pPr>
              <w:pStyle w:val="861"/>
              <w:widowControl w:val="0"/>
              <w:rPr>
                <w:color w:val="FF0000"/>
              </w:rPr>
            </w:pPr>
            <w:r>
              <w:rPr>
                <w:color w:val="FF0000"/>
              </w:rPr>
              <w:t>26.86</w:t>
            </w:r>
          </w:p>
        </w:tc>
        <w:tc>
          <w:tcPr>
            <w:tcW w:w="1541" w:type="dxa"/>
            <w:tcBorders>
              <w:top w:val="single" w:color="000000" w:sz="6" w:space="0"/>
              <w:left w:val="nil"/>
              <w:bottom w:val="single" w:color="000000" w:sz="6" w:space="0"/>
              <w:right w:val="nil"/>
            </w:tcBorders>
            <w:vAlign w:val="center"/>
          </w:tcPr>
          <w:p>
            <w:pPr>
              <w:pStyle w:val="861"/>
              <w:widowControl w:val="0"/>
              <w:rPr>
                <w:color w:val="FF0000"/>
              </w:rPr>
            </w:pPr>
            <w:r>
              <w:rPr>
                <w:color w:val="FF0000"/>
              </w:rPr>
              <w:t>密度取0.79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9" w:hRule="atLeast"/>
        </w:trPr>
        <w:tc>
          <w:tcPr>
            <w:tcW w:w="6646" w:type="dxa"/>
            <w:gridSpan w:val="6"/>
            <w:tcBorders>
              <w:top w:val="single" w:color="000000" w:sz="6" w:space="0"/>
              <w:left w:val="nil"/>
              <w:bottom w:val="single" w:color="000000" w:sz="12" w:space="0"/>
              <w:right w:val="single" w:color="000000" w:sz="6" w:space="0"/>
            </w:tcBorders>
            <w:vAlign w:val="center"/>
          </w:tcPr>
          <w:p>
            <w:pPr>
              <w:pStyle w:val="861"/>
              <w:widowControl w:val="0"/>
              <w:rPr>
                <w:color w:val="FF0000"/>
              </w:rPr>
            </w:pPr>
            <w:r>
              <w:rPr>
                <w:color w:val="FF0000"/>
              </w:rPr>
              <w:t>合计</w:t>
            </w:r>
          </w:p>
        </w:tc>
        <w:tc>
          <w:tcPr>
            <w:tcW w:w="992" w:type="dxa"/>
            <w:tcBorders>
              <w:top w:val="single" w:color="000000" w:sz="6" w:space="0"/>
              <w:left w:val="single" w:color="000000" w:sz="6" w:space="0"/>
              <w:bottom w:val="single" w:color="000000" w:sz="12" w:space="0"/>
              <w:right w:val="single" w:color="auto" w:sz="4" w:space="0"/>
            </w:tcBorders>
            <w:vAlign w:val="center"/>
          </w:tcPr>
          <w:p>
            <w:pPr>
              <w:pStyle w:val="861"/>
              <w:widowControl w:val="0"/>
              <w:rPr>
                <w:color w:val="FF0000"/>
              </w:rPr>
            </w:pPr>
            <w:r>
              <w:rPr>
                <w:color w:val="FF0000"/>
              </w:rPr>
              <w:t>3675.1</w:t>
            </w:r>
          </w:p>
        </w:tc>
        <w:tc>
          <w:tcPr>
            <w:tcW w:w="1541" w:type="dxa"/>
            <w:tcBorders>
              <w:top w:val="single" w:color="000000" w:sz="6" w:space="0"/>
              <w:left w:val="nil"/>
              <w:bottom w:val="single" w:color="000000" w:sz="12" w:space="0"/>
              <w:right w:val="nil"/>
            </w:tcBorders>
            <w:vAlign w:val="center"/>
          </w:tcPr>
          <w:p>
            <w:pPr>
              <w:pStyle w:val="861"/>
              <w:widowControl w:val="0"/>
              <w:rPr>
                <w:color w:val="FF0000"/>
              </w:rPr>
            </w:pPr>
          </w:p>
        </w:tc>
      </w:tr>
    </w:tbl>
    <w:p>
      <w:pPr>
        <w:ind w:firstLine="432" w:firstLineChars="196"/>
        <w:rPr>
          <w:rFonts w:ascii="Times New Roman" w:hAnsi="Times New Roman" w:cs="Times New Roman"/>
          <w:b/>
          <w:bCs/>
          <w:color w:val="FF0000"/>
          <w:spacing w:val="-2"/>
          <w:sz w:val="22"/>
        </w:rPr>
      </w:pPr>
      <w:r>
        <w:rPr>
          <w:rFonts w:ascii="宋体" w:hAnsi="宋体" w:cs="Times New Roman"/>
          <w:b/>
          <w:bCs/>
          <w:color w:val="FF0000"/>
          <w:sz w:val="22"/>
        </w:rPr>
        <w:t>注；油品及液体化学品在从化学品船输送到储罐完毕后，会进行扫线，将管线内的残留物质扫向储罐或化学品船；故本次评价不考虑码头内管线的暂存量。</w:t>
      </w:r>
    </w:p>
    <w:p>
      <w:pPr>
        <w:ind w:firstLine="480"/>
        <w:rPr>
          <w:rFonts w:ascii="Times New Roman" w:hAnsi="Times New Roman" w:cs="Times New Roman"/>
          <w:color w:val="FF0000"/>
          <w:spacing w:val="-2"/>
          <w:szCs w:val="24"/>
        </w:rPr>
      </w:pPr>
      <w:r>
        <w:rPr>
          <w:rFonts w:ascii="宋体" w:hAnsi="宋体" w:cs="Times New Roman"/>
          <w:color w:val="FF0000"/>
        </w:rPr>
        <w:t>综合码头泊位及后方陆域罐区</w:t>
      </w:r>
      <w:r>
        <w:rPr>
          <w:rFonts w:ascii="宋体" w:hAnsi="宋体" w:cs="Times New Roman"/>
          <w:color w:val="FF0000"/>
          <w:spacing w:val="-2"/>
        </w:rPr>
        <w:t>，则本项目</w:t>
      </w:r>
      <w:r>
        <w:rPr>
          <w:rFonts w:ascii="Times New Roman" w:hAnsi="Times New Roman" w:cs="Times New Roman"/>
          <w:color w:val="FF0000"/>
          <w:spacing w:val="-2"/>
        </w:rPr>
        <w:t>Q</w:t>
      </w:r>
      <w:r>
        <w:rPr>
          <w:rFonts w:ascii="宋体" w:hAnsi="宋体" w:cs="Times New Roman"/>
          <w:color w:val="FF0000"/>
          <w:spacing w:val="-2"/>
        </w:rPr>
        <w:t>值为</w:t>
      </w:r>
      <w:r>
        <w:rPr>
          <w:rFonts w:ascii="Times New Roman" w:hAnsi="Times New Roman" w:cs="Times New Roman"/>
          <w:color w:val="FF0000"/>
          <w:spacing w:val="-2"/>
        </w:rPr>
        <w:t>3916.3</w:t>
      </w:r>
      <w:r>
        <w:rPr>
          <w:rFonts w:ascii="宋体" w:hAnsi="宋体" w:cs="Times New Roman"/>
          <w:color w:val="FF0000"/>
          <w:spacing w:val="-2"/>
        </w:rPr>
        <w:t>。《建设项目环境风险评价技术导则》（</w:t>
      </w:r>
      <w:r>
        <w:rPr>
          <w:rFonts w:ascii="Times New Roman" w:hAnsi="Times New Roman" w:cs="Times New Roman"/>
          <w:color w:val="FF0000"/>
          <w:spacing w:val="-2"/>
        </w:rPr>
        <w:t>HJ 169-2018</w:t>
      </w:r>
      <w:r>
        <w:rPr>
          <w:rFonts w:ascii="宋体" w:hAnsi="宋体" w:cs="Times New Roman"/>
          <w:color w:val="FF0000"/>
          <w:spacing w:val="-2"/>
        </w:rPr>
        <w:t xml:space="preserve">）附录 </w:t>
      </w:r>
      <w:r>
        <w:rPr>
          <w:rFonts w:ascii="Times New Roman" w:hAnsi="Times New Roman" w:cs="Times New Roman"/>
          <w:color w:val="FF0000"/>
          <w:spacing w:val="-2"/>
        </w:rPr>
        <w:t>C.1.1</w:t>
      </w:r>
      <w:r>
        <w:rPr>
          <w:rFonts w:ascii="宋体" w:hAnsi="宋体" w:cs="Times New Roman"/>
          <w:color w:val="FF0000"/>
          <w:spacing w:val="-2"/>
        </w:rPr>
        <w:t xml:space="preserve">，项目 </w:t>
      </w:r>
      <w:r>
        <w:rPr>
          <w:rFonts w:ascii="Times New Roman" w:hAnsi="Times New Roman" w:cs="Times New Roman"/>
          <w:color w:val="FF0000"/>
          <w:spacing w:val="-2"/>
        </w:rPr>
        <w:t>Q</w:t>
      </w:r>
      <w:r>
        <w:rPr>
          <w:rFonts w:ascii="宋体" w:hAnsi="宋体" w:cs="Times New Roman"/>
          <w:color w:val="FF0000"/>
          <w:spacing w:val="-2"/>
        </w:rPr>
        <w:t>＜</w:t>
      </w:r>
      <w:r>
        <w:rPr>
          <w:rFonts w:ascii="Times New Roman" w:hAnsi="Times New Roman" w:cs="Times New Roman"/>
          <w:color w:val="FF0000"/>
          <w:spacing w:val="-2"/>
        </w:rPr>
        <w:t xml:space="preserve">1 </w:t>
      </w:r>
      <w:r>
        <w:rPr>
          <w:rFonts w:ascii="宋体" w:hAnsi="宋体" w:cs="Times New Roman"/>
          <w:color w:val="FF0000"/>
          <w:spacing w:val="-2"/>
        </w:rPr>
        <w:t xml:space="preserve">时，该项目环境风险潜势为 </w:t>
      </w:r>
      <w:r>
        <w:rPr>
          <w:rFonts w:ascii="Times New Roman" w:hAnsi="Times New Roman" w:cs="Times New Roman"/>
          <w:color w:val="FF0000"/>
          <w:spacing w:val="-2"/>
        </w:rPr>
        <w:t>I</w:t>
      </w:r>
      <w:r>
        <w:rPr>
          <w:rFonts w:ascii="宋体" w:hAnsi="宋体" w:cs="Times New Roman"/>
          <w:color w:val="FF0000"/>
          <w:spacing w:val="-2"/>
        </w:rPr>
        <w:t xml:space="preserve">；当 </w:t>
      </w:r>
      <w:r>
        <w:rPr>
          <w:rFonts w:ascii="Times New Roman" w:hAnsi="Times New Roman" w:cs="Times New Roman"/>
          <w:color w:val="FF0000"/>
          <w:spacing w:val="-2"/>
        </w:rPr>
        <w:t xml:space="preserve">Q≥1 </w:t>
      </w:r>
      <w:r>
        <w:rPr>
          <w:rFonts w:ascii="宋体" w:hAnsi="宋体" w:cs="Times New Roman"/>
          <w:color w:val="FF0000"/>
          <w:spacing w:val="-2"/>
        </w:rPr>
        <w:t xml:space="preserve">时，将 </w:t>
      </w:r>
      <w:r>
        <w:rPr>
          <w:rFonts w:ascii="Times New Roman" w:hAnsi="Times New Roman" w:cs="Times New Roman"/>
          <w:color w:val="FF0000"/>
          <w:spacing w:val="-2"/>
        </w:rPr>
        <w:t xml:space="preserve">Q </w:t>
      </w:r>
      <w:r>
        <w:rPr>
          <w:rFonts w:ascii="宋体" w:hAnsi="宋体" w:cs="Times New Roman"/>
          <w:color w:val="FF0000"/>
          <w:spacing w:val="-2"/>
        </w:rPr>
        <w:t>划分为：（</w:t>
      </w:r>
      <w:r>
        <w:rPr>
          <w:rFonts w:ascii="Times New Roman" w:hAnsi="Times New Roman" w:cs="Times New Roman"/>
          <w:color w:val="FF0000"/>
          <w:spacing w:val="-2"/>
        </w:rPr>
        <w:t>1</w:t>
      </w:r>
      <w:r>
        <w:rPr>
          <w:rFonts w:ascii="宋体" w:hAnsi="宋体" w:cs="Times New Roman"/>
          <w:color w:val="FF0000"/>
          <w:spacing w:val="-2"/>
        </w:rPr>
        <w:t>）</w:t>
      </w:r>
      <w:r>
        <w:rPr>
          <w:rFonts w:ascii="Times New Roman" w:hAnsi="Times New Roman" w:cs="Times New Roman"/>
          <w:color w:val="FF0000"/>
          <w:spacing w:val="-2"/>
        </w:rPr>
        <w:t>1≤Q</w:t>
      </w:r>
      <w:r>
        <w:rPr>
          <w:rFonts w:ascii="宋体" w:hAnsi="宋体" w:cs="Times New Roman"/>
          <w:color w:val="FF0000"/>
          <w:spacing w:val="-2"/>
        </w:rPr>
        <w:t>＜</w:t>
      </w:r>
      <w:r>
        <w:rPr>
          <w:rFonts w:ascii="Times New Roman" w:hAnsi="Times New Roman" w:cs="Times New Roman"/>
          <w:color w:val="FF0000"/>
          <w:spacing w:val="-2"/>
        </w:rPr>
        <w:t>10</w:t>
      </w:r>
      <w:r>
        <w:rPr>
          <w:rFonts w:ascii="宋体" w:hAnsi="宋体" w:cs="Times New Roman"/>
          <w:color w:val="FF0000"/>
          <w:spacing w:val="-2"/>
        </w:rPr>
        <w:t>；（</w:t>
      </w:r>
      <w:r>
        <w:rPr>
          <w:rFonts w:ascii="Times New Roman" w:hAnsi="Times New Roman" w:cs="Times New Roman"/>
          <w:color w:val="FF0000"/>
          <w:spacing w:val="-2"/>
        </w:rPr>
        <w:t>2</w:t>
      </w:r>
      <w:r>
        <w:rPr>
          <w:rFonts w:ascii="宋体" w:hAnsi="宋体" w:cs="Times New Roman"/>
          <w:color w:val="FF0000"/>
          <w:spacing w:val="-2"/>
        </w:rPr>
        <w:t xml:space="preserve">） 项目 </w:t>
      </w:r>
      <w:r>
        <w:rPr>
          <w:rFonts w:ascii="Times New Roman" w:hAnsi="Times New Roman" w:cs="Times New Roman"/>
          <w:color w:val="FF0000"/>
          <w:spacing w:val="-2"/>
        </w:rPr>
        <w:t>10≤Q</w:t>
      </w:r>
      <w:r>
        <w:rPr>
          <w:rFonts w:ascii="宋体" w:hAnsi="宋体" w:cs="Times New Roman"/>
          <w:color w:val="FF0000"/>
          <w:spacing w:val="-2"/>
        </w:rPr>
        <w:t>＜</w:t>
      </w:r>
      <w:r>
        <w:rPr>
          <w:rFonts w:ascii="Times New Roman" w:hAnsi="Times New Roman" w:cs="Times New Roman"/>
          <w:color w:val="FF0000"/>
          <w:spacing w:val="-2"/>
        </w:rPr>
        <w:t>100</w:t>
      </w:r>
      <w:r>
        <w:rPr>
          <w:rFonts w:ascii="宋体" w:hAnsi="宋体" w:cs="Times New Roman"/>
          <w:color w:val="FF0000"/>
          <w:spacing w:val="-2"/>
        </w:rPr>
        <w:t>；（</w:t>
      </w:r>
      <w:r>
        <w:rPr>
          <w:rFonts w:ascii="Times New Roman" w:hAnsi="Times New Roman" w:cs="Times New Roman"/>
          <w:color w:val="FF0000"/>
          <w:spacing w:val="-2"/>
        </w:rPr>
        <w:t>3</w:t>
      </w:r>
      <w:r>
        <w:rPr>
          <w:rFonts w:ascii="宋体" w:hAnsi="宋体" w:cs="Times New Roman"/>
          <w:color w:val="FF0000"/>
          <w:spacing w:val="-2"/>
        </w:rPr>
        <w:t>）</w:t>
      </w:r>
      <w:r>
        <w:rPr>
          <w:rFonts w:ascii="Times New Roman" w:hAnsi="Times New Roman" w:cs="Times New Roman"/>
          <w:color w:val="FF0000"/>
          <w:spacing w:val="-2"/>
        </w:rPr>
        <w:t>100≤Q</w:t>
      </w:r>
      <w:r>
        <w:rPr>
          <w:rFonts w:ascii="宋体" w:hAnsi="宋体" w:cs="Times New Roman"/>
          <w:color w:val="FF0000"/>
          <w:spacing w:val="-2"/>
        </w:rPr>
        <w:t>；故本项目</w:t>
      </w:r>
      <w:r>
        <w:rPr>
          <w:rFonts w:ascii="Times New Roman" w:hAnsi="Times New Roman" w:cs="Times New Roman"/>
          <w:color w:val="FF0000"/>
          <w:spacing w:val="-2"/>
        </w:rPr>
        <w:t>Q</w:t>
      </w:r>
      <w:r>
        <w:rPr>
          <w:rFonts w:ascii="宋体" w:hAnsi="宋体" w:cs="Times New Roman"/>
          <w:color w:val="FF0000"/>
          <w:spacing w:val="-2"/>
        </w:rPr>
        <w:t>值</w:t>
      </w:r>
      <w:r>
        <w:rPr>
          <w:rFonts w:ascii="Times New Roman" w:hAnsi="Times New Roman" w:cs="Times New Roman"/>
          <w:color w:val="FF0000"/>
          <w:spacing w:val="-2"/>
        </w:rPr>
        <w:t>&gt;100</w:t>
      </w:r>
      <w:r>
        <w:rPr>
          <w:rFonts w:ascii="宋体" w:hAnsi="宋体" w:cs="Times New Roman"/>
          <w:color w:val="FF0000"/>
          <w:spacing w:val="-2"/>
        </w:rPr>
        <w:t>。</w:t>
      </w:r>
    </w:p>
    <w:p>
      <w:pPr>
        <w:pStyle w:val="25"/>
        <w:spacing w:line="360" w:lineRule="auto"/>
        <w:ind w:right="-141" w:rightChars="-59" w:firstLine="480"/>
        <w:rPr>
          <w:rFonts w:ascii="Times New Roman" w:hAnsi="Times New Roman" w:cs="Times New Roman"/>
          <w:color w:val="FF0000"/>
        </w:rPr>
      </w:pPr>
      <w:r>
        <w:rPr>
          <w:rFonts w:hint="eastAsia" w:ascii="宋体" w:hAnsi="宋体"/>
          <w:color w:val="FF0000"/>
        </w:rPr>
        <w:t>②</w:t>
      </w:r>
      <w:r>
        <w:rPr>
          <w:rFonts w:ascii="宋体" w:hAnsi="宋体" w:cs="Times New Roman"/>
          <w:color w:val="FF0000"/>
        </w:rPr>
        <w:t>行业及生产工艺（</w:t>
      </w:r>
      <w:r>
        <w:rPr>
          <w:rFonts w:ascii="Times New Roman" w:hAnsi="Times New Roman" w:cs="Times New Roman"/>
          <w:color w:val="FF0000"/>
        </w:rPr>
        <w:t>M</w:t>
      </w:r>
      <w:r>
        <w:rPr>
          <w:rFonts w:ascii="宋体" w:hAnsi="宋体" w:cs="Times New Roman"/>
          <w:color w:val="FF0000"/>
        </w:rPr>
        <w:t>）值判定</w:t>
      </w:r>
    </w:p>
    <w:p>
      <w:pPr>
        <w:pStyle w:val="4"/>
        <w:spacing w:before="74" w:line="240" w:lineRule="auto"/>
        <w:ind w:firstLine="720"/>
        <w:jc w:val="center"/>
        <w:rPr>
          <w:rFonts w:ascii="Times New Roman" w:hAnsi="Times New Roman" w:cs="Times New Roman"/>
          <w:color w:val="FF0000"/>
          <w:sz w:val="22"/>
          <w:szCs w:val="22"/>
        </w:rPr>
      </w:pPr>
      <w:r>
        <w:rPr>
          <w:rFonts w:ascii="宋体" w:hAnsi="宋体" w:cs="Times New Roman"/>
          <w:color w:val="FF0000"/>
          <w:sz w:val="22"/>
          <w:szCs w:val="22"/>
        </w:rPr>
        <w:t>表</w:t>
      </w:r>
      <w:r>
        <w:rPr>
          <w:rFonts w:ascii="Times New Roman" w:hAnsi="Times New Roman" w:cs="Times New Roman"/>
          <w:color w:val="FF0000"/>
          <w:sz w:val="22"/>
          <w:szCs w:val="22"/>
        </w:rPr>
        <w:t>2.3-11</w:t>
      </w:r>
      <w:r>
        <w:rPr>
          <w:rFonts w:ascii="Times New Roman" w:hAnsi="Times New Roman" w:cs="Times New Roman"/>
          <w:color w:val="FF0000"/>
          <w:sz w:val="22"/>
          <w:szCs w:val="22"/>
        </w:rPr>
        <w:tab/>
      </w:r>
      <w:r>
        <w:rPr>
          <w:rFonts w:ascii="Times New Roman" w:hAnsi="Times New Roman" w:cs="Times New Roman"/>
          <w:color w:val="FF0000"/>
          <w:sz w:val="22"/>
          <w:szCs w:val="22"/>
        </w:rPr>
        <w:t xml:space="preserve"> </w:t>
      </w:r>
      <w:r>
        <w:rPr>
          <w:rFonts w:ascii="宋体" w:hAnsi="宋体" w:cs="Times New Roman"/>
          <w:color w:val="FF0000"/>
          <w:sz w:val="22"/>
          <w:szCs w:val="22"/>
        </w:rPr>
        <w:t>行业及生产工艺</w:t>
      </w:r>
      <w:r>
        <w:rPr>
          <w:rFonts w:ascii="Times New Roman" w:hAnsi="Times New Roman" w:cs="Times New Roman"/>
          <w:color w:val="FF0000"/>
          <w:sz w:val="22"/>
          <w:szCs w:val="22"/>
        </w:rPr>
        <w:t xml:space="preserve"> M</w:t>
      </w:r>
      <w:r>
        <w:rPr>
          <w:rFonts w:ascii="宋体" w:hAnsi="宋体" w:cs="Times New Roman"/>
          <w:color w:val="FF0000"/>
          <w:sz w:val="22"/>
          <w:szCs w:val="22"/>
        </w:rPr>
        <w:t>值</w:t>
      </w:r>
    </w:p>
    <w:p>
      <w:pPr>
        <w:pStyle w:val="25"/>
        <w:spacing w:before="10"/>
        <w:ind w:firstLine="141"/>
        <w:rPr>
          <w:rFonts w:ascii="Times New Roman" w:hAnsi="Times New Roman" w:cs="Times New Roman"/>
          <w:b/>
          <w:bCs/>
          <w:color w:val="FF0000"/>
          <w:sz w:val="7"/>
          <w:szCs w:val="7"/>
        </w:rPr>
      </w:pPr>
      <w:r>
        <w:rPr>
          <w:rFonts w:ascii="Times New Roman" w:hAnsi="Times New Roman" w:cs="Times New Roman"/>
          <w:b/>
          <w:bCs/>
          <w:color w:val="FF0000"/>
          <w:sz w:val="7"/>
          <w:szCs w:val="7"/>
        </w:rPr>
        <w:t xml:space="preserve"> </w:t>
      </w:r>
    </w:p>
    <w:tbl>
      <w:tblPr>
        <w:tblStyle w:val="62"/>
        <w:tblW w:w="914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376"/>
        <w:gridCol w:w="6654"/>
        <w:gridCol w:w="1117"/>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6" w:hRule="atLeast"/>
          <w:jc w:val="center"/>
        </w:trPr>
        <w:tc>
          <w:tcPr>
            <w:tcW w:w="1376" w:type="dxa"/>
            <w:tcBorders>
              <w:top w:val="single" w:color="000000" w:sz="12" w:space="0"/>
              <w:left w:val="nil"/>
              <w:bottom w:val="single" w:color="000000" w:sz="6" w:space="0"/>
              <w:right w:val="single" w:color="000000" w:sz="6" w:space="0"/>
            </w:tcBorders>
            <w:vAlign w:val="center"/>
          </w:tcPr>
          <w:p>
            <w:pPr>
              <w:pStyle w:val="861"/>
              <w:widowControl w:val="0"/>
              <w:rPr>
                <w:color w:val="FF0000"/>
                <w:szCs w:val="18"/>
              </w:rPr>
            </w:pPr>
            <w:r>
              <w:rPr>
                <w:color w:val="FF0000"/>
              </w:rPr>
              <w:t>行业</w:t>
            </w:r>
          </w:p>
        </w:tc>
        <w:tc>
          <w:tcPr>
            <w:tcW w:w="6654" w:type="dxa"/>
            <w:tcBorders>
              <w:top w:val="single" w:color="000000" w:sz="12"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评估依据</w:t>
            </w:r>
          </w:p>
        </w:tc>
        <w:tc>
          <w:tcPr>
            <w:tcW w:w="1117" w:type="dxa"/>
            <w:tcBorders>
              <w:top w:val="single" w:color="000000" w:sz="12" w:space="0"/>
              <w:left w:val="single" w:color="000000" w:sz="6" w:space="0"/>
              <w:bottom w:val="single" w:color="000000" w:sz="6" w:space="0"/>
              <w:right w:val="nil"/>
            </w:tcBorders>
            <w:vAlign w:val="center"/>
          </w:tcPr>
          <w:p>
            <w:pPr>
              <w:pStyle w:val="861"/>
              <w:widowControl w:val="0"/>
              <w:rPr>
                <w:color w:val="FF0000"/>
              </w:rPr>
            </w:pPr>
            <w:r>
              <w:rPr>
                <w:color w:val="FF0000"/>
              </w:rPr>
              <w:t>分值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21" w:hRule="atLeast"/>
          <w:jc w:val="center"/>
        </w:trPr>
        <w:tc>
          <w:tcPr>
            <w:tcW w:w="1376" w:type="dxa"/>
            <w:vMerge w:val="restart"/>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石化、化工、医药、化纤、有色冶炼等</w:t>
            </w:r>
          </w:p>
        </w:tc>
        <w:tc>
          <w:tcPr>
            <w:tcW w:w="6654"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涉及光气及光气化工艺、电解工艺（氯碱）、氯化工艺、硝化工艺、合成氨工艺、裂解（裂化）工艺、氟化工艺、加氢工艺、重氮化工艺、氧化工艺、过氧化工艺、胺基化工艺、磺化工艺、聚合工艺、</w:t>
            </w:r>
          </w:p>
          <w:p>
            <w:pPr>
              <w:pStyle w:val="861"/>
              <w:widowControl w:val="0"/>
              <w:rPr>
                <w:color w:val="FF0000"/>
              </w:rPr>
            </w:pPr>
            <w:r>
              <w:rPr>
                <w:color w:val="FF0000"/>
              </w:rPr>
              <w:t>烷基化工艺、新型煤化工工艺、电石生产工艺、偶氮化工艺</w:t>
            </w:r>
          </w:p>
        </w:tc>
        <w:tc>
          <w:tcPr>
            <w:tcW w:w="1117" w:type="dxa"/>
            <w:tcBorders>
              <w:top w:val="single" w:color="000000" w:sz="6" w:space="0"/>
              <w:left w:val="single" w:color="000000" w:sz="6" w:space="0"/>
              <w:bottom w:val="single" w:color="000000" w:sz="6" w:space="0"/>
              <w:right w:val="nil"/>
            </w:tcBorders>
            <w:vAlign w:val="center"/>
          </w:tcPr>
          <w:p>
            <w:pPr>
              <w:pStyle w:val="861"/>
              <w:widowControl w:val="0"/>
              <w:rPr>
                <w:color w:val="FF0000"/>
              </w:rPr>
            </w:pPr>
            <w:r>
              <w:rPr>
                <w:color w:val="FF0000"/>
              </w:rPr>
              <w:t>10/</w:t>
            </w:r>
            <w:r>
              <w:rPr>
                <w:rFonts w:ascii="宋体" w:hAnsi="宋体"/>
                <w:color w:val="FF0000"/>
              </w:rPr>
              <w:t>每套</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 w:hRule="atLeast"/>
          <w:jc w:val="center"/>
        </w:trPr>
        <w:tc>
          <w:tcPr>
            <w:tcW w:w="1376" w:type="dxa"/>
            <w:vMerge w:val="continue"/>
            <w:tcBorders>
              <w:top w:val="single" w:color="000000" w:sz="6" w:space="0"/>
              <w:left w:val="nil"/>
              <w:bottom w:val="single" w:color="000000" w:sz="6" w:space="0"/>
              <w:right w:val="single" w:color="000000" w:sz="6" w:space="0"/>
            </w:tcBorders>
            <w:vAlign w:val="center"/>
          </w:tcPr>
          <w:p>
            <w:pPr>
              <w:widowControl/>
              <w:adjustRightInd/>
              <w:snapToGrid/>
              <w:spacing w:line="240" w:lineRule="auto"/>
              <w:ind w:firstLine="0" w:firstLineChars="0"/>
              <w:jc w:val="left"/>
              <w:rPr>
                <w:rFonts w:ascii="Times New Roman" w:hAnsi="Times New Roman" w:cs="Times New Roman"/>
                <w:color w:val="FF0000"/>
                <w:kern w:val="0"/>
                <w:sz w:val="18"/>
                <w:szCs w:val="18"/>
              </w:rPr>
            </w:pPr>
          </w:p>
        </w:tc>
        <w:tc>
          <w:tcPr>
            <w:tcW w:w="6654"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无机酸制酸工艺、焦化工艺</w:t>
            </w:r>
          </w:p>
        </w:tc>
        <w:tc>
          <w:tcPr>
            <w:tcW w:w="1117" w:type="dxa"/>
            <w:tcBorders>
              <w:top w:val="single" w:color="000000" w:sz="6" w:space="0"/>
              <w:left w:val="single" w:color="000000" w:sz="6" w:space="0"/>
              <w:bottom w:val="single" w:color="000000" w:sz="6" w:space="0"/>
              <w:right w:val="nil"/>
            </w:tcBorders>
            <w:vAlign w:val="center"/>
          </w:tcPr>
          <w:p>
            <w:pPr>
              <w:pStyle w:val="861"/>
              <w:widowControl w:val="0"/>
              <w:rPr>
                <w:color w:val="FF0000"/>
              </w:rPr>
            </w:pPr>
            <w:r>
              <w:rPr>
                <w:color w:val="FF0000"/>
              </w:rPr>
              <w:t>5/</w:t>
            </w:r>
            <w:r>
              <w:rPr>
                <w:rFonts w:ascii="宋体" w:hAnsi="宋体"/>
                <w:color w:val="FF0000"/>
              </w:rPr>
              <w:t>每套</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62" w:hRule="atLeast"/>
          <w:jc w:val="center"/>
        </w:trPr>
        <w:tc>
          <w:tcPr>
            <w:tcW w:w="1376" w:type="dxa"/>
            <w:vMerge w:val="continue"/>
            <w:tcBorders>
              <w:top w:val="single" w:color="000000" w:sz="6" w:space="0"/>
              <w:left w:val="nil"/>
              <w:bottom w:val="single" w:color="000000" w:sz="6" w:space="0"/>
              <w:right w:val="single" w:color="000000" w:sz="6" w:space="0"/>
            </w:tcBorders>
            <w:vAlign w:val="center"/>
          </w:tcPr>
          <w:p>
            <w:pPr>
              <w:widowControl/>
              <w:adjustRightInd/>
              <w:snapToGrid/>
              <w:spacing w:line="240" w:lineRule="auto"/>
              <w:ind w:firstLine="0" w:firstLineChars="0"/>
              <w:jc w:val="left"/>
              <w:rPr>
                <w:rFonts w:ascii="Times New Roman" w:hAnsi="Times New Roman" w:cs="Times New Roman"/>
                <w:color w:val="FF0000"/>
                <w:kern w:val="0"/>
                <w:sz w:val="18"/>
                <w:szCs w:val="18"/>
              </w:rPr>
            </w:pPr>
          </w:p>
        </w:tc>
        <w:tc>
          <w:tcPr>
            <w:tcW w:w="6654"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其他高温或高压，且涉及危险物质的工艺过程 a</w:t>
            </w:r>
            <w:r>
              <w:rPr>
                <w:rFonts w:ascii="宋体" w:hAnsi="宋体"/>
                <w:color w:val="FF0000"/>
              </w:rPr>
              <w:t>、危险物质贮存罐区</w:t>
            </w:r>
          </w:p>
        </w:tc>
        <w:tc>
          <w:tcPr>
            <w:tcW w:w="1117" w:type="dxa"/>
            <w:tcBorders>
              <w:top w:val="single" w:color="000000" w:sz="6" w:space="0"/>
              <w:left w:val="single" w:color="000000" w:sz="6" w:space="0"/>
              <w:bottom w:val="single" w:color="000000" w:sz="6" w:space="0"/>
              <w:right w:val="nil"/>
            </w:tcBorders>
            <w:vAlign w:val="center"/>
          </w:tcPr>
          <w:p>
            <w:pPr>
              <w:pStyle w:val="861"/>
              <w:widowControl w:val="0"/>
              <w:rPr>
                <w:color w:val="FF0000"/>
              </w:rPr>
            </w:pPr>
            <w:r>
              <w:rPr>
                <w:color w:val="FF0000"/>
              </w:rPr>
              <w:t>5/</w:t>
            </w:r>
            <w:r>
              <w:rPr>
                <w:rFonts w:ascii="宋体" w:hAnsi="宋体"/>
                <w:color w:val="FF0000"/>
              </w:rPr>
              <w:t>套（罐区）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0" w:hRule="atLeast"/>
          <w:jc w:val="center"/>
        </w:trPr>
        <w:tc>
          <w:tcPr>
            <w:tcW w:w="1376"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管道、港口</w:t>
            </w:r>
          </w:p>
          <w:p>
            <w:pPr>
              <w:pStyle w:val="861"/>
              <w:widowControl w:val="0"/>
              <w:rPr>
                <w:color w:val="FF0000"/>
              </w:rPr>
            </w:pPr>
            <w:r>
              <w:rPr>
                <w:color w:val="FF0000"/>
              </w:rPr>
              <w:t>/</w:t>
            </w:r>
            <w:r>
              <w:rPr>
                <w:rFonts w:ascii="宋体" w:hAnsi="宋体"/>
                <w:color w:val="FF0000"/>
              </w:rPr>
              <w:t>码头等</w:t>
            </w:r>
          </w:p>
        </w:tc>
        <w:tc>
          <w:tcPr>
            <w:tcW w:w="6654"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涉及危险物质管道运输项目、港口/</w:t>
            </w:r>
            <w:r>
              <w:rPr>
                <w:rFonts w:ascii="宋体" w:hAnsi="宋体"/>
                <w:color w:val="FF0000"/>
              </w:rPr>
              <w:t>码头等</w:t>
            </w:r>
          </w:p>
        </w:tc>
        <w:tc>
          <w:tcPr>
            <w:tcW w:w="1117" w:type="dxa"/>
            <w:tcBorders>
              <w:top w:val="single" w:color="000000" w:sz="6" w:space="0"/>
              <w:left w:val="single" w:color="000000" w:sz="6" w:space="0"/>
              <w:bottom w:val="single" w:color="000000" w:sz="6" w:space="0"/>
              <w:right w:val="nil"/>
            </w:tcBorders>
            <w:vAlign w:val="center"/>
          </w:tcPr>
          <w:p>
            <w:pPr>
              <w:pStyle w:val="861"/>
              <w:widowControl w:val="0"/>
              <w:rPr>
                <w:color w:val="FF0000"/>
              </w:rPr>
            </w:pPr>
            <w:r>
              <w:rPr>
                <w:color w:val="FF0000"/>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0" w:hRule="atLeast"/>
          <w:jc w:val="center"/>
        </w:trPr>
        <w:tc>
          <w:tcPr>
            <w:tcW w:w="1376"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石油天然气</w:t>
            </w:r>
          </w:p>
        </w:tc>
        <w:tc>
          <w:tcPr>
            <w:tcW w:w="6654"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石油、天然气、页岩气开采（含净化），气库（不含加气站的气库），</w:t>
            </w:r>
          </w:p>
          <w:p>
            <w:pPr>
              <w:pStyle w:val="861"/>
              <w:widowControl w:val="0"/>
              <w:rPr>
                <w:color w:val="FF0000"/>
              </w:rPr>
            </w:pPr>
            <w:r>
              <w:rPr>
                <w:color w:val="FF0000"/>
              </w:rPr>
              <w:t>油库（不含加气的油库）、油气管线 b</w:t>
            </w:r>
            <w:r>
              <w:rPr>
                <w:rFonts w:ascii="宋体" w:hAnsi="宋体"/>
                <w:color w:val="FF0000"/>
              </w:rPr>
              <w:t>（不含城镇燃气管线）</w:t>
            </w:r>
          </w:p>
        </w:tc>
        <w:tc>
          <w:tcPr>
            <w:tcW w:w="1117" w:type="dxa"/>
            <w:tcBorders>
              <w:top w:val="single" w:color="000000" w:sz="6" w:space="0"/>
              <w:left w:val="single" w:color="000000" w:sz="6" w:space="0"/>
              <w:bottom w:val="single" w:color="000000" w:sz="6" w:space="0"/>
              <w:right w:val="nil"/>
            </w:tcBorders>
            <w:vAlign w:val="center"/>
          </w:tcPr>
          <w:p>
            <w:pPr>
              <w:pStyle w:val="861"/>
              <w:widowControl w:val="0"/>
              <w:rPr>
                <w:color w:val="FF0000"/>
              </w:rPr>
            </w:pPr>
            <w:r>
              <w:rPr>
                <w:color w:val="FF0000"/>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7" w:hRule="atLeast"/>
          <w:jc w:val="center"/>
        </w:trPr>
        <w:tc>
          <w:tcPr>
            <w:tcW w:w="1376" w:type="dxa"/>
            <w:tcBorders>
              <w:top w:val="single" w:color="000000" w:sz="6" w:space="0"/>
              <w:left w:val="nil"/>
              <w:bottom w:val="single" w:color="000000" w:sz="12" w:space="0"/>
              <w:right w:val="single" w:color="000000" w:sz="6" w:space="0"/>
            </w:tcBorders>
            <w:vAlign w:val="center"/>
          </w:tcPr>
          <w:p>
            <w:pPr>
              <w:pStyle w:val="861"/>
              <w:widowControl w:val="0"/>
              <w:rPr>
                <w:color w:val="FF0000"/>
              </w:rPr>
            </w:pPr>
            <w:r>
              <w:rPr>
                <w:color w:val="FF0000"/>
              </w:rPr>
              <w:t>其他</w:t>
            </w:r>
          </w:p>
        </w:tc>
        <w:tc>
          <w:tcPr>
            <w:tcW w:w="6654" w:type="dxa"/>
            <w:tcBorders>
              <w:top w:val="single" w:color="000000" w:sz="6" w:space="0"/>
              <w:left w:val="single" w:color="000000" w:sz="6" w:space="0"/>
              <w:bottom w:val="single" w:color="000000" w:sz="12" w:space="0"/>
              <w:right w:val="single" w:color="000000" w:sz="6" w:space="0"/>
            </w:tcBorders>
            <w:vAlign w:val="center"/>
          </w:tcPr>
          <w:p>
            <w:pPr>
              <w:pStyle w:val="861"/>
              <w:widowControl w:val="0"/>
              <w:rPr>
                <w:color w:val="FF0000"/>
              </w:rPr>
            </w:pPr>
            <w:r>
              <w:rPr>
                <w:color w:val="FF0000"/>
              </w:rPr>
              <w:t>涉及危险物质使用、贮存的项目</w:t>
            </w:r>
          </w:p>
        </w:tc>
        <w:tc>
          <w:tcPr>
            <w:tcW w:w="1117" w:type="dxa"/>
            <w:tcBorders>
              <w:top w:val="single" w:color="000000" w:sz="6" w:space="0"/>
              <w:left w:val="single" w:color="000000" w:sz="6" w:space="0"/>
              <w:bottom w:val="single" w:color="000000" w:sz="12" w:space="0"/>
              <w:right w:val="nil"/>
            </w:tcBorders>
            <w:vAlign w:val="center"/>
          </w:tcPr>
          <w:p>
            <w:pPr>
              <w:pStyle w:val="861"/>
              <w:widowControl w:val="0"/>
              <w:rPr>
                <w:color w:val="FF0000"/>
              </w:rPr>
            </w:pPr>
            <w:r>
              <w:rPr>
                <w:color w:val="FF0000"/>
              </w:rPr>
              <w:t>5</w:t>
            </w:r>
          </w:p>
        </w:tc>
      </w:tr>
    </w:tbl>
    <w:p>
      <w:pPr>
        <w:pStyle w:val="4"/>
        <w:spacing w:before="74" w:line="240" w:lineRule="auto"/>
        <w:ind w:left="482"/>
        <w:jc w:val="center"/>
        <w:rPr>
          <w:rFonts w:ascii="Times New Roman" w:hAnsi="Times New Roman" w:cs="Times New Roman"/>
          <w:color w:val="FF0000"/>
          <w:sz w:val="22"/>
          <w:szCs w:val="22"/>
        </w:rPr>
      </w:pPr>
      <w:r>
        <w:rPr>
          <w:rFonts w:ascii="宋体" w:hAnsi="宋体" w:cs="Times New Roman"/>
          <w:color w:val="FF0000"/>
          <w:sz w:val="22"/>
          <w:szCs w:val="22"/>
        </w:rPr>
        <w:t>表</w:t>
      </w:r>
      <w:r>
        <w:rPr>
          <w:rFonts w:ascii="Times New Roman" w:hAnsi="Times New Roman" w:cs="Times New Roman"/>
          <w:color w:val="FF0000"/>
          <w:sz w:val="22"/>
          <w:szCs w:val="22"/>
        </w:rPr>
        <w:t xml:space="preserve">2.3-12   </w:t>
      </w:r>
      <w:r>
        <w:rPr>
          <w:rFonts w:ascii="Times New Roman" w:hAnsi="Times New Roman" w:cs="Times New Roman"/>
          <w:color w:val="FF0000"/>
          <w:sz w:val="22"/>
          <w:szCs w:val="22"/>
        </w:rPr>
        <w:tab/>
      </w:r>
      <w:r>
        <w:rPr>
          <w:rFonts w:ascii="宋体" w:hAnsi="宋体" w:cs="Times New Roman"/>
          <w:color w:val="FF0000"/>
          <w:sz w:val="22"/>
          <w:szCs w:val="22"/>
        </w:rPr>
        <w:t>建设项目</w:t>
      </w:r>
      <w:r>
        <w:rPr>
          <w:rFonts w:ascii="Times New Roman" w:hAnsi="Times New Roman" w:cs="Times New Roman"/>
          <w:color w:val="FF0000"/>
          <w:sz w:val="22"/>
          <w:szCs w:val="22"/>
        </w:rPr>
        <w:t xml:space="preserve"> M</w:t>
      </w:r>
      <w:r>
        <w:rPr>
          <w:rFonts w:ascii="宋体" w:hAnsi="宋体" w:cs="Times New Roman"/>
          <w:color w:val="FF0000"/>
          <w:sz w:val="22"/>
          <w:szCs w:val="22"/>
        </w:rPr>
        <w:t>值确定表</w:t>
      </w:r>
    </w:p>
    <w:p>
      <w:pPr>
        <w:pStyle w:val="25"/>
        <w:spacing w:before="1"/>
        <w:ind w:firstLine="141"/>
        <w:rPr>
          <w:rFonts w:ascii="Times New Roman" w:hAnsi="Times New Roman" w:cs="Times New Roman"/>
          <w:b/>
          <w:bCs/>
          <w:color w:val="FF0000"/>
          <w:sz w:val="7"/>
          <w:szCs w:val="7"/>
        </w:rPr>
      </w:pPr>
      <w:r>
        <w:rPr>
          <w:rFonts w:ascii="Times New Roman" w:hAnsi="Times New Roman" w:cs="Times New Roman"/>
          <w:b/>
          <w:bCs/>
          <w:color w:val="FF0000"/>
          <w:sz w:val="7"/>
          <w:szCs w:val="7"/>
        </w:rPr>
        <w:t xml:space="preserve"> </w:t>
      </w:r>
    </w:p>
    <w:tbl>
      <w:tblPr>
        <w:tblStyle w:val="62"/>
        <w:tblW w:w="9060"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233"/>
        <w:gridCol w:w="2356"/>
        <w:gridCol w:w="3158"/>
        <w:gridCol w:w="1225"/>
        <w:gridCol w:w="1088"/>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33" w:hRule="atLeast"/>
          <w:jc w:val="center"/>
        </w:trPr>
        <w:tc>
          <w:tcPr>
            <w:tcW w:w="1233" w:type="dxa"/>
            <w:tcBorders>
              <w:top w:val="single" w:color="000000" w:sz="12" w:space="0"/>
              <w:left w:val="nil"/>
              <w:bottom w:val="single" w:color="000000" w:sz="6" w:space="0"/>
              <w:right w:val="single" w:color="000000" w:sz="6" w:space="0"/>
            </w:tcBorders>
            <w:vAlign w:val="center"/>
          </w:tcPr>
          <w:p>
            <w:pPr>
              <w:pStyle w:val="861"/>
              <w:widowControl w:val="0"/>
              <w:rPr>
                <w:color w:val="FF0000"/>
                <w:szCs w:val="18"/>
              </w:rPr>
            </w:pPr>
            <w:r>
              <w:rPr>
                <w:color w:val="FF0000"/>
              </w:rPr>
              <w:t>序号</w:t>
            </w:r>
          </w:p>
        </w:tc>
        <w:tc>
          <w:tcPr>
            <w:tcW w:w="2356" w:type="dxa"/>
            <w:tcBorders>
              <w:top w:val="single" w:color="000000" w:sz="12"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工艺单元名称</w:t>
            </w:r>
          </w:p>
        </w:tc>
        <w:tc>
          <w:tcPr>
            <w:tcW w:w="3158" w:type="dxa"/>
            <w:tcBorders>
              <w:top w:val="single" w:color="000000" w:sz="12"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生产工艺</w:t>
            </w:r>
          </w:p>
        </w:tc>
        <w:tc>
          <w:tcPr>
            <w:tcW w:w="1225" w:type="dxa"/>
            <w:tcBorders>
              <w:top w:val="single" w:color="000000" w:sz="12"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数量/</w:t>
            </w:r>
            <w:r>
              <w:rPr>
                <w:rFonts w:ascii="宋体" w:hAnsi="宋体"/>
                <w:color w:val="FF0000"/>
              </w:rPr>
              <w:t>套</w:t>
            </w:r>
          </w:p>
        </w:tc>
        <w:tc>
          <w:tcPr>
            <w:tcW w:w="1088" w:type="dxa"/>
            <w:tcBorders>
              <w:top w:val="single" w:color="000000" w:sz="12" w:space="0"/>
              <w:left w:val="single" w:color="000000" w:sz="6" w:space="0"/>
              <w:bottom w:val="single" w:color="000000" w:sz="6" w:space="0"/>
              <w:right w:val="nil"/>
            </w:tcBorders>
            <w:vAlign w:val="center"/>
          </w:tcPr>
          <w:p>
            <w:pPr>
              <w:pStyle w:val="861"/>
              <w:widowControl w:val="0"/>
              <w:rPr>
                <w:color w:val="FF0000"/>
              </w:rPr>
            </w:pPr>
            <w:r>
              <w:rPr>
                <w:color w:val="FF0000"/>
              </w:rPr>
              <w:t xml:space="preserve">M </w:t>
            </w:r>
            <w:r>
              <w:rPr>
                <w:rFonts w:ascii="宋体" w:hAnsi="宋体"/>
                <w:color w:val="FF0000"/>
              </w:rPr>
              <w:t>分值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31" w:hRule="atLeast"/>
          <w:jc w:val="center"/>
        </w:trPr>
        <w:tc>
          <w:tcPr>
            <w:tcW w:w="1233" w:type="dxa"/>
            <w:tcBorders>
              <w:top w:val="single" w:color="000000" w:sz="6" w:space="0"/>
              <w:left w:val="nil"/>
              <w:bottom w:val="single" w:color="000000" w:sz="6" w:space="0"/>
              <w:right w:val="single" w:color="000000" w:sz="6" w:space="0"/>
            </w:tcBorders>
            <w:vAlign w:val="center"/>
          </w:tcPr>
          <w:p>
            <w:pPr>
              <w:pStyle w:val="861"/>
              <w:widowControl w:val="0"/>
              <w:rPr>
                <w:color w:val="FF0000"/>
              </w:rPr>
            </w:pPr>
            <w:r>
              <w:rPr>
                <w:color w:val="FF0000"/>
              </w:rPr>
              <w:t>1</w:t>
            </w:r>
          </w:p>
        </w:tc>
        <w:tc>
          <w:tcPr>
            <w:tcW w:w="2356"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涉及危险物质管道运输项目、港口/</w:t>
            </w:r>
            <w:r>
              <w:rPr>
                <w:rFonts w:ascii="宋体" w:hAnsi="宋体"/>
                <w:color w:val="FF0000"/>
              </w:rPr>
              <w:t>码头</w:t>
            </w:r>
          </w:p>
        </w:tc>
        <w:tc>
          <w:tcPr>
            <w:tcW w:w="3158"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液碱、硫酸、氯化钙、氢氧化钾、乙醇、乙二醇及汽油、柴油、航空煤油</w:t>
            </w:r>
          </w:p>
        </w:tc>
        <w:tc>
          <w:tcPr>
            <w:tcW w:w="1225" w:type="dxa"/>
            <w:tcBorders>
              <w:top w:val="single" w:color="000000" w:sz="6" w:space="0"/>
              <w:left w:val="single" w:color="000000" w:sz="6" w:space="0"/>
              <w:bottom w:val="single" w:color="000000" w:sz="6" w:space="0"/>
              <w:right w:val="single" w:color="000000" w:sz="6" w:space="0"/>
            </w:tcBorders>
            <w:vAlign w:val="center"/>
          </w:tcPr>
          <w:p>
            <w:pPr>
              <w:pStyle w:val="861"/>
              <w:widowControl w:val="0"/>
              <w:rPr>
                <w:color w:val="FF0000"/>
              </w:rPr>
            </w:pPr>
            <w:r>
              <w:rPr>
                <w:color w:val="FF0000"/>
              </w:rPr>
              <w:t>-</w:t>
            </w:r>
          </w:p>
        </w:tc>
        <w:tc>
          <w:tcPr>
            <w:tcW w:w="1088" w:type="dxa"/>
            <w:tcBorders>
              <w:top w:val="single" w:color="000000" w:sz="6" w:space="0"/>
              <w:left w:val="single" w:color="000000" w:sz="6" w:space="0"/>
              <w:bottom w:val="single" w:color="000000" w:sz="6" w:space="0"/>
              <w:right w:val="nil"/>
            </w:tcBorders>
            <w:vAlign w:val="center"/>
          </w:tcPr>
          <w:p>
            <w:pPr>
              <w:pStyle w:val="861"/>
              <w:widowControl w:val="0"/>
              <w:rPr>
                <w:color w:val="FF0000"/>
              </w:rPr>
            </w:pPr>
            <w:r>
              <w:rPr>
                <w:color w:val="FF0000"/>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31" w:hRule="atLeast"/>
          <w:jc w:val="center"/>
        </w:trPr>
        <w:tc>
          <w:tcPr>
            <w:tcW w:w="1233" w:type="dxa"/>
            <w:tcBorders>
              <w:top w:val="single" w:color="000000" w:sz="6" w:space="0"/>
              <w:left w:val="nil"/>
              <w:bottom w:val="single" w:color="000000" w:sz="12" w:space="0"/>
              <w:right w:val="single" w:color="000000" w:sz="6" w:space="0"/>
            </w:tcBorders>
            <w:vAlign w:val="center"/>
          </w:tcPr>
          <w:p>
            <w:pPr>
              <w:pStyle w:val="861"/>
              <w:widowControl w:val="0"/>
              <w:rPr>
                <w:color w:val="FF0000"/>
              </w:rPr>
            </w:pPr>
            <w:r>
              <w:rPr>
                <w:color w:val="FF0000"/>
              </w:rPr>
              <w:t>2</w:t>
            </w:r>
          </w:p>
        </w:tc>
        <w:tc>
          <w:tcPr>
            <w:tcW w:w="2356" w:type="dxa"/>
            <w:tcBorders>
              <w:top w:val="single" w:color="000000" w:sz="6" w:space="0"/>
              <w:left w:val="single" w:color="000000" w:sz="6" w:space="0"/>
              <w:bottom w:val="single" w:color="000000" w:sz="12" w:space="0"/>
              <w:right w:val="single" w:color="000000" w:sz="6" w:space="0"/>
            </w:tcBorders>
            <w:vAlign w:val="center"/>
          </w:tcPr>
          <w:p>
            <w:pPr>
              <w:pStyle w:val="861"/>
              <w:widowControl w:val="0"/>
              <w:rPr>
                <w:color w:val="FF0000"/>
              </w:rPr>
            </w:pPr>
            <w:r>
              <w:rPr>
                <w:color w:val="FF0000"/>
              </w:rPr>
              <w:t>其他</w:t>
            </w:r>
          </w:p>
        </w:tc>
        <w:tc>
          <w:tcPr>
            <w:tcW w:w="3158" w:type="dxa"/>
            <w:tcBorders>
              <w:top w:val="single" w:color="000000" w:sz="6" w:space="0"/>
              <w:left w:val="single" w:color="000000" w:sz="6" w:space="0"/>
              <w:bottom w:val="single" w:color="000000" w:sz="12" w:space="0"/>
              <w:right w:val="single" w:color="000000" w:sz="6" w:space="0"/>
            </w:tcBorders>
            <w:vAlign w:val="center"/>
          </w:tcPr>
          <w:p>
            <w:pPr>
              <w:pStyle w:val="861"/>
              <w:widowControl w:val="0"/>
              <w:rPr>
                <w:color w:val="FF0000"/>
              </w:rPr>
            </w:pPr>
            <w:r>
              <w:rPr>
                <w:color w:val="FF0000"/>
              </w:rPr>
              <w:t>涉及危险物质使用、贮存的项目</w:t>
            </w:r>
          </w:p>
        </w:tc>
        <w:tc>
          <w:tcPr>
            <w:tcW w:w="1225" w:type="dxa"/>
            <w:tcBorders>
              <w:top w:val="single" w:color="000000" w:sz="6" w:space="0"/>
              <w:left w:val="single" w:color="000000" w:sz="6" w:space="0"/>
              <w:bottom w:val="single" w:color="000000" w:sz="12" w:space="0"/>
              <w:right w:val="single" w:color="000000" w:sz="6" w:space="0"/>
            </w:tcBorders>
            <w:vAlign w:val="center"/>
          </w:tcPr>
          <w:p>
            <w:pPr>
              <w:pStyle w:val="861"/>
              <w:widowControl w:val="0"/>
              <w:rPr>
                <w:color w:val="FF0000"/>
              </w:rPr>
            </w:pPr>
          </w:p>
        </w:tc>
        <w:tc>
          <w:tcPr>
            <w:tcW w:w="1088" w:type="dxa"/>
            <w:tcBorders>
              <w:top w:val="single" w:color="000000" w:sz="6" w:space="0"/>
              <w:left w:val="single" w:color="000000" w:sz="6" w:space="0"/>
              <w:bottom w:val="single" w:color="000000" w:sz="12" w:space="0"/>
              <w:right w:val="nil"/>
            </w:tcBorders>
            <w:vAlign w:val="center"/>
          </w:tcPr>
          <w:p>
            <w:pPr>
              <w:pStyle w:val="861"/>
              <w:widowControl w:val="0"/>
              <w:rPr>
                <w:color w:val="FF0000"/>
              </w:rPr>
            </w:pPr>
            <w:r>
              <w:rPr>
                <w:color w:val="FF0000"/>
              </w:rPr>
              <w:t>5</w:t>
            </w:r>
          </w:p>
        </w:tc>
      </w:tr>
    </w:tbl>
    <w:p>
      <w:pPr>
        <w:pStyle w:val="25"/>
        <w:spacing w:line="360" w:lineRule="auto"/>
        <w:ind w:right="-141" w:rightChars="-59" w:firstLine="480"/>
        <w:rPr>
          <w:rFonts w:ascii="Times New Roman" w:hAnsi="Times New Roman" w:cs="Times New Roman"/>
          <w:color w:val="FF0000"/>
        </w:rPr>
      </w:pPr>
      <w:r>
        <w:rPr>
          <w:rFonts w:ascii="宋体" w:hAnsi="宋体" w:cs="Times New Roman"/>
          <w:color w:val="FF0000"/>
        </w:rPr>
        <w:t>根据《建设项目环境风险评价技术导则》（</w:t>
      </w:r>
      <w:r>
        <w:rPr>
          <w:rFonts w:ascii="Times New Roman" w:hAnsi="Times New Roman" w:cs="Times New Roman"/>
          <w:color w:val="FF0000"/>
        </w:rPr>
        <w:t>HJ 169-2018</w:t>
      </w:r>
      <w:r>
        <w:rPr>
          <w:rFonts w:ascii="宋体" w:hAnsi="宋体" w:cs="Times New Roman"/>
          <w:color w:val="FF0000"/>
        </w:rPr>
        <w:t xml:space="preserve">）附录 </w:t>
      </w:r>
      <w:r>
        <w:rPr>
          <w:rFonts w:ascii="Times New Roman" w:hAnsi="Times New Roman" w:cs="Times New Roman"/>
          <w:color w:val="FF0000"/>
        </w:rPr>
        <w:t>C.1.2</w:t>
      </w:r>
      <w:r>
        <w:rPr>
          <w:rFonts w:ascii="宋体" w:hAnsi="宋体" w:cs="Times New Roman"/>
          <w:color w:val="FF0000"/>
        </w:rPr>
        <w:t xml:space="preserve">，将 </w:t>
      </w:r>
      <w:r>
        <w:rPr>
          <w:rFonts w:ascii="Times New Roman" w:hAnsi="Times New Roman" w:cs="Times New Roman"/>
          <w:color w:val="FF0000"/>
        </w:rPr>
        <w:t xml:space="preserve">M </w:t>
      </w:r>
      <w:r>
        <w:rPr>
          <w:rFonts w:ascii="宋体" w:hAnsi="宋体" w:cs="Times New Roman"/>
          <w:color w:val="FF0000"/>
        </w:rPr>
        <w:t>划分为（</w:t>
      </w:r>
      <w:r>
        <w:rPr>
          <w:rFonts w:ascii="Times New Roman" w:hAnsi="Times New Roman" w:cs="Times New Roman"/>
          <w:color w:val="FF0000"/>
        </w:rPr>
        <w:t>1</w:t>
      </w:r>
      <w:r>
        <w:rPr>
          <w:rFonts w:ascii="宋体" w:hAnsi="宋体" w:cs="Times New Roman"/>
          <w:color w:val="FF0000"/>
        </w:rPr>
        <w:t>）</w:t>
      </w:r>
      <w:r>
        <w:rPr>
          <w:rFonts w:ascii="Times New Roman" w:hAnsi="Times New Roman" w:cs="Times New Roman"/>
          <w:color w:val="FF0000"/>
        </w:rPr>
        <w:t>M</w:t>
      </w:r>
      <w:r>
        <w:rPr>
          <w:rFonts w:ascii="宋体" w:hAnsi="宋体" w:cs="Times New Roman"/>
          <w:color w:val="FF0000"/>
        </w:rPr>
        <w:t>＞</w:t>
      </w:r>
      <w:r>
        <w:rPr>
          <w:rFonts w:ascii="Times New Roman" w:hAnsi="Times New Roman" w:cs="Times New Roman"/>
          <w:color w:val="FF0000"/>
        </w:rPr>
        <w:t>20</w:t>
      </w:r>
      <w:r>
        <w:rPr>
          <w:rFonts w:ascii="宋体" w:hAnsi="宋体" w:cs="Times New Roman"/>
          <w:color w:val="FF0000"/>
        </w:rPr>
        <w:t>；（</w:t>
      </w:r>
      <w:r>
        <w:rPr>
          <w:rFonts w:ascii="Times New Roman" w:hAnsi="Times New Roman" w:cs="Times New Roman"/>
          <w:color w:val="FF0000"/>
        </w:rPr>
        <w:t>2</w:t>
      </w:r>
      <w:r>
        <w:rPr>
          <w:rFonts w:ascii="宋体" w:hAnsi="宋体" w:cs="Times New Roman"/>
          <w:color w:val="FF0000"/>
        </w:rPr>
        <w:t>）</w:t>
      </w:r>
      <w:r>
        <w:rPr>
          <w:rFonts w:ascii="Times New Roman" w:hAnsi="Times New Roman" w:cs="Times New Roman"/>
          <w:color w:val="FF0000"/>
        </w:rPr>
        <w:t>10</w:t>
      </w:r>
      <w:r>
        <w:rPr>
          <w:rFonts w:ascii="宋体" w:hAnsi="宋体" w:cs="Times New Roman"/>
          <w:color w:val="FF0000"/>
        </w:rPr>
        <w:t>＜</w:t>
      </w:r>
      <w:r>
        <w:rPr>
          <w:rFonts w:ascii="Times New Roman" w:hAnsi="Times New Roman" w:cs="Times New Roman"/>
          <w:color w:val="FF0000"/>
        </w:rPr>
        <w:t>M≤20</w:t>
      </w:r>
      <w:r>
        <w:rPr>
          <w:rFonts w:ascii="宋体" w:hAnsi="宋体" w:cs="Times New Roman"/>
          <w:color w:val="FF0000"/>
        </w:rPr>
        <w:t>；（</w:t>
      </w:r>
      <w:r>
        <w:rPr>
          <w:rFonts w:ascii="Times New Roman" w:hAnsi="Times New Roman" w:cs="Times New Roman"/>
          <w:color w:val="FF0000"/>
        </w:rPr>
        <w:t>3</w:t>
      </w:r>
      <w:r>
        <w:rPr>
          <w:rFonts w:ascii="宋体" w:hAnsi="宋体" w:cs="Times New Roman"/>
          <w:color w:val="FF0000"/>
        </w:rPr>
        <w:t>）</w:t>
      </w:r>
      <w:r>
        <w:rPr>
          <w:rFonts w:ascii="Times New Roman" w:hAnsi="Times New Roman" w:cs="Times New Roman"/>
          <w:color w:val="FF0000"/>
        </w:rPr>
        <w:t>5</w:t>
      </w:r>
      <w:r>
        <w:rPr>
          <w:rFonts w:ascii="宋体" w:hAnsi="宋体" w:cs="Times New Roman"/>
          <w:color w:val="FF0000"/>
        </w:rPr>
        <w:t>＜</w:t>
      </w:r>
      <w:r>
        <w:rPr>
          <w:rFonts w:ascii="Times New Roman" w:hAnsi="Times New Roman" w:cs="Times New Roman"/>
          <w:color w:val="FF0000"/>
        </w:rPr>
        <w:t>M≤10</w:t>
      </w:r>
      <w:r>
        <w:rPr>
          <w:rFonts w:ascii="宋体" w:hAnsi="宋体" w:cs="Times New Roman"/>
          <w:color w:val="FF0000"/>
        </w:rPr>
        <w:t>；（</w:t>
      </w:r>
      <w:r>
        <w:rPr>
          <w:rFonts w:ascii="Times New Roman" w:hAnsi="Times New Roman" w:cs="Times New Roman"/>
          <w:color w:val="FF0000"/>
        </w:rPr>
        <w:t>4</w:t>
      </w:r>
      <w:r>
        <w:rPr>
          <w:rFonts w:ascii="宋体" w:hAnsi="宋体" w:cs="Times New Roman"/>
          <w:color w:val="FF0000"/>
        </w:rPr>
        <w:t>）</w:t>
      </w:r>
      <w:r>
        <w:rPr>
          <w:rFonts w:ascii="Times New Roman" w:hAnsi="Times New Roman" w:cs="Times New Roman"/>
          <w:color w:val="FF0000"/>
        </w:rPr>
        <w:t>M=5</w:t>
      </w:r>
      <w:r>
        <w:rPr>
          <w:rFonts w:ascii="宋体" w:hAnsi="宋体" w:cs="Times New Roman"/>
          <w:color w:val="FF0000"/>
        </w:rPr>
        <w:t>，分别以</w:t>
      </w:r>
      <w:r>
        <w:rPr>
          <w:rFonts w:ascii="Times New Roman" w:hAnsi="Times New Roman" w:cs="Times New Roman"/>
          <w:color w:val="FF0000"/>
        </w:rPr>
        <w:t>M1</w:t>
      </w:r>
      <w:r>
        <w:rPr>
          <w:rFonts w:ascii="宋体" w:hAnsi="宋体" w:cs="Times New Roman"/>
          <w:color w:val="FF0000"/>
        </w:rPr>
        <w:t>、</w:t>
      </w:r>
      <w:r>
        <w:rPr>
          <w:rFonts w:ascii="Times New Roman" w:hAnsi="Times New Roman" w:cs="Times New Roman"/>
          <w:color w:val="FF0000"/>
        </w:rPr>
        <w:t>M2</w:t>
      </w:r>
      <w:r>
        <w:rPr>
          <w:rFonts w:ascii="宋体" w:hAnsi="宋体" w:cs="Times New Roman"/>
          <w:color w:val="FF0000"/>
        </w:rPr>
        <w:t>、</w:t>
      </w:r>
      <w:r>
        <w:rPr>
          <w:rFonts w:ascii="Times New Roman" w:hAnsi="Times New Roman" w:cs="Times New Roman"/>
          <w:color w:val="FF0000"/>
        </w:rPr>
        <w:t>M3</w:t>
      </w:r>
      <w:r>
        <w:rPr>
          <w:rFonts w:ascii="宋体" w:hAnsi="宋体" w:cs="Times New Roman"/>
          <w:color w:val="FF0000"/>
        </w:rPr>
        <w:t>、</w:t>
      </w:r>
      <w:r>
        <w:rPr>
          <w:rFonts w:ascii="Times New Roman" w:hAnsi="Times New Roman" w:cs="Times New Roman"/>
          <w:color w:val="FF0000"/>
        </w:rPr>
        <w:t xml:space="preserve">M4 </w:t>
      </w:r>
      <w:r>
        <w:rPr>
          <w:rFonts w:ascii="宋体" w:hAnsi="宋体" w:cs="Times New Roman"/>
          <w:color w:val="FF0000"/>
        </w:rPr>
        <w:t>表示，本项目为设计危险物品管道运输的港口码头及涉及危险物质贮存（罐区）两个部分，根据表</w:t>
      </w:r>
      <w:r>
        <w:rPr>
          <w:rFonts w:ascii="Times New Roman" w:hAnsi="Times New Roman" w:cs="Times New Roman"/>
          <w:color w:val="FF0000"/>
        </w:rPr>
        <w:t>2.3-12</w:t>
      </w:r>
      <w:r>
        <w:rPr>
          <w:rFonts w:ascii="宋体" w:hAnsi="宋体" w:cs="Times New Roman"/>
          <w:color w:val="FF0000"/>
        </w:rPr>
        <w:t>；本项目</w:t>
      </w:r>
      <w:r>
        <w:rPr>
          <w:rFonts w:ascii="Times New Roman" w:hAnsi="Times New Roman" w:cs="Times New Roman"/>
          <w:color w:val="FF0000"/>
        </w:rPr>
        <w:t>M</w:t>
      </w:r>
      <w:r>
        <w:rPr>
          <w:rFonts w:ascii="宋体" w:hAnsi="宋体" w:cs="Times New Roman"/>
          <w:color w:val="FF0000"/>
        </w:rPr>
        <w:t>值为</w:t>
      </w:r>
      <w:r>
        <w:rPr>
          <w:rFonts w:ascii="Times New Roman" w:hAnsi="Times New Roman" w:cs="Times New Roman"/>
          <w:color w:val="FF0000"/>
        </w:rPr>
        <w:t>15</w:t>
      </w:r>
      <w:r>
        <w:rPr>
          <w:rFonts w:ascii="宋体" w:hAnsi="宋体" w:cs="Times New Roman"/>
          <w:color w:val="FF0000"/>
        </w:rPr>
        <w:t>，以</w:t>
      </w:r>
      <w:r>
        <w:rPr>
          <w:rFonts w:ascii="Times New Roman" w:hAnsi="Times New Roman" w:cs="Times New Roman"/>
          <w:color w:val="FF0000"/>
        </w:rPr>
        <w:t>M2</w:t>
      </w:r>
      <w:r>
        <w:rPr>
          <w:rFonts w:ascii="宋体" w:hAnsi="宋体" w:cs="Times New Roman"/>
          <w:color w:val="FF0000"/>
        </w:rPr>
        <w:t>表示。</w:t>
      </w:r>
    </w:p>
    <w:p>
      <w:pPr>
        <w:pStyle w:val="25"/>
        <w:spacing w:line="360" w:lineRule="auto"/>
        <w:ind w:left="420" w:firstLine="0" w:firstLineChars="0"/>
        <w:rPr>
          <w:rFonts w:ascii="Times New Roman" w:hAnsi="Times New Roman" w:cs="Times New Roman"/>
          <w:color w:val="FF0000"/>
        </w:rPr>
      </w:pPr>
      <w:r>
        <w:rPr>
          <w:rFonts w:hint="eastAsia" w:ascii="宋体" w:hAnsi="宋体"/>
          <w:color w:val="FF0000"/>
        </w:rPr>
        <w:t>③</w:t>
      </w:r>
      <w:r>
        <w:rPr>
          <w:rFonts w:ascii="Times New Roman" w:hAnsi="Times New Roman" w:cs="Times New Roman"/>
          <w:color w:val="FF0000"/>
        </w:rPr>
        <w:t>P</w:t>
      </w:r>
      <w:r>
        <w:rPr>
          <w:rFonts w:ascii="宋体" w:hAnsi="宋体" w:cs="Times New Roman"/>
          <w:color w:val="FF0000"/>
        </w:rPr>
        <w:t>值判定</w:t>
      </w:r>
    </w:p>
    <w:p>
      <w:pPr>
        <w:ind w:right="1042" w:firstLine="480"/>
        <w:rPr>
          <w:rFonts w:ascii="Times New Roman" w:hAnsi="Times New Roman" w:cs="Times New Roman"/>
          <w:color w:val="FF0000"/>
        </w:rPr>
      </w:pPr>
      <w:r>
        <w:rPr>
          <w:rFonts w:ascii="宋体" w:hAnsi="宋体" w:cs="Times New Roman"/>
          <w:color w:val="FF0000"/>
        </w:rPr>
        <w:t>根据上述</w:t>
      </w:r>
      <w:r>
        <w:rPr>
          <w:rFonts w:ascii="Times New Roman" w:hAnsi="Times New Roman" w:cs="Times New Roman"/>
          <w:color w:val="FF0000"/>
        </w:rPr>
        <w:t>Q</w:t>
      </w:r>
      <w:r>
        <w:rPr>
          <w:rFonts w:ascii="宋体" w:hAnsi="宋体" w:cs="Times New Roman"/>
          <w:color w:val="FF0000"/>
        </w:rPr>
        <w:t>值及</w:t>
      </w:r>
      <w:r>
        <w:rPr>
          <w:rFonts w:ascii="Times New Roman" w:hAnsi="Times New Roman" w:cs="Times New Roman"/>
          <w:color w:val="FF0000"/>
        </w:rPr>
        <w:t>M</w:t>
      </w:r>
      <w:r>
        <w:rPr>
          <w:rFonts w:ascii="宋体" w:hAnsi="宋体" w:cs="Times New Roman"/>
          <w:color w:val="FF0000"/>
        </w:rPr>
        <w:t>值判定结果，本项目</w:t>
      </w:r>
      <w:r>
        <w:rPr>
          <w:rFonts w:ascii="Times New Roman" w:hAnsi="Times New Roman" w:cs="Times New Roman"/>
          <w:color w:val="FF0000"/>
        </w:rPr>
        <w:t>P</w:t>
      </w:r>
      <w:r>
        <w:fldChar w:fldCharType="begin"/>
      </w:r>
      <w:r>
        <w:instrText xml:space="preserve"> HYPERLINK \l "_bookmark163" </w:instrText>
      </w:r>
      <w:r>
        <w:fldChar w:fldCharType="separate"/>
      </w:r>
      <w:r>
        <w:rPr>
          <w:rStyle w:val="85"/>
          <w:rFonts w:ascii="宋体" w:hAnsi="宋体" w:cs="Times New Roman"/>
          <w:color w:val="FF0000"/>
        </w:rPr>
        <w:t>值判定结果表</w:t>
      </w:r>
      <w:r>
        <w:rPr>
          <w:rStyle w:val="85"/>
          <w:rFonts w:ascii="Times New Roman" w:hAnsi="Times New Roman" w:cs="Times New Roman"/>
          <w:color w:val="FF0000"/>
        </w:rPr>
        <w:t>2.3-13</w:t>
      </w:r>
      <w:r>
        <w:rPr>
          <w:rStyle w:val="85"/>
          <w:rFonts w:ascii="Times New Roman" w:hAnsi="Times New Roman" w:cs="Times New Roman"/>
          <w:color w:val="FF0000"/>
        </w:rPr>
        <w:fldChar w:fldCharType="end"/>
      </w:r>
      <w:r>
        <w:rPr>
          <w:rFonts w:ascii="宋体" w:hAnsi="宋体" w:cs="Times New Roman"/>
          <w:color w:val="FF0000"/>
        </w:rPr>
        <w:t>。</w:t>
      </w:r>
    </w:p>
    <w:p>
      <w:pPr>
        <w:ind w:firstLine="0" w:firstLineChars="0"/>
        <w:jc w:val="center"/>
        <w:rPr>
          <w:rFonts w:ascii="Times New Roman" w:hAnsi="Times New Roman" w:eastAsia="黑体" w:cs="Times New Roman"/>
          <w:b/>
          <w:bCs/>
          <w:color w:val="FF0000"/>
          <w:sz w:val="22"/>
        </w:rPr>
      </w:pPr>
      <w:r>
        <w:rPr>
          <w:rFonts w:ascii="黑体" w:hAnsi="黑体" w:eastAsia="黑体" w:cs="Times New Roman"/>
          <w:b/>
          <w:bCs/>
          <w:color w:val="FF0000"/>
          <w:sz w:val="22"/>
        </w:rPr>
        <w:t>表</w:t>
      </w:r>
      <w:r>
        <w:rPr>
          <w:rFonts w:ascii="Times New Roman" w:hAnsi="Times New Roman" w:eastAsia="黑体" w:cs="Times New Roman"/>
          <w:b/>
          <w:bCs/>
          <w:color w:val="FF0000"/>
          <w:sz w:val="22"/>
        </w:rPr>
        <w:t xml:space="preserve">2.3-13   </w:t>
      </w:r>
      <w:r>
        <w:rPr>
          <w:rFonts w:ascii="黑体" w:hAnsi="黑体" w:eastAsia="黑体" w:cs="Times New Roman"/>
          <w:b/>
          <w:bCs/>
          <w:color w:val="FF0000"/>
          <w:sz w:val="22"/>
        </w:rPr>
        <w:t>危险物质及工艺系统危险性等级判断（</w:t>
      </w:r>
      <w:r>
        <w:rPr>
          <w:rFonts w:ascii="Times New Roman" w:hAnsi="Times New Roman" w:eastAsia="黑体" w:cs="Times New Roman"/>
          <w:b/>
          <w:bCs/>
          <w:color w:val="FF0000"/>
          <w:sz w:val="22"/>
        </w:rPr>
        <w:t>P</w:t>
      </w:r>
      <w:r>
        <w:rPr>
          <w:rFonts w:ascii="黑体" w:hAnsi="黑体" w:eastAsia="黑体" w:cs="Times New Roman"/>
          <w:b/>
          <w:bCs/>
          <w:color w:val="FF0000"/>
          <w:sz w:val="22"/>
        </w:rPr>
        <w:t>）</w:t>
      </w:r>
    </w:p>
    <w:tbl>
      <w:tblPr>
        <w:tblStyle w:val="62"/>
        <w:tblW w:w="9264"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59"/>
        <w:gridCol w:w="1826"/>
        <w:gridCol w:w="1826"/>
        <w:gridCol w:w="1826"/>
        <w:gridCol w:w="182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1" w:hRule="atLeast"/>
        </w:trPr>
        <w:tc>
          <w:tcPr>
            <w:tcW w:w="1959" w:type="dxa"/>
            <w:vMerge w:val="restart"/>
            <w:tcBorders>
              <w:top w:val="single" w:color="auto" w:sz="12" w:space="0"/>
              <w:left w:val="nil"/>
              <w:bottom w:val="single" w:color="auto" w:sz="6" w:space="0"/>
              <w:right w:val="single" w:color="auto" w:sz="6" w:space="0"/>
            </w:tcBorders>
          </w:tcPr>
          <w:p>
            <w:pPr>
              <w:pStyle w:val="861"/>
              <w:widowControl w:val="0"/>
              <w:rPr>
                <w:color w:val="FF0000"/>
                <w:szCs w:val="18"/>
              </w:rPr>
            </w:pPr>
            <w:r>
              <w:rPr>
                <w:color w:val="FF0000"/>
              </w:rPr>
              <w:t>危险物质数量</w:t>
            </w:r>
          </w:p>
          <w:p>
            <w:pPr>
              <w:pStyle w:val="861"/>
              <w:widowControl w:val="0"/>
              <w:rPr>
                <w:color w:val="FF0000"/>
              </w:rPr>
            </w:pPr>
            <w:r>
              <w:rPr>
                <w:color w:val="FF0000"/>
              </w:rPr>
              <w:t>与临界量比值（Q</w:t>
            </w:r>
            <w:r>
              <w:rPr>
                <w:rFonts w:ascii="宋体" w:hAnsi="宋体"/>
                <w:color w:val="FF0000"/>
              </w:rPr>
              <w:t>）</w:t>
            </w:r>
          </w:p>
        </w:tc>
        <w:tc>
          <w:tcPr>
            <w:tcW w:w="7305" w:type="dxa"/>
            <w:gridSpan w:val="4"/>
            <w:tcBorders>
              <w:top w:val="single" w:color="auto" w:sz="12" w:space="0"/>
              <w:left w:val="single" w:color="auto" w:sz="6" w:space="0"/>
              <w:bottom w:val="single" w:color="auto" w:sz="6" w:space="0"/>
              <w:right w:val="nil"/>
            </w:tcBorders>
          </w:tcPr>
          <w:p>
            <w:pPr>
              <w:pStyle w:val="861"/>
              <w:widowControl w:val="0"/>
              <w:rPr>
                <w:color w:val="FF0000"/>
              </w:rPr>
            </w:pPr>
            <w:r>
              <w:rPr>
                <w:color w:val="FF0000"/>
              </w:rPr>
              <w:t>行业及生产工艺（M</w:t>
            </w:r>
            <w:r>
              <w:rPr>
                <w:rFonts w:ascii="宋体" w:hAnsi="宋体"/>
                <w:color w:val="FF0000"/>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2" w:hRule="atLeast"/>
        </w:trPr>
        <w:tc>
          <w:tcPr>
            <w:tcW w:w="1959" w:type="dxa"/>
            <w:vMerge w:val="continue"/>
            <w:tcBorders>
              <w:top w:val="single" w:color="auto" w:sz="12" w:space="0"/>
              <w:left w:val="nil"/>
              <w:bottom w:val="single" w:color="auto" w:sz="6" w:space="0"/>
              <w:right w:val="single" w:color="auto" w:sz="6" w:space="0"/>
            </w:tcBorders>
            <w:vAlign w:val="center"/>
          </w:tcPr>
          <w:p>
            <w:pPr>
              <w:widowControl/>
              <w:adjustRightInd/>
              <w:snapToGrid/>
              <w:spacing w:line="240" w:lineRule="auto"/>
              <w:ind w:firstLine="0" w:firstLineChars="0"/>
              <w:jc w:val="left"/>
              <w:rPr>
                <w:rFonts w:ascii="Times New Roman" w:hAnsi="Times New Roman" w:cs="Times New Roman"/>
                <w:color w:val="FF0000"/>
                <w:kern w:val="0"/>
                <w:sz w:val="18"/>
                <w:szCs w:val="18"/>
              </w:rPr>
            </w:pPr>
          </w:p>
        </w:tc>
        <w:tc>
          <w:tcPr>
            <w:tcW w:w="1826" w:type="dxa"/>
            <w:tcBorders>
              <w:top w:val="single" w:color="auto" w:sz="6" w:space="0"/>
              <w:left w:val="single" w:color="auto" w:sz="6" w:space="0"/>
              <w:bottom w:val="single" w:color="auto" w:sz="6" w:space="0"/>
              <w:right w:val="single" w:color="auto" w:sz="6" w:space="0"/>
            </w:tcBorders>
          </w:tcPr>
          <w:p>
            <w:pPr>
              <w:pStyle w:val="861"/>
              <w:widowControl w:val="0"/>
              <w:rPr>
                <w:color w:val="FF0000"/>
              </w:rPr>
            </w:pPr>
            <w:r>
              <w:rPr>
                <w:color w:val="FF0000"/>
              </w:rPr>
              <w:t>M1</w:t>
            </w:r>
          </w:p>
        </w:tc>
        <w:tc>
          <w:tcPr>
            <w:tcW w:w="1826" w:type="dxa"/>
            <w:tcBorders>
              <w:top w:val="single" w:color="auto" w:sz="6" w:space="0"/>
              <w:left w:val="single" w:color="auto" w:sz="6" w:space="0"/>
              <w:bottom w:val="single" w:color="auto" w:sz="6" w:space="0"/>
              <w:right w:val="single" w:color="auto" w:sz="6" w:space="0"/>
            </w:tcBorders>
          </w:tcPr>
          <w:p>
            <w:pPr>
              <w:pStyle w:val="861"/>
              <w:widowControl w:val="0"/>
              <w:rPr>
                <w:color w:val="FF0000"/>
              </w:rPr>
            </w:pPr>
            <w:r>
              <w:rPr>
                <w:color w:val="FF0000"/>
              </w:rPr>
              <w:t>M2</w:t>
            </w:r>
          </w:p>
        </w:tc>
        <w:tc>
          <w:tcPr>
            <w:tcW w:w="1826" w:type="dxa"/>
            <w:tcBorders>
              <w:top w:val="single" w:color="auto" w:sz="6" w:space="0"/>
              <w:left w:val="single" w:color="auto" w:sz="6" w:space="0"/>
              <w:bottom w:val="single" w:color="auto" w:sz="6" w:space="0"/>
              <w:right w:val="single" w:color="auto" w:sz="6" w:space="0"/>
            </w:tcBorders>
          </w:tcPr>
          <w:p>
            <w:pPr>
              <w:pStyle w:val="861"/>
              <w:widowControl w:val="0"/>
              <w:rPr>
                <w:color w:val="FF0000"/>
              </w:rPr>
            </w:pPr>
            <w:r>
              <w:rPr>
                <w:color w:val="FF0000"/>
              </w:rPr>
              <w:t>M3</w:t>
            </w:r>
          </w:p>
        </w:tc>
        <w:tc>
          <w:tcPr>
            <w:tcW w:w="1827" w:type="dxa"/>
            <w:tcBorders>
              <w:top w:val="single" w:color="auto" w:sz="6" w:space="0"/>
              <w:left w:val="single" w:color="auto" w:sz="6" w:space="0"/>
              <w:bottom w:val="single" w:color="auto" w:sz="6" w:space="0"/>
              <w:right w:val="nil"/>
            </w:tcBorders>
          </w:tcPr>
          <w:p>
            <w:pPr>
              <w:pStyle w:val="861"/>
              <w:widowControl w:val="0"/>
              <w:rPr>
                <w:color w:val="FF0000"/>
              </w:rPr>
            </w:pPr>
            <w:r>
              <w:rPr>
                <w:color w:val="FF0000"/>
              </w:rPr>
              <w:t>M4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2" w:hRule="atLeast"/>
        </w:trPr>
        <w:tc>
          <w:tcPr>
            <w:tcW w:w="1959" w:type="dxa"/>
            <w:tcBorders>
              <w:top w:val="single" w:color="auto" w:sz="6" w:space="0"/>
              <w:left w:val="nil"/>
              <w:bottom w:val="single" w:color="auto" w:sz="6" w:space="0"/>
              <w:right w:val="single" w:color="auto" w:sz="6" w:space="0"/>
            </w:tcBorders>
          </w:tcPr>
          <w:p>
            <w:pPr>
              <w:pStyle w:val="861"/>
              <w:widowControl w:val="0"/>
              <w:rPr>
                <w:color w:val="FF0000"/>
              </w:rPr>
            </w:pPr>
            <w:r>
              <w:rPr>
                <w:color w:val="FF0000"/>
              </w:rPr>
              <w:t>Q≥100</w:t>
            </w:r>
          </w:p>
        </w:tc>
        <w:tc>
          <w:tcPr>
            <w:tcW w:w="1826" w:type="dxa"/>
            <w:tcBorders>
              <w:top w:val="single" w:color="auto" w:sz="6" w:space="0"/>
              <w:left w:val="single" w:color="auto" w:sz="6" w:space="0"/>
              <w:bottom w:val="single" w:color="auto" w:sz="6" w:space="0"/>
              <w:right w:val="single" w:color="auto" w:sz="6" w:space="0"/>
            </w:tcBorders>
          </w:tcPr>
          <w:p>
            <w:pPr>
              <w:pStyle w:val="861"/>
              <w:widowControl w:val="0"/>
              <w:rPr>
                <w:color w:val="FF0000"/>
              </w:rPr>
            </w:pPr>
            <w:r>
              <w:rPr>
                <w:color w:val="FF0000"/>
              </w:rPr>
              <w:t>P1</w:t>
            </w:r>
          </w:p>
        </w:tc>
        <w:tc>
          <w:tcPr>
            <w:tcW w:w="1826" w:type="dxa"/>
            <w:tcBorders>
              <w:top w:val="single" w:color="auto" w:sz="6" w:space="0"/>
              <w:left w:val="single" w:color="auto" w:sz="6" w:space="0"/>
              <w:bottom w:val="single" w:color="auto" w:sz="6" w:space="0"/>
              <w:right w:val="single" w:color="auto" w:sz="6" w:space="0"/>
            </w:tcBorders>
          </w:tcPr>
          <w:p>
            <w:pPr>
              <w:pStyle w:val="861"/>
              <w:widowControl w:val="0"/>
              <w:rPr>
                <w:color w:val="FF0000"/>
              </w:rPr>
            </w:pPr>
            <w:r>
              <w:rPr>
                <w:color w:val="FF0000"/>
              </w:rPr>
              <w:t>P1</w:t>
            </w:r>
          </w:p>
        </w:tc>
        <w:tc>
          <w:tcPr>
            <w:tcW w:w="1826" w:type="dxa"/>
            <w:tcBorders>
              <w:top w:val="single" w:color="auto" w:sz="6" w:space="0"/>
              <w:left w:val="single" w:color="auto" w:sz="6" w:space="0"/>
              <w:bottom w:val="single" w:color="auto" w:sz="6" w:space="0"/>
              <w:right w:val="single" w:color="auto" w:sz="6" w:space="0"/>
            </w:tcBorders>
          </w:tcPr>
          <w:p>
            <w:pPr>
              <w:pStyle w:val="861"/>
              <w:widowControl w:val="0"/>
              <w:rPr>
                <w:color w:val="FF0000"/>
              </w:rPr>
            </w:pPr>
            <w:r>
              <w:rPr>
                <w:color w:val="FF0000"/>
              </w:rPr>
              <w:t>P2</w:t>
            </w:r>
          </w:p>
        </w:tc>
        <w:tc>
          <w:tcPr>
            <w:tcW w:w="1827" w:type="dxa"/>
            <w:tcBorders>
              <w:top w:val="single" w:color="auto" w:sz="6" w:space="0"/>
              <w:left w:val="single" w:color="auto" w:sz="6" w:space="0"/>
              <w:bottom w:val="single" w:color="auto" w:sz="6" w:space="0"/>
              <w:right w:val="nil"/>
            </w:tcBorders>
          </w:tcPr>
          <w:p>
            <w:pPr>
              <w:pStyle w:val="861"/>
              <w:widowControl w:val="0"/>
              <w:rPr>
                <w:color w:val="FF0000"/>
              </w:rPr>
            </w:pPr>
            <w:r>
              <w:rPr>
                <w:color w:val="FF0000"/>
              </w:rPr>
              <w:t>P3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1" w:hRule="atLeast"/>
        </w:trPr>
        <w:tc>
          <w:tcPr>
            <w:tcW w:w="1959" w:type="dxa"/>
            <w:tcBorders>
              <w:top w:val="single" w:color="auto" w:sz="6" w:space="0"/>
              <w:left w:val="nil"/>
              <w:bottom w:val="single" w:color="auto" w:sz="6" w:space="0"/>
              <w:right w:val="single" w:color="auto" w:sz="6" w:space="0"/>
            </w:tcBorders>
          </w:tcPr>
          <w:p>
            <w:pPr>
              <w:pStyle w:val="861"/>
              <w:widowControl w:val="0"/>
              <w:rPr>
                <w:color w:val="FF0000"/>
              </w:rPr>
            </w:pPr>
            <w:r>
              <w:rPr>
                <w:color w:val="FF0000"/>
              </w:rPr>
              <w:t>10≤Q</w:t>
            </w:r>
            <w:r>
              <w:rPr>
                <w:rFonts w:ascii="宋体" w:hAnsi="宋体"/>
                <w:color w:val="FF0000"/>
              </w:rPr>
              <w:t>＜</w:t>
            </w:r>
            <w:r>
              <w:rPr>
                <w:color w:val="FF0000"/>
              </w:rPr>
              <w:t>100</w:t>
            </w:r>
          </w:p>
        </w:tc>
        <w:tc>
          <w:tcPr>
            <w:tcW w:w="1826" w:type="dxa"/>
            <w:tcBorders>
              <w:top w:val="single" w:color="auto" w:sz="6" w:space="0"/>
              <w:left w:val="single" w:color="auto" w:sz="6" w:space="0"/>
              <w:bottom w:val="single" w:color="auto" w:sz="6" w:space="0"/>
              <w:right w:val="single" w:color="auto" w:sz="6" w:space="0"/>
            </w:tcBorders>
          </w:tcPr>
          <w:p>
            <w:pPr>
              <w:pStyle w:val="861"/>
              <w:widowControl w:val="0"/>
              <w:rPr>
                <w:color w:val="FF0000"/>
              </w:rPr>
            </w:pPr>
            <w:r>
              <w:rPr>
                <w:color w:val="FF0000"/>
              </w:rPr>
              <w:t>P1</w:t>
            </w:r>
          </w:p>
        </w:tc>
        <w:tc>
          <w:tcPr>
            <w:tcW w:w="1826" w:type="dxa"/>
            <w:tcBorders>
              <w:top w:val="single" w:color="auto" w:sz="6" w:space="0"/>
              <w:left w:val="single" w:color="auto" w:sz="6" w:space="0"/>
              <w:bottom w:val="single" w:color="auto" w:sz="6" w:space="0"/>
              <w:right w:val="single" w:color="auto" w:sz="6" w:space="0"/>
            </w:tcBorders>
          </w:tcPr>
          <w:p>
            <w:pPr>
              <w:pStyle w:val="861"/>
              <w:widowControl w:val="0"/>
              <w:rPr>
                <w:color w:val="FF0000"/>
              </w:rPr>
            </w:pPr>
            <w:r>
              <w:rPr>
                <w:color w:val="FF0000"/>
              </w:rPr>
              <w:t>P2</w:t>
            </w:r>
          </w:p>
        </w:tc>
        <w:tc>
          <w:tcPr>
            <w:tcW w:w="1826" w:type="dxa"/>
            <w:tcBorders>
              <w:top w:val="single" w:color="auto" w:sz="6" w:space="0"/>
              <w:left w:val="single" w:color="auto" w:sz="6" w:space="0"/>
              <w:bottom w:val="single" w:color="auto" w:sz="6" w:space="0"/>
              <w:right w:val="single" w:color="auto" w:sz="6" w:space="0"/>
            </w:tcBorders>
          </w:tcPr>
          <w:p>
            <w:pPr>
              <w:pStyle w:val="861"/>
              <w:widowControl w:val="0"/>
              <w:rPr>
                <w:color w:val="FF0000"/>
              </w:rPr>
            </w:pPr>
            <w:r>
              <w:rPr>
                <w:color w:val="FF0000"/>
              </w:rPr>
              <w:t>P3</w:t>
            </w:r>
          </w:p>
        </w:tc>
        <w:tc>
          <w:tcPr>
            <w:tcW w:w="1827" w:type="dxa"/>
            <w:tcBorders>
              <w:top w:val="single" w:color="auto" w:sz="6" w:space="0"/>
              <w:left w:val="single" w:color="auto" w:sz="6" w:space="0"/>
              <w:bottom w:val="single" w:color="auto" w:sz="6" w:space="0"/>
              <w:right w:val="nil"/>
            </w:tcBorders>
          </w:tcPr>
          <w:p>
            <w:pPr>
              <w:pStyle w:val="861"/>
              <w:widowControl w:val="0"/>
              <w:rPr>
                <w:color w:val="FF0000"/>
              </w:rPr>
            </w:pPr>
            <w:r>
              <w:rPr>
                <w:color w:val="FF0000"/>
              </w:rPr>
              <w:t>P4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1" w:hRule="atLeast"/>
        </w:trPr>
        <w:tc>
          <w:tcPr>
            <w:tcW w:w="1959" w:type="dxa"/>
            <w:tcBorders>
              <w:top w:val="single" w:color="auto" w:sz="6" w:space="0"/>
              <w:left w:val="nil"/>
              <w:bottom w:val="single" w:color="auto" w:sz="12" w:space="0"/>
              <w:right w:val="single" w:color="auto" w:sz="6" w:space="0"/>
            </w:tcBorders>
          </w:tcPr>
          <w:p>
            <w:pPr>
              <w:pStyle w:val="861"/>
              <w:widowControl w:val="0"/>
              <w:rPr>
                <w:color w:val="FF0000"/>
              </w:rPr>
            </w:pPr>
            <w:r>
              <w:rPr>
                <w:color w:val="FF0000"/>
              </w:rPr>
              <w:t>1≤Q</w:t>
            </w:r>
            <w:r>
              <w:rPr>
                <w:rFonts w:ascii="宋体" w:hAnsi="宋体"/>
                <w:color w:val="FF0000"/>
              </w:rPr>
              <w:t>＜</w:t>
            </w:r>
            <w:r>
              <w:rPr>
                <w:color w:val="FF0000"/>
              </w:rPr>
              <w:t>10</w:t>
            </w:r>
          </w:p>
        </w:tc>
        <w:tc>
          <w:tcPr>
            <w:tcW w:w="1826" w:type="dxa"/>
            <w:tcBorders>
              <w:top w:val="single" w:color="auto" w:sz="6" w:space="0"/>
              <w:left w:val="single" w:color="auto" w:sz="6" w:space="0"/>
              <w:bottom w:val="single" w:color="auto" w:sz="12" w:space="0"/>
              <w:right w:val="single" w:color="auto" w:sz="6" w:space="0"/>
            </w:tcBorders>
          </w:tcPr>
          <w:p>
            <w:pPr>
              <w:pStyle w:val="861"/>
              <w:widowControl w:val="0"/>
              <w:rPr>
                <w:color w:val="FF0000"/>
              </w:rPr>
            </w:pPr>
            <w:r>
              <w:rPr>
                <w:color w:val="FF0000"/>
              </w:rPr>
              <w:t>P2</w:t>
            </w:r>
          </w:p>
        </w:tc>
        <w:tc>
          <w:tcPr>
            <w:tcW w:w="1826" w:type="dxa"/>
            <w:tcBorders>
              <w:top w:val="single" w:color="auto" w:sz="6" w:space="0"/>
              <w:left w:val="single" w:color="auto" w:sz="6" w:space="0"/>
              <w:bottom w:val="single" w:color="auto" w:sz="12" w:space="0"/>
              <w:right w:val="single" w:color="auto" w:sz="6" w:space="0"/>
            </w:tcBorders>
          </w:tcPr>
          <w:p>
            <w:pPr>
              <w:pStyle w:val="861"/>
              <w:widowControl w:val="0"/>
              <w:rPr>
                <w:color w:val="FF0000"/>
              </w:rPr>
            </w:pPr>
            <w:r>
              <w:rPr>
                <w:color w:val="FF0000"/>
              </w:rPr>
              <w:t>P3</w:t>
            </w:r>
          </w:p>
        </w:tc>
        <w:tc>
          <w:tcPr>
            <w:tcW w:w="1826" w:type="dxa"/>
            <w:tcBorders>
              <w:top w:val="single" w:color="auto" w:sz="6" w:space="0"/>
              <w:left w:val="single" w:color="auto" w:sz="6" w:space="0"/>
              <w:bottom w:val="single" w:color="auto" w:sz="12" w:space="0"/>
              <w:right w:val="single" w:color="auto" w:sz="6" w:space="0"/>
            </w:tcBorders>
          </w:tcPr>
          <w:p>
            <w:pPr>
              <w:pStyle w:val="861"/>
              <w:widowControl w:val="0"/>
              <w:rPr>
                <w:color w:val="FF0000"/>
              </w:rPr>
            </w:pPr>
            <w:r>
              <w:rPr>
                <w:color w:val="FF0000"/>
              </w:rPr>
              <w:t>P4</w:t>
            </w:r>
          </w:p>
        </w:tc>
        <w:tc>
          <w:tcPr>
            <w:tcW w:w="1827" w:type="dxa"/>
            <w:tcBorders>
              <w:top w:val="single" w:color="auto" w:sz="6" w:space="0"/>
              <w:left w:val="single" w:color="auto" w:sz="6" w:space="0"/>
              <w:bottom w:val="single" w:color="auto" w:sz="12" w:space="0"/>
              <w:right w:val="nil"/>
            </w:tcBorders>
          </w:tcPr>
          <w:p>
            <w:pPr>
              <w:pStyle w:val="861"/>
              <w:widowControl w:val="0"/>
              <w:rPr>
                <w:color w:val="FF0000"/>
              </w:rPr>
            </w:pPr>
            <w:r>
              <w:rPr>
                <w:color w:val="FF0000"/>
              </w:rPr>
              <w:t>P4</w:t>
            </w:r>
          </w:p>
        </w:tc>
      </w:tr>
    </w:tbl>
    <w:p>
      <w:pPr>
        <w:ind w:firstLine="480"/>
        <w:rPr>
          <w:rFonts w:ascii="Times New Roman" w:hAnsi="Times New Roman" w:cs="Times New Roman"/>
          <w:color w:val="FF0000"/>
        </w:rPr>
      </w:pPr>
      <w:r>
        <w:rPr>
          <w:rFonts w:hint="eastAsia" w:ascii="宋体" w:hAnsi="宋体" w:cs="Times New Roman"/>
          <w:color w:val="FF0000"/>
        </w:rPr>
        <w:t>经判定</w:t>
      </w:r>
      <w:r>
        <w:rPr>
          <w:rFonts w:ascii="宋体" w:hAnsi="宋体" w:cs="Times New Roman"/>
          <w:color w:val="FF0000"/>
        </w:rPr>
        <w:t>，本项目危险物质及工艺系统危险性等级为</w:t>
      </w:r>
      <w:r>
        <w:rPr>
          <w:rFonts w:ascii="Times New Roman" w:hAnsi="Times New Roman" w:cs="Times New Roman"/>
          <w:color w:val="FF0000"/>
        </w:rPr>
        <w:t>P1</w:t>
      </w:r>
      <w:r>
        <w:rPr>
          <w:rFonts w:ascii="宋体" w:hAnsi="宋体" w:cs="Times New Roman"/>
          <w:color w:val="FF0000"/>
        </w:rPr>
        <w:t>。</w:t>
      </w:r>
    </w:p>
    <w:p>
      <w:pPr>
        <w:pStyle w:val="25"/>
        <w:spacing w:line="360" w:lineRule="auto"/>
        <w:ind w:left="420" w:firstLine="0" w:firstLineChars="0"/>
        <w:rPr>
          <w:rFonts w:ascii="Times New Roman" w:hAnsi="Times New Roman" w:cs="Times New Roman"/>
          <w:color w:val="FF0000"/>
        </w:rPr>
      </w:pPr>
      <w:r>
        <w:rPr>
          <w:rFonts w:ascii="宋体" w:hAnsi="宋体"/>
          <w:color w:val="FF0000"/>
        </w:rPr>
        <w:fldChar w:fldCharType="begin"/>
      </w:r>
      <w:r>
        <w:rPr>
          <w:rFonts w:ascii="宋体" w:hAnsi="宋体"/>
          <w:color w:val="FF0000"/>
        </w:rPr>
        <w:instrText xml:space="preserve"> </w:instrText>
      </w:r>
      <w:r>
        <w:rPr>
          <w:rFonts w:hint="eastAsia" w:ascii="宋体" w:hAnsi="宋体"/>
          <w:color w:val="FF0000"/>
        </w:rPr>
        <w:instrText xml:space="preserve">= 4 \* GB3</w:instrText>
      </w:r>
      <w:r>
        <w:rPr>
          <w:rFonts w:ascii="宋体" w:hAnsi="宋体"/>
          <w:color w:val="FF0000"/>
        </w:rPr>
        <w:instrText xml:space="preserve"> </w:instrText>
      </w:r>
      <w:r>
        <w:rPr>
          <w:rFonts w:ascii="宋体" w:hAnsi="宋体"/>
          <w:color w:val="FF0000"/>
        </w:rPr>
        <w:fldChar w:fldCharType="separate"/>
      </w:r>
      <w:r>
        <w:rPr>
          <w:rFonts w:hint="eastAsia" w:ascii="宋体" w:hAnsi="宋体"/>
          <w:color w:val="FF0000"/>
        </w:rPr>
        <w:t>④</w:t>
      </w:r>
      <w:r>
        <w:rPr>
          <w:rFonts w:ascii="宋体" w:hAnsi="宋体"/>
          <w:color w:val="FF0000"/>
        </w:rPr>
        <w:fldChar w:fldCharType="end"/>
      </w:r>
      <w:r>
        <w:rPr>
          <w:rFonts w:ascii="Times New Roman" w:hAnsi="Times New Roman" w:cs="Times New Roman"/>
          <w:color w:val="FF0000"/>
        </w:rPr>
        <w:t>环境敏感程度（E）判</w:t>
      </w:r>
      <w:r>
        <w:rPr>
          <w:rFonts w:ascii="宋体" w:hAnsi="宋体" w:cs="Times New Roman"/>
          <w:color w:val="FF0000"/>
        </w:rPr>
        <w:t>定</w:t>
      </w:r>
    </w:p>
    <w:p>
      <w:pPr>
        <w:ind w:firstLine="480"/>
        <w:rPr>
          <w:rFonts w:ascii="Times New Roman" w:hAnsi="Times New Roman" w:cs="Times New Roman"/>
          <w:color w:val="FF0000"/>
          <w:szCs w:val="24"/>
        </w:rPr>
      </w:pPr>
      <w:r>
        <w:rPr>
          <w:rFonts w:hint="eastAsia" w:ascii="Times New Roman" w:hAnsi="Times New Roman" w:cs="Times New Roman"/>
          <w:color w:val="FF0000"/>
          <w:szCs w:val="24"/>
        </w:rPr>
        <w:t>本项目选址位于肥东县撮镇镇店埠河左岸，属于合肥循环经济示范园规划规划用地范围，根据环境风险保护目标调查结果，本项目</w:t>
      </w:r>
      <w:r>
        <w:rPr>
          <w:rFonts w:ascii="Times New Roman" w:hAnsi="Times New Roman" w:cs="Times New Roman"/>
          <w:color w:val="FF0000"/>
          <w:szCs w:val="24"/>
        </w:rPr>
        <w:t>周边5km范围内居住区、医疗卫生、文化教育、科研、行政办公等机构人口总数大于5万人</w:t>
      </w:r>
      <w:r>
        <w:rPr>
          <w:rFonts w:hint="eastAsia" w:ascii="Times New Roman" w:hAnsi="Times New Roman" w:cs="Times New Roman"/>
          <w:color w:val="FF0000"/>
          <w:szCs w:val="24"/>
        </w:rPr>
        <w:t>，大气环境敏感程度为E</w:t>
      </w:r>
      <w:r>
        <w:rPr>
          <w:rFonts w:ascii="Times New Roman" w:hAnsi="Times New Roman" w:cs="Times New Roman"/>
          <w:color w:val="FF0000"/>
          <w:szCs w:val="24"/>
        </w:rPr>
        <w:t>1</w:t>
      </w:r>
      <w:r>
        <w:rPr>
          <w:rFonts w:hint="eastAsia" w:ascii="Times New Roman" w:hAnsi="Times New Roman" w:cs="Times New Roman"/>
          <w:color w:val="FF0000"/>
          <w:szCs w:val="24"/>
        </w:rPr>
        <w:t>。</w:t>
      </w:r>
    </w:p>
    <w:p>
      <w:pPr>
        <w:ind w:firstLine="480"/>
        <w:rPr>
          <w:rFonts w:ascii="Times New Roman" w:hAnsi="Times New Roman" w:cs="Times New Roman"/>
          <w:color w:val="FF0000"/>
          <w:szCs w:val="24"/>
        </w:rPr>
      </w:pPr>
      <w:r>
        <w:rPr>
          <w:rFonts w:hint="eastAsia" w:ascii="Times New Roman" w:hAnsi="Times New Roman" w:cs="Times New Roman"/>
          <w:color w:val="FF0000"/>
          <w:szCs w:val="24"/>
        </w:rPr>
        <w:t>本项目发生水上溢油事故时，进入地表水体的排放点为店埠河，其水环境功能为</w:t>
      </w:r>
      <w:r>
        <w:rPr>
          <w:rFonts w:ascii="Times New Roman" w:hAnsi="Times New Roman" w:cs="Times New Roman"/>
          <w:color w:val="FF0000"/>
          <w:szCs w:val="24"/>
        </w:rPr>
        <w:fldChar w:fldCharType="begin"/>
      </w:r>
      <w:r>
        <w:rPr>
          <w:rFonts w:ascii="Times New Roman" w:hAnsi="Times New Roman" w:cs="Times New Roman"/>
          <w:color w:val="FF0000"/>
          <w:szCs w:val="24"/>
        </w:rPr>
        <w:instrText xml:space="preserve"> </w:instrText>
      </w:r>
      <w:r>
        <w:rPr>
          <w:rFonts w:hint="eastAsia" w:ascii="Times New Roman" w:hAnsi="Times New Roman" w:cs="Times New Roman"/>
          <w:color w:val="FF0000"/>
          <w:szCs w:val="24"/>
        </w:rPr>
        <w:instrText xml:space="preserve">= 4 \* ROMAN</w:instrText>
      </w:r>
      <w:r>
        <w:rPr>
          <w:rFonts w:ascii="Times New Roman" w:hAnsi="Times New Roman" w:cs="Times New Roman"/>
          <w:color w:val="FF0000"/>
          <w:szCs w:val="24"/>
        </w:rPr>
        <w:instrText xml:space="preserve"> </w:instrText>
      </w:r>
      <w:r>
        <w:rPr>
          <w:rFonts w:ascii="Times New Roman" w:hAnsi="Times New Roman" w:cs="Times New Roman"/>
          <w:color w:val="FF0000"/>
          <w:szCs w:val="24"/>
        </w:rPr>
        <w:fldChar w:fldCharType="separate"/>
      </w:r>
      <w:r>
        <w:rPr>
          <w:rFonts w:ascii="Times New Roman" w:hAnsi="Times New Roman" w:cs="Times New Roman"/>
          <w:color w:val="FF0000"/>
          <w:szCs w:val="24"/>
        </w:rPr>
        <w:t>IV</w:t>
      </w:r>
      <w:r>
        <w:rPr>
          <w:rFonts w:ascii="Times New Roman" w:hAnsi="Times New Roman" w:cs="Times New Roman"/>
          <w:color w:val="FF0000"/>
          <w:szCs w:val="24"/>
        </w:rPr>
        <w:fldChar w:fldCharType="end"/>
      </w:r>
      <w:r>
        <w:rPr>
          <w:rFonts w:hint="eastAsia" w:ascii="Times New Roman" w:hAnsi="Times New Roman" w:cs="Times New Roman"/>
          <w:color w:val="FF0000"/>
          <w:szCs w:val="24"/>
        </w:rPr>
        <w:t>类；发生事故时，危险物质泄漏到店埠河的排放点下游（顺水流向）10 km 范围内存在重要湿地（肥东临河省级湿地公园），判定地表水环境敏感程度为E</w:t>
      </w:r>
      <w:r>
        <w:rPr>
          <w:rFonts w:ascii="Times New Roman" w:hAnsi="Times New Roman" w:cs="Times New Roman"/>
          <w:color w:val="FF0000"/>
          <w:szCs w:val="24"/>
        </w:rPr>
        <w:t>1</w:t>
      </w:r>
      <w:r>
        <w:rPr>
          <w:rFonts w:hint="eastAsia" w:ascii="Times New Roman" w:hAnsi="Times New Roman" w:cs="Times New Roman"/>
          <w:color w:val="FF0000"/>
          <w:szCs w:val="24"/>
        </w:rPr>
        <w:t>。</w:t>
      </w:r>
    </w:p>
    <w:p>
      <w:pPr>
        <w:pStyle w:val="25"/>
        <w:spacing w:line="360" w:lineRule="auto"/>
        <w:ind w:firstLine="480"/>
        <w:rPr>
          <w:rFonts w:ascii="Times New Roman" w:hAnsi="Times New Roman" w:cs="Times New Roman"/>
          <w:color w:val="FF0000"/>
          <w:szCs w:val="24"/>
        </w:rPr>
      </w:pPr>
      <w:r>
        <w:rPr>
          <w:rFonts w:hint="eastAsia" w:ascii="Times New Roman" w:hAnsi="Times New Roman" w:cs="Times New Roman"/>
          <w:color w:val="FF0000"/>
          <w:szCs w:val="24"/>
        </w:rPr>
        <w:t>根据本项目场地地勘资料，项目所在地包气带岩土的渗透性能为D</w:t>
      </w:r>
      <w:r>
        <w:rPr>
          <w:rFonts w:ascii="Times New Roman" w:hAnsi="Times New Roman" w:cs="Times New Roman"/>
          <w:color w:val="FF0000"/>
          <w:szCs w:val="24"/>
        </w:rPr>
        <w:t>2</w:t>
      </w:r>
      <w:r>
        <w:rPr>
          <w:rFonts w:hint="eastAsia" w:ascii="Times New Roman" w:hAnsi="Times New Roman" w:cs="Times New Roman"/>
          <w:color w:val="FF0000"/>
          <w:szCs w:val="24"/>
        </w:rPr>
        <w:t>，</w:t>
      </w:r>
      <w:r>
        <w:rPr>
          <w:rFonts w:ascii="Times New Roman" w:hAnsi="Times New Roman" w:cs="Times New Roman"/>
          <w:color w:val="FF0000"/>
          <w:szCs w:val="24"/>
        </w:rPr>
        <w:t>经过现场调查，项目周边</w:t>
      </w:r>
      <w:r>
        <w:rPr>
          <w:rFonts w:hint="eastAsia" w:ascii="Times New Roman" w:hAnsi="Times New Roman" w:cs="Times New Roman"/>
          <w:color w:val="FF0000"/>
          <w:szCs w:val="24"/>
        </w:rPr>
        <w:t>地下水评价范围内</w:t>
      </w:r>
      <w:r>
        <w:rPr>
          <w:rFonts w:ascii="Times New Roman" w:hAnsi="Times New Roman" w:cs="Times New Roman"/>
          <w:color w:val="FF0000"/>
          <w:szCs w:val="24"/>
        </w:rPr>
        <w:t>区域居民饮用水均由城市自来水厂供水</w:t>
      </w:r>
      <w:r>
        <w:rPr>
          <w:rFonts w:hint="eastAsia" w:ascii="Times New Roman" w:hAnsi="Times New Roman" w:cs="Times New Roman"/>
          <w:color w:val="FF0000"/>
          <w:szCs w:val="24"/>
        </w:rPr>
        <w:t>；区域村庄民井（分散式饮用水源）均已不具备饮用功能</w:t>
      </w:r>
      <w:r>
        <w:rPr>
          <w:rFonts w:ascii="Times New Roman" w:hAnsi="Times New Roman" w:cs="Times New Roman"/>
          <w:color w:val="FF0000"/>
          <w:szCs w:val="24"/>
        </w:rPr>
        <w:t>；此外，项目所在区域无集中式饮用水水源(包括已建成的在用、备用、应急水源，在建和规划的饮用水水源)准保护区；无除集中式饮用水水源以外的国家或地方政府设定的与地下水环境相关的其它保护区，如热水、矿泉水、温泉等特殊地下水资源保护区等敏感区；</w:t>
      </w:r>
      <w:r>
        <w:rPr>
          <w:rFonts w:hint="eastAsia" w:ascii="Times New Roman" w:hAnsi="Times New Roman" w:cs="Times New Roman"/>
          <w:color w:val="FF0000"/>
          <w:szCs w:val="24"/>
        </w:rPr>
        <w:t>地下水功能敏感性为不敏感G</w:t>
      </w:r>
      <w:r>
        <w:rPr>
          <w:rFonts w:ascii="Times New Roman" w:hAnsi="Times New Roman" w:cs="Times New Roman"/>
          <w:color w:val="FF0000"/>
          <w:szCs w:val="24"/>
        </w:rPr>
        <w:t>3</w:t>
      </w:r>
      <w:r>
        <w:rPr>
          <w:rFonts w:hint="eastAsia" w:ascii="Times New Roman" w:hAnsi="Times New Roman" w:cs="Times New Roman"/>
          <w:color w:val="FF0000"/>
          <w:szCs w:val="24"/>
        </w:rPr>
        <w:t>。判定地下水环境敏感程度为E</w:t>
      </w:r>
      <w:r>
        <w:rPr>
          <w:rFonts w:ascii="Times New Roman" w:hAnsi="Times New Roman" w:cs="Times New Roman"/>
          <w:color w:val="FF0000"/>
          <w:szCs w:val="24"/>
        </w:rPr>
        <w:t>3</w:t>
      </w:r>
      <w:r>
        <w:rPr>
          <w:rFonts w:hint="eastAsia" w:ascii="Times New Roman" w:hAnsi="Times New Roman" w:cs="Times New Roman"/>
          <w:color w:val="FF0000"/>
          <w:szCs w:val="24"/>
        </w:rPr>
        <w:t>。</w:t>
      </w:r>
    </w:p>
    <w:p>
      <w:pPr>
        <w:ind w:firstLine="480"/>
        <w:rPr>
          <w:rFonts w:ascii="Times New Roman" w:hAnsi="Times New Roman" w:cs="Times New Roman"/>
          <w:b/>
          <w:color w:val="FF0000"/>
          <w:sz w:val="21"/>
          <w:szCs w:val="21"/>
        </w:rPr>
      </w:pPr>
      <w:r>
        <w:rPr>
          <w:rFonts w:ascii="Times New Roman" w:hAnsi="Times New Roman" w:cs="Times New Roman"/>
          <w:color w:val="FF0000"/>
          <w:szCs w:val="24"/>
        </w:rPr>
        <w:t>具体见表2.3-14。</w:t>
      </w:r>
    </w:p>
    <w:p>
      <w:pPr>
        <w:spacing w:line="240" w:lineRule="auto"/>
        <w:ind w:firstLine="422"/>
        <w:jc w:val="center"/>
        <w:rPr>
          <w:rFonts w:ascii="Times New Roman" w:hAnsi="Times New Roman" w:cs="Times New Roman"/>
          <w:b/>
          <w:color w:val="FF0000"/>
          <w:sz w:val="21"/>
          <w:szCs w:val="21"/>
        </w:rPr>
      </w:pPr>
      <w:r>
        <w:rPr>
          <w:rFonts w:ascii="Times New Roman" w:hAnsi="Times New Roman" w:cs="Times New Roman"/>
          <w:b/>
          <w:color w:val="FF0000"/>
          <w:sz w:val="21"/>
          <w:szCs w:val="21"/>
        </w:rPr>
        <w:t>表2.3-14  环境敏感程度（E）分级</w:t>
      </w:r>
    </w:p>
    <w:tbl>
      <w:tblPr>
        <w:tblStyle w:val="62"/>
        <w:tblpPr w:leftFromText="180" w:rightFromText="180" w:vertAnchor="text" w:tblpXSpec="center" w:tblpY="1"/>
        <w:tblOverlap w:val="never"/>
        <w:tblW w:w="946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2"/>
        <w:gridCol w:w="2570"/>
        <w:gridCol w:w="2487"/>
        <w:gridCol w:w="1300"/>
        <w:gridCol w:w="1111"/>
        <w:gridCol w:w="11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832" w:type="dxa"/>
            <w:tcBorders>
              <w:top w:val="single" w:color="auto" w:sz="12" w:space="0"/>
              <w:left w:val="nil"/>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环境要素</w:t>
            </w:r>
          </w:p>
        </w:tc>
        <w:tc>
          <w:tcPr>
            <w:tcW w:w="2570" w:type="dxa"/>
            <w:tcBorders>
              <w:top w:val="single" w:color="auto" w:sz="12"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大气</w:t>
            </w:r>
          </w:p>
        </w:tc>
        <w:tc>
          <w:tcPr>
            <w:tcW w:w="3787" w:type="dxa"/>
            <w:gridSpan w:val="2"/>
            <w:tcBorders>
              <w:top w:val="single" w:color="auto" w:sz="12"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地表水</w:t>
            </w:r>
          </w:p>
        </w:tc>
        <w:tc>
          <w:tcPr>
            <w:tcW w:w="2275" w:type="dxa"/>
            <w:gridSpan w:val="2"/>
            <w:tcBorders>
              <w:top w:val="single" w:color="auto" w:sz="12" w:space="0"/>
              <w:left w:val="single" w:color="auto" w:sz="4" w:space="0"/>
              <w:bottom w:val="single" w:color="auto" w:sz="4" w:space="0"/>
              <w:right w:val="nil"/>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地下水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4" w:hRule="atLeast"/>
        </w:trPr>
        <w:tc>
          <w:tcPr>
            <w:tcW w:w="832" w:type="dxa"/>
            <w:vMerge w:val="restart"/>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判断依据</w:t>
            </w:r>
          </w:p>
        </w:tc>
        <w:tc>
          <w:tcPr>
            <w:tcW w:w="257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rPr>
              <w:t>周边5km范围内居住区、医疗卫生、文化教育、科研、行政办公等机构人口总数大于5万人</w:t>
            </w:r>
          </w:p>
        </w:tc>
        <w:tc>
          <w:tcPr>
            <w:tcW w:w="248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rPr>
              <w:t>排水点下游（顺水流向）10km范围内、近岸海域一个潮水周期水质点可能达到的最大水平距离的两倍范围内，无上述类型1和类型2包括的敏感保护目标。</w:t>
            </w:r>
          </w:p>
        </w:tc>
        <w:tc>
          <w:tcPr>
            <w:tcW w:w="130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rPr>
              <w:t>F2较敏感性地区</w:t>
            </w:r>
          </w:p>
        </w:tc>
        <w:tc>
          <w:tcPr>
            <w:tcW w:w="111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包气带防污性能</w:t>
            </w:r>
          </w:p>
        </w:tc>
        <w:tc>
          <w:tcPr>
            <w:tcW w:w="1164" w:type="dxa"/>
            <w:tcBorders>
              <w:top w:val="single" w:color="auto" w:sz="4" w:space="0"/>
              <w:left w:val="single" w:color="auto" w:sz="4" w:space="0"/>
              <w:bottom w:val="single" w:color="auto" w:sz="4" w:space="0"/>
              <w:right w:val="nil"/>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地下水功能敏感性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832" w:type="dxa"/>
            <w:vMerge w:val="continue"/>
            <w:tcBorders>
              <w:top w:val="single" w:color="auto" w:sz="4" w:space="0"/>
              <w:left w:val="nil"/>
              <w:bottom w:val="single" w:color="auto" w:sz="4" w:space="0"/>
              <w:right w:val="single" w:color="auto" w:sz="4" w:space="0"/>
            </w:tcBorders>
            <w:vAlign w:val="center"/>
          </w:tcPr>
          <w:p>
            <w:pPr>
              <w:widowControl/>
              <w:adjustRightInd/>
              <w:spacing w:line="240" w:lineRule="auto"/>
              <w:ind w:firstLine="0" w:firstLineChars="0"/>
              <w:jc w:val="left"/>
              <w:rPr>
                <w:rFonts w:ascii="Times New Roman" w:hAnsi="Times New Roman" w:cs="Times New Roman"/>
                <w:color w:val="FF0000"/>
                <w:sz w:val="18"/>
                <w:szCs w:val="18"/>
                <w:lang w:val="zh-CN"/>
              </w:rPr>
            </w:pPr>
          </w:p>
        </w:tc>
        <w:tc>
          <w:tcPr>
            <w:tcW w:w="257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E1</w:t>
            </w:r>
          </w:p>
        </w:tc>
        <w:tc>
          <w:tcPr>
            <w:tcW w:w="248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S1</w:t>
            </w:r>
          </w:p>
        </w:tc>
        <w:tc>
          <w:tcPr>
            <w:tcW w:w="130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F</w:t>
            </w:r>
            <w:r>
              <w:rPr>
                <w:rFonts w:ascii="Times New Roman" w:hAnsi="Times New Roman" w:cs="Times New Roman"/>
                <w:color w:val="FF0000"/>
                <w:sz w:val="18"/>
                <w:szCs w:val="18"/>
              </w:rPr>
              <w:t>2</w:t>
            </w:r>
          </w:p>
        </w:tc>
        <w:tc>
          <w:tcPr>
            <w:tcW w:w="111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D3</w:t>
            </w:r>
          </w:p>
        </w:tc>
        <w:tc>
          <w:tcPr>
            <w:tcW w:w="1164" w:type="dxa"/>
            <w:tcBorders>
              <w:top w:val="single" w:color="auto" w:sz="4" w:space="0"/>
              <w:left w:val="single" w:color="auto" w:sz="4" w:space="0"/>
              <w:bottom w:val="single" w:color="auto" w:sz="4" w:space="0"/>
              <w:right w:val="nil"/>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G3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832" w:type="dxa"/>
            <w:vMerge w:val="continue"/>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left"/>
              <w:rPr>
                <w:rFonts w:ascii="Times New Roman" w:hAnsi="Times New Roman" w:cs="Times New Roman"/>
                <w:color w:val="FF0000"/>
                <w:sz w:val="18"/>
                <w:szCs w:val="18"/>
                <w:lang w:val="zh-CN"/>
              </w:rPr>
            </w:pPr>
          </w:p>
        </w:tc>
        <w:tc>
          <w:tcPr>
            <w:tcW w:w="257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大气环境敏感程度</w:t>
            </w:r>
          </w:p>
        </w:tc>
        <w:tc>
          <w:tcPr>
            <w:tcW w:w="378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地表水环境敏感程度</w:t>
            </w:r>
          </w:p>
        </w:tc>
        <w:tc>
          <w:tcPr>
            <w:tcW w:w="2275" w:type="dxa"/>
            <w:gridSpan w:val="2"/>
            <w:tcBorders>
              <w:top w:val="single" w:color="auto" w:sz="4" w:space="0"/>
              <w:left w:val="single" w:color="auto" w:sz="4" w:space="0"/>
              <w:bottom w:val="single" w:color="auto" w:sz="4" w:space="0"/>
              <w:right w:val="nil"/>
            </w:tcBorders>
            <w:shd w:val="clear" w:color="auto" w:fill="FFFFFF"/>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地下水环境敏感程度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832" w:type="dxa"/>
            <w:vMerge w:val="continue"/>
            <w:tcBorders>
              <w:top w:val="single" w:color="auto" w:sz="4" w:space="0"/>
              <w:left w:val="nil"/>
              <w:bottom w:val="single" w:color="auto" w:sz="4" w:space="0"/>
              <w:right w:val="single" w:color="auto" w:sz="4" w:space="0"/>
            </w:tcBorders>
            <w:vAlign w:val="center"/>
          </w:tcPr>
          <w:p>
            <w:pPr>
              <w:widowControl/>
              <w:adjustRightInd/>
              <w:spacing w:line="240" w:lineRule="auto"/>
              <w:ind w:firstLine="0" w:firstLineChars="0"/>
              <w:jc w:val="left"/>
              <w:rPr>
                <w:rFonts w:ascii="Times New Roman" w:hAnsi="Times New Roman" w:cs="Times New Roman"/>
                <w:color w:val="FF0000"/>
                <w:sz w:val="18"/>
                <w:szCs w:val="18"/>
                <w:lang w:val="zh-CN"/>
              </w:rPr>
            </w:pPr>
          </w:p>
        </w:tc>
        <w:tc>
          <w:tcPr>
            <w:tcW w:w="2570"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E</w:t>
            </w:r>
            <w:r>
              <w:rPr>
                <w:rFonts w:ascii="Times New Roman" w:hAnsi="Times New Roman" w:cs="Times New Roman"/>
                <w:color w:val="FF0000"/>
                <w:sz w:val="18"/>
                <w:szCs w:val="18"/>
              </w:rPr>
              <w:t>1</w:t>
            </w:r>
          </w:p>
        </w:tc>
        <w:tc>
          <w:tcPr>
            <w:tcW w:w="3787" w:type="dxa"/>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E</w:t>
            </w:r>
            <w:r>
              <w:rPr>
                <w:rFonts w:ascii="Times New Roman" w:hAnsi="Times New Roman" w:cs="Times New Roman"/>
                <w:color w:val="FF0000"/>
                <w:sz w:val="18"/>
                <w:szCs w:val="18"/>
              </w:rPr>
              <w:t>1</w:t>
            </w:r>
          </w:p>
        </w:tc>
        <w:tc>
          <w:tcPr>
            <w:tcW w:w="2275" w:type="dxa"/>
            <w:gridSpan w:val="2"/>
            <w:tcBorders>
              <w:top w:val="single" w:color="auto" w:sz="4" w:space="0"/>
              <w:left w:val="single" w:color="auto" w:sz="4" w:space="0"/>
              <w:bottom w:val="single" w:color="auto" w:sz="4" w:space="0"/>
              <w:right w:val="nil"/>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E3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 w:hRule="atLeast"/>
        </w:trPr>
        <w:tc>
          <w:tcPr>
            <w:tcW w:w="832" w:type="dxa"/>
            <w:tcBorders>
              <w:top w:val="single" w:color="auto" w:sz="4" w:space="0"/>
              <w:left w:val="nil"/>
              <w:bottom w:val="single" w:color="auto" w:sz="12" w:space="0"/>
              <w:right w:val="single" w:color="auto" w:sz="4" w:space="0"/>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环境敏感程度</w:t>
            </w:r>
          </w:p>
        </w:tc>
        <w:tc>
          <w:tcPr>
            <w:tcW w:w="8632" w:type="dxa"/>
            <w:gridSpan w:val="5"/>
            <w:tcBorders>
              <w:top w:val="single" w:color="auto" w:sz="4" w:space="0"/>
              <w:left w:val="single" w:color="auto" w:sz="4" w:space="0"/>
              <w:bottom w:val="single" w:color="auto" w:sz="12" w:space="0"/>
              <w:right w:val="nil"/>
            </w:tcBorders>
            <w:vAlign w:val="center"/>
          </w:tcPr>
          <w:p>
            <w:pPr>
              <w:widowControl/>
              <w:spacing w:line="240" w:lineRule="auto"/>
              <w:ind w:firstLine="0" w:firstLineChars="0"/>
              <w:jc w:val="center"/>
              <w:rPr>
                <w:rFonts w:ascii="Times New Roman" w:hAnsi="Times New Roman" w:cs="Times New Roman"/>
                <w:color w:val="FF0000"/>
                <w:sz w:val="18"/>
                <w:szCs w:val="18"/>
                <w:lang w:val="zh-CN"/>
              </w:rPr>
            </w:pPr>
            <w:r>
              <w:rPr>
                <w:rFonts w:ascii="Times New Roman" w:hAnsi="Times New Roman" w:cs="Times New Roman"/>
                <w:color w:val="FF0000"/>
                <w:sz w:val="18"/>
                <w:szCs w:val="18"/>
                <w:lang w:val="zh-CN"/>
              </w:rPr>
              <w:t>E</w:t>
            </w:r>
            <w:r>
              <w:rPr>
                <w:rFonts w:ascii="Times New Roman" w:hAnsi="Times New Roman" w:cs="Times New Roman"/>
                <w:color w:val="FF0000"/>
                <w:sz w:val="18"/>
                <w:szCs w:val="18"/>
              </w:rPr>
              <w:t>1</w:t>
            </w:r>
          </w:p>
        </w:tc>
      </w:tr>
    </w:tbl>
    <w:p>
      <w:pPr>
        <w:adjustRightInd/>
        <w:snapToGrid/>
        <w:ind w:firstLine="480"/>
        <w:rPr>
          <w:rFonts w:ascii="Times New Roman" w:hAnsi="Times New Roman" w:cs="Times New Roman"/>
          <w:color w:val="auto"/>
          <w:szCs w:val="24"/>
        </w:rPr>
      </w:pPr>
      <w:bookmarkStart w:id="99" w:name="_Hlk46329041"/>
      <w:r>
        <w:rPr>
          <w:rFonts w:ascii="Times New Roman" w:hAnsi="Times New Roman" w:cs="Times New Roman"/>
          <w:color w:val="auto"/>
          <w:szCs w:val="24"/>
        </w:rPr>
        <w:t>根据</w:t>
      </w:r>
      <w:r>
        <w:rPr>
          <w:rFonts w:ascii="宋体" w:hAnsi="宋体" w:cs="Times New Roman"/>
        </w:rPr>
        <w:t>本项目危险物质及工艺系统危险性等级</w:t>
      </w:r>
      <w:r>
        <w:rPr>
          <w:rFonts w:hint="eastAsia" w:ascii="宋体" w:hAnsi="宋体" w:cs="Times New Roman"/>
        </w:rPr>
        <w:t>，结合</w:t>
      </w:r>
      <w:r>
        <w:rPr>
          <w:rFonts w:hint="eastAsia" w:ascii="Times New Roman" w:hAnsi="Times New Roman" w:cs="Times New Roman"/>
          <w:color w:val="auto"/>
          <w:szCs w:val="24"/>
        </w:rPr>
        <w:t>大气、地表水、地下水环境敏感程度</w:t>
      </w:r>
      <w:r>
        <w:rPr>
          <w:rFonts w:ascii="Times New Roman" w:hAnsi="Times New Roman" w:cs="Times New Roman"/>
          <w:color w:val="auto"/>
          <w:szCs w:val="24"/>
        </w:rPr>
        <w:t>判定结果，大气环境风险潜势为</w:t>
      </w:r>
      <w:r>
        <w:rPr>
          <w:rFonts w:ascii="Times New Roman" w:hAnsi="Times New Roman" w:cs="Times New Roman"/>
          <w:szCs w:val="18"/>
        </w:rPr>
        <w:t>IV</w:t>
      </w:r>
      <w:r>
        <w:rPr>
          <w:rFonts w:ascii="Times New Roman" w:hAnsi="Times New Roman" w:cs="Times New Roman"/>
          <w:szCs w:val="18"/>
          <w:vertAlign w:val="superscript"/>
        </w:rPr>
        <w:t>+</w:t>
      </w:r>
      <w:r>
        <w:rPr>
          <w:rFonts w:ascii="Times New Roman" w:hAnsi="Times New Roman" w:cs="Times New Roman"/>
          <w:color w:val="auto"/>
          <w:szCs w:val="24"/>
        </w:rPr>
        <w:t>级，地表水环境风险潜势为</w:t>
      </w:r>
      <w:r>
        <w:rPr>
          <w:rFonts w:ascii="Times New Roman" w:hAnsi="Times New Roman" w:cs="Times New Roman"/>
          <w:szCs w:val="18"/>
        </w:rPr>
        <w:t>IV</w:t>
      </w:r>
      <w:r>
        <w:rPr>
          <w:rFonts w:ascii="Times New Roman" w:hAnsi="Times New Roman" w:cs="Times New Roman"/>
          <w:szCs w:val="18"/>
          <w:vertAlign w:val="superscript"/>
        </w:rPr>
        <w:t>+</w:t>
      </w:r>
      <w:r>
        <w:rPr>
          <w:rFonts w:ascii="Times New Roman" w:hAnsi="Times New Roman" w:cs="Times New Roman"/>
          <w:color w:val="auto"/>
          <w:szCs w:val="24"/>
        </w:rPr>
        <w:t>级，地下水环境风险潜势为III级，因此，</w:t>
      </w:r>
      <w:r>
        <w:rPr>
          <w:rFonts w:hint="eastAsia" w:ascii="Times New Roman" w:hAnsi="Times New Roman" w:cs="Times New Roman"/>
          <w:color w:val="auto"/>
          <w:szCs w:val="24"/>
        </w:rPr>
        <w:t>本</w:t>
      </w:r>
      <w:r>
        <w:rPr>
          <w:rFonts w:ascii="Times New Roman" w:hAnsi="Times New Roman" w:cs="Times New Roman"/>
          <w:color w:val="auto"/>
          <w:szCs w:val="24"/>
        </w:rPr>
        <w:t>项目环境风险潜势为</w:t>
      </w:r>
      <w:r>
        <w:rPr>
          <w:rFonts w:ascii="Times New Roman" w:hAnsi="Times New Roman" w:cs="Times New Roman"/>
          <w:szCs w:val="18"/>
        </w:rPr>
        <w:t>IV</w:t>
      </w:r>
      <w:r>
        <w:rPr>
          <w:rFonts w:ascii="Times New Roman" w:hAnsi="Times New Roman" w:cs="Times New Roman"/>
          <w:szCs w:val="18"/>
          <w:vertAlign w:val="superscript"/>
        </w:rPr>
        <w:t>+</w:t>
      </w:r>
      <w:r>
        <w:rPr>
          <w:rFonts w:ascii="Times New Roman" w:hAnsi="Times New Roman" w:cs="Times New Roman"/>
          <w:color w:val="auto"/>
          <w:szCs w:val="24"/>
        </w:rPr>
        <w:t>级。具体见表2.3-15。</w:t>
      </w:r>
    </w:p>
    <w:p>
      <w:pPr>
        <w:spacing w:line="240" w:lineRule="auto"/>
        <w:ind w:firstLine="422"/>
        <w:jc w:val="center"/>
        <w:rPr>
          <w:rFonts w:ascii="Times New Roman" w:hAnsi="Times New Roman" w:cs="Times New Roman"/>
          <w:b/>
          <w:color w:val="auto"/>
          <w:sz w:val="21"/>
          <w:szCs w:val="21"/>
        </w:rPr>
      </w:pPr>
      <w:r>
        <w:rPr>
          <w:rFonts w:ascii="Times New Roman" w:hAnsi="Times New Roman" w:cs="Times New Roman"/>
          <w:b/>
          <w:color w:val="auto"/>
          <w:sz w:val="21"/>
          <w:szCs w:val="21"/>
        </w:rPr>
        <w:t>表2.3-15  环境风险潜势划分</w:t>
      </w:r>
    </w:p>
    <w:tbl>
      <w:tblPr>
        <w:tblStyle w:val="62"/>
        <w:tblW w:w="9285"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57" w:type="dxa"/>
          <w:left w:w="108" w:type="dxa"/>
          <w:bottom w:w="57" w:type="dxa"/>
          <w:right w:w="108" w:type="dxa"/>
        </w:tblCellMar>
      </w:tblPr>
      <w:tblGrid>
        <w:gridCol w:w="2308"/>
        <w:gridCol w:w="1605"/>
        <w:gridCol w:w="1891"/>
        <w:gridCol w:w="1753"/>
        <w:gridCol w:w="1728"/>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57" w:type="dxa"/>
            <w:left w:w="108" w:type="dxa"/>
            <w:bottom w:w="57" w:type="dxa"/>
            <w:right w:w="108" w:type="dxa"/>
          </w:tblCellMar>
        </w:tblPrEx>
        <w:trPr>
          <w:trHeight w:val="90" w:hRule="atLeast"/>
          <w:tblHeader/>
        </w:trPr>
        <w:tc>
          <w:tcPr>
            <w:tcW w:w="2308" w:type="dxa"/>
            <w:vMerge w:val="restart"/>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环境敏感程度（E）</w:t>
            </w:r>
          </w:p>
        </w:tc>
        <w:tc>
          <w:tcPr>
            <w:tcW w:w="6977" w:type="dxa"/>
            <w:gridSpan w:val="4"/>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危险物质及工艺危险性（P）</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90" w:hRule="atLeast"/>
          <w:tblHeader/>
        </w:trPr>
        <w:tc>
          <w:tcPr>
            <w:tcW w:w="2308" w:type="dxa"/>
            <w:vMerge w:val="continue"/>
            <w:shd w:val="clear" w:color="auto" w:fill="auto"/>
            <w:vAlign w:val="center"/>
          </w:tcPr>
          <w:p>
            <w:pPr>
              <w:widowControl/>
              <w:adjustRightInd/>
              <w:snapToGrid/>
              <w:spacing w:line="240" w:lineRule="auto"/>
              <w:ind w:firstLine="0" w:firstLineChars="0"/>
              <w:jc w:val="left"/>
              <w:rPr>
                <w:rFonts w:ascii="Times New Roman" w:hAnsi="Times New Roman" w:cs="Times New Roman"/>
                <w:color w:val="auto"/>
                <w:sz w:val="18"/>
                <w:szCs w:val="18"/>
              </w:rPr>
            </w:pPr>
          </w:p>
        </w:tc>
        <w:tc>
          <w:tcPr>
            <w:tcW w:w="1605"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极高危害（P1）</w:t>
            </w:r>
          </w:p>
        </w:tc>
        <w:tc>
          <w:tcPr>
            <w:tcW w:w="1891"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高度危害（P2）</w:t>
            </w:r>
          </w:p>
        </w:tc>
        <w:tc>
          <w:tcPr>
            <w:tcW w:w="1753"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中度危害（P3）</w:t>
            </w:r>
          </w:p>
        </w:tc>
        <w:tc>
          <w:tcPr>
            <w:tcW w:w="1728"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轻度危害（P4）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57" w:type="dxa"/>
            <w:left w:w="108" w:type="dxa"/>
            <w:bottom w:w="57" w:type="dxa"/>
            <w:right w:w="108" w:type="dxa"/>
          </w:tblCellMar>
        </w:tblPrEx>
        <w:trPr>
          <w:trHeight w:val="90" w:hRule="atLeast"/>
        </w:trPr>
        <w:tc>
          <w:tcPr>
            <w:tcW w:w="2308"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环境高度敏感区（E1）</w:t>
            </w:r>
          </w:p>
        </w:tc>
        <w:tc>
          <w:tcPr>
            <w:tcW w:w="1605" w:type="dxa"/>
            <w:shd w:val="clear" w:color="auto" w:fill="auto"/>
            <w:vAlign w:val="center"/>
          </w:tcPr>
          <w:p>
            <w:pPr>
              <w:widowControl/>
              <w:spacing w:line="240" w:lineRule="auto"/>
              <w:ind w:firstLine="0" w:firstLineChars="0"/>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IV</w:t>
            </w:r>
            <w:r>
              <w:rPr>
                <w:rFonts w:ascii="Times New Roman" w:hAnsi="Times New Roman" w:cs="Times New Roman"/>
                <w:b/>
                <w:bCs/>
                <w:color w:val="auto"/>
                <w:sz w:val="18"/>
                <w:szCs w:val="18"/>
                <w:vertAlign w:val="superscript"/>
              </w:rPr>
              <w:t>＋</w:t>
            </w:r>
          </w:p>
        </w:tc>
        <w:tc>
          <w:tcPr>
            <w:tcW w:w="1891"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IV</w:t>
            </w:r>
          </w:p>
        </w:tc>
        <w:tc>
          <w:tcPr>
            <w:tcW w:w="1753"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III</w:t>
            </w:r>
          </w:p>
        </w:tc>
        <w:tc>
          <w:tcPr>
            <w:tcW w:w="1728"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III</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90" w:hRule="atLeast"/>
        </w:trPr>
        <w:tc>
          <w:tcPr>
            <w:tcW w:w="2308"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环境中度敏感区（E2）</w:t>
            </w:r>
          </w:p>
        </w:tc>
        <w:tc>
          <w:tcPr>
            <w:tcW w:w="1605"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IV</w:t>
            </w:r>
          </w:p>
        </w:tc>
        <w:tc>
          <w:tcPr>
            <w:tcW w:w="1891"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III</w:t>
            </w:r>
          </w:p>
        </w:tc>
        <w:tc>
          <w:tcPr>
            <w:tcW w:w="1753"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III</w:t>
            </w:r>
          </w:p>
        </w:tc>
        <w:tc>
          <w:tcPr>
            <w:tcW w:w="1728"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II</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57" w:type="dxa"/>
            <w:left w:w="108" w:type="dxa"/>
            <w:bottom w:w="57" w:type="dxa"/>
            <w:right w:w="108" w:type="dxa"/>
          </w:tblCellMar>
        </w:tblPrEx>
        <w:trPr>
          <w:trHeight w:val="91" w:hRule="atLeast"/>
        </w:trPr>
        <w:tc>
          <w:tcPr>
            <w:tcW w:w="2308"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环境低度敏感区（E3）</w:t>
            </w:r>
          </w:p>
        </w:tc>
        <w:tc>
          <w:tcPr>
            <w:tcW w:w="1605"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III</w:t>
            </w:r>
          </w:p>
        </w:tc>
        <w:tc>
          <w:tcPr>
            <w:tcW w:w="1891"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III</w:t>
            </w:r>
          </w:p>
        </w:tc>
        <w:tc>
          <w:tcPr>
            <w:tcW w:w="1753"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II</w:t>
            </w:r>
          </w:p>
        </w:tc>
        <w:tc>
          <w:tcPr>
            <w:tcW w:w="1728" w:type="dxa"/>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w:t>
            </w:r>
          </w:p>
        </w:tc>
      </w:tr>
    </w:tbl>
    <w:p>
      <w:pPr>
        <w:spacing w:before="166" w:beforeLines="50"/>
        <w:ind w:firstLine="480"/>
        <w:jc w:val="left"/>
        <w:rPr>
          <w:rFonts w:ascii="Times New Roman" w:hAnsi="Times New Roman" w:cs="Times New Roman"/>
          <w:color w:val="auto"/>
          <w:szCs w:val="24"/>
        </w:rPr>
      </w:pPr>
      <w:r>
        <w:rPr>
          <w:rFonts w:ascii="Times New Roman" w:hAnsi="Times New Roman" w:cs="Times New Roman"/>
          <w:color w:val="auto"/>
          <w:szCs w:val="24"/>
        </w:rPr>
        <w:t>环境风险评价工作等级划分为一级、二级、三级。根据建设项目涉及的物质及工艺系统危险性和所在地的环境敏感性确定环境风险潜势，按照表2.3-16确定评价工作等级。风险潜势为Ⅳ及以上，进行一级评价；风险潜势为Ⅲ，进行二级评价；风险潜势为Ⅱ，进行三级评价；风险潜势为Ⅰ，可开展简单分析。</w:t>
      </w:r>
    </w:p>
    <w:p>
      <w:pPr>
        <w:spacing w:line="240" w:lineRule="auto"/>
        <w:ind w:firstLine="422"/>
        <w:jc w:val="center"/>
        <w:rPr>
          <w:rFonts w:ascii="Times New Roman" w:hAnsi="Times New Roman" w:cs="Times New Roman"/>
          <w:b/>
          <w:color w:val="auto"/>
          <w:sz w:val="21"/>
          <w:szCs w:val="21"/>
        </w:rPr>
      </w:pPr>
      <w:r>
        <w:rPr>
          <w:rFonts w:ascii="Times New Roman" w:hAnsi="Times New Roman" w:cs="Times New Roman"/>
          <w:b/>
          <w:color w:val="auto"/>
          <w:sz w:val="21"/>
          <w:szCs w:val="21"/>
        </w:rPr>
        <w:t>表2.3-16 环境风险评价工作等级</w:t>
      </w:r>
    </w:p>
    <w:tbl>
      <w:tblPr>
        <w:tblStyle w:val="62"/>
        <w:tblW w:w="9285"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57" w:type="dxa"/>
          <w:left w:w="108" w:type="dxa"/>
          <w:bottom w:w="57" w:type="dxa"/>
          <w:right w:w="108" w:type="dxa"/>
        </w:tblCellMar>
      </w:tblPr>
      <w:tblGrid>
        <w:gridCol w:w="2294"/>
        <w:gridCol w:w="1620"/>
        <w:gridCol w:w="1891"/>
        <w:gridCol w:w="1753"/>
        <w:gridCol w:w="1727"/>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57" w:type="dxa"/>
            <w:left w:w="108" w:type="dxa"/>
            <w:bottom w:w="57" w:type="dxa"/>
            <w:right w:w="108" w:type="dxa"/>
          </w:tblCellMar>
        </w:tblPrEx>
        <w:trPr>
          <w:trHeight w:val="90" w:hRule="atLeast"/>
          <w:tblHeader/>
        </w:trPr>
        <w:tc>
          <w:tcPr>
            <w:tcW w:w="2294" w:type="dxa"/>
            <w:tcBorders>
              <w:top w:val="single" w:color="000000" w:sz="12" w:space="0"/>
              <w:left w:val="nil"/>
              <w:bottom w:val="single" w:color="000000" w:sz="6" w:space="0"/>
              <w:right w:val="single" w:color="000000" w:sz="6" w:space="0"/>
            </w:tcBorders>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环境风险潜势</w:t>
            </w:r>
          </w:p>
        </w:tc>
        <w:tc>
          <w:tcPr>
            <w:tcW w:w="1620" w:type="dxa"/>
            <w:tcBorders>
              <w:top w:val="single" w:color="000000" w:sz="12"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IV、IV</w:t>
            </w:r>
            <w:r>
              <w:rPr>
                <w:rFonts w:ascii="Times New Roman" w:hAnsi="Times New Roman" w:cs="Times New Roman"/>
                <w:color w:val="auto"/>
                <w:sz w:val="18"/>
                <w:szCs w:val="18"/>
                <w:vertAlign w:val="superscript"/>
              </w:rPr>
              <w:t>+</w:t>
            </w:r>
          </w:p>
        </w:tc>
        <w:tc>
          <w:tcPr>
            <w:tcW w:w="1891" w:type="dxa"/>
            <w:tcBorders>
              <w:top w:val="single" w:color="000000" w:sz="12"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III</w:t>
            </w:r>
          </w:p>
        </w:tc>
        <w:tc>
          <w:tcPr>
            <w:tcW w:w="1753" w:type="dxa"/>
            <w:tcBorders>
              <w:top w:val="single" w:color="000000" w:sz="12" w:space="0"/>
              <w:left w:val="single" w:color="000000" w:sz="6" w:space="0"/>
              <w:bottom w:val="single" w:color="000000" w:sz="6" w:space="0"/>
              <w:right w:val="single" w:color="000000" w:sz="6" w:space="0"/>
            </w:tcBorders>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II</w:t>
            </w:r>
          </w:p>
        </w:tc>
        <w:tc>
          <w:tcPr>
            <w:tcW w:w="1727" w:type="dxa"/>
            <w:tcBorders>
              <w:top w:val="single" w:color="000000" w:sz="12" w:space="0"/>
              <w:left w:val="single" w:color="000000" w:sz="6" w:space="0"/>
              <w:bottom w:val="single" w:color="000000" w:sz="6" w:space="0"/>
              <w:right w:val="nil"/>
            </w:tcBorders>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I</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57" w:type="dxa"/>
            <w:left w:w="108" w:type="dxa"/>
            <w:bottom w:w="57" w:type="dxa"/>
            <w:right w:w="108" w:type="dxa"/>
          </w:tblCellMar>
        </w:tblPrEx>
        <w:trPr>
          <w:trHeight w:val="176" w:hRule="atLeast"/>
        </w:trPr>
        <w:tc>
          <w:tcPr>
            <w:tcW w:w="2294" w:type="dxa"/>
            <w:tcBorders>
              <w:top w:val="single" w:color="000000" w:sz="6" w:space="0"/>
              <w:left w:val="nil"/>
              <w:bottom w:val="single" w:color="000000" w:sz="12" w:space="0"/>
              <w:right w:val="single" w:color="000000" w:sz="6" w:space="0"/>
            </w:tcBorders>
            <w:shd w:val="clear" w:color="auto" w:fill="auto"/>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评价工作等级</w:t>
            </w:r>
          </w:p>
        </w:tc>
        <w:tc>
          <w:tcPr>
            <w:tcW w:w="1620" w:type="dxa"/>
            <w:tcBorders>
              <w:top w:val="single" w:color="000000" w:sz="6" w:space="0"/>
              <w:left w:val="single" w:color="000000" w:sz="6" w:space="0"/>
              <w:bottom w:val="single" w:color="000000" w:sz="12" w:space="0"/>
              <w:right w:val="single" w:color="000000" w:sz="6" w:space="0"/>
            </w:tcBorders>
            <w:shd w:val="clear" w:color="auto" w:fill="BEBEBE"/>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一</w:t>
            </w:r>
          </w:p>
        </w:tc>
        <w:tc>
          <w:tcPr>
            <w:tcW w:w="1891" w:type="dxa"/>
            <w:tcBorders>
              <w:top w:val="single" w:color="000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二</w:t>
            </w:r>
          </w:p>
        </w:tc>
        <w:tc>
          <w:tcPr>
            <w:tcW w:w="1753" w:type="dxa"/>
            <w:tcBorders>
              <w:top w:val="single" w:color="000000" w:sz="6" w:space="0"/>
              <w:left w:val="single" w:color="000000" w:sz="6" w:space="0"/>
              <w:bottom w:val="single" w:color="000000" w:sz="12" w:space="0"/>
              <w:right w:val="single" w:color="000000" w:sz="6" w:space="0"/>
            </w:tcBorders>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三</w:t>
            </w:r>
          </w:p>
        </w:tc>
        <w:tc>
          <w:tcPr>
            <w:tcW w:w="1727" w:type="dxa"/>
            <w:tcBorders>
              <w:top w:val="single" w:color="000000" w:sz="6" w:space="0"/>
              <w:left w:val="single" w:color="000000" w:sz="6" w:space="0"/>
              <w:bottom w:val="single" w:color="000000" w:sz="12" w:space="0"/>
              <w:right w:val="nil"/>
            </w:tcBorders>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简单分析</w:t>
            </w:r>
          </w:p>
        </w:tc>
      </w:tr>
    </w:tbl>
    <w:p>
      <w:pPr>
        <w:ind w:firstLine="480"/>
        <w:rPr>
          <w:rFonts w:ascii="Times New Roman" w:hAnsi="Times New Roman" w:cs="Times New Roman"/>
          <w:color w:val="auto"/>
          <w:szCs w:val="24"/>
        </w:rPr>
      </w:pPr>
      <w:r>
        <w:rPr>
          <w:rFonts w:ascii="Times New Roman" w:hAnsi="Times New Roman" w:cs="Times New Roman"/>
          <w:color w:val="auto"/>
        </w:rPr>
        <w:t>根据判定结果，本项目大</w:t>
      </w:r>
      <w:r>
        <w:rPr>
          <w:rFonts w:ascii="Times New Roman" w:hAnsi="Times New Roman" w:cs="Times New Roman"/>
          <w:color w:val="auto"/>
          <w:szCs w:val="24"/>
        </w:rPr>
        <w:t>气环境风险评价等级为一级，地表水环境风险评价等级为一级，地下水环境风险评价等级为二级。因此，本项目环境风险评价等级为一级。</w:t>
      </w:r>
      <w:bookmarkEnd w:id="99"/>
    </w:p>
    <w:bookmarkEnd w:id="97"/>
    <w:p>
      <w:pPr>
        <w:ind w:firstLine="480"/>
        <w:rPr>
          <w:rFonts w:ascii="Times New Roman" w:hAnsi="Times New Roman" w:cs="Times New Roman"/>
          <w:bCs/>
          <w:color w:val="auto"/>
          <w:szCs w:val="24"/>
        </w:rPr>
      </w:pPr>
      <w:r>
        <w:rPr>
          <w:rFonts w:ascii="Times New Roman" w:hAnsi="Times New Roman" w:cs="Times New Roman"/>
          <w:bCs/>
          <w:color w:val="auto"/>
          <w:szCs w:val="24"/>
        </w:rPr>
        <w:t>（6）生态环境</w:t>
      </w:r>
      <w:bookmarkEnd w:id="98"/>
    </w:p>
    <w:p>
      <w:pPr>
        <w:ind w:firstLine="480"/>
        <w:rPr>
          <w:rFonts w:ascii="Times New Roman" w:hAnsi="Times New Roman" w:cs="Times New Roman"/>
          <w:bCs/>
          <w:color w:val="auto"/>
          <w:szCs w:val="24"/>
        </w:rPr>
      </w:pPr>
      <w:bookmarkStart w:id="100" w:name="_Hlk46328974"/>
      <w:r>
        <w:rPr>
          <w:rFonts w:ascii="Times New Roman" w:hAnsi="Times New Roman" w:cs="Times New Roman"/>
          <w:bCs/>
          <w:color w:val="auto"/>
          <w:szCs w:val="24"/>
        </w:rPr>
        <w:t>本项目码头所在地位于店埠河左岸，用地属于合肥循环经济示范园规划范围，</w:t>
      </w:r>
      <w:r>
        <w:rPr>
          <w:rFonts w:ascii="Times New Roman" w:hAnsi="Times New Roman" w:cs="Times New Roman"/>
          <w:bCs/>
          <w:color w:val="FF0000"/>
          <w:szCs w:val="24"/>
        </w:rPr>
        <w:t>店埠河在下游约3.2km处汇入南淝河，南淝河与店埠河交汇处下游约9.4km为巢湖入湖口。</w:t>
      </w:r>
      <w:r>
        <w:rPr>
          <w:rFonts w:ascii="Times New Roman" w:hAnsi="Times New Roman" w:cs="Times New Roman"/>
          <w:bCs/>
          <w:color w:val="auto"/>
          <w:szCs w:val="24"/>
        </w:rPr>
        <w:t>根据《环境影响评价技术导则</w:t>
      </w:r>
      <w:r>
        <w:rPr>
          <w:rFonts w:ascii="Times New Roman" w:hAnsi="Times New Roman" w:cs="Times New Roman"/>
          <w:bCs/>
          <w:color w:val="auto"/>
          <w:szCs w:val="24"/>
        </w:rPr>
        <w:tab/>
      </w:r>
      <w:r>
        <w:rPr>
          <w:rFonts w:ascii="Times New Roman" w:hAnsi="Times New Roman" w:cs="Times New Roman"/>
          <w:bCs/>
          <w:color w:val="auto"/>
          <w:szCs w:val="24"/>
        </w:rPr>
        <w:t>生态影响》(HJ19-2022)，依据建设项目影响区域的生态敏感性和影响程度，评价等级划分为一级、二级和三级。</w:t>
      </w:r>
    </w:p>
    <w:p>
      <w:pPr>
        <w:ind w:firstLine="480"/>
        <w:rPr>
          <w:rFonts w:ascii="Times New Roman" w:hAnsi="Times New Roman" w:cs="Times New Roman"/>
          <w:bCs/>
          <w:color w:val="auto"/>
          <w:szCs w:val="24"/>
        </w:rPr>
      </w:pPr>
      <w:r>
        <w:rPr>
          <w:rFonts w:ascii="Times New Roman" w:hAnsi="Times New Roman" w:cs="Times New Roman"/>
          <w:bCs/>
          <w:color w:val="auto"/>
          <w:szCs w:val="24"/>
        </w:rPr>
        <w:t>a）涉及国家公园、自然保护区、世界自然遗产、重要生境时，评价等级为一级；</w:t>
      </w:r>
    </w:p>
    <w:p>
      <w:pPr>
        <w:ind w:firstLine="480"/>
        <w:rPr>
          <w:rFonts w:ascii="Times New Roman" w:hAnsi="Times New Roman" w:cs="Times New Roman"/>
          <w:bCs/>
          <w:color w:val="auto"/>
          <w:szCs w:val="24"/>
        </w:rPr>
      </w:pPr>
      <w:r>
        <w:rPr>
          <w:rFonts w:ascii="Times New Roman" w:hAnsi="Times New Roman" w:cs="Times New Roman"/>
          <w:bCs/>
          <w:color w:val="auto"/>
          <w:szCs w:val="24"/>
        </w:rPr>
        <w:t>b）涉及自然公园时，评价等级为二级；</w:t>
      </w:r>
    </w:p>
    <w:p>
      <w:pPr>
        <w:ind w:firstLine="480"/>
        <w:rPr>
          <w:rFonts w:ascii="Times New Roman" w:hAnsi="Times New Roman" w:cs="Times New Roman"/>
          <w:bCs/>
          <w:color w:val="auto"/>
          <w:szCs w:val="24"/>
        </w:rPr>
      </w:pPr>
      <w:r>
        <w:rPr>
          <w:rFonts w:ascii="Times New Roman" w:hAnsi="Times New Roman" w:cs="Times New Roman"/>
          <w:bCs/>
          <w:color w:val="auto"/>
          <w:szCs w:val="24"/>
        </w:rPr>
        <w:t>c）涉及生态保护红线时，评价等级不低于二级；</w:t>
      </w:r>
    </w:p>
    <w:p>
      <w:pPr>
        <w:ind w:firstLine="480"/>
        <w:rPr>
          <w:rFonts w:ascii="Times New Roman" w:hAnsi="Times New Roman" w:cs="Times New Roman"/>
          <w:bCs/>
          <w:color w:val="auto"/>
          <w:szCs w:val="24"/>
        </w:rPr>
      </w:pPr>
      <w:r>
        <w:rPr>
          <w:rFonts w:ascii="Times New Roman" w:hAnsi="Times New Roman" w:cs="Times New Roman"/>
          <w:bCs/>
          <w:color w:val="auto"/>
          <w:szCs w:val="24"/>
        </w:rPr>
        <w:t>d）根据 HJ2.3判断属于水文要素影响型且地表水评价等级不低于二级的建设项目，生态影响评价等级不低于二级；</w:t>
      </w:r>
    </w:p>
    <w:p>
      <w:pPr>
        <w:ind w:firstLine="480"/>
        <w:rPr>
          <w:rFonts w:ascii="Times New Roman" w:hAnsi="Times New Roman" w:cs="Times New Roman"/>
          <w:bCs/>
          <w:color w:val="auto"/>
          <w:szCs w:val="24"/>
        </w:rPr>
      </w:pPr>
      <w:r>
        <w:rPr>
          <w:rFonts w:ascii="Times New Roman" w:hAnsi="Times New Roman" w:cs="Times New Roman"/>
          <w:bCs/>
          <w:color w:val="auto"/>
          <w:szCs w:val="24"/>
        </w:rPr>
        <w:t>e）根据 HJ 610、HJ 964 判断地下水水位或土壤影响范围内分布有天然林、公益林、湿地等生态保护目标的建设项目，生态影响评价等级不低于二级；</w:t>
      </w:r>
    </w:p>
    <w:p>
      <w:pPr>
        <w:ind w:firstLine="480"/>
        <w:rPr>
          <w:rFonts w:ascii="Times New Roman" w:hAnsi="Times New Roman" w:cs="Times New Roman"/>
          <w:bCs/>
          <w:color w:val="auto"/>
          <w:szCs w:val="24"/>
        </w:rPr>
      </w:pPr>
      <w:r>
        <w:rPr>
          <w:rFonts w:ascii="Times New Roman" w:hAnsi="Times New Roman" w:cs="Times New Roman"/>
          <w:bCs/>
          <w:color w:val="auto"/>
          <w:szCs w:val="24"/>
        </w:rPr>
        <w:t>f）当工程占地规模大于20km</w:t>
      </w:r>
      <w:r>
        <w:rPr>
          <w:rFonts w:ascii="Times New Roman" w:hAnsi="Times New Roman" w:cs="Times New Roman"/>
          <w:bCs/>
          <w:color w:val="auto"/>
          <w:szCs w:val="24"/>
          <w:vertAlign w:val="superscript"/>
        </w:rPr>
        <w:t>2</w:t>
      </w:r>
      <w:r>
        <w:rPr>
          <w:rFonts w:ascii="Times New Roman" w:hAnsi="Times New Roman" w:cs="Times New Roman"/>
          <w:bCs/>
          <w:color w:val="auto"/>
          <w:szCs w:val="24"/>
        </w:rPr>
        <w:t>时（包括永久和临时占用陆域和水域），评价等级不低于二级；改扩建项目的占地范围以新增占地（包括陆域和水域）确定；</w:t>
      </w:r>
    </w:p>
    <w:p>
      <w:pPr>
        <w:ind w:firstLine="480"/>
        <w:rPr>
          <w:rFonts w:ascii="Times New Roman" w:hAnsi="Times New Roman" w:cs="Times New Roman"/>
          <w:bCs/>
          <w:color w:val="auto"/>
          <w:szCs w:val="24"/>
        </w:rPr>
      </w:pPr>
      <w:r>
        <w:rPr>
          <w:rFonts w:ascii="Times New Roman" w:hAnsi="Times New Roman" w:cs="Times New Roman"/>
          <w:bCs/>
          <w:color w:val="auto"/>
          <w:szCs w:val="24"/>
        </w:rPr>
        <w:t>g）除本条 a）、b）、c）、d）、e）、f）以外的情况，评价等级为三级；</w:t>
      </w:r>
    </w:p>
    <w:p>
      <w:pPr>
        <w:ind w:firstLine="480"/>
        <w:rPr>
          <w:rFonts w:ascii="Times New Roman" w:hAnsi="Times New Roman" w:cs="Times New Roman"/>
          <w:bCs/>
          <w:color w:val="auto"/>
          <w:szCs w:val="24"/>
        </w:rPr>
      </w:pPr>
      <w:r>
        <w:rPr>
          <w:rFonts w:ascii="Times New Roman" w:hAnsi="Times New Roman" w:cs="Times New Roman"/>
          <w:bCs/>
          <w:color w:val="auto"/>
          <w:szCs w:val="24"/>
        </w:rPr>
        <w:t>据此，对本项目生态影响评价等级的判定如下：</w:t>
      </w:r>
    </w:p>
    <w:p>
      <w:pPr>
        <w:ind w:firstLine="480"/>
        <w:rPr>
          <w:rFonts w:ascii="Times New Roman" w:hAnsi="Times New Roman" w:cs="Times New Roman"/>
          <w:bCs/>
          <w:color w:val="auto"/>
          <w:szCs w:val="24"/>
        </w:rPr>
      </w:pPr>
      <w:r>
        <w:rPr>
          <w:rFonts w:ascii="Times New Roman" w:hAnsi="Times New Roman" w:cs="Times New Roman"/>
          <w:bCs/>
          <w:color w:val="auto"/>
          <w:szCs w:val="24"/>
        </w:rPr>
        <w:fldChar w:fldCharType="begin"/>
      </w:r>
      <w:r>
        <w:rPr>
          <w:rFonts w:ascii="Times New Roman" w:hAnsi="Times New Roman" w:cs="Times New Roman"/>
          <w:bCs/>
          <w:color w:val="auto"/>
          <w:szCs w:val="24"/>
        </w:rPr>
        <w:instrText xml:space="preserve"> = 1 \* GB3 </w:instrText>
      </w:r>
      <w:r>
        <w:rPr>
          <w:rFonts w:ascii="Times New Roman" w:hAnsi="Times New Roman" w:cs="Times New Roman"/>
          <w:bCs/>
          <w:color w:val="auto"/>
          <w:szCs w:val="24"/>
        </w:rPr>
        <w:fldChar w:fldCharType="separate"/>
      </w:r>
      <w:r>
        <w:rPr>
          <w:rFonts w:hint="eastAsia" w:ascii="宋体" w:hAnsi="宋体" w:cs="宋体"/>
          <w:bCs/>
          <w:color w:val="auto"/>
          <w:szCs w:val="24"/>
        </w:rPr>
        <w:t>①</w:t>
      </w:r>
      <w:r>
        <w:rPr>
          <w:rFonts w:ascii="Times New Roman" w:hAnsi="Times New Roman" w:cs="Times New Roman"/>
          <w:bCs/>
          <w:color w:val="auto"/>
          <w:szCs w:val="24"/>
        </w:rPr>
        <w:fldChar w:fldCharType="end"/>
      </w:r>
      <w:r>
        <w:rPr>
          <w:rFonts w:ascii="Times New Roman" w:hAnsi="Times New Roman" w:cs="Times New Roman"/>
          <w:bCs/>
          <w:color w:val="000000" w:themeColor="text1"/>
          <w:szCs w:val="24"/>
          <w14:textFill>
            <w14:solidFill>
              <w14:schemeClr w14:val="tx1"/>
            </w14:solidFill>
          </w14:textFill>
        </w:rPr>
        <w:t>本项目</w:t>
      </w:r>
      <w:r>
        <w:rPr>
          <w:rFonts w:ascii="Times New Roman" w:hAnsi="Times New Roman" w:cs="Times New Roman"/>
          <w:color w:val="000000" w:themeColor="text1"/>
          <w14:textFill>
            <w14:solidFill>
              <w14:schemeClr w14:val="tx1"/>
            </w14:solidFill>
          </w14:textFill>
        </w:rPr>
        <w:t>码头转折处下游侧（1#~5#泊位）采用顺岸连片式布置型式，泊位长度460m；上游侧（6#~7#泊位）采用挖入式港池布置型式，泊位长度180m。泊位总长度640m。前方港区占地约30亩；本项目后方储罐区主要划分为柴油罐区，汽油罐区，乙醇罐区，酸罐区，碱罐区，生产辅助区，行政办公区，后方陆域占地面积约240亩</w:t>
      </w:r>
      <w:r>
        <w:rPr>
          <w:rFonts w:ascii="Times New Roman" w:hAnsi="Times New Roman" w:cs="Times New Roman"/>
          <w:bCs/>
          <w:color w:val="000000" w:themeColor="text1"/>
          <w:szCs w:val="24"/>
          <w14:textFill>
            <w14:solidFill>
              <w14:schemeClr w14:val="tx1"/>
            </w14:solidFill>
          </w14:textFill>
        </w:rPr>
        <w:t>，项目区总占地面积</w:t>
      </w:r>
      <w:r>
        <w:rPr>
          <w:rFonts w:hint="eastAsia" w:ascii="Times New Roman" w:hAnsi="Times New Roman" w:cs="Times New Roman"/>
          <w:bCs/>
          <w:color w:val="000000" w:themeColor="text1"/>
          <w:szCs w:val="24"/>
          <w14:textFill>
            <w14:solidFill>
              <w14:schemeClr w14:val="tx1"/>
            </w14:solidFill>
          </w14:textFill>
        </w:rPr>
        <w:t>约</w:t>
      </w:r>
      <w:r>
        <w:rPr>
          <w:rFonts w:ascii="Times New Roman" w:hAnsi="Times New Roman" w:cs="Times New Roman"/>
          <w:bCs/>
          <w:color w:val="000000" w:themeColor="text1"/>
          <w:szCs w:val="24"/>
          <w14:textFill>
            <w14:solidFill>
              <w14:schemeClr w14:val="tx1"/>
            </w14:solidFill>
          </w14:textFill>
        </w:rPr>
        <w:t>270亩（180000m</w:t>
      </w:r>
      <w:r>
        <w:rPr>
          <w:rFonts w:ascii="Times New Roman" w:hAnsi="Times New Roman" w:cs="Times New Roman"/>
          <w:bCs/>
          <w:color w:val="000000" w:themeColor="text1"/>
          <w:szCs w:val="24"/>
          <w:vertAlign w:val="superscript"/>
          <w14:textFill>
            <w14:solidFill>
              <w14:schemeClr w14:val="tx1"/>
            </w14:solidFill>
          </w14:textFill>
        </w:rPr>
        <w:t>2</w:t>
      </w:r>
      <w:r>
        <w:rPr>
          <w:rFonts w:ascii="Times New Roman" w:hAnsi="Times New Roman" w:cs="Times New Roman"/>
          <w:bCs/>
          <w:color w:val="000000" w:themeColor="text1"/>
          <w:szCs w:val="24"/>
          <w14:textFill>
            <w14:solidFill>
              <w14:schemeClr w14:val="tx1"/>
            </w14:solidFill>
          </w14:textFill>
        </w:rPr>
        <w:t>），合0.18km</w:t>
      </w:r>
      <w:r>
        <w:rPr>
          <w:rFonts w:ascii="Times New Roman" w:hAnsi="Times New Roman" w:cs="Times New Roman"/>
          <w:bCs/>
          <w:color w:val="000000" w:themeColor="text1"/>
          <w:szCs w:val="24"/>
          <w:vertAlign w:val="superscript"/>
          <w14:textFill>
            <w14:solidFill>
              <w14:schemeClr w14:val="tx1"/>
            </w14:solidFill>
          </w14:textFill>
        </w:rPr>
        <w:t>2</w:t>
      </w:r>
      <w:r>
        <w:rPr>
          <w:rFonts w:ascii="Times New Roman" w:hAnsi="Times New Roman" w:cs="Times New Roman"/>
          <w:bCs/>
          <w:color w:val="000000" w:themeColor="text1"/>
          <w:szCs w:val="24"/>
          <w14:textFill>
            <w14:solidFill>
              <w14:schemeClr w14:val="tx1"/>
            </w14:solidFill>
          </w14:textFill>
        </w:rPr>
        <w:t>≤20km</w:t>
      </w:r>
      <w:r>
        <w:rPr>
          <w:rFonts w:ascii="Times New Roman" w:hAnsi="Times New Roman" w:cs="Times New Roman"/>
          <w:bCs/>
          <w:color w:val="000000" w:themeColor="text1"/>
          <w:szCs w:val="24"/>
          <w:vertAlign w:val="superscript"/>
          <w14:textFill>
            <w14:solidFill>
              <w14:schemeClr w14:val="tx1"/>
            </w14:solidFill>
          </w14:textFill>
        </w:rPr>
        <w:t>2</w:t>
      </w:r>
      <w:r>
        <w:rPr>
          <w:rFonts w:ascii="Times New Roman" w:hAnsi="Times New Roman" w:cs="Times New Roman"/>
          <w:bCs/>
          <w:color w:val="000000" w:themeColor="text1"/>
          <w:szCs w:val="24"/>
          <w14:textFill>
            <w14:solidFill>
              <w14:schemeClr w14:val="tx1"/>
            </w14:solidFill>
          </w14:textFill>
        </w:rPr>
        <w:t>；</w:t>
      </w:r>
    </w:p>
    <w:p>
      <w:pPr>
        <w:ind w:firstLine="480"/>
        <w:rPr>
          <w:rFonts w:ascii="Times New Roman" w:hAnsi="Times New Roman" w:cs="Times New Roman"/>
          <w:bCs/>
          <w:color w:val="auto"/>
          <w:szCs w:val="24"/>
        </w:rPr>
      </w:pPr>
      <w:r>
        <w:rPr>
          <w:rFonts w:ascii="Times New Roman" w:hAnsi="Times New Roman" w:cs="Times New Roman"/>
          <w:bCs/>
          <w:color w:val="auto"/>
          <w:szCs w:val="24"/>
        </w:rPr>
        <w:fldChar w:fldCharType="begin"/>
      </w:r>
      <w:r>
        <w:rPr>
          <w:rFonts w:ascii="Times New Roman" w:hAnsi="Times New Roman" w:cs="Times New Roman"/>
          <w:bCs/>
          <w:color w:val="auto"/>
          <w:szCs w:val="24"/>
        </w:rPr>
        <w:instrText xml:space="preserve"> = 2 \* GB3 </w:instrText>
      </w:r>
      <w:r>
        <w:rPr>
          <w:rFonts w:ascii="Times New Roman" w:hAnsi="Times New Roman" w:cs="Times New Roman"/>
          <w:bCs/>
          <w:color w:val="auto"/>
          <w:szCs w:val="24"/>
        </w:rPr>
        <w:fldChar w:fldCharType="separate"/>
      </w:r>
      <w:r>
        <w:rPr>
          <w:rFonts w:hint="eastAsia" w:ascii="宋体" w:hAnsi="宋体" w:cs="宋体"/>
          <w:bCs/>
          <w:color w:val="auto"/>
          <w:szCs w:val="24"/>
        </w:rPr>
        <w:t>②</w:t>
      </w:r>
      <w:r>
        <w:rPr>
          <w:rFonts w:ascii="Times New Roman" w:hAnsi="Times New Roman" w:cs="Times New Roman"/>
          <w:bCs/>
          <w:color w:val="auto"/>
          <w:szCs w:val="24"/>
        </w:rPr>
        <w:fldChar w:fldCharType="end"/>
      </w:r>
      <w:r>
        <w:rPr>
          <w:rFonts w:ascii="Times New Roman" w:hAnsi="Times New Roman" w:cs="Times New Roman"/>
          <w:bCs/>
          <w:color w:val="auto"/>
          <w:szCs w:val="24"/>
        </w:rPr>
        <w:t>项目位于店埠河左岸，用地属于合肥循环经济示范园范围，根据调查</w:t>
      </w:r>
      <w:r>
        <w:rPr>
          <w:rFonts w:ascii="Times New Roman" w:hAnsi="Times New Roman" w:cs="Times New Roman"/>
          <w:color w:val="auto"/>
          <w:szCs w:val="18"/>
        </w:rPr>
        <w:t>：项目区</w:t>
      </w:r>
      <w:r>
        <w:rPr>
          <w:rFonts w:hint="eastAsia" w:ascii="Times New Roman" w:hAnsi="Times New Roman" w:cs="Times New Roman"/>
          <w:color w:val="auto"/>
          <w:szCs w:val="18"/>
        </w:rPr>
        <w:t>永久占地</w:t>
      </w:r>
      <w:r>
        <w:rPr>
          <w:rFonts w:ascii="Times New Roman" w:hAnsi="Times New Roman" w:cs="Times New Roman"/>
          <w:color w:val="auto"/>
          <w:szCs w:val="18"/>
        </w:rPr>
        <w:t>不涉及</w:t>
      </w:r>
      <w:r>
        <w:rPr>
          <w:rFonts w:ascii="Times New Roman" w:hAnsi="Times New Roman" w:cs="Times New Roman"/>
          <w:bCs/>
          <w:color w:val="auto"/>
          <w:szCs w:val="24"/>
        </w:rPr>
        <w:t>国家公园、自然保护区、世界自然遗产、重要生境；</w:t>
      </w:r>
      <w:r>
        <w:rPr>
          <w:rFonts w:ascii="Times New Roman" w:hAnsi="Times New Roman" w:cs="Times New Roman"/>
          <w:color w:val="auto"/>
          <w:szCs w:val="18"/>
        </w:rPr>
        <w:t>不涉及</w:t>
      </w:r>
      <w:r>
        <w:rPr>
          <w:rFonts w:ascii="Times New Roman" w:hAnsi="Times New Roman" w:cs="Times New Roman"/>
          <w:bCs/>
          <w:color w:val="auto"/>
          <w:szCs w:val="24"/>
        </w:rPr>
        <w:t>自然公园及生态</w:t>
      </w:r>
      <w:r>
        <w:rPr>
          <w:rFonts w:hint="eastAsia" w:ascii="Times New Roman" w:hAnsi="Times New Roman" w:cs="Times New Roman"/>
          <w:bCs/>
          <w:color w:val="auto"/>
          <w:szCs w:val="24"/>
        </w:rPr>
        <w:t>保护</w:t>
      </w:r>
      <w:r>
        <w:rPr>
          <w:rFonts w:ascii="Times New Roman" w:hAnsi="Times New Roman" w:cs="Times New Roman"/>
          <w:bCs/>
          <w:color w:val="auto"/>
          <w:szCs w:val="24"/>
        </w:rPr>
        <w:t>红线；</w:t>
      </w:r>
    </w:p>
    <w:p>
      <w:pPr>
        <w:ind w:firstLine="480"/>
        <w:rPr>
          <w:rFonts w:ascii="Times New Roman" w:hAnsi="Times New Roman" w:cs="Times New Roman"/>
          <w:bCs/>
          <w:color w:val="auto"/>
          <w:szCs w:val="24"/>
        </w:rPr>
      </w:pPr>
      <w:r>
        <w:rPr>
          <w:rFonts w:ascii="Times New Roman" w:hAnsi="Times New Roman" w:cs="Times New Roman"/>
          <w:bCs/>
          <w:color w:val="auto"/>
          <w:szCs w:val="24"/>
        </w:rPr>
        <w:fldChar w:fldCharType="begin"/>
      </w:r>
      <w:r>
        <w:rPr>
          <w:rFonts w:ascii="Times New Roman" w:hAnsi="Times New Roman" w:cs="Times New Roman"/>
          <w:bCs/>
          <w:color w:val="auto"/>
          <w:szCs w:val="24"/>
        </w:rPr>
        <w:instrText xml:space="preserve"> = 3 \* GB3 </w:instrText>
      </w:r>
      <w:r>
        <w:rPr>
          <w:rFonts w:ascii="Times New Roman" w:hAnsi="Times New Roman" w:cs="Times New Roman"/>
          <w:bCs/>
          <w:color w:val="auto"/>
          <w:szCs w:val="24"/>
        </w:rPr>
        <w:fldChar w:fldCharType="separate"/>
      </w:r>
      <w:r>
        <w:rPr>
          <w:rFonts w:hint="eastAsia" w:ascii="宋体" w:hAnsi="宋体" w:cs="宋体"/>
          <w:bCs/>
          <w:color w:val="auto"/>
          <w:szCs w:val="24"/>
        </w:rPr>
        <w:t>③</w:t>
      </w:r>
      <w:r>
        <w:rPr>
          <w:rFonts w:ascii="Times New Roman" w:hAnsi="Times New Roman" w:cs="Times New Roman"/>
          <w:bCs/>
          <w:color w:val="auto"/>
          <w:szCs w:val="24"/>
        </w:rPr>
        <w:fldChar w:fldCharType="end"/>
      </w:r>
      <w:r>
        <w:rPr>
          <w:rFonts w:ascii="Times New Roman" w:hAnsi="Times New Roman" w:cs="Times New Roman"/>
          <w:bCs/>
          <w:color w:val="auto"/>
          <w:szCs w:val="24"/>
        </w:rPr>
        <w:t>根据 HJ2.3判断，本项目属于水文要素影响型，判定地表水水文要素影响评价工作等级为三级；</w:t>
      </w:r>
    </w:p>
    <w:p>
      <w:pPr>
        <w:ind w:firstLine="480"/>
        <w:rPr>
          <w:rFonts w:ascii="Times New Roman" w:hAnsi="Times New Roman" w:cs="Times New Roman"/>
          <w:bCs/>
          <w:color w:val="auto"/>
          <w:szCs w:val="24"/>
        </w:rPr>
      </w:pPr>
      <w:r>
        <w:rPr>
          <w:rFonts w:ascii="Times New Roman" w:hAnsi="Times New Roman" w:cs="Times New Roman"/>
          <w:bCs/>
          <w:color w:val="auto"/>
          <w:szCs w:val="24"/>
        </w:rPr>
        <w:t>根据 HJ 610、HJ 964 判断，本项目地下水水位或土壤影响范围内不涉及天然林、公益林、湿地等生态保护目标。</w:t>
      </w:r>
    </w:p>
    <w:p>
      <w:pPr>
        <w:pStyle w:val="25"/>
        <w:spacing w:line="360" w:lineRule="auto"/>
        <w:ind w:firstLine="480"/>
        <w:rPr>
          <w:rFonts w:ascii="Times New Roman" w:hAnsi="Times New Roman" w:cs="Times New Roman"/>
          <w:color w:val="FF0000"/>
          <w:szCs w:val="24"/>
          <w:shd w:val="clear" w:color="auto" w:fill="FFFFFF"/>
        </w:rPr>
      </w:pPr>
      <w:r>
        <w:rPr>
          <w:rFonts w:hint="eastAsia" w:ascii="Times New Roman" w:hAnsi="Times New Roman" w:cs="Times New Roman"/>
          <w:bCs/>
          <w:color w:val="FF0000"/>
          <w:szCs w:val="24"/>
        </w:rPr>
        <w:t>根据</w:t>
      </w:r>
      <w:r>
        <w:rPr>
          <w:rFonts w:ascii="Times New Roman" w:hAnsi="Times New Roman" w:cs="Times New Roman"/>
          <w:bCs/>
          <w:color w:val="FF0000"/>
          <w:szCs w:val="24"/>
        </w:rPr>
        <w:t>《环境影响评价技术导则</w:t>
      </w:r>
      <w:r>
        <w:rPr>
          <w:rFonts w:ascii="Times New Roman" w:hAnsi="Times New Roman" w:cs="Times New Roman"/>
          <w:bCs/>
          <w:color w:val="FF0000"/>
          <w:szCs w:val="24"/>
        </w:rPr>
        <w:tab/>
      </w:r>
      <w:r>
        <w:rPr>
          <w:rFonts w:ascii="Times New Roman" w:hAnsi="Times New Roman" w:cs="Times New Roman"/>
          <w:bCs/>
          <w:color w:val="FF0000"/>
          <w:szCs w:val="24"/>
        </w:rPr>
        <w:t>生态影响》(HJ19-2022)</w:t>
      </w:r>
      <w:r>
        <w:rPr>
          <w:rFonts w:hint="eastAsia" w:ascii="Times New Roman" w:hAnsi="Times New Roman" w:cs="Times New Roman"/>
          <w:bCs/>
          <w:color w:val="FF0000"/>
          <w:szCs w:val="24"/>
        </w:rPr>
        <w:t>判定，本项目永久占地及其评价范围内均不涉及</w:t>
      </w:r>
      <w:r>
        <w:rPr>
          <w:rFonts w:ascii="Times New Roman" w:hAnsi="Times New Roman" w:cs="Times New Roman"/>
          <w:bCs/>
          <w:color w:val="auto"/>
          <w:szCs w:val="24"/>
        </w:rPr>
        <w:t>国家公园、自然保护区、世界自然遗产、重要生境</w:t>
      </w:r>
      <w:r>
        <w:rPr>
          <w:rFonts w:hint="eastAsia" w:ascii="Times New Roman" w:hAnsi="Times New Roman" w:cs="Times New Roman"/>
          <w:color w:val="auto"/>
          <w:szCs w:val="18"/>
        </w:rPr>
        <w:t>、</w:t>
      </w:r>
      <w:r>
        <w:rPr>
          <w:rFonts w:ascii="Times New Roman" w:hAnsi="Times New Roman" w:cs="Times New Roman"/>
          <w:bCs/>
          <w:color w:val="auto"/>
          <w:szCs w:val="24"/>
        </w:rPr>
        <w:t>自然公园</w:t>
      </w:r>
      <w:r>
        <w:rPr>
          <w:rFonts w:hint="eastAsia" w:ascii="Times New Roman" w:hAnsi="Times New Roman" w:cs="Times New Roman"/>
          <w:bCs/>
          <w:color w:val="auto"/>
          <w:szCs w:val="24"/>
        </w:rPr>
        <w:t>、</w:t>
      </w:r>
      <w:r>
        <w:rPr>
          <w:rFonts w:ascii="Times New Roman" w:hAnsi="Times New Roman" w:cs="Times New Roman"/>
          <w:bCs/>
          <w:color w:val="auto"/>
          <w:szCs w:val="24"/>
        </w:rPr>
        <w:t>生态</w:t>
      </w:r>
      <w:r>
        <w:rPr>
          <w:rFonts w:hint="eastAsia" w:ascii="Times New Roman" w:hAnsi="Times New Roman" w:cs="Times New Roman"/>
          <w:bCs/>
          <w:color w:val="auto"/>
          <w:szCs w:val="24"/>
        </w:rPr>
        <w:t>保护</w:t>
      </w:r>
      <w:r>
        <w:rPr>
          <w:rFonts w:ascii="Times New Roman" w:hAnsi="Times New Roman" w:cs="Times New Roman"/>
          <w:bCs/>
          <w:color w:val="auto"/>
          <w:szCs w:val="24"/>
        </w:rPr>
        <w:t>红线</w:t>
      </w:r>
      <w:r>
        <w:rPr>
          <w:rFonts w:hint="eastAsia" w:ascii="Times New Roman" w:hAnsi="Times New Roman" w:cs="Times New Roman"/>
          <w:bCs/>
          <w:color w:val="auto"/>
          <w:szCs w:val="24"/>
        </w:rPr>
        <w:t>及</w:t>
      </w:r>
      <w:r>
        <w:rPr>
          <w:rFonts w:ascii="Times New Roman" w:hAnsi="Times New Roman" w:cs="Times New Roman"/>
          <w:bCs/>
          <w:color w:val="auto"/>
          <w:szCs w:val="24"/>
        </w:rPr>
        <w:t>天然林、公益林、湿地</w:t>
      </w:r>
      <w:r>
        <w:rPr>
          <w:rFonts w:hint="eastAsia" w:ascii="Times New Roman" w:hAnsi="Times New Roman" w:cs="Times New Roman"/>
          <w:bCs/>
          <w:color w:val="auto"/>
          <w:szCs w:val="24"/>
        </w:rPr>
        <w:t>等生态敏感目标，</w:t>
      </w:r>
      <w:r>
        <w:rPr>
          <w:rFonts w:ascii="Times New Roman" w:hAnsi="Times New Roman" w:cs="Times New Roman"/>
          <w:color w:val="FF0000"/>
          <w:szCs w:val="24"/>
          <w:shd w:val="clear" w:color="auto" w:fill="FFFFFF"/>
        </w:rPr>
        <w:t>生态影响评价等级为</w:t>
      </w:r>
      <w:r>
        <w:rPr>
          <w:rFonts w:hint="eastAsia" w:ascii="Times New Roman" w:hAnsi="Times New Roman" w:cs="Times New Roman"/>
          <w:color w:val="FF0000"/>
          <w:szCs w:val="24"/>
          <w:shd w:val="clear" w:color="auto" w:fill="FFFFFF"/>
        </w:rPr>
        <w:t>三</w:t>
      </w:r>
      <w:r>
        <w:rPr>
          <w:rFonts w:ascii="Times New Roman" w:hAnsi="Times New Roman" w:cs="Times New Roman"/>
          <w:color w:val="FF0000"/>
          <w:szCs w:val="24"/>
          <w:shd w:val="clear" w:color="auto" w:fill="FFFFFF"/>
        </w:rPr>
        <w:t>级。</w:t>
      </w:r>
    </w:p>
    <w:p>
      <w:pPr>
        <w:pStyle w:val="25"/>
        <w:spacing w:line="360" w:lineRule="auto"/>
        <w:ind w:firstLine="480"/>
        <w:rPr>
          <w:rFonts w:ascii="Times New Roman" w:hAnsi="Times New Roman" w:cs="Times New Roman"/>
          <w:color w:val="FF0000"/>
          <w:szCs w:val="24"/>
          <w:shd w:val="clear" w:color="auto" w:fill="FFFFFF"/>
        </w:rPr>
      </w:pPr>
      <w:r>
        <w:rPr>
          <w:rFonts w:hint="eastAsia" w:ascii="Times New Roman" w:hAnsi="Times New Roman" w:cs="Times New Roman"/>
          <w:bCs/>
          <w:color w:val="FF0000"/>
          <w:szCs w:val="24"/>
        </w:rPr>
        <w:t>考虑到本项目码头店埠河下游3</w:t>
      </w:r>
      <w:r>
        <w:rPr>
          <w:rFonts w:ascii="Times New Roman" w:hAnsi="Times New Roman" w:cs="Times New Roman"/>
          <w:bCs/>
          <w:color w:val="FF0000"/>
          <w:szCs w:val="24"/>
        </w:rPr>
        <w:t>.2</w:t>
      </w:r>
      <w:r>
        <w:rPr>
          <w:rFonts w:hint="eastAsia" w:ascii="Times New Roman" w:hAnsi="Times New Roman" w:cs="Times New Roman"/>
          <w:bCs/>
          <w:color w:val="FF0000"/>
          <w:szCs w:val="24"/>
        </w:rPr>
        <w:t>km汇入南淝河，南淝河下游9</w:t>
      </w:r>
      <w:r>
        <w:rPr>
          <w:rFonts w:ascii="Times New Roman" w:hAnsi="Times New Roman" w:cs="Times New Roman"/>
          <w:bCs/>
          <w:color w:val="FF0000"/>
          <w:szCs w:val="24"/>
        </w:rPr>
        <w:t>.4</w:t>
      </w:r>
      <w:r>
        <w:rPr>
          <w:rFonts w:hint="eastAsia" w:ascii="Times New Roman" w:hAnsi="Times New Roman" w:cs="Times New Roman"/>
          <w:bCs/>
          <w:color w:val="FF0000"/>
          <w:szCs w:val="24"/>
        </w:rPr>
        <w:t>km处汇入巢湖，南淝河存在生态保护红线及肥东临河省级湿地公园，巢湖属于风景名胜区及重要湿地；进入本项目码头的危化品船舶需要通过巢湖、南淝河航行。本次评价对南淝河沿线的湿地及巢湖湿地委托开展了植被的样方调查、野生动物的样线调查及水生生态调查；对运营期船舶噪声及灯光影响开展了评价及提出了相应的保护措施；提出了运营期生态环境跟踪监测措施</w:t>
      </w:r>
      <w:r>
        <w:rPr>
          <w:rFonts w:ascii="Times New Roman" w:hAnsi="Times New Roman" w:cs="Times New Roman"/>
          <w:color w:val="FF0000"/>
          <w:szCs w:val="24"/>
          <w:shd w:val="clear" w:color="auto" w:fill="FFFFFF"/>
        </w:rPr>
        <w:t>。</w:t>
      </w:r>
    </w:p>
    <w:bookmarkEnd w:id="100"/>
    <w:p>
      <w:pPr>
        <w:ind w:firstLine="480"/>
        <w:rPr>
          <w:rFonts w:ascii="Times New Roman" w:hAnsi="Times New Roman" w:cs="Times New Roman"/>
          <w:color w:val="auto"/>
        </w:rPr>
      </w:pPr>
      <w:r>
        <w:rPr>
          <w:rFonts w:ascii="Times New Roman" w:hAnsi="Times New Roman" w:cs="Times New Roman"/>
          <w:color w:val="auto"/>
        </w:rPr>
        <w:t>（7）土壤环境</w:t>
      </w:r>
    </w:p>
    <w:p>
      <w:pPr>
        <w:ind w:firstLine="480"/>
        <w:rPr>
          <w:rFonts w:ascii="Times New Roman" w:hAnsi="Times New Roman" w:cs="Times New Roman"/>
          <w:b/>
          <w:color w:val="FF0000"/>
          <w:sz w:val="21"/>
          <w:szCs w:val="21"/>
        </w:rPr>
      </w:pPr>
      <w:r>
        <w:rPr>
          <w:rFonts w:ascii="Times New Roman" w:hAnsi="Times New Roman" w:cs="Times New Roman"/>
          <w:color w:val="FF0000"/>
        </w:rPr>
        <w:t>根据《环境影响评价技术导则 土壤环境（试行）》（HJ964-2018），根据影响途径、影响源及影响因子的识别，本项目属于</w:t>
      </w:r>
      <w:r>
        <w:rPr>
          <w:rFonts w:hint="eastAsia" w:ascii="Times New Roman" w:hAnsi="Times New Roman" w:cs="Times New Roman"/>
          <w:color w:val="FF0000"/>
        </w:rPr>
        <w:t>生态影响和</w:t>
      </w:r>
      <w:r>
        <w:rPr>
          <w:rFonts w:ascii="Times New Roman" w:hAnsi="Times New Roman" w:cs="Times New Roman"/>
          <w:color w:val="FF0000"/>
        </w:rPr>
        <w:t>污染影响</w:t>
      </w:r>
      <w:r>
        <w:rPr>
          <w:rFonts w:hint="eastAsia" w:ascii="Times New Roman" w:hAnsi="Times New Roman" w:cs="Times New Roman"/>
          <w:color w:val="FF0000"/>
        </w:rPr>
        <w:t>复合</w:t>
      </w:r>
      <w:r>
        <w:rPr>
          <w:rFonts w:ascii="Times New Roman" w:hAnsi="Times New Roman" w:cs="Times New Roman"/>
          <w:color w:val="FF0000"/>
        </w:rPr>
        <w:t>型，土壤评价等级的确定主要依据项目类别和建设项目土壤环境敏感程度等参数进行确定</w:t>
      </w:r>
      <w:r>
        <w:rPr>
          <w:rFonts w:ascii="Times New Roman" w:hAnsi="Times New Roman" w:cs="Times New Roman"/>
          <w:color w:val="FF0000"/>
          <w:szCs w:val="24"/>
        </w:rPr>
        <w:t>；</w:t>
      </w:r>
      <w:r>
        <w:rPr>
          <w:rFonts w:ascii="Times New Roman" w:hAnsi="Times New Roman" w:cs="Times New Roman"/>
          <w:color w:val="FF0000"/>
        </w:rPr>
        <w:t>详见表2.3-17~表2.3-20。</w:t>
      </w:r>
    </w:p>
    <w:p>
      <w:pPr>
        <w:spacing w:line="240" w:lineRule="auto"/>
        <w:ind w:firstLine="198" w:firstLineChars="94"/>
        <w:jc w:val="center"/>
        <w:rPr>
          <w:rFonts w:ascii="Times New Roman" w:hAnsi="Times New Roman" w:cs="Times New Roman"/>
          <w:b/>
          <w:color w:val="FF0000"/>
          <w:sz w:val="21"/>
          <w:szCs w:val="21"/>
        </w:rPr>
      </w:pPr>
      <w:r>
        <w:rPr>
          <w:rFonts w:ascii="Times New Roman" w:hAnsi="Times New Roman" w:cs="Times New Roman"/>
          <w:b/>
          <w:color w:val="FF0000"/>
          <w:sz w:val="21"/>
          <w:szCs w:val="21"/>
        </w:rPr>
        <w:t>表2.3-17       项目类别划分</w:t>
      </w:r>
    </w:p>
    <w:tbl>
      <w:tblPr>
        <w:tblStyle w:val="62"/>
        <w:tblW w:w="92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5"/>
        <w:gridCol w:w="5873"/>
        <w:gridCol w:w="1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5" w:type="dxa"/>
            <w:vMerge w:val="restart"/>
            <w:tcBorders>
              <w:top w:val="single" w:color="auto" w:sz="12" w:space="0"/>
              <w:left w:val="nil"/>
            </w:tcBorders>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行业类别</w:t>
            </w:r>
          </w:p>
        </w:tc>
        <w:tc>
          <w:tcPr>
            <w:tcW w:w="5873" w:type="dxa"/>
            <w:tcBorders>
              <w:top w:val="single" w:color="auto" w:sz="12" w:space="0"/>
            </w:tcBorders>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项目类别</w:t>
            </w:r>
          </w:p>
        </w:tc>
        <w:tc>
          <w:tcPr>
            <w:tcW w:w="1796" w:type="dxa"/>
            <w:vMerge w:val="restart"/>
            <w:tcBorders>
              <w:top w:val="single" w:color="auto" w:sz="12" w:space="0"/>
              <w:right w:val="nil"/>
            </w:tcBorders>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本项目类别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5" w:type="dxa"/>
            <w:vMerge w:val="continue"/>
            <w:tcBorders>
              <w:left w:val="nil"/>
            </w:tcBorders>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5873"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II类</w:t>
            </w:r>
          </w:p>
        </w:tc>
        <w:tc>
          <w:tcPr>
            <w:tcW w:w="1796" w:type="dxa"/>
            <w:vMerge w:val="continue"/>
            <w:tcBorders>
              <w:right w:val="nil"/>
            </w:tcBorders>
            <w:vAlign w:val="center"/>
          </w:tcPr>
          <w:p>
            <w:pPr>
              <w:widowControl/>
              <w:spacing w:line="240" w:lineRule="auto"/>
              <w:ind w:firstLine="0" w:firstLineChars="0"/>
              <w:jc w:val="center"/>
              <w:rPr>
                <w:rFonts w:ascii="Times New Roman" w:hAnsi="Times New Roman" w:cs="Times New Roman"/>
                <w:color w:val="FF0000"/>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5" w:type="dxa"/>
            <w:tcBorders>
              <w:left w:val="nil"/>
              <w:bottom w:val="single" w:color="auto" w:sz="12" w:space="0"/>
            </w:tcBorders>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交通运输仓储邮政业</w:t>
            </w:r>
          </w:p>
        </w:tc>
        <w:tc>
          <w:tcPr>
            <w:tcW w:w="5873" w:type="dxa"/>
            <w:tcBorders>
              <w:bottom w:val="single" w:color="auto" w:sz="12" w:space="0"/>
            </w:tcBorders>
            <w:shd w:val="clear" w:color="auto" w:fill="D7D7D7"/>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涉及危险品、化学品、石油、成品油储罐区的码头及仓储</w:t>
            </w:r>
          </w:p>
        </w:tc>
        <w:tc>
          <w:tcPr>
            <w:tcW w:w="1796" w:type="dxa"/>
            <w:tcBorders>
              <w:bottom w:val="single" w:color="auto" w:sz="12" w:space="0"/>
              <w:right w:val="nil"/>
            </w:tcBorders>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本项目属于II类</w:t>
            </w:r>
          </w:p>
        </w:tc>
      </w:tr>
    </w:tbl>
    <w:p>
      <w:pPr>
        <w:spacing w:before="166" w:beforeLines="50" w:line="240" w:lineRule="auto"/>
        <w:ind w:firstLine="422"/>
        <w:jc w:val="center"/>
        <w:rPr>
          <w:rFonts w:ascii="Times New Roman" w:hAnsi="Times New Roman" w:cs="Times New Roman"/>
          <w:b/>
          <w:color w:val="FF0000"/>
          <w:sz w:val="21"/>
          <w:szCs w:val="21"/>
        </w:rPr>
      </w:pPr>
      <w:r>
        <w:rPr>
          <w:rFonts w:ascii="Times New Roman" w:hAnsi="Times New Roman" w:cs="Times New Roman"/>
          <w:b/>
          <w:color w:val="FF0000"/>
          <w:sz w:val="21"/>
          <w:szCs w:val="21"/>
        </w:rPr>
        <w:t xml:space="preserve">表2.3-18   </w:t>
      </w:r>
      <w:r>
        <w:rPr>
          <w:rFonts w:hint="eastAsia" w:ascii="Times New Roman" w:hAnsi="Times New Roman" w:cs="Times New Roman"/>
          <w:b/>
          <w:color w:val="FF0000"/>
          <w:sz w:val="21"/>
          <w:szCs w:val="21"/>
        </w:rPr>
        <w:t>生态影响类</w:t>
      </w:r>
      <w:r>
        <w:rPr>
          <w:rFonts w:ascii="Times New Roman" w:hAnsi="Times New Roman" w:cs="Times New Roman"/>
          <w:b/>
          <w:color w:val="FF0000"/>
          <w:sz w:val="21"/>
          <w:szCs w:val="21"/>
        </w:rPr>
        <w:t>土壤环境敏感程度分级表</w:t>
      </w:r>
    </w:p>
    <w:tbl>
      <w:tblPr>
        <w:tblStyle w:val="62"/>
        <w:tblW w:w="928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01"/>
        <w:gridCol w:w="3685"/>
        <w:gridCol w:w="1559"/>
        <w:gridCol w:w="1134"/>
        <w:gridCol w:w="18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1"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敏感程度</w:t>
            </w:r>
          </w:p>
        </w:tc>
        <w:tc>
          <w:tcPr>
            <w:tcW w:w="6378" w:type="dxa"/>
            <w:gridSpan w:val="3"/>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判别依据</w:t>
            </w:r>
          </w:p>
        </w:tc>
        <w:tc>
          <w:tcPr>
            <w:tcW w:w="1808"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本项目属性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1"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3685"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盐化</w:t>
            </w:r>
          </w:p>
        </w:tc>
        <w:tc>
          <w:tcPr>
            <w:tcW w:w="155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酸化</w:t>
            </w:r>
          </w:p>
        </w:tc>
        <w:tc>
          <w:tcPr>
            <w:tcW w:w="113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碱化</w:t>
            </w:r>
          </w:p>
        </w:tc>
        <w:tc>
          <w:tcPr>
            <w:tcW w:w="1808" w:type="dxa"/>
            <w:vAlign w:val="center"/>
          </w:tcPr>
          <w:p>
            <w:pPr>
              <w:widowControl/>
              <w:spacing w:line="240" w:lineRule="auto"/>
              <w:ind w:firstLine="0" w:firstLineChars="0"/>
              <w:jc w:val="center"/>
              <w:rPr>
                <w:rFonts w:ascii="Times New Roman" w:hAnsi="Times New Roman" w:cs="Times New Roman"/>
                <w:color w:val="FF0000"/>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1" w:type="dxa"/>
            <w:shd w:val="clear" w:color="D7D7D7"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敏感</w:t>
            </w:r>
          </w:p>
        </w:tc>
        <w:tc>
          <w:tcPr>
            <w:tcW w:w="3685" w:type="dxa"/>
            <w:shd w:val="clear" w:color="D7D7D7"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建设项目所在地干燥度a＞2.5 且常年地下水位平均埋深＜1.5 m 的地势平坦区域；或土壤含盐量＞4 g/kg的区域</w:t>
            </w:r>
          </w:p>
        </w:tc>
        <w:tc>
          <w:tcPr>
            <w:tcW w:w="1559" w:type="dxa"/>
            <w:shd w:val="clear" w:color="D7D7D7"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pH≤4.5</w:t>
            </w:r>
          </w:p>
        </w:tc>
        <w:tc>
          <w:tcPr>
            <w:tcW w:w="1134" w:type="dxa"/>
            <w:shd w:val="clear" w:color="D7D7D7"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pH≥9.0</w:t>
            </w:r>
          </w:p>
        </w:tc>
        <w:tc>
          <w:tcPr>
            <w:tcW w:w="1808"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本项目为不敏感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1101"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较敏感</w:t>
            </w:r>
          </w:p>
        </w:tc>
        <w:tc>
          <w:tcPr>
            <w:tcW w:w="3685"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建设项目所在地干燥度＞2.5 且常年地下水位平均埋深≥1.5 m的，或1.8＜干燥度≤2.5且常年地下水位平均埋深＜1.8 m 的地势平坦区域；建设项目所在地干燥度＞2.5或常年地下水位平均埋深＜1.5 m的平原区；</w:t>
            </w:r>
          </w:p>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或2 g/kg＜土壤含盐量≤4 g/kg 的区域</w:t>
            </w:r>
          </w:p>
        </w:tc>
        <w:tc>
          <w:tcPr>
            <w:tcW w:w="1559"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4.5＜pH≤5.5</w:t>
            </w:r>
          </w:p>
        </w:tc>
        <w:tc>
          <w:tcPr>
            <w:tcW w:w="1134"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8.5≤pH＜9.0</w:t>
            </w:r>
          </w:p>
        </w:tc>
        <w:tc>
          <w:tcPr>
            <w:tcW w:w="1808"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01" w:type="dxa"/>
            <w:shd w:val="clear" w:color="auto" w:fill="D7D7D7"/>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不敏感</w:t>
            </w:r>
          </w:p>
        </w:tc>
        <w:tc>
          <w:tcPr>
            <w:tcW w:w="3685" w:type="dxa"/>
            <w:shd w:val="clear" w:color="auto" w:fill="D7D7D7"/>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其他</w:t>
            </w:r>
          </w:p>
        </w:tc>
        <w:tc>
          <w:tcPr>
            <w:tcW w:w="2693" w:type="dxa"/>
            <w:gridSpan w:val="2"/>
            <w:shd w:val="clear" w:color="auto" w:fill="D7D7D7"/>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5.5＜pH＜8.5</w:t>
            </w:r>
          </w:p>
        </w:tc>
        <w:tc>
          <w:tcPr>
            <w:tcW w:w="1808"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r>
    </w:tbl>
    <w:p>
      <w:pPr>
        <w:spacing w:before="166" w:beforeLines="50" w:line="240" w:lineRule="auto"/>
        <w:ind w:firstLine="422"/>
        <w:jc w:val="center"/>
        <w:rPr>
          <w:rFonts w:ascii="Times New Roman" w:hAnsi="Times New Roman" w:cs="Times New Roman"/>
          <w:b/>
          <w:color w:val="FF0000"/>
          <w:sz w:val="21"/>
          <w:szCs w:val="21"/>
        </w:rPr>
      </w:pPr>
      <w:r>
        <w:rPr>
          <w:rFonts w:ascii="Times New Roman" w:hAnsi="Times New Roman" w:cs="Times New Roman"/>
          <w:b/>
          <w:color w:val="FF0000"/>
          <w:sz w:val="21"/>
          <w:szCs w:val="21"/>
        </w:rPr>
        <w:t xml:space="preserve">表2.3-19   </w:t>
      </w:r>
      <w:r>
        <w:rPr>
          <w:rFonts w:hint="eastAsia" w:ascii="Times New Roman" w:hAnsi="Times New Roman" w:cs="Times New Roman"/>
          <w:b/>
          <w:color w:val="FF0000"/>
          <w:sz w:val="21"/>
          <w:szCs w:val="21"/>
        </w:rPr>
        <w:t>污染影响类</w:t>
      </w:r>
      <w:r>
        <w:rPr>
          <w:rFonts w:ascii="Times New Roman" w:hAnsi="Times New Roman" w:cs="Times New Roman"/>
          <w:b/>
          <w:color w:val="FF0000"/>
          <w:sz w:val="21"/>
          <w:szCs w:val="21"/>
        </w:rPr>
        <w:t>土壤环境敏感程度分级表</w:t>
      </w:r>
    </w:p>
    <w:tbl>
      <w:tblPr>
        <w:tblStyle w:val="62"/>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5811"/>
        <w:gridCol w:w="18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8"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敏感程度</w:t>
            </w:r>
          </w:p>
        </w:tc>
        <w:tc>
          <w:tcPr>
            <w:tcW w:w="5811"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判别依据</w:t>
            </w:r>
          </w:p>
        </w:tc>
        <w:tc>
          <w:tcPr>
            <w:tcW w:w="1808"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本项目属性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8" w:type="dxa"/>
            <w:shd w:val="clear" w:color="D7D7D7"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敏感</w:t>
            </w:r>
          </w:p>
        </w:tc>
        <w:tc>
          <w:tcPr>
            <w:tcW w:w="5811" w:type="dxa"/>
            <w:shd w:val="clear" w:color="D7D7D7"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建设项目周边存在耕地、园地、牧草地、饮用水源地或居民区、学校、医院、疗养院、养老院等土壤环境敏感目标的</w:t>
            </w:r>
          </w:p>
        </w:tc>
        <w:tc>
          <w:tcPr>
            <w:tcW w:w="1808" w:type="dxa"/>
            <w:vMerge w:val="restart"/>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本项目为不敏感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8"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较敏感</w:t>
            </w:r>
          </w:p>
        </w:tc>
        <w:tc>
          <w:tcPr>
            <w:tcW w:w="5811" w:type="dxa"/>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建设项目周边存在其他土壤环境敏感目标的</w:t>
            </w:r>
          </w:p>
        </w:tc>
        <w:tc>
          <w:tcPr>
            <w:tcW w:w="1808"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668" w:type="dxa"/>
            <w:shd w:val="clear" w:color="auto" w:fill="D7D7D7"/>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不敏感</w:t>
            </w:r>
          </w:p>
        </w:tc>
        <w:tc>
          <w:tcPr>
            <w:tcW w:w="5811" w:type="dxa"/>
            <w:shd w:val="clear" w:color="auto" w:fill="D7D7D7"/>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其他情况</w:t>
            </w:r>
          </w:p>
        </w:tc>
        <w:tc>
          <w:tcPr>
            <w:tcW w:w="1808" w:type="dxa"/>
            <w:vMerge w:val="continue"/>
            <w:vAlign w:val="center"/>
          </w:tcPr>
          <w:p>
            <w:pPr>
              <w:widowControl/>
              <w:spacing w:line="240" w:lineRule="auto"/>
              <w:ind w:firstLine="0" w:firstLineChars="0"/>
              <w:jc w:val="center"/>
              <w:rPr>
                <w:rFonts w:ascii="Times New Roman" w:hAnsi="Times New Roman" w:cs="Times New Roman"/>
                <w:color w:val="FF0000"/>
                <w:kern w:val="0"/>
                <w:sz w:val="18"/>
                <w:szCs w:val="18"/>
              </w:rPr>
            </w:pPr>
          </w:p>
        </w:tc>
      </w:tr>
    </w:tbl>
    <w:p>
      <w:pPr>
        <w:spacing w:before="166" w:beforeLines="50"/>
        <w:ind w:firstLine="480"/>
        <w:rPr>
          <w:rFonts w:ascii="Times New Roman" w:hAnsi="Times New Roman" w:cs="Times New Roman"/>
          <w:color w:val="FF0000"/>
          <w:szCs w:val="24"/>
        </w:rPr>
      </w:pPr>
      <w:bookmarkStart w:id="101" w:name="_Hlk46331078"/>
      <w:r>
        <w:rPr>
          <w:rFonts w:ascii="Times New Roman" w:hAnsi="Times New Roman" w:cs="Times New Roman"/>
          <w:color w:val="FF0000"/>
          <w:szCs w:val="24"/>
        </w:rPr>
        <w:t>本项目属于交通运输仓储邮政业，根据导则判别属于</w:t>
      </w:r>
      <w:r>
        <w:rPr>
          <w:rFonts w:ascii="Times New Roman" w:hAnsi="Times New Roman" w:cs="Times New Roman"/>
          <w:color w:val="FF0000"/>
          <w:kern w:val="0"/>
          <w:sz w:val="21"/>
          <w:szCs w:val="21"/>
        </w:rPr>
        <w:t>II</w:t>
      </w:r>
      <w:r>
        <w:rPr>
          <w:rFonts w:ascii="Times New Roman" w:hAnsi="Times New Roman" w:cs="Times New Roman"/>
          <w:color w:val="FF0000"/>
          <w:szCs w:val="24"/>
        </w:rPr>
        <w:t>类项目；项目位于</w:t>
      </w:r>
      <w:r>
        <w:rPr>
          <w:rFonts w:ascii="Times New Roman" w:hAnsi="Times New Roman" w:cs="Times New Roman"/>
          <w:bCs/>
          <w:color w:val="FF0000"/>
        </w:rPr>
        <w:t>合肥市</w:t>
      </w:r>
      <w:r>
        <w:rPr>
          <w:rFonts w:ascii="Times New Roman" w:hAnsi="Times New Roman" w:cs="Times New Roman"/>
          <w:color w:val="FF0000"/>
          <w:szCs w:val="24"/>
        </w:rPr>
        <w:t>循环经济园</w:t>
      </w:r>
      <w:r>
        <w:rPr>
          <w:rFonts w:hint="eastAsia" w:ascii="Times New Roman" w:hAnsi="Times New Roman" w:cs="Times New Roman"/>
          <w:color w:val="FF0000"/>
          <w:szCs w:val="24"/>
        </w:rPr>
        <w:t>规划范围</w:t>
      </w:r>
      <w:r>
        <w:rPr>
          <w:rFonts w:ascii="Times New Roman" w:hAnsi="Times New Roman" w:cs="Times New Roman"/>
          <w:color w:val="FF0000"/>
          <w:szCs w:val="24"/>
        </w:rPr>
        <w:t>、店埠河左岸，工程总占地面积</w:t>
      </w:r>
      <w:r>
        <w:rPr>
          <w:rFonts w:hint="eastAsia" w:ascii="Times New Roman" w:hAnsi="Times New Roman" w:cs="Times New Roman"/>
          <w:color w:val="FF0000"/>
          <w:szCs w:val="24"/>
        </w:rPr>
        <w:t>约</w:t>
      </w:r>
      <w:r>
        <w:rPr>
          <w:rFonts w:ascii="Times New Roman" w:hAnsi="Times New Roman" w:cs="Times New Roman"/>
          <w:color w:val="FF0000"/>
          <w:szCs w:val="24"/>
        </w:rPr>
        <w:t>270亩（18hm</w:t>
      </w:r>
      <w:r>
        <w:rPr>
          <w:rFonts w:ascii="Times New Roman" w:hAnsi="Times New Roman" w:cs="Times New Roman"/>
          <w:color w:val="FF0000"/>
          <w:szCs w:val="24"/>
          <w:vertAlign w:val="superscript"/>
        </w:rPr>
        <w:t>2</w:t>
      </w:r>
      <w:r>
        <w:rPr>
          <w:rFonts w:ascii="Times New Roman" w:hAnsi="Times New Roman" w:cs="Times New Roman"/>
          <w:color w:val="FF0000"/>
          <w:szCs w:val="24"/>
        </w:rPr>
        <w:t>），占地规模为中型，周边存在</w:t>
      </w:r>
      <w:r>
        <w:rPr>
          <w:rFonts w:ascii="Times New Roman" w:hAnsi="Times New Roman" w:cs="Times New Roman"/>
          <w:color w:val="FF0000"/>
          <w:kern w:val="0"/>
          <w:szCs w:val="24"/>
        </w:rPr>
        <w:t>耕地等土壤环境敏感目标</w:t>
      </w:r>
      <w:r>
        <w:rPr>
          <w:rFonts w:ascii="Times New Roman" w:hAnsi="Times New Roman" w:cs="Times New Roman"/>
          <w:color w:val="FF0000"/>
          <w:szCs w:val="24"/>
        </w:rPr>
        <w:t>，本项目</w:t>
      </w:r>
      <w:r>
        <w:rPr>
          <w:rFonts w:hint="eastAsia" w:ascii="Times New Roman" w:hAnsi="Times New Roman" w:cs="Times New Roman"/>
          <w:color w:val="FF0000"/>
          <w:szCs w:val="24"/>
        </w:rPr>
        <w:t>污染影响类</w:t>
      </w:r>
      <w:r>
        <w:rPr>
          <w:rFonts w:ascii="Times New Roman" w:hAnsi="Times New Roman" w:cs="Times New Roman"/>
          <w:color w:val="FF0000"/>
          <w:szCs w:val="24"/>
        </w:rPr>
        <w:t>土壤敏感程度为敏感。依据</w:t>
      </w:r>
      <w:r>
        <w:rPr>
          <w:rFonts w:hint="eastAsia" w:ascii="Times New Roman" w:hAnsi="Times New Roman" w:cs="Times New Roman"/>
          <w:color w:val="FF0000"/>
          <w:szCs w:val="24"/>
        </w:rPr>
        <w:t>污染影响型项目</w:t>
      </w:r>
      <w:r>
        <w:rPr>
          <w:rFonts w:ascii="Times New Roman" w:hAnsi="Times New Roman" w:cs="Times New Roman"/>
          <w:color w:val="FF0000"/>
          <w:szCs w:val="24"/>
        </w:rPr>
        <w:t>判定，确定项目土壤评价工作等级为二级</w:t>
      </w:r>
      <w:bookmarkEnd w:id="101"/>
      <w:r>
        <w:rPr>
          <w:rFonts w:hint="eastAsia" w:ascii="Times New Roman" w:hAnsi="Times New Roman" w:cs="Times New Roman"/>
          <w:color w:val="FF0000"/>
          <w:szCs w:val="24"/>
        </w:rPr>
        <w:t>，</w:t>
      </w:r>
      <w:r>
        <w:rPr>
          <w:rFonts w:ascii="Times New Roman" w:hAnsi="Times New Roman" w:cs="Times New Roman"/>
          <w:color w:val="FF0000"/>
          <w:szCs w:val="24"/>
        </w:rPr>
        <w:t>详见表2.3-20。</w:t>
      </w:r>
    </w:p>
    <w:p>
      <w:pPr>
        <w:pStyle w:val="25"/>
        <w:spacing w:line="360" w:lineRule="auto"/>
        <w:ind w:firstLine="480"/>
        <w:rPr>
          <w:color w:val="FF0000"/>
        </w:rPr>
      </w:pPr>
      <w:r>
        <w:rPr>
          <w:rFonts w:ascii="Times New Roman" w:hAnsi="Times New Roman" w:cs="Times New Roman"/>
          <w:color w:val="FF0000"/>
          <w:szCs w:val="24"/>
        </w:rPr>
        <w:t>本项目属于交通运输仓储邮政业，根据导则判别属于</w:t>
      </w:r>
      <w:r>
        <w:rPr>
          <w:rFonts w:ascii="Times New Roman" w:hAnsi="Times New Roman" w:cs="Times New Roman"/>
          <w:color w:val="FF0000"/>
          <w:kern w:val="0"/>
          <w:sz w:val="21"/>
          <w:szCs w:val="21"/>
        </w:rPr>
        <w:t>II</w:t>
      </w:r>
      <w:r>
        <w:rPr>
          <w:rFonts w:ascii="Times New Roman" w:hAnsi="Times New Roman" w:cs="Times New Roman"/>
          <w:color w:val="FF0000"/>
          <w:szCs w:val="24"/>
        </w:rPr>
        <w:t>类项目；项目位于</w:t>
      </w:r>
      <w:r>
        <w:rPr>
          <w:rFonts w:ascii="Times New Roman" w:hAnsi="Times New Roman" w:cs="Times New Roman"/>
          <w:bCs/>
          <w:color w:val="FF0000"/>
        </w:rPr>
        <w:t>合肥市</w:t>
      </w:r>
      <w:r>
        <w:rPr>
          <w:rFonts w:ascii="Times New Roman" w:hAnsi="Times New Roman" w:cs="Times New Roman"/>
          <w:color w:val="FF0000"/>
          <w:szCs w:val="24"/>
        </w:rPr>
        <w:t>循环经济园</w:t>
      </w:r>
      <w:r>
        <w:rPr>
          <w:rFonts w:hint="eastAsia" w:ascii="Times New Roman" w:hAnsi="Times New Roman" w:cs="Times New Roman"/>
          <w:color w:val="FF0000"/>
          <w:szCs w:val="24"/>
        </w:rPr>
        <w:t>规划范围</w:t>
      </w:r>
      <w:r>
        <w:rPr>
          <w:rFonts w:ascii="Times New Roman" w:hAnsi="Times New Roman" w:cs="Times New Roman"/>
          <w:color w:val="FF0000"/>
          <w:szCs w:val="24"/>
        </w:rPr>
        <w:t>、店埠河左岸</w:t>
      </w:r>
      <w:r>
        <w:rPr>
          <w:rFonts w:hint="eastAsia" w:ascii="Times New Roman" w:hAnsi="Times New Roman" w:cs="Times New Roman"/>
          <w:color w:val="FF0000"/>
          <w:szCs w:val="24"/>
        </w:rPr>
        <w:t>；项目用地土壤理化性质不属于盐化、酸化和碱化土壤；本项目生态影响类土壤</w:t>
      </w:r>
      <w:r>
        <w:rPr>
          <w:rFonts w:ascii="Times New Roman" w:hAnsi="Times New Roman" w:cs="Times New Roman"/>
          <w:color w:val="FF0000"/>
          <w:szCs w:val="24"/>
        </w:rPr>
        <w:t>敏感程度为</w:t>
      </w:r>
      <w:r>
        <w:rPr>
          <w:rFonts w:hint="eastAsia" w:ascii="Times New Roman" w:hAnsi="Times New Roman" w:cs="Times New Roman"/>
          <w:color w:val="FF0000"/>
          <w:szCs w:val="24"/>
        </w:rPr>
        <w:t>不</w:t>
      </w:r>
      <w:r>
        <w:rPr>
          <w:rFonts w:ascii="Times New Roman" w:hAnsi="Times New Roman" w:cs="Times New Roman"/>
          <w:color w:val="FF0000"/>
          <w:szCs w:val="24"/>
        </w:rPr>
        <w:t>敏感</w:t>
      </w:r>
      <w:r>
        <w:rPr>
          <w:rFonts w:hint="eastAsia" w:ascii="Times New Roman" w:hAnsi="Times New Roman" w:cs="Times New Roman"/>
          <w:color w:val="FF0000"/>
          <w:szCs w:val="24"/>
        </w:rPr>
        <w:t>；</w:t>
      </w:r>
      <w:r>
        <w:rPr>
          <w:rFonts w:ascii="Times New Roman" w:hAnsi="Times New Roman" w:cs="Times New Roman"/>
          <w:color w:val="FF0000"/>
          <w:szCs w:val="24"/>
        </w:rPr>
        <w:t>依据</w:t>
      </w:r>
      <w:r>
        <w:rPr>
          <w:rFonts w:hint="eastAsia" w:ascii="Times New Roman" w:hAnsi="Times New Roman" w:cs="Times New Roman"/>
          <w:color w:val="FF0000"/>
          <w:szCs w:val="24"/>
        </w:rPr>
        <w:t>生态影响型项目</w:t>
      </w:r>
      <w:r>
        <w:rPr>
          <w:rFonts w:ascii="Times New Roman" w:hAnsi="Times New Roman" w:cs="Times New Roman"/>
          <w:color w:val="FF0000"/>
          <w:szCs w:val="24"/>
        </w:rPr>
        <w:t>判定，确定项目土壤评价工作等级为</w:t>
      </w:r>
      <w:r>
        <w:rPr>
          <w:rFonts w:hint="eastAsia" w:ascii="Times New Roman" w:hAnsi="Times New Roman" w:cs="Times New Roman"/>
          <w:color w:val="FF0000"/>
          <w:szCs w:val="24"/>
        </w:rPr>
        <w:t>三</w:t>
      </w:r>
      <w:r>
        <w:rPr>
          <w:rFonts w:ascii="Times New Roman" w:hAnsi="Times New Roman" w:cs="Times New Roman"/>
          <w:color w:val="FF0000"/>
          <w:szCs w:val="24"/>
        </w:rPr>
        <w:t>级。详见表2.3-21。</w:t>
      </w:r>
    </w:p>
    <w:p>
      <w:pPr>
        <w:spacing w:line="240" w:lineRule="auto"/>
        <w:ind w:firstLine="0" w:firstLineChars="0"/>
        <w:jc w:val="center"/>
        <w:rPr>
          <w:rFonts w:ascii="Times New Roman" w:hAnsi="Times New Roman" w:cs="Times New Roman"/>
          <w:b/>
          <w:color w:val="FF0000"/>
          <w:sz w:val="21"/>
          <w:szCs w:val="21"/>
        </w:rPr>
      </w:pPr>
      <w:r>
        <w:rPr>
          <w:rFonts w:ascii="Times New Roman" w:hAnsi="Times New Roman" w:cs="Times New Roman"/>
          <w:b/>
          <w:color w:val="FF0000"/>
          <w:sz w:val="21"/>
          <w:szCs w:val="21"/>
        </w:rPr>
        <w:t xml:space="preserve">表2.3-20  </w:t>
      </w:r>
      <w:r>
        <w:rPr>
          <w:rFonts w:hint="eastAsia" w:ascii="Times New Roman" w:hAnsi="Times New Roman" w:cs="Times New Roman"/>
          <w:b/>
          <w:color w:val="FF0000"/>
          <w:sz w:val="21"/>
          <w:szCs w:val="21"/>
        </w:rPr>
        <w:t>生态影响型</w:t>
      </w:r>
      <w:r>
        <w:rPr>
          <w:rFonts w:ascii="Times New Roman" w:hAnsi="Times New Roman" w:cs="Times New Roman"/>
          <w:b/>
          <w:color w:val="FF0000"/>
          <w:sz w:val="21"/>
          <w:szCs w:val="21"/>
        </w:rPr>
        <w:t>土壤环境敏感程度分级表</w:t>
      </w:r>
    </w:p>
    <w:tbl>
      <w:tblPr>
        <w:tblStyle w:val="62"/>
        <w:tblW w:w="928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96"/>
        <w:gridCol w:w="2358"/>
        <w:gridCol w:w="2490"/>
        <w:gridCol w:w="24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80" w:hRule="atLeast"/>
        </w:trPr>
        <w:tc>
          <w:tcPr>
            <w:tcW w:w="1996" w:type="dxa"/>
            <w:shd w:val="clear" w:color="auto" w:fill="auto"/>
            <w:vAlign w:val="center"/>
          </w:tcPr>
          <w:p>
            <w:pPr>
              <w:widowControl/>
              <w:spacing w:line="240" w:lineRule="auto"/>
              <w:ind w:firstLine="0" w:firstLineChars="0"/>
              <w:jc w:val="right"/>
              <w:rPr>
                <w:rFonts w:ascii="Times New Roman" w:hAnsi="Times New Roman" w:cs="Times New Roman"/>
                <w:color w:val="FF0000"/>
                <w:kern w:val="0"/>
                <w:sz w:val="18"/>
                <w:szCs w:val="18"/>
              </w:rPr>
            </w:pPr>
            <w:r>
              <w:rPr>
                <w:rFonts w:ascii="Times New Roman" w:hAnsi="Times New Roman" w:cs="Times New Roman"/>
                <w:color w:val="FF0000"/>
                <w:kern w:val="0"/>
                <w:sz w:val="18"/>
                <w:szCs w:val="18"/>
              </w:rPr>
              <mc:AlternateContent>
                <mc:Choice Requires="wps">
                  <w:drawing>
                    <wp:anchor distT="0" distB="0" distL="114300" distR="114300" simplePos="0" relativeHeight="251707392" behindDoc="0" locked="0" layoutInCell="1" allowOverlap="1">
                      <wp:simplePos x="0" y="0"/>
                      <wp:positionH relativeFrom="column">
                        <wp:posOffset>361315</wp:posOffset>
                      </wp:positionH>
                      <wp:positionV relativeFrom="paragraph">
                        <wp:posOffset>5080</wp:posOffset>
                      </wp:positionV>
                      <wp:extent cx="838200" cy="532765"/>
                      <wp:effectExtent l="0" t="0" r="0" b="635"/>
                      <wp:wrapNone/>
                      <wp:docPr id="1949" name="直接箭头连接符 172"/>
                      <wp:cNvGraphicFramePr/>
                      <a:graphic xmlns:a="http://schemas.openxmlformats.org/drawingml/2006/main">
                        <a:graphicData uri="http://schemas.microsoft.com/office/word/2010/wordprocessingShape">
                          <wps:wsp>
                            <wps:cNvCnPr/>
                            <wps:spPr>
                              <a:xfrm>
                                <a:off x="0" y="0"/>
                                <a:ext cx="838200" cy="532765"/>
                              </a:xfrm>
                              <a:prstGeom prst="straightConnector1">
                                <a:avLst/>
                              </a:prstGeom>
                              <a:ln w="6350" cap="flat" cmpd="sng">
                                <a:solidFill>
                                  <a:srgbClr val="000000"/>
                                </a:solidFill>
                                <a:prstDash val="solid"/>
                                <a:miter/>
                                <a:headEnd type="none" w="med" len="med"/>
                                <a:tailEnd type="none" w="med" len="med"/>
                              </a:ln>
                            </wps:spPr>
                            <wps:bodyPr/>
                          </wps:wsp>
                        </a:graphicData>
                      </a:graphic>
                    </wp:anchor>
                  </w:drawing>
                </mc:Choice>
                <mc:Fallback>
                  <w:pict>
                    <v:shape id="直接箭头连接符 172" o:spid="_x0000_s1026" o:spt="32" type="#_x0000_t32" style="position:absolute;left:0pt;margin-left:28.45pt;margin-top:0.4pt;height:41.95pt;width:66pt;z-index:251707392;mso-width-relative:page;mso-height-relative:page;" filled="f" stroked="t" coordsize="21600,21600" o:gfxdata="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FgAAAGRy&#10;cy9QSwECFAAUAAAACACHTuJA1cqqodMAAAAGAQAADwAAAAAAAAABACAAAAA4AAAAZHJzL2Rvd25y&#10;ZXYueG1sUEsBAhQAFAAAAAgAh07iQBt8HxDtAQAAsQMAAA4AAAAAAAAAAQAgAAAAOAEAAGRycy9l&#10;Mm9Eb2MueG1sUEsFBgAAAAAGAAYAWQEAAJcFAAAAAA==&#10;">
                      <v:fill on="f" focussize="0,0"/>
                      <v:stroke weight="0.5pt" color="#000000" joinstyle="miter"/>
                      <v:imagedata o:title=""/>
                      <o:lock v:ext="edit" aspectratio="f"/>
                    </v:shape>
                  </w:pict>
                </mc:Fallback>
              </mc:AlternateContent>
            </w:r>
            <w:r>
              <w:rPr>
                <w:rFonts w:ascii="Times New Roman" w:hAnsi="Times New Roman" w:cs="Times New Roman"/>
                <w:color w:val="FF0000"/>
                <w:kern w:val="0"/>
                <w:sz w:val="18"/>
                <w:szCs w:val="18"/>
              </w:rPr>
              <w:t xml:space="preserve">        占地规模</w:t>
            </w:r>
          </w:p>
          <w:p>
            <w:pPr>
              <w:widowControl/>
              <w:spacing w:line="240" w:lineRule="auto"/>
              <w:ind w:firstLine="360"/>
              <w:rPr>
                <w:rFonts w:ascii="Times New Roman" w:hAnsi="Times New Roman" w:cs="Times New Roman"/>
                <w:color w:val="FF0000"/>
                <w:kern w:val="0"/>
                <w:sz w:val="18"/>
                <w:szCs w:val="18"/>
              </w:rPr>
            </w:pPr>
            <w:r>
              <w:rPr>
                <w:rFonts w:ascii="Times New Roman" w:hAnsi="Times New Roman" w:cs="Times New Roman"/>
                <w:color w:val="FF0000"/>
                <w:kern w:val="0"/>
                <w:sz w:val="18"/>
                <w:szCs w:val="18"/>
              </w:rPr>
              <mc:AlternateContent>
                <mc:Choice Requires="wps">
                  <w:drawing>
                    <wp:anchor distT="0" distB="0" distL="114300" distR="114300" simplePos="0" relativeHeight="251708416" behindDoc="0" locked="0" layoutInCell="1" allowOverlap="1">
                      <wp:simplePos x="0" y="0"/>
                      <wp:positionH relativeFrom="column">
                        <wp:posOffset>-55880</wp:posOffset>
                      </wp:positionH>
                      <wp:positionV relativeFrom="paragraph">
                        <wp:posOffset>61595</wp:posOffset>
                      </wp:positionV>
                      <wp:extent cx="1264920" cy="309245"/>
                      <wp:effectExtent l="0" t="0" r="11430" b="14605"/>
                      <wp:wrapNone/>
                      <wp:docPr id="1948" name="直接箭头连接符 170"/>
                      <wp:cNvGraphicFramePr/>
                      <a:graphic xmlns:a="http://schemas.openxmlformats.org/drawingml/2006/main">
                        <a:graphicData uri="http://schemas.microsoft.com/office/word/2010/wordprocessingShape">
                          <wps:wsp>
                            <wps:cNvCnPr/>
                            <wps:spPr>
                              <a:xfrm>
                                <a:off x="0" y="0"/>
                                <a:ext cx="1264920" cy="309245"/>
                              </a:xfrm>
                              <a:prstGeom prst="straightConnector1">
                                <a:avLst/>
                              </a:prstGeom>
                              <a:ln w="6350" cap="flat" cmpd="sng">
                                <a:solidFill>
                                  <a:srgbClr val="000000"/>
                                </a:solidFill>
                                <a:prstDash val="solid"/>
                                <a:miter/>
                                <a:headEnd type="none" w="med" len="med"/>
                                <a:tailEnd type="none" w="med" len="med"/>
                              </a:ln>
                            </wps:spPr>
                            <wps:bodyPr/>
                          </wps:wsp>
                        </a:graphicData>
                      </a:graphic>
                    </wp:anchor>
                  </w:drawing>
                </mc:Choice>
                <mc:Fallback>
                  <w:pict>
                    <v:shape id="直接箭头连接符 170" o:spid="_x0000_s1026" o:spt="32" type="#_x0000_t32" style="position:absolute;left:0pt;margin-left:-4.4pt;margin-top:4.85pt;height:24.35pt;width:99.6pt;z-index:251708416;mso-width-relative:page;mso-height-relative:page;" filled="f" stroked="t" coordsize="21600,21600" o:gfxdata="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W&#10;AAAAZHJzL1BLAQIUABQAAAAIAIdO4kBWF05A1wAAAAcBAAAPAAAAAAAAAAEAIAAAADgAAABkcnMv&#10;ZG93bnJldi54bWxQSwECFAAUAAAACACHTuJApmIWpu4BAACyAwAADgAAAAAAAAABACAAAAA8AQAA&#10;ZHJzL2Uyb0RvYy54bWxQSwUGAAAAAAYABgBZAQAAnAUAAAAA&#10;">
                      <v:fill on="f" focussize="0,0"/>
                      <v:stroke weight="0.5pt" color="#000000" joinstyle="miter"/>
                      <v:imagedata o:title=""/>
                      <o:lock v:ext="edit" aspectratio="f"/>
                    </v:shape>
                  </w:pict>
                </mc:Fallback>
              </mc:AlternateContent>
            </w:r>
            <w:r>
              <w:rPr>
                <w:rFonts w:ascii="Times New Roman" w:hAnsi="Times New Roman" w:cs="Times New Roman"/>
                <w:color w:val="FF0000"/>
                <w:kern w:val="0"/>
                <w:sz w:val="18"/>
                <w:szCs w:val="18"/>
              </w:rPr>
              <w:t>评价等级</w:t>
            </w:r>
          </w:p>
          <w:p>
            <w:pPr>
              <w:widowControl/>
              <w:spacing w:line="240" w:lineRule="auto"/>
              <w:ind w:firstLine="0" w:firstLineChars="0"/>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敏感程度</w:t>
            </w:r>
          </w:p>
        </w:tc>
        <w:tc>
          <w:tcPr>
            <w:tcW w:w="2358"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I类</w:t>
            </w:r>
          </w:p>
        </w:tc>
        <w:tc>
          <w:tcPr>
            <w:tcW w:w="2490"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II类</w:t>
            </w:r>
          </w:p>
        </w:tc>
        <w:tc>
          <w:tcPr>
            <w:tcW w:w="2443"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III类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6"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敏感</w:t>
            </w:r>
          </w:p>
        </w:tc>
        <w:tc>
          <w:tcPr>
            <w:tcW w:w="2358"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一级</w:t>
            </w:r>
          </w:p>
        </w:tc>
        <w:tc>
          <w:tcPr>
            <w:tcW w:w="2490"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二级</w:t>
            </w:r>
          </w:p>
        </w:tc>
        <w:tc>
          <w:tcPr>
            <w:tcW w:w="2443"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6"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较敏感</w:t>
            </w:r>
          </w:p>
        </w:tc>
        <w:tc>
          <w:tcPr>
            <w:tcW w:w="2358"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二级</w:t>
            </w:r>
          </w:p>
        </w:tc>
        <w:tc>
          <w:tcPr>
            <w:tcW w:w="2490"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二级</w:t>
            </w:r>
          </w:p>
        </w:tc>
        <w:tc>
          <w:tcPr>
            <w:tcW w:w="2443"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6"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不敏感</w:t>
            </w:r>
          </w:p>
        </w:tc>
        <w:tc>
          <w:tcPr>
            <w:tcW w:w="2358"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二级</w:t>
            </w:r>
          </w:p>
        </w:tc>
        <w:tc>
          <w:tcPr>
            <w:tcW w:w="2490" w:type="dxa"/>
            <w:shd w:val="clear" w:color="auto" w:fill="auto"/>
            <w:vAlign w:val="center"/>
          </w:tcPr>
          <w:p>
            <w:pPr>
              <w:widowControl/>
              <w:spacing w:line="240" w:lineRule="auto"/>
              <w:ind w:firstLine="0" w:firstLineChars="0"/>
              <w:jc w:val="center"/>
              <w:rPr>
                <w:rFonts w:ascii="Times New Roman" w:hAnsi="Times New Roman" w:cs="Times New Roman"/>
                <w:b/>
                <w:bCs/>
                <w:color w:val="FF0000"/>
                <w:kern w:val="0"/>
                <w:sz w:val="18"/>
                <w:szCs w:val="18"/>
              </w:rPr>
            </w:pPr>
            <w:r>
              <w:rPr>
                <w:rFonts w:hint="eastAsia" w:ascii="Times New Roman" w:hAnsi="Times New Roman" w:cs="Times New Roman"/>
                <w:b/>
                <w:bCs/>
                <w:color w:val="FF0000"/>
                <w:kern w:val="0"/>
                <w:sz w:val="18"/>
                <w:szCs w:val="18"/>
              </w:rPr>
              <w:t>三级</w:t>
            </w:r>
          </w:p>
        </w:tc>
        <w:tc>
          <w:tcPr>
            <w:tcW w:w="2443"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hint="eastAsia" w:ascii="Times New Roman" w:hAnsi="Times New Roman" w:cs="Times New Roman"/>
                <w:color w:val="FF0000"/>
                <w:kern w:val="0"/>
                <w:sz w:val="18"/>
                <w:szCs w:val="18"/>
              </w:rPr>
              <w:t>-</w:t>
            </w:r>
          </w:p>
        </w:tc>
      </w:tr>
    </w:tbl>
    <w:p>
      <w:pPr>
        <w:spacing w:line="240" w:lineRule="auto"/>
        <w:ind w:firstLine="0" w:firstLineChars="0"/>
        <w:jc w:val="center"/>
        <w:rPr>
          <w:rFonts w:ascii="Times New Roman" w:hAnsi="Times New Roman" w:cs="Times New Roman"/>
          <w:b/>
          <w:color w:val="FF0000"/>
          <w:sz w:val="21"/>
          <w:szCs w:val="21"/>
        </w:rPr>
      </w:pPr>
      <w:r>
        <w:rPr>
          <w:rFonts w:ascii="Times New Roman" w:hAnsi="Times New Roman" w:cs="Times New Roman"/>
          <w:b/>
          <w:color w:val="FF0000"/>
          <w:sz w:val="21"/>
          <w:szCs w:val="21"/>
        </w:rPr>
        <w:t xml:space="preserve">表2.3-21   </w:t>
      </w:r>
      <w:r>
        <w:rPr>
          <w:rFonts w:hint="eastAsia" w:ascii="Times New Roman" w:hAnsi="Times New Roman" w:cs="Times New Roman"/>
          <w:b/>
          <w:color w:val="FF0000"/>
          <w:sz w:val="21"/>
          <w:szCs w:val="21"/>
        </w:rPr>
        <w:t>污染影响型</w:t>
      </w:r>
      <w:r>
        <w:rPr>
          <w:rFonts w:ascii="Times New Roman" w:hAnsi="Times New Roman" w:cs="Times New Roman"/>
          <w:b/>
          <w:color w:val="FF0000"/>
          <w:sz w:val="21"/>
          <w:szCs w:val="21"/>
        </w:rPr>
        <w:t>土壤环境敏感程度分级表</w:t>
      </w:r>
    </w:p>
    <w:tbl>
      <w:tblPr>
        <w:tblStyle w:val="62"/>
        <w:tblW w:w="928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96"/>
        <w:gridCol w:w="742"/>
        <w:gridCol w:w="874"/>
        <w:gridCol w:w="742"/>
        <w:gridCol w:w="875"/>
        <w:gridCol w:w="875"/>
        <w:gridCol w:w="740"/>
        <w:gridCol w:w="874"/>
        <w:gridCol w:w="742"/>
        <w:gridCol w:w="82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2" w:hRule="atLeast"/>
        </w:trPr>
        <w:tc>
          <w:tcPr>
            <w:tcW w:w="1996" w:type="dxa"/>
            <w:vMerge w:val="restart"/>
            <w:shd w:val="clear" w:color="auto" w:fill="auto"/>
            <w:vAlign w:val="center"/>
          </w:tcPr>
          <w:p>
            <w:pPr>
              <w:widowControl/>
              <w:spacing w:line="240" w:lineRule="auto"/>
              <w:ind w:firstLine="0" w:firstLineChars="0"/>
              <w:jc w:val="right"/>
              <w:rPr>
                <w:rFonts w:ascii="Times New Roman" w:hAnsi="Times New Roman" w:cs="Times New Roman"/>
                <w:color w:val="FF0000"/>
                <w:kern w:val="0"/>
                <w:sz w:val="18"/>
                <w:szCs w:val="18"/>
              </w:rPr>
            </w:pPr>
            <w:r>
              <w:rPr>
                <w:rFonts w:ascii="Times New Roman" w:hAnsi="Times New Roman" w:cs="Times New Roman"/>
                <w:color w:val="FF0000"/>
                <w:kern w:val="0"/>
                <w:sz w:val="18"/>
                <w:szCs w:val="18"/>
              </w:rPr>
              <mc:AlternateContent>
                <mc:Choice Requires="wps">
                  <w:drawing>
                    <wp:anchor distT="0" distB="0" distL="114300" distR="114300" simplePos="0" relativeHeight="251585536" behindDoc="0" locked="0" layoutInCell="1" allowOverlap="1">
                      <wp:simplePos x="0" y="0"/>
                      <wp:positionH relativeFrom="column">
                        <wp:posOffset>361315</wp:posOffset>
                      </wp:positionH>
                      <wp:positionV relativeFrom="paragraph">
                        <wp:posOffset>5080</wp:posOffset>
                      </wp:positionV>
                      <wp:extent cx="838200" cy="532765"/>
                      <wp:effectExtent l="0" t="0" r="0" b="635"/>
                      <wp:wrapNone/>
                      <wp:docPr id="1947" name="直接箭头连接符 172"/>
                      <wp:cNvGraphicFramePr/>
                      <a:graphic xmlns:a="http://schemas.openxmlformats.org/drawingml/2006/main">
                        <a:graphicData uri="http://schemas.microsoft.com/office/word/2010/wordprocessingShape">
                          <wps:wsp>
                            <wps:cNvCnPr/>
                            <wps:spPr>
                              <a:xfrm>
                                <a:off x="0" y="0"/>
                                <a:ext cx="838200" cy="532765"/>
                              </a:xfrm>
                              <a:prstGeom prst="straightConnector1">
                                <a:avLst/>
                              </a:prstGeom>
                              <a:ln w="6350" cap="flat" cmpd="sng">
                                <a:solidFill>
                                  <a:srgbClr val="000000"/>
                                </a:solidFill>
                                <a:prstDash val="solid"/>
                                <a:miter/>
                                <a:headEnd type="none" w="med" len="med"/>
                                <a:tailEnd type="none" w="med" len="med"/>
                              </a:ln>
                            </wps:spPr>
                            <wps:bodyPr/>
                          </wps:wsp>
                        </a:graphicData>
                      </a:graphic>
                    </wp:anchor>
                  </w:drawing>
                </mc:Choice>
                <mc:Fallback>
                  <w:pict>
                    <v:shape id="直接箭头连接符 172" o:spid="_x0000_s1026" o:spt="32" type="#_x0000_t32" style="position:absolute;left:0pt;margin-left:28.45pt;margin-top:0.4pt;height:41.95pt;width:66pt;z-index:251585536;mso-width-relative:page;mso-height-relative:page;" filled="f" stroked="t" coordsize="21600,21600" o:gfxdata="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WAAAAZHJz&#10;L1BLAQIUABQAAAAIAIdO4kDVyqqh0wAAAAYBAAAPAAAAAAAAAAEAIAAAADgAAABkcnMvZG93bnJl&#10;di54bWxQSwECFAAUAAAACACHTuJApByteewBAACxAwAADgAAAAAAAAABACAAAAA4AQAAZHJzL2Uy&#10;b0RvYy54bWxQSwUGAAAAAAYABgBZAQAAlgUAAAAA&#10;">
                      <v:fill on="f" focussize="0,0"/>
                      <v:stroke weight="0.5pt" color="#000000" joinstyle="miter"/>
                      <v:imagedata o:title=""/>
                      <o:lock v:ext="edit" aspectratio="f"/>
                    </v:shape>
                  </w:pict>
                </mc:Fallback>
              </mc:AlternateContent>
            </w:r>
            <w:r>
              <w:rPr>
                <w:rFonts w:ascii="Times New Roman" w:hAnsi="Times New Roman" w:cs="Times New Roman"/>
                <w:color w:val="FF0000"/>
                <w:kern w:val="0"/>
                <w:sz w:val="18"/>
                <w:szCs w:val="18"/>
              </w:rPr>
              <w:t xml:space="preserve">        占地规模</w:t>
            </w:r>
          </w:p>
          <w:p>
            <w:pPr>
              <w:widowControl/>
              <w:spacing w:line="240" w:lineRule="auto"/>
              <w:ind w:firstLine="360"/>
              <w:rPr>
                <w:rFonts w:ascii="Times New Roman" w:hAnsi="Times New Roman" w:cs="Times New Roman"/>
                <w:color w:val="FF0000"/>
                <w:kern w:val="0"/>
                <w:sz w:val="18"/>
                <w:szCs w:val="18"/>
              </w:rPr>
            </w:pPr>
            <w:r>
              <w:rPr>
                <w:rFonts w:ascii="Times New Roman" w:hAnsi="Times New Roman" w:cs="Times New Roman"/>
                <w:color w:val="FF0000"/>
                <w:kern w:val="0"/>
                <w:sz w:val="18"/>
                <w:szCs w:val="18"/>
              </w:rPr>
              <mc:AlternateContent>
                <mc:Choice Requires="wps">
                  <w:drawing>
                    <wp:anchor distT="0" distB="0" distL="114300" distR="114300" simplePos="0" relativeHeight="251586560" behindDoc="0" locked="0" layoutInCell="1" allowOverlap="1">
                      <wp:simplePos x="0" y="0"/>
                      <wp:positionH relativeFrom="column">
                        <wp:posOffset>-55880</wp:posOffset>
                      </wp:positionH>
                      <wp:positionV relativeFrom="paragraph">
                        <wp:posOffset>61595</wp:posOffset>
                      </wp:positionV>
                      <wp:extent cx="1264920" cy="309245"/>
                      <wp:effectExtent l="0" t="0" r="11430" b="14605"/>
                      <wp:wrapNone/>
                      <wp:docPr id="1946" name="直接箭头连接符 170"/>
                      <wp:cNvGraphicFramePr/>
                      <a:graphic xmlns:a="http://schemas.openxmlformats.org/drawingml/2006/main">
                        <a:graphicData uri="http://schemas.microsoft.com/office/word/2010/wordprocessingShape">
                          <wps:wsp>
                            <wps:cNvCnPr/>
                            <wps:spPr>
                              <a:xfrm>
                                <a:off x="0" y="0"/>
                                <a:ext cx="1264920" cy="309245"/>
                              </a:xfrm>
                              <a:prstGeom prst="straightConnector1">
                                <a:avLst/>
                              </a:prstGeom>
                              <a:ln w="6350" cap="flat" cmpd="sng">
                                <a:solidFill>
                                  <a:srgbClr val="000000"/>
                                </a:solidFill>
                                <a:prstDash val="solid"/>
                                <a:miter/>
                                <a:headEnd type="none" w="med" len="med"/>
                                <a:tailEnd type="none" w="med" len="med"/>
                              </a:ln>
                            </wps:spPr>
                            <wps:bodyPr/>
                          </wps:wsp>
                        </a:graphicData>
                      </a:graphic>
                    </wp:anchor>
                  </w:drawing>
                </mc:Choice>
                <mc:Fallback>
                  <w:pict>
                    <v:shape id="直接箭头连接符 170" o:spid="_x0000_s1026" o:spt="32" type="#_x0000_t32" style="position:absolute;left:0pt;margin-left:-4.4pt;margin-top:4.85pt;height:24.35pt;width:99.6pt;z-index:251586560;mso-width-relative:page;mso-height-relative:page;" filled="f" stroked="t" coordsize="21600,21600" o:gfxdata="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W&#10;AAAAZHJzL1BLAQIUABQAAAAIAIdO4kBWF05A1wAAAAcBAAAPAAAAAAAAAAEAIAAAADgAAABkcnMv&#10;ZG93bnJldi54bWxQSwECFAAUAAAACACHTuJA236h/e4BAACyAwAADgAAAAAAAAABACAAAAA8AQAA&#10;ZHJzL2Uyb0RvYy54bWxQSwUGAAAAAAYABgBZAQAAnAUAAAAA&#10;">
                      <v:fill on="f" focussize="0,0"/>
                      <v:stroke weight="0.5pt" color="#000000" joinstyle="miter"/>
                      <v:imagedata o:title=""/>
                      <o:lock v:ext="edit" aspectratio="f"/>
                    </v:shape>
                  </w:pict>
                </mc:Fallback>
              </mc:AlternateContent>
            </w:r>
            <w:r>
              <w:rPr>
                <w:rFonts w:ascii="Times New Roman" w:hAnsi="Times New Roman" w:cs="Times New Roman"/>
                <w:color w:val="FF0000"/>
                <w:kern w:val="0"/>
                <w:sz w:val="18"/>
                <w:szCs w:val="18"/>
              </w:rPr>
              <w:t>评价等级</w:t>
            </w:r>
          </w:p>
          <w:p>
            <w:pPr>
              <w:widowControl/>
              <w:spacing w:line="240" w:lineRule="auto"/>
              <w:ind w:firstLine="0" w:firstLineChars="0"/>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敏感程度</w:t>
            </w:r>
          </w:p>
        </w:tc>
        <w:tc>
          <w:tcPr>
            <w:tcW w:w="2358" w:type="dxa"/>
            <w:gridSpan w:val="3"/>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I类</w:t>
            </w:r>
          </w:p>
        </w:tc>
        <w:tc>
          <w:tcPr>
            <w:tcW w:w="2490" w:type="dxa"/>
            <w:gridSpan w:val="3"/>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II类</w:t>
            </w:r>
          </w:p>
        </w:tc>
        <w:tc>
          <w:tcPr>
            <w:tcW w:w="2443" w:type="dxa"/>
            <w:gridSpan w:val="3"/>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III类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1996"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p>
        </w:tc>
        <w:tc>
          <w:tcPr>
            <w:tcW w:w="742"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大</w:t>
            </w:r>
          </w:p>
        </w:tc>
        <w:tc>
          <w:tcPr>
            <w:tcW w:w="874"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中</w:t>
            </w:r>
          </w:p>
        </w:tc>
        <w:tc>
          <w:tcPr>
            <w:tcW w:w="742"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小</w:t>
            </w:r>
          </w:p>
        </w:tc>
        <w:tc>
          <w:tcPr>
            <w:tcW w:w="875"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大</w:t>
            </w:r>
          </w:p>
        </w:tc>
        <w:tc>
          <w:tcPr>
            <w:tcW w:w="875"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中</w:t>
            </w:r>
          </w:p>
        </w:tc>
        <w:tc>
          <w:tcPr>
            <w:tcW w:w="740"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小</w:t>
            </w:r>
          </w:p>
        </w:tc>
        <w:tc>
          <w:tcPr>
            <w:tcW w:w="874"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大</w:t>
            </w:r>
          </w:p>
        </w:tc>
        <w:tc>
          <w:tcPr>
            <w:tcW w:w="742"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中</w:t>
            </w:r>
          </w:p>
        </w:tc>
        <w:tc>
          <w:tcPr>
            <w:tcW w:w="827"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6"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敏感</w:t>
            </w:r>
          </w:p>
        </w:tc>
        <w:tc>
          <w:tcPr>
            <w:tcW w:w="742"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一级</w:t>
            </w:r>
          </w:p>
        </w:tc>
        <w:tc>
          <w:tcPr>
            <w:tcW w:w="874"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一级</w:t>
            </w:r>
          </w:p>
        </w:tc>
        <w:tc>
          <w:tcPr>
            <w:tcW w:w="742"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一级</w:t>
            </w:r>
          </w:p>
        </w:tc>
        <w:tc>
          <w:tcPr>
            <w:tcW w:w="875"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二级</w:t>
            </w:r>
          </w:p>
        </w:tc>
        <w:tc>
          <w:tcPr>
            <w:tcW w:w="875" w:type="dxa"/>
            <w:shd w:val="clear" w:color="auto" w:fill="auto"/>
            <w:vAlign w:val="center"/>
          </w:tcPr>
          <w:p>
            <w:pPr>
              <w:widowControl/>
              <w:spacing w:line="240" w:lineRule="auto"/>
              <w:ind w:firstLine="0" w:firstLineChars="0"/>
              <w:jc w:val="center"/>
              <w:rPr>
                <w:rFonts w:ascii="Times New Roman" w:hAnsi="Times New Roman" w:cs="Times New Roman"/>
                <w:b/>
                <w:bCs/>
                <w:color w:val="FF0000"/>
                <w:kern w:val="0"/>
                <w:sz w:val="18"/>
                <w:szCs w:val="18"/>
              </w:rPr>
            </w:pPr>
            <w:r>
              <w:rPr>
                <w:rFonts w:ascii="Times New Roman" w:hAnsi="Times New Roman" w:cs="Times New Roman"/>
                <w:b/>
                <w:bCs/>
                <w:color w:val="FF0000"/>
                <w:kern w:val="0"/>
                <w:sz w:val="18"/>
                <w:szCs w:val="18"/>
              </w:rPr>
              <w:t>二级</w:t>
            </w:r>
          </w:p>
        </w:tc>
        <w:tc>
          <w:tcPr>
            <w:tcW w:w="740"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三级</w:t>
            </w:r>
          </w:p>
        </w:tc>
        <w:tc>
          <w:tcPr>
            <w:tcW w:w="874"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三级</w:t>
            </w:r>
          </w:p>
        </w:tc>
        <w:tc>
          <w:tcPr>
            <w:tcW w:w="742"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三级</w:t>
            </w:r>
          </w:p>
        </w:tc>
        <w:tc>
          <w:tcPr>
            <w:tcW w:w="827"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6"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较敏感</w:t>
            </w:r>
          </w:p>
        </w:tc>
        <w:tc>
          <w:tcPr>
            <w:tcW w:w="742"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一级</w:t>
            </w:r>
          </w:p>
        </w:tc>
        <w:tc>
          <w:tcPr>
            <w:tcW w:w="874"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一级</w:t>
            </w:r>
          </w:p>
        </w:tc>
        <w:tc>
          <w:tcPr>
            <w:tcW w:w="742"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二级</w:t>
            </w:r>
          </w:p>
        </w:tc>
        <w:tc>
          <w:tcPr>
            <w:tcW w:w="875"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二级</w:t>
            </w:r>
          </w:p>
        </w:tc>
        <w:tc>
          <w:tcPr>
            <w:tcW w:w="875"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二级</w:t>
            </w:r>
          </w:p>
        </w:tc>
        <w:tc>
          <w:tcPr>
            <w:tcW w:w="740"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三级</w:t>
            </w:r>
          </w:p>
        </w:tc>
        <w:tc>
          <w:tcPr>
            <w:tcW w:w="874"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三级</w:t>
            </w:r>
          </w:p>
        </w:tc>
        <w:tc>
          <w:tcPr>
            <w:tcW w:w="742"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三级</w:t>
            </w:r>
          </w:p>
        </w:tc>
        <w:tc>
          <w:tcPr>
            <w:tcW w:w="827"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96"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不敏感</w:t>
            </w:r>
          </w:p>
        </w:tc>
        <w:tc>
          <w:tcPr>
            <w:tcW w:w="742"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一级</w:t>
            </w:r>
          </w:p>
        </w:tc>
        <w:tc>
          <w:tcPr>
            <w:tcW w:w="874"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二级</w:t>
            </w:r>
          </w:p>
        </w:tc>
        <w:tc>
          <w:tcPr>
            <w:tcW w:w="742"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二级</w:t>
            </w:r>
          </w:p>
        </w:tc>
        <w:tc>
          <w:tcPr>
            <w:tcW w:w="875"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二级</w:t>
            </w:r>
          </w:p>
        </w:tc>
        <w:tc>
          <w:tcPr>
            <w:tcW w:w="875"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三级</w:t>
            </w:r>
          </w:p>
        </w:tc>
        <w:tc>
          <w:tcPr>
            <w:tcW w:w="740" w:type="dxa"/>
            <w:shd w:val="clear" w:color="auto" w:fill="auto"/>
            <w:vAlign w:val="center"/>
          </w:tcPr>
          <w:p>
            <w:pPr>
              <w:widowControl/>
              <w:spacing w:line="240" w:lineRule="auto"/>
              <w:ind w:firstLine="0" w:firstLineChars="0"/>
              <w:jc w:val="center"/>
              <w:rPr>
                <w:rFonts w:ascii="Times New Roman" w:hAnsi="Times New Roman" w:cs="Times New Roman"/>
                <w:b/>
                <w:bCs/>
                <w:color w:val="FF0000"/>
                <w:kern w:val="0"/>
                <w:sz w:val="18"/>
                <w:szCs w:val="18"/>
              </w:rPr>
            </w:pPr>
            <w:r>
              <w:rPr>
                <w:rFonts w:ascii="Times New Roman" w:hAnsi="Times New Roman" w:cs="Times New Roman"/>
                <w:color w:val="FF0000"/>
                <w:kern w:val="0"/>
                <w:sz w:val="18"/>
                <w:szCs w:val="18"/>
              </w:rPr>
              <w:t>三级</w:t>
            </w:r>
          </w:p>
        </w:tc>
        <w:tc>
          <w:tcPr>
            <w:tcW w:w="874"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三级</w:t>
            </w:r>
          </w:p>
        </w:tc>
        <w:tc>
          <w:tcPr>
            <w:tcW w:w="742"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w:t>
            </w:r>
          </w:p>
        </w:tc>
        <w:tc>
          <w:tcPr>
            <w:tcW w:w="827" w:type="dxa"/>
            <w:shd w:val="clear" w:color="auto" w:fill="auto"/>
            <w:vAlign w:val="center"/>
          </w:tcPr>
          <w:p>
            <w:pPr>
              <w:widowControl/>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w:t>
            </w:r>
          </w:p>
        </w:tc>
      </w:tr>
    </w:tbl>
    <w:p>
      <w:pPr>
        <w:pStyle w:val="4"/>
        <w:numPr>
          <w:ilvl w:val="2"/>
          <w:numId w:val="0"/>
        </w:numPr>
        <w:jc w:val="both"/>
        <w:rPr>
          <w:rFonts w:ascii="Times New Roman" w:hAnsi="Times New Roman" w:cs="Times New Roman"/>
          <w:color w:val="auto"/>
        </w:rPr>
      </w:pPr>
      <w:bookmarkStart w:id="102" w:name="_Toc104733307"/>
      <w:bookmarkStart w:id="103" w:name="_Toc102984267"/>
      <w:r>
        <w:rPr>
          <w:rFonts w:ascii="Times New Roman" w:hAnsi="Times New Roman" w:cs="Times New Roman"/>
          <w:color w:val="auto"/>
        </w:rPr>
        <w:t>2.3.2评价范围</w:t>
      </w:r>
      <w:bookmarkEnd w:id="102"/>
      <w:bookmarkEnd w:id="103"/>
    </w:p>
    <w:p>
      <w:pPr>
        <w:ind w:firstLine="480"/>
        <w:rPr>
          <w:rFonts w:ascii="Times New Roman" w:hAnsi="Times New Roman" w:cs="Times New Roman"/>
          <w:color w:val="auto"/>
          <w:szCs w:val="24"/>
        </w:rPr>
      </w:pPr>
      <w:r>
        <w:rPr>
          <w:rFonts w:ascii="Times New Roman" w:hAnsi="Times New Roman" w:cs="Times New Roman"/>
          <w:color w:val="auto"/>
          <w:szCs w:val="24"/>
        </w:rPr>
        <w:t>根据各环境要素《环境影响评价技术导则》的规定，</w:t>
      </w:r>
      <w:r>
        <w:rPr>
          <w:rFonts w:ascii="Times New Roman" w:hAnsi="Times New Roman" w:cs="Times New Roman"/>
          <w:color w:val="auto"/>
        </w:rPr>
        <w:t>本项目</w:t>
      </w:r>
      <w:r>
        <w:rPr>
          <w:rFonts w:ascii="Times New Roman" w:hAnsi="Times New Roman" w:cs="Times New Roman"/>
          <w:color w:val="auto"/>
          <w:szCs w:val="24"/>
        </w:rPr>
        <w:t>的特点及周围自然环境状况确定本次评价环境现状监测及影响预测评价范围，详见下表。</w:t>
      </w:r>
    </w:p>
    <w:p>
      <w:pPr>
        <w:spacing w:line="240" w:lineRule="auto"/>
        <w:ind w:firstLine="422"/>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表2.3-16   环境现状监测及影响预测评价范围</w:t>
      </w:r>
    </w:p>
    <w:tbl>
      <w:tblPr>
        <w:tblStyle w:val="62"/>
        <w:tblW w:w="928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45"/>
        <w:gridCol w:w="1278"/>
        <w:gridCol w:w="606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8" w:hRule="atLeast"/>
          <w:tblHeader/>
          <w:jc w:val="center"/>
        </w:trPr>
        <w:tc>
          <w:tcPr>
            <w:tcW w:w="3223" w:type="dxa"/>
            <w:gridSpan w:val="2"/>
            <w:vAlign w:val="center"/>
          </w:tcPr>
          <w:p>
            <w:pPr>
              <w:pStyle w:val="2556"/>
              <w:rPr>
                <w:rFonts w:ascii="Times New Roman" w:hAnsi="Times New Roman" w:cs="Times New Roman"/>
                <w:b/>
                <w:bCs/>
                <w:color w:val="auto"/>
                <w:sz w:val="18"/>
                <w:szCs w:val="18"/>
              </w:rPr>
            </w:pPr>
            <w:r>
              <w:rPr>
                <w:rFonts w:ascii="Times New Roman" w:hAnsi="Times New Roman" w:cs="Times New Roman"/>
                <w:b/>
                <w:bCs/>
                <w:color w:val="auto"/>
                <w:sz w:val="18"/>
                <w:szCs w:val="18"/>
              </w:rPr>
              <w:t>评价内容</w:t>
            </w:r>
          </w:p>
        </w:tc>
        <w:tc>
          <w:tcPr>
            <w:tcW w:w="6060" w:type="dxa"/>
            <w:vAlign w:val="center"/>
          </w:tcPr>
          <w:p>
            <w:pPr>
              <w:pStyle w:val="2556"/>
              <w:rPr>
                <w:rFonts w:ascii="Times New Roman" w:hAnsi="Times New Roman" w:cs="Times New Roman"/>
                <w:b/>
                <w:bCs/>
                <w:color w:val="auto"/>
                <w:sz w:val="18"/>
                <w:szCs w:val="18"/>
              </w:rPr>
            </w:pPr>
            <w:r>
              <w:rPr>
                <w:rFonts w:ascii="Times New Roman" w:hAnsi="Times New Roman" w:cs="Times New Roman"/>
                <w:b/>
                <w:bCs/>
                <w:color w:val="auto"/>
                <w:sz w:val="18"/>
                <w:szCs w:val="18"/>
              </w:rPr>
              <w:t>评价范围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9" w:hRule="atLeast"/>
          <w:jc w:val="center"/>
        </w:trPr>
        <w:tc>
          <w:tcPr>
            <w:tcW w:w="1945" w:type="dxa"/>
            <w:vMerge w:val="restart"/>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环境空气</w:t>
            </w:r>
          </w:p>
        </w:tc>
        <w:tc>
          <w:tcPr>
            <w:tcW w:w="1278"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现状监测</w:t>
            </w:r>
          </w:p>
        </w:tc>
        <w:tc>
          <w:tcPr>
            <w:tcW w:w="6060" w:type="dxa"/>
            <w:vMerge w:val="restart"/>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以工程选址为中心，</w:t>
            </w:r>
            <w:r>
              <w:rPr>
                <w:rFonts w:hint="eastAsia" w:ascii="Times New Roman" w:hAnsi="Times New Roman" w:cs="Times New Roman"/>
                <w:color w:val="auto"/>
                <w:kern w:val="0"/>
                <w:sz w:val="18"/>
                <w:szCs w:val="18"/>
              </w:rPr>
              <w:t>边长5km的</w:t>
            </w:r>
            <w:r>
              <w:rPr>
                <w:rFonts w:ascii="Times New Roman" w:hAnsi="Times New Roman" w:cs="Times New Roman"/>
                <w:color w:val="auto"/>
                <w:kern w:val="0"/>
                <w:sz w:val="18"/>
                <w:szCs w:val="18"/>
              </w:rPr>
              <w:t>矩形区域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1945" w:type="dxa"/>
            <w:vMerge w:val="continue"/>
            <w:vAlign w:val="center"/>
          </w:tcPr>
          <w:p>
            <w:pPr>
              <w:widowControl/>
              <w:spacing w:line="240" w:lineRule="auto"/>
              <w:ind w:firstLine="0" w:firstLineChars="0"/>
              <w:jc w:val="center"/>
              <w:rPr>
                <w:rFonts w:ascii="Times New Roman" w:hAnsi="Times New Roman" w:cs="Times New Roman"/>
                <w:color w:val="auto"/>
                <w:kern w:val="0"/>
                <w:sz w:val="18"/>
                <w:szCs w:val="18"/>
              </w:rPr>
            </w:pPr>
          </w:p>
        </w:tc>
        <w:tc>
          <w:tcPr>
            <w:tcW w:w="1278" w:type="dxa"/>
            <w:vAlign w:val="center"/>
          </w:tcPr>
          <w:p>
            <w:pPr>
              <w:pStyle w:val="2556"/>
              <w:rPr>
                <w:rFonts w:ascii="Times New Roman" w:hAnsi="Times New Roman" w:cs="Times New Roman"/>
                <w:color w:val="auto"/>
                <w:kern w:val="0"/>
                <w:sz w:val="18"/>
                <w:szCs w:val="18"/>
              </w:rPr>
            </w:pPr>
            <w:r>
              <w:rPr>
                <w:rFonts w:ascii="Times New Roman" w:hAnsi="Times New Roman" w:cs="Times New Roman"/>
                <w:color w:val="auto"/>
                <w:kern w:val="0"/>
                <w:sz w:val="18"/>
                <w:szCs w:val="18"/>
              </w:rPr>
              <w:t>影响预测</w:t>
            </w:r>
          </w:p>
        </w:tc>
        <w:tc>
          <w:tcPr>
            <w:tcW w:w="6060" w:type="dxa"/>
            <w:vMerge w:val="continue"/>
            <w:vAlign w:val="center"/>
          </w:tcPr>
          <w:p>
            <w:pPr>
              <w:widowControl/>
              <w:spacing w:line="240" w:lineRule="auto"/>
              <w:ind w:firstLine="0" w:firstLineChars="0"/>
              <w:jc w:val="center"/>
              <w:rPr>
                <w:rFonts w:ascii="Times New Roman" w:hAnsi="Times New Roman"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48" w:hRule="atLeast"/>
          <w:jc w:val="center"/>
        </w:trPr>
        <w:tc>
          <w:tcPr>
            <w:tcW w:w="1945" w:type="dxa"/>
            <w:vMerge w:val="restart"/>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地表水环境</w:t>
            </w:r>
          </w:p>
        </w:tc>
        <w:tc>
          <w:tcPr>
            <w:tcW w:w="1278"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现状监测</w:t>
            </w:r>
          </w:p>
        </w:tc>
        <w:tc>
          <w:tcPr>
            <w:tcW w:w="6060"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区域地表水体为店埠河、南淝河、巢湖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7" w:hRule="atLeast"/>
          <w:jc w:val="center"/>
        </w:trPr>
        <w:tc>
          <w:tcPr>
            <w:tcW w:w="1945" w:type="dxa"/>
            <w:vMerge w:val="continue"/>
            <w:vAlign w:val="center"/>
          </w:tcPr>
          <w:p>
            <w:pPr>
              <w:widowControl/>
              <w:spacing w:line="240" w:lineRule="auto"/>
              <w:ind w:firstLine="0" w:firstLineChars="0"/>
              <w:jc w:val="center"/>
              <w:rPr>
                <w:rFonts w:ascii="Times New Roman" w:hAnsi="Times New Roman" w:cs="Times New Roman"/>
                <w:color w:val="auto"/>
                <w:kern w:val="0"/>
                <w:sz w:val="18"/>
                <w:szCs w:val="18"/>
              </w:rPr>
            </w:pPr>
          </w:p>
        </w:tc>
        <w:tc>
          <w:tcPr>
            <w:tcW w:w="1278" w:type="dxa"/>
            <w:vAlign w:val="center"/>
          </w:tcPr>
          <w:p>
            <w:pPr>
              <w:pStyle w:val="2556"/>
              <w:rPr>
                <w:rFonts w:ascii="Times New Roman" w:hAnsi="Times New Roman" w:cs="Times New Roman"/>
                <w:color w:val="auto"/>
                <w:kern w:val="0"/>
                <w:sz w:val="18"/>
                <w:szCs w:val="18"/>
              </w:rPr>
            </w:pPr>
            <w:r>
              <w:rPr>
                <w:rFonts w:ascii="Times New Roman" w:hAnsi="Times New Roman" w:cs="Times New Roman"/>
                <w:color w:val="auto"/>
                <w:kern w:val="0"/>
                <w:sz w:val="18"/>
                <w:szCs w:val="18"/>
              </w:rPr>
              <w:t>影响预测</w:t>
            </w:r>
          </w:p>
        </w:tc>
        <w:tc>
          <w:tcPr>
            <w:tcW w:w="6060" w:type="dxa"/>
            <w:vAlign w:val="center"/>
          </w:tcPr>
          <w:p>
            <w:pPr>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满足依托合肥循环经济园污水处理</w:t>
            </w:r>
            <w:r>
              <w:rPr>
                <w:rFonts w:hint="eastAsia" w:ascii="Times New Roman" w:hAnsi="Times New Roman" w:cs="Times New Roman"/>
                <w:color w:val="auto"/>
                <w:kern w:val="0"/>
                <w:sz w:val="18"/>
                <w:szCs w:val="18"/>
              </w:rPr>
              <w:t>厂</w:t>
            </w:r>
            <w:r>
              <w:rPr>
                <w:rFonts w:ascii="Times New Roman" w:hAnsi="Times New Roman" w:cs="Times New Roman"/>
                <w:color w:val="auto"/>
                <w:kern w:val="0"/>
                <w:sz w:val="18"/>
                <w:szCs w:val="18"/>
              </w:rPr>
              <w:t>环境可行性分析，店埠河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9" w:hRule="atLeast"/>
          <w:jc w:val="center"/>
        </w:trPr>
        <w:tc>
          <w:tcPr>
            <w:tcW w:w="1945"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地下水环境</w:t>
            </w:r>
          </w:p>
        </w:tc>
        <w:tc>
          <w:tcPr>
            <w:tcW w:w="1278"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影响预测</w:t>
            </w:r>
          </w:p>
        </w:tc>
        <w:tc>
          <w:tcPr>
            <w:tcW w:w="6060"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项目所在地下游12.6km</w:t>
            </w:r>
            <w:r>
              <w:rPr>
                <w:rFonts w:ascii="Times New Roman" w:hAnsi="Times New Roman" w:cs="Times New Roman"/>
                <w:color w:val="auto"/>
                <w:kern w:val="0"/>
                <w:sz w:val="18"/>
                <w:szCs w:val="18"/>
                <w:vertAlign w:val="superscript"/>
              </w:rPr>
              <w:t>2</w:t>
            </w:r>
            <w:r>
              <w:rPr>
                <w:rFonts w:ascii="Times New Roman" w:hAnsi="Times New Roman" w:cs="Times New Roman"/>
                <w:color w:val="auto"/>
                <w:kern w:val="0"/>
                <w:sz w:val="18"/>
                <w:szCs w:val="18"/>
              </w:rPr>
              <w:t>范围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5" w:hRule="atLeast"/>
          <w:jc w:val="center"/>
        </w:trPr>
        <w:tc>
          <w:tcPr>
            <w:tcW w:w="1945" w:type="dxa"/>
            <w:vMerge w:val="restart"/>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声环境</w:t>
            </w:r>
          </w:p>
        </w:tc>
        <w:tc>
          <w:tcPr>
            <w:tcW w:w="1278"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现状监测</w:t>
            </w:r>
          </w:p>
        </w:tc>
        <w:tc>
          <w:tcPr>
            <w:tcW w:w="6060"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项目</w:t>
            </w:r>
            <w:r>
              <w:rPr>
                <w:rFonts w:hint="eastAsia" w:ascii="Times New Roman" w:hAnsi="Times New Roman" w:cs="Times New Roman"/>
                <w:color w:val="auto"/>
                <w:kern w:val="0"/>
                <w:sz w:val="18"/>
                <w:szCs w:val="18"/>
              </w:rPr>
              <w:t>场</w:t>
            </w:r>
            <w:r>
              <w:rPr>
                <w:rFonts w:ascii="Times New Roman" w:hAnsi="Times New Roman" w:cs="Times New Roman"/>
                <w:color w:val="auto"/>
                <w:kern w:val="0"/>
                <w:sz w:val="18"/>
                <w:szCs w:val="18"/>
              </w:rPr>
              <w:t>界噪声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3" w:hRule="atLeast"/>
          <w:jc w:val="center"/>
        </w:trPr>
        <w:tc>
          <w:tcPr>
            <w:tcW w:w="1945" w:type="dxa"/>
            <w:vMerge w:val="continue"/>
            <w:vAlign w:val="center"/>
          </w:tcPr>
          <w:p>
            <w:pPr>
              <w:widowControl/>
              <w:spacing w:line="240" w:lineRule="auto"/>
              <w:ind w:firstLine="0" w:firstLineChars="0"/>
              <w:jc w:val="center"/>
              <w:rPr>
                <w:rFonts w:ascii="Times New Roman" w:hAnsi="Times New Roman" w:cs="Times New Roman"/>
                <w:color w:val="auto"/>
                <w:kern w:val="0"/>
                <w:sz w:val="18"/>
                <w:szCs w:val="18"/>
              </w:rPr>
            </w:pPr>
          </w:p>
        </w:tc>
        <w:tc>
          <w:tcPr>
            <w:tcW w:w="1278" w:type="dxa"/>
            <w:vAlign w:val="center"/>
          </w:tcPr>
          <w:p>
            <w:pPr>
              <w:pStyle w:val="2556"/>
              <w:rPr>
                <w:rFonts w:ascii="Times New Roman" w:hAnsi="Times New Roman" w:cs="Times New Roman"/>
                <w:color w:val="auto"/>
                <w:kern w:val="0"/>
                <w:sz w:val="18"/>
                <w:szCs w:val="18"/>
              </w:rPr>
            </w:pPr>
            <w:r>
              <w:rPr>
                <w:rFonts w:ascii="Times New Roman" w:hAnsi="Times New Roman" w:cs="Times New Roman"/>
                <w:color w:val="auto"/>
                <w:kern w:val="0"/>
                <w:sz w:val="18"/>
                <w:szCs w:val="18"/>
              </w:rPr>
              <w:t>影响预测</w:t>
            </w:r>
          </w:p>
        </w:tc>
        <w:tc>
          <w:tcPr>
            <w:tcW w:w="6060" w:type="dxa"/>
            <w:vAlign w:val="center"/>
          </w:tcPr>
          <w:p>
            <w:pPr>
              <w:pStyle w:val="2556"/>
              <w:rPr>
                <w:rFonts w:ascii="Times New Roman" w:hAnsi="Times New Roman" w:cs="Times New Roman"/>
                <w:color w:val="auto"/>
                <w:kern w:val="0"/>
                <w:sz w:val="18"/>
                <w:szCs w:val="18"/>
              </w:rPr>
            </w:pPr>
            <w:r>
              <w:rPr>
                <w:rFonts w:ascii="Times New Roman" w:hAnsi="Times New Roman" w:cs="Times New Roman"/>
                <w:color w:val="auto"/>
                <w:kern w:val="0"/>
                <w:sz w:val="18"/>
                <w:szCs w:val="18"/>
              </w:rPr>
              <w:t>码头边界外1m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8" w:hRule="atLeast"/>
          <w:jc w:val="center"/>
        </w:trPr>
        <w:tc>
          <w:tcPr>
            <w:tcW w:w="1945"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土壤环境</w:t>
            </w:r>
          </w:p>
        </w:tc>
        <w:tc>
          <w:tcPr>
            <w:tcW w:w="1278" w:type="dxa"/>
            <w:vAlign w:val="center"/>
          </w:tcPr>
          <w:p>
            <w:pPr>
              <w:pStyle w:val="2556"/>
              <w:rPr>
                <w:rFonts w:ascii="Times New Roman" w:hAnsi="Times New Roman" w:cs="Times New Roman"/>
                <w:color w:val="auto"/>
                <w:kern w:val="0"/>
                <w:sz w:val="18"/>
                <w:szCs w:val="18"/>
              </w:rPr>
            </w:pPr>
            <w:r>
              <w:rPr>
                <w:rFonts w:ascii="Times New Roman" w:hAnsi="Times New Roman" w:cs="Times New Roman"/>
                <w:color w:val="auto"/>
                <w:kern w:val="0"/>
                <w:sz w:val="18"/>
                <w:szCs w:val="18"/>
              </w:rPr>
              <w:t>—</w:t>
            </w:r>
          </w:p>
        </w:tc>
        <w:tc>
          <w:tcPr>
            <w:tcW w:w="6060" w:type="dxa"/>
            <w:vAlign w:val="center"/>
          </w:tcPr>
          <w:p>
            <w:pPr>
              <w:pStyle w:val="2556"/>
              <w:rPr>
                <w:rFonts w:ascii="Times New Roman" w:hAnsi="Times New Roman" w:cs="Times New Roman"/>
                <w:color w:val="auto"/>
                <w:kern w:val="0"/>
                <w:sz w:val="18"/>
                <w:szCs w:val="18"/>
              </w:rPr>
            </w:pPr>
            <w:r>
              <w:rPr>
                <w:rFonts w:ascii="Times New Roman" w:hAnsi="Times New Roman" w:cs="Times New Roman"/>
                <w:color w:val="auto"/>
                <w:kern w:val="0"/>
                <w:sz w:val="18"/>
                <w:szCs w:val="18"/>
              </w:rPr>
              <w:t>码头区域</w:t>
            </w:r>
            <w:r>
              <w:rPr>
                <w:rFonts w:hint="eastAsia" w:ascii="Times New Roman" w:hAnsi="Times New Roman" w:cs="Times New Roman"/>
                <w:color w:val="auto"/>
                <w:kern w:val="0"/>
                <w:sz w:val="18"/>
                <w:szCs w:val="18"/>
              </w:rPr>
              <w:t>及周边用地；</w:t>
            </w:r>
            <w:r>
              <w:rPr>
                <w:rFonts w:ascii="Times New Roman" w:hAnsi="Times New Roman" w:cs="Times New Roman"/>
                <w:color w:val="auto"/>
                <w:kern w:val="0"/>
                <w:sz w:val="18"/>
                <w:szCs w:val="18"/>
              </w:rPr>
              <w:t>店埠河及南淝河底泥</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3" w:hRule="atLeast"/>
          <w:jc w:val="center"/>
        </w:trPr>
        <w:tc>
          <w:tcPr>
            <w:tcW w:w="1945"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生态环境</w:t>
            </w:r>
          </w:p>
        </w:tc>
        <w:tc>
          <w:tcPr>
            <w:tcW w:w="1278"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w:t>
            </w:r>
          </w:p>
        </w:tc>
        <w:tc>
          <w:tcPr>
            <w:tcW w:w="6060"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工程永久占地范围，扩展至区域</w:t>
            </w:r>
            <w:r>
              <w:rPr>
                <w:rFonts w:hint="eastAsia" w:ascii="Times New Roman" w:hAnsi="Times New Roman" w:cs="Times New Roman"/>
                <w:color w:val="auto"/>
                <w:kern w:val="0"/>
                <w:sz w:val="18"/>
                <w:szCs w:val="18"/>
              </w:rPr>
              <w:t>生态</w:t>
            </w:r>
            <w:r>
              <w:rPr>
                <w:rFonts w:ascii="Times New Roman" w:hAnsi="Times New Roman" w:cs="Times New Roman"/>
                <w:color w:val="auto"/>
                <w:kern w:val="0"/>
                <w:sz w:val="18"/>
                <w:szCs w:val="18"/>
              </w:rPr>
              <w:t>敏感区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5" w:hRule="atLeast"/>
          <w:jc w:val="center"/>
        </w:trPr>
        <w:tc>
          <w:tcPr>
            <w:tcW w:w="1945"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环境风险</w:t>
            </w:r>
          </w:p>
        </w:tc>
        <w:tc>
          <w:tcPr>
            <w:tcW w:w="1278"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w:t>
            </w:r>
          </w:p>
        </w:tc>
        <w:tc>
          <w:tcPr>
            <w:tcW w:w="6060"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大气环境风险评价范围：距离项目边界5km；</w:t>
            </w:r>
          </w:p>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地表水环境风险评价范围：店埠河、南淝河及巢湖</w:t>
            </w:r>
          </w:p>
        </w:tc>
      </w:tr>
    </w:tbl>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104" w:name="_Toc104733308"/>
      <w:bookmarkStart w:id="105" w:name="_Toc28930"/>
      <w:bookmarkStart w:id="106" w:name="_Toc30869"/>
      <w:bookmarkStart w:id="107" w:name="_Toc102979809"/>
      <w:bookmarkStart w:id="108" w:name="_Toc5902"/>
      <w:bookmarkStart w:id="109" w:name="_Toc475344751"/>
      <w:r>
        <w:rPr>
          <w:rFonts w:ascii="Times New Roman" w:hAnsi="Times New Roman" w:eastAsia="黑体" w:cs="Times New Roman"/>
          <w:color w:val="auto"/>
          <w:kern w:val="2"/>
          <w:sz w:val="28"/>
        </w:rPr>
        <w:t>2.4产业政策及规划选址合理性分析</w:t>
      </w:r>
      <w:bookmarkEnd w:id="104"/>
      <w:bookmarkEnd w:id="105"/>
      <w:bookmarkEnd w:id="106"/>
      <w:bookmarkEnd w:id="107"/>
      <w:bookmarkEnd w:id="108"/>
    </w:p>
    <w:p>
      <w:pPr>
        <w:pStyle w:val="4"/>
        <w:numPr>
          <w:ilvl w:val="2"/>
          <w:numId w:val="0"/>
        </w:numPr>
        <w:jc w:val="both"/>
        <w:rPr>
          <w:rFonts w:ascii="Times New Roman" w:hAnsi="Times New Roman" w:cs="Times New Roman"/>
          <w:color w:val="auto"/>
        </w:rPr>
      </w:pPr>
      <w:bookmarkStart w:id="110" w:name="_Toc102984269"/>
      <w:bookmarkStart w:id="111" w:name="_Toc104733309"/>
      <w:r>
        <w:rPr>
          <w:rFonts w:ascii="Times New Roman" w:hAnsi="Times New Roman" w:cs="Times New Roman"/>
          <w:color w:val="auto"/>
        </w:rPr>
        <w:t>2.4.1产业政策符合性分析</w:t>
      </w:r>
      <w:bookmarkEnd w:id="110"/>
      <w:bookmarkEnd w:id="111"/>
    </w:p>
    <w:p>
      <w:pPr>
        <w:ind w:firstLine="480"/>
        <w:rPr>
          <w:rFonts w:ascii="Times New Roman" w:hAnsi="Times New Roman" w:cs="Times New Roman"/>
          <w:color w:val="auto"/>
        </w:rPr>
      </w:pPr>
      <w:r>
        <w:rPr>
          <w:rFonts w:ascii="Times New Roman" w:hAnsi="Times New Roman" w:cs="Times New Roman"/>
          <w:color w:val="auto"/>
        </w:rPr>
        <w:t>本项目</w:t>
      </w:r>
      <w:r>
        <w:rPr>
          <w:rFonts w:ascii="Times New Roman" w:hAnsi="Times New Roman" w:cs="Times New Roman"/>
          <w:color w:val="auto"/>
          <w:szCs w:val="24"/>
        </w:rPr>
        <w:t>拟建1000t级液体化工泊位7个</w:t>
      </w:r>
      <w:r>
        <w:rPr>
          <w:rFonts w:ascii="Times New Roman" w:hAnsi="Times New Roman" w:cs="Times New Roman"/>
          <w:color w:val="auto"/>
        </w:rPr>
        <w:t>；对照国家发展和改革委员会2019年第29号令《产业结构调整指导目录（2019年本）》，本项目属于 “第一类 鼓励类 二十五 水运</w:t>
      </w:r>
      <w:r>
        <w:rPr>
          <w:rFonts w:ascii="Times New Roman" w:hAnsi="Times New Roman" w:cs="Times New Roman"/>
          <w:color w:val="auto"/>
        </w:rPr>
        <w:tab/>
      </w:r>
      <w:r>
        <w:rPr>
          <w:rFonts w:ascii="Times New Roman" w:hAnsi="Times New Roman" w:cs="Times New Roman"/>
          <w:color w:val="auto"/>
        </w:rPr>
        <w:t>1、深水泊位（内河千吨级及以上）建设”，为鼓励类项目。因此拟建项目的建设符合国家产业政策。</w:t>
      </w:r>
    </w:p>
    <w:p>
      <w:pPr>
        <w:ind w:firstLine="480"/>
        <w:rPr>
          <w:rFonts w:ascii="Times New Roman" w:hAnsi="Times New Roman" w:cs="Times New Roman"/>
          <w:color w:val="auto"/>
        </w:rPr>
      </w:pPr>
      <w:r>
        <w:rPr>
          <w:rFonts w:ascii="Times New Roman" w:hAnsi="Times New Roman" w:cs="Times New Roman"/>
        </w:rPr>
        <w:t>2022年1月18日，合肥市发展和改革委员会以合发改备[2022]1号文对合肥东航码头工程项目予以备案（项目代码：2020-340122-55-02-027570）。2022年2月25日，安徽省发展和改革委员会以皖发改基础[2022]115号文对合肥东航码头工程项目（5#-7#液体油品专用泊位）进行了核准。</w:t>
      </w:r>
    </w:p>
    <w:p>
      <w:pPr>
        <w:pStyle w:val="4"/>
        <w:numPr>
          <w:ilvl w:val="2"/>
          <w:numId w:val="0"/>
        </w:numPr>
        <w:jc w:val="both"/>
        <w:rPr>
          <w:rFonts w:ascii="Times New Roman" w:hAnsi="Times New Roman" w:cs="Times New Roman"/>
          <w:color w:val="auto"/>
        </w:rPr>
      </w:pPr>
      <w:bookmarkStart w:id="112" w:name="_Toc104733310"/>
      <w:bookmarkStart w:id="113" w:name="_Toc102984270"/>
      <w:r>
        <w:rPr>
          <w:rFonts w:ascii="Times New Roman" w:hAnsi="Times New Roman" w:cs="Times New Roman"/>
          <w:color w:val="auto"/>
        </w:rPr>
        <w:t>2.4.2规划相符性</w:t>
      </w:r>
      <w:bookmarkEnd w:id="112"/>
      <w:bookmarkEnd w:id="113"/>
    </w:p>
    <w:p>
      <w:pPr>
        <w:pStyle w:val="4"/>
        <w:numPr>
          <w:ilvl w:val="2"/>
          <w:numId w:val="0"/>
        </w:numPr>
        <w:jc w:val="both"/>
        <w:rPr>
          <w:rFonts w:ascii="Times New Roman" w:hAnsi="Times New Roman" w:cs="Times New Roman"/>
          <w:color w:val="auto"/>
          <w:spacing w:val="-2"/>
          <w:szCs w:val="22"/>
        </w:rPr>
      </w:pPr>
      <w:bookmarkStart w:id="114" w:name="_Toc104733311"/>
      <w:bookmarkStart w:id="115" w:name="_Toc102984271"/>
      <w:r>
        <w:rPr>
          <w:rFonts w:ascii="Times New Roman" w:hAnsi="Times New Roman" w:cs="Times New Roman"/>
          <w:color w:val="auto"/>
          <w:spacing w:val="-2"/>
          <w:szCs w:val="22"/>
        </w:rPr>
        <w:t>2.4.2.1与《关于深入打好污染防治攻坚战的意见》的相符性</w:t>
      </w:r>
      <w:bookmarkEnd w:id="114"/>
      <w:bookmarkEnd w:id="115"/>
    </w:p>
    <w:p>
      <w:pPr>
        <w:ind w:firstLine="480"/>
        <w:rPr>
          <w:rFonts w:ascii="Times New Roman" w:hAnsi="Times New Roman" w:cs="Times New Roman"/>
          <w:color w:val="auto"/>
          <w:spacing w:val="-2"/>
        </w:rPr>
      </w:pPr>
      <w:r>
        <w:rPr>
          <w:rFonts w:ascii="Times New Roman" w:hAnsi="Times New Roman" w:cs="Times New Roman"/>
        </w:rPr>
        <w:t>2021年11月2日，</w:t>
      </w:r>
      <w:r>
        <w:rPr>
          <w:rFonts w:ascii="Times New Roman" w:hAnsi="Times New Roman" w:cs="Times New Roman"/>
          <w:color w:val="auto"/>
          <w:spacing w:val="-2"/>
        </w:rPr>
        <w:t>中共中央、国务院发布《关于深入打好污染防治攻坚战的意见》，其中：</w:t>
      </w:r>
    </w:p>
    <w:p>
      <w:pPr>
        <w:ind w:firstLine="480"/>
        <w:rPr>
          <w:rFonts w:ascii="Times New Roman" w:hAnsi="Times New Roman" w:cs="Times New Roman"/>
        </w:rPr>
      </w:pPr>
      <w:r>
        <w:rPr>
          <w:rFonts w:ascii="Times New Roman" w:hAnsi="Times New Roman" w:cs="Times New Roman"/>
        </w:rPr>
        <w:t>（十三）持续打好柴油货车污染治理攻坚战。深入实施清洁柴油车（机）行动，全国基本淘汰国三及以下排放标准汽车，推动氢燃料电池汽车示范应用，有序推广清洁能源汽车。进一步推进大中城市公共交通、公务用车电动化进程。不断提高船舶靠港岸电使用率。实施更加严格的车用汽油质量标准。加快大宗货物和中长途货物运输“公转铁”、“公转水”，大力发展公铁、铁水等多式联运。“十四五”时期，铁路货运量占比提高0.5个百分点，水路货运量年均增速超过2%。</w:t>
      </w:r>
    </w:p>
    <w:p>
      <w:pPr>
        <w:pStyle w:val="25"/>
        <w:spacing w:line="360" w:lineRule="auto"/>
        <w:ind w:firstLine="480"/>
        <w:rPr>
          <w:rFonts w:ascii="Times New Roman" w:hAnsi="Times New Roman" w:cs="Times New Roman"/>
        </w:rPr>
      </w:pPr>
      <w:r>
        <w:rPr>
          <w:rFonts w:hint="eastAsia" w:ascii="Times New Roman" w:hAnsi="Times New Roman" w:cs="Times New Roman"/>
        </w:rPr>
        <w:t>（十九）着力打好重点海域综合治理攻坚战。巩固深化渤海综合治理成果，实施长江口－杭州湾、珠江口邻近海域污染防治行动，“一湾一策”实施重点海湾综合治理。深入推进入海河流断面水质改善、沿岸直排海污染源整治、海水养殖环境治理，</w:t>
      </w:r>
      <w:r>
        <w:rPr>
          <w:rFonts w:hint="eastAsia" w:ascii="Times New Roman" w:hAnsi="Times New Roman" w:cs="Times New Roman"/>
          <w:color w:val="FF0000"/>
        </w:rPr>
        <w:t>加强船舶港口、海洋垃圾等污染防治</w:t>
      </w:r>
      <w:r>
        <w:rPr>
          <w:rFonts w:hint="eastAsia" w:ascii="Times New Roman" w:hAnsi="Times New Roman" w:cs="Times New Roman"/>
        </w:rPr>
        <w:t>。推进重点海域生态系统保护修复，加强海洋伏季休渔监管执法。推进海洋环境风险排查整治和应急能力建设。到2025年，重点海域水质优良比例比2020年提升2个百分点左右，省控及以上河流入海断面基本消除劣Ⅴ类，滨海湿地和岸线得到有效保护。</w:t>
      </w:r>
    </w:p>
    <w:p>
      <w:pPr>
        <w:ind w:firstLine="482"/>
        <w:rPr>
          <w:rFonts w:ascii="Times New Roman" w:hAnsi="Times New Roman" w:cs="Times New Roman"/>
          <w:b/>
          <w:bCs/>
          <w:color w:val="FF0000"/>
        </w:rPr>
      </w:pPr>
      <w:r>
        <w:rPr>
          <w:rFonts w:ascii="Times New Roman" w:hAnsi="Times New Roman" w:cs="Times New Roman"/>
          <w:b/>
          <w:bCs/>
          <w:color w:val="FF0000"/>
        </w:rPr>
        <w:t>本项目为水运工程项目，属于大宗货物和中长途货物运输的“公转水”，有利于合肥市进一步优化调整运输结构，提升综合运输效率，降低社会物流成本，促进节能减排降碳</w:t>
      </w:r>
      <w:r>
        <w:rPr>
          <w:rFonts w:hint="eastAsia" w:ascii="Times New Roman" w:hAnsi="Times New Roman" w:cs="Times New Roman"/>
          <w:b/>
          <w:bCs/>
          <w:color w:val="FF0000"/>
        </w:rPr>
        <w:t>；本项目采取油气回收等措施对码头和罐区的大气污染物进行治理；船舶生活污水经码头接收装置收集后，随港区生活污水经化粪池处理后一道接入合肥循环经济示范园污水处理厂；船舶含油污水经码头接收装置收集后同港区含油污水经处理装置处理达标后接管进入合肥循环经济示范园污水处理厂。</w:t>
      </w:r>
      <w:r>
        <w:rPr>
          <w:rFonts w:ascii="Times New Roman" w:hAnsi="Times New Roman" w:cs="Times New Roman"/>
          <w:b/>
          <w:bCs/>
          <w:color w:val="FF0000"/>
        </w:rPr>
        <w:t>符合意见的要求。</w:t>
      </w:r>
    </w:p>
    <w:p>
      <w:pPr>
        <w:pStyle w:val="4"/>
        <w:numPr>
          <w:ilvl w:val="2"/>
          <w:numId w:val="0"/>
        </w:numPr>
        <w:jc w:val="both"/>
        <w:rPr>
          <w:rFonts w:ascii="Times New Roman" w:hAnsi="Times New Roman" w:cs="Times New Roman"/>
          <w:color w:val="auto"/>
          <w:spacing w:val="-2"/>
          <w:szCs w:val="22"/>
        </w:rPr>
      </w:pPr>
      <w:bookmarkStart w:id="116" w:name="_Toc102984272"/>
      <w:bookmarkStart w:id="117" w:name="_Toc104733312"/>
      <w:r>
        <w:rPr>
          <w:rFonts w:ascii="Times New Roman" w:hAnsi="Times New Roman" w:cs="Times New Roman"/>
          <w:color w:val="auto"/>
          <w:spacing w:val="-2"/>
          <w:szCs w:val="22"/>
        </w:rPr>
        <w:t>2.4.2.2与国务院办公厅印发《推进多式联运发展优化调整运输结构工作方案(2021—2025年)》的相符性分析</w:t>
      </w:r>
      <w:bookmarkEnd w:id="116"/>
      <w:bookmarkEnd w:id="117"/>
    </w:p>
    <w:p>
      <w:pPr>
        <w:ind w:firstLine="480"/>
        <w:rPr>
          <w:rFonts w:ascii="Times New Roman" w:hAnsi="Times New Roman" w:cs="Times New Roman"/>
        </w:rPr>
      </w:pPr>
      <w:r>
        <w:rPr>
          <w:rFonts w:ascii="Times New Roman" w:hAnsi="Times New Roman" w:cs="Times New Roman"/>
        </w:rPr>
        <w:t>2021年12月25日国务院办公厅以国办发〔2021〕54号印发《推进多式联运发展优化调整运输结构工作方案(2021—2025年)》；大力发展多式联运，推动各种交通运输方式深度融合，进一步优化调整运输结构，提升综合运输效率，降低社会物流成本，促进节能减排降碳。</w:t>
      </w:r>
    </w:p>
    <w:p>
      <w:pPr>
        <w:ind w:firstLine="480"/>
        <w:rPr>
          <w:rFonts w:ascii="Times New Roman" w:hAnsi="Times New Roman" w:cs="Times New Roman"/>
        </w:rPr>
      </w:pPr>
      <w:r>
        <w:rPr>
          <w:rFonts w:ascii="Times New Roman" w:hAnsi="Times New Roman" w:cs="Times New Roman"/>
        </w:rPr>
        <w:t>交通运输领域是我国温室气体和大气污染物排放的主要领域之一，尤其是货运车辆排放占比最大。2020年货车碳排放量占综合交通碳排放量60%以上，NOx排放量占汽车排放量的84.3%。我国交通运输还处于较快发展阶段，未来交通运输需求仍将在较长时间内呈现增长态势。铁路运输单位货物周转量能耗强度是公路的1/7，污染物排放强度是公路的1/13，水运运输单位能耗强度比铁路更低。</w:t>
      </w:r>
    </w:p>
    <w:p>
      <w:pPr>
        <w:ind w:firstLine="482"/>
        <w:rPr>
          <w:rFonts w:ascii="Times New Roman" w:hAnsi="Times New Roman" w:cs="Times New Roman"/>
          <w:b/>
          <w:bCs/>
        </w:rPr>
      </w:pPr>
      <w:r>
        <w:rPr>
          <w:rFonts w:ascii="Times New Roman" w:hAnsi="Times New Roman" w:cs="Times New Roman"/>
          <w:b/>
          <w:bCs/>
        </w:rPr>
        <w:t>本项目为水运工程项目，属于优化交通运输结构，推动大宗物资运输实现 “公转水”项目，有利于助力碳达峰碳中和，符合工作方案的要求。</w:t>
      </w:r>
    </w:p>
    <w:p>
      <w:pPr>
        <w:pStyle w:val="5"/>
        <w:keepNext w:val="0"/>
        <w:keepLines w:val="0"/>
        <w:numPr>
          <w:ilvl w:val="3"/>
          <w:numId w:val="0"/>
        </w:numPr>
        <w:tabs>
          <w:tab w:val="left" w:pos="1080"/>
        </w:tabs>
        <w:spacing w:after="0" w:line="360" w:lineRule="auto"/>
        <w:rPr>
          <w:rFonts w:ascii="Times New Roman" w:hAnsi="Times New Roman" w:eastAsia="宋体" w:cs="Times New Roman"/>
          <w:color w:val="auto"/>
          <w:spacing w:val="-2"/>
          <w:sz w:val="24"/>
          <w:szCs w:val="22"/>
        </w:rPr>
      </w:pPr>
      <w:r>
        <w:rPr>
          <w:rFonts w:ascii="Times New Roman" w:hAnsi="Times New Roman" w:eastAsia="宋体" w:cs="Times New Roman"/>
          <w:color w:val="auto"/>
          <w:spacing w:val="-2"/>
          <w:sz w:val="24"/>
          <w:szCs w:val="22"/>
        </w:rPr>
        <w:t>2.4.2.3与《合肥市城市总体规划（2011—2020年）》相符性分析</w:t>
      </w:r>
    </w:p>
    <w:p>
      <w:pPr>
        <w:ind w:firstLine="480"/>
        <w:rPr>
          <w:rFonts w:ascii="Times New Roman" w:hAnsi="Times New Roman" w:cs="Times New Roman"/>
          <w:color w:val="auto"/>
        </w:rPr>
      </w:pPr>
      <w:r>
        <w:rPr>
          <w:rFonts w:ascii="Times New Roman" w:hAnsi="Times New Roman" w:cs="Times New Roman"/>
          <w:color w:val="auto"/>
        </w:rPr>
        <w:t>合肥是安徽省省会，长三角城市群副中心城市，国家重要的科研教育基地、现代制造业基地和综合交通枢纽。</w:t>
      </w:r>
    </w:p>
    <w:p>
      <w:pPr>
        <w:ind w:firstLine="480"/>
        <w:rPr>
          <w:rFonts w:ascii="Times New Roman" w:hAnsi="Times New Roman" w:cs="Times New Roman"/>
          <w:color w:val="auto"/>
        </w:rPr>
      </w:pPr>
      <w:r>
        <w:rPr>
          <w:rFonts w:hint="eastAsia" w:ascii="Times New Roman" w:hAnsi="Times New Roman" w:cs="Times New Roman"/>
          <w:color w:val="auto"/>
        </w:rPr>
        <w:t>《合肥市城市总体规划（2011—2020年）》提出：以合肥建设全国有影响力的区域性特大城市为契机，深化区域合作，加快推进合肥经济圈一体化进程，合理配置资源，优化城镇布局，促进协调发展。</w:t>
      </w:r>
    </w:p>
    <w:p>
      <w:pPr>
        <w:ind w:firstLine="480"/>
        <w:rPr>
          <w:rFonts w:ascii="Times New Roman" w:hAnsi="Times New Roman" w:cs="Times New Roman"/>
          <w:color w:val="auto"/>
        </w:rPr>
      </w:pPr>
      <w:r>
        <w:rPr>
          <w:rFonts w:hint="eastAsia" w:ascii="Times New Roman" w:hAnsi="Times New Roman" w:cs="Times New Roman"/>
          <w:color w:val="auto"/>
        </w:rPr>
        <w:t>1、加快产业集群发展，形成一体化发展新格局。</w:t>
      </w:r>
    </w:p>
    <w:p>
      <w:pPr>
        <w:ind w:firstLine="480"/>
        <w:rPr>
          <w:rFonts w:ascii="Times New Roman" w:hAnsi="Times New Roman" w:cs="Times New Roman"/>
          <w:color w:val="auto"/>
        </w:rPr>
      </w:pPr>
      <w:r>
        <w:rPr>
          <w:rFonts w:hint="eastAsia" w:ascii="Times New Roman" w:hAnsi="Times New Roman" w:cs="Times New Roman"/>
          <w:color w:val="auto"/>
        </w:rPr>
        <w:t>加强合肥与六安、淮南的联系，促进合淮、合六工业走廊的形成。积极承接产业转移，做强优势产业，培育壮大战略性新兴产业，参与产业国际分工，加快产业集聚，延伸产业链，促进产业集群，形成合肥经济圈一体化发展新格局。</w:t>
      </w:r>
    </w:p>
    <w:p>
      <w:pPr>
        <w:ind w:firstLine="480"/>
        <w:rPr>
          <w:rFonts w:ascii="Times New Roman" w:hAnsi="Times New Roman" w:cs="Times New Roman"/>
          <w:color w:val="auto"/>
        </w:rPr>
      </w:pPr>
      <w:r>
        <w:rPr>
          <w:rFonts w:hint="eastAsia" w:ascii="Times New Roman" w:hAnsi="Times New Roman" w:cs="Times New Roman"/>
          <w:color w:val="auto"/>
        </w:rPr>
        <w:t>2、加强生态环境保护，构建生态安全格局。</w:t>
      </w:r>
    </w:p>
    <w:p>
      <w:pPr>
        <w:ind w:firstLine="480"/>
        <w:rPr>
          <w:rFonts w:ascii="Times New Roman" w:hAnsi="Times New Roman" w:cs="Times New Roman"/>
          <w:color w:val="auto"/>
        </w:rPr>
      </w:pPr>
      <w:r>
        <w:rPr>
          <w:rFonts w:hint="eastAsia" w:ascii="Times New Roman" w:hAnsi="Times New Roman" w:cs="Times New Roman"/>
          <w:color w:val="auto"/>
        </w:rPr>
        <w:t>加强地表水环境的保护与治理，改善淮河、巢湖水质。加强大别山区生态保护，构建区域生态安全屏障。加强区域内重要生态功能区和生态敏感区的保护与修复，形成稳定的生态安全格局。</w:t>
      </w:r>
    </w:p>
    <w:p>
      <w:pPr>
        <w:ind w:firstLine="480"/>
        <w:rPr>
          <w:rFonts w:ascii="Times New Roman" w:hAnsi="Times New Roman" w:cs="Times New Roman"/>
          <w:color w:val="auto"/>
        </w:rPr>
      </w:pPr>
      <w:r>
        <w:rPr>
          <w:rFonts w:hint="eastAsia" w:ascii="Times New Roman" w:hAnsi="Times New Roman" w:cs="Times New Roman"/>
          <w:color w:val="auto"/>
        </w:rPr>
        <w:t>3、加强区域交通建设，构筑综合交通枢纽。</w:t>
      </w:r>
    </w:p>
    <w:p>
      <w:pPr>
        <w:ind w:firstLine="480"/>
        <w:rPr>
          <w:rFonts w:ascii="Times New Roman" w:hAnsi="Times New Roman" w:cs="Times New Roman"/>
          <w:color w:val="auto"/>
        </w:rPr>
      </w:pPr>
      <w:r>
        <w:rPr>
          <w:rFonts w:hint="eastAsia" w:ascii="Times New Roman" w:hAnsi="Times New Roman" w:cs="Times New Roman"/>
          <w:color w:val="auto"/>
        </w:rPr>
        <w:t>以合福等高速铁路、合安等城际铁路、合宁等高速公路为骨架，以新桥机场及重要港口、站场为节点，以普铁、干线公路、高等级航道为网络，构筑一体化综合交通运输体系。</w:t>
      </w:r>
      <w:r>
        <w:rPr>
          <w:rFonts w:ascii="Times New Roman" w:hAnsi="Times New Roman" w:cs="Times New Roman"/>
          <w:color w:val="auto"/>
        </w:rPr>
        <w:cr/>
      </w:r>
      <w:r>
        <w:rPr>
          <w:rFonts w:ascii="Times New Roman" w:hAnsi="Times New Roman" w:cs="Times New Roman"/>
          <w:color w:val="auto"/>
        </w:rPr>
        <w:t xml:space="preserve">    </w:t>
      </w:r>
      <w:r>
        <w:rPr>
          <w:rFonts w:hint="eastAsia" w:ascii="Times New Roman" w:hAnsi="Times New Roman" w:cs="Times New Roman"/>
          <w:color w:val="auto"/>
        </w:rPr>
        <w:t>以快速客运铁路和城际铁路建设为重点，加快区域对外通道、区域内快速通道、重要枢纽客运设施及城市轨道交通建设，构建区域一体化的快速客运铁路网。</w:t>
      </w:r>
    </w:p>
    <w:p>
      <w:pPr>
        <w:ind w:firstLine="480"/>
        <w:jc w:val="left"/>
        <w:rPr>
          <w:rFonts w:ascii="Times New Roman" w:hAnsi="Times New Roman" w:cs="Times New Roman"/>
          <w:color w:val="auto"/>
        </w:rPr>
      </w:pPr>
      <w:r>
        <w:rPr>
          <w:rFonts w:hint="eastAsia" w:ascii="Times New Roman" w:hAnsi="Times New Roman" w:cs="Times New Roman"/>
          <w:color w:val="auto"/>
        </w:rPr>
        <w:t>以高速公路与高等级公路为重点，加密、改造、升级干线公路，加快形成城乡快速道路网络。依托合肥港、新桥航空港等建设区域性物流中心，大力发展港口物流。</w:t>
      </w:r>
      <w:r>
        <w:rPr>
          <w:rFonts w:ascii="Times New Roman" w:hAnsi="Times New Roman" w:cs="Times New Roman"/>
          <w:color w:val="auto"/>
        </w:rPr>
        <w:cr/>
      </w:r>
      <w:r>
        <w:rPr>
          <w:rFonts w:hint="eastAsia" w:ascii="Times New Roman" w:hAnsi="Times New Roman" w:cs="Times New Roman"/>
          <w:color w:val="auto"/>
        </w:rPr>
        <w:t xml:space="preserve"> </w:t>
      </w:r>
      <w:r>
        <w:rPr>
          <w:rFonts w:ascii="Times New Roman" w:hAnsi="Times New Roman" w:cs="Times New Roman"/>
          <w:color w:val="auto"/>
        </w:rPr>
        <w:t xml:space="preserve">   合肥市</w:t>
      </w:r>
      <w:r>
        <w:rPr>
          <w:rFonts w:hint="eastAsia" w:ascii="Times New Roman" w:hAnsi="Times New Roman" w:cs="Times New Roman"/>
          <w:color w:val="auto"/>
        </w:rPr>
        <w:t>市域综合交通</w:t>
      </w:r>
      <w:r>
        <w:rPr>
          <w:rFonts w:ascii="Times New Roman" w:hAnsi="Times New Roman" w:cs="Times New Roman"/>
          <w:color w:val="auto"/>
        </w:rPr>
        <w:t>规划见图2.4-1。</w:t>
      </w:r>
    </w:p>
    <w:p>
      <w:pPr>
        <w:ind w:firstLine="482"/>
        <w:jc w:val="left"/>
        <w:rPr>
          <w:rFonts w:ascii="Times New Roman" w:hAnsi="Times New Roman" w:cs="Times New Roman"/>
          <w:b/>
          <w:bCs/>
          <w:color w:val="auto"/>
        </w:rPr>
        <w:sectPr>
          <w:headerReference r:id="rId15" w:type="default"/>
          <w:pgSz w:w="11906" w:h="16838"/>
          <w:pgMar w:top="1417" w:right="1417" w:bottom="1417" w:left="1417" w:header="850" w:footer="992" w:gutter="0"/>
          <w:cols w:space="720" w:num="1"/>
          <w:docGrid w:type="lines" w:linePitch="333" w:charSpace="0"/>
        </w:sectPr>
      </w:pPr>
      <w:r>
        <w:rPr>
          <w:rFonts w:hint="eastAsia" w:ascii="Times New Roman" w:hAnsi="Times New Roman" w:cs="Times New Roman"/>
          <w:b/>
          <w:bCs/>
          <w:color w:val="auto"/>
        </w:rPr>
        <w:t>符合性分析：本项目选址及岸线利用符合《合肥港总体规划（2</w:t>
      </w:r>
      <w:r>
        <w:rPr>
          <w:rFonts w:ascii="Times New Roman" w:hAnsi="Times New Roman" w:cs="Times New Roman"/>
          <w:b/>
          <w:bCs/>
          <w:color w:val="auto"/>
        </w:rPr>
        <w:t>035</w:t>
      </w:r>
      <w:r>
        <w:rPr>
          <w:rFonts w:hint="eastAsia" w:ascii="Times New Roman" w:hAnsi="Times New Roman" w:cs="Times New Roman"/>
          <w:b/>
          <w:bCs/>
          <w:color w:val="auto"/>
        </w:rPr>
        <w:t>年）》，符合规划提出的依托合肥港、新桥航空港等建设区域性物流中心，大力发展港口物流的要求。</w:t>
      </w:r>
    </w:p>
    <w:p>
      <w:pPr>
        <w:pStyle w:val="25"/>
        <w:spacing w:line="240" w:lineRule="auto"/>
        <w:ind w:firstLine="0" w:firstLineChars="0"/>
        <w:jc w:val="center"/>
        <w:rPr>
          <w:rFonts w:ascii="Times New Roman" w:hAnsi="Times New Roman" w:cs="Times New Roman"/>
        </w:rPr>
      </w:pPr>
      <w:r>
        <w:drawing>
          <wp:inline distT="0" distB="0" distL="0" distR="0">
            <wp:extent cx="5954395" cy="8420735"/>
            <wp:effectExtent l="0" t="0" r="0" b="0"/>
            <wp:docPr id="6"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true" noChangeArrowheads="true"/>
                    </pic:cNvPicPr>
                  </pic:nvPicPr>
                  <pic:blipFill>
                    <a:blip r:embed="rId33" cstate="print"/>
                    <a:srcRect/>
                    <a:stretch>
                      <a:fillRect/>
                    </a:stretch>
                  </pic:blipFill>
                  <pic:spPr>
                    <a:xfrm>
                      <a:off x="0" y="0"/>
                      <a:ext cx="5954395" cy="8420735"/>
                    </a:xfrm>
                    <a:prstGeom prst="rect">
                      <a:avLst/>
                    </a:prstGeom>
                    <a:noFill/>
                    <a:ln>
                      <a:noFill/>
                    </a:ln>
                  </pic:spPr>
                </pic:pic>
              </a:graphicData>
            </a:graphic>
          </wp:inline>
        </w:drawing>
      </w:r>
    </w:p>
    <w:p>
      <w:pPr>
        <w:pStyle w:val="25"/>
        <w:spacing w:line="240" w:lineRule="auto"/>
        <w:ind w:firstLine="422"/>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图2.4-1 合肥市</w:t>
      </w:r>
      <w:r>
        <w:rPr>
          <w:rFonts w:hint="eastAsia" w:ascii="Times New Roman" w:hAnsi="Times New Roman" w:cs="Times New Roman"/>
          <w:b/>
          <w:bCs/>
          <w:color w:val="auto"/>
          <w:sz w:val="21"/>
          <w:szCs w:val="21"/>
        </w:rPr>
        <w:t>市域综合交通</w:t>
      </w:r>
      <w:r>
        <w:rPr>
          <w:rFonts w:ascii="Times New Roman" w:hAnsi="Times New Roman" w:cs="Times New Roman"/>
          <w:b/>
          <w:bCs/>
          <w:color w:val="auto"/>
          <w:sz w:val="21"/>
          <w:szCs w:val="21"/>
        </w:rPr>
        <w:t>规划图</w:t>
      </w:r>
    </w:p>
    <w:p>
      <w:pPr>
        <w:pStyle w:val="88"/>
        <w:ind w:firstLine="320"/>
        <w:rPr>
          <w:rFonts w:hint="default" w:ascii="Times New Roman" w:hAnsi="Times New Roman" w:eastAsia="等线" w:cs="Times New Roman"/>
          <w:lang w:eastAsia="zh-CN"/>
        </w:rPr>
        <w:sectPr>
          <w:pgSz w:w="11906" w:h="16838"/>
          <w:pgMar w:top="1418" w:right="1418" w:bottom="1418" w:left="1418" w:header="851" w:footer="992" w:gutter="0"/>
          <w:cols w:space="720" w:num="1"/>
          <w:docGrid w:type="linesAndChars" w:linePitch="333" w:charSpace="0"/>
        </w:sectPr>
      </w:pPr>
    </w:p>
    <w:p>
      <w:pPr>
        <w:pStyle w:val="5"/>
        <w:keepNext w:val="0"/>
        <w:keepLines w:val="0"/>
        <w:numPr>
          <w:ilvl w:val="3"/>
          <w:numId w:val="0"/>
        </w:numPr>
        <w:tabs>
          <w:tab w:val="left" w:pos="1080"/>
        </w:tabs>
        <w:spacing w:after="0" w:line="360" w:lineRule="auto"/>
        <w:rPr>
          <w:rFonts w:ascii="Times New Roman" w:hAnsi="Times New Roman" w:eastAsia="宋体" w:cs="Times New Roman"/>
          <w:spacing w:val="-2"/>
          <w:sz w:val="24"/>
          <w:szCs w:val="22"/>
        </w:rPr>
      </w:pPr>
      <w:r>
        <w:rPr>
          <w:rFonts w:ascii="Times New Roman" w:hAnsi="Times New Roman" w:eastAsia="宋体" w:cs="Times New Roman"/>
          <w:spacing w:val="-2"/>
          <w:sz w:val="24"/>
          <w:szCs w:val="22"/>
        </w:rPr>
        <w:t>2.4.3.4与《合肥港总体规划（2035年）》及批复的相符性分析</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2020年2月16日，交通运输部、安徽省人民政府关于合肥港总体规划（2035年）的批复交规划函〔2020〕154号：</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一、合肥港是全国内河主要港口和区域综合运输体系的重要组成部分，是皖江城市带承接产业转移和长江经济带发展的重要支撑，是合肥市城市建设和沿河产业布局的重要依托，是以集装箱、散货、件杂货运输为主，兼有旅游客运的综合性港口。</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二、同意《规划》提出的港口岸线利用规划，规划港口岸线35.97千米，已开发利用8.57千米。其中，南淝河规划港口岸线4.64千米，已开发利用2.2千米；店埠河规划港口岸线3.61千米；引江济淮江淮沟通段（含庄墓河）规划港口岸线7.545千米，已开发利用0.165千米；丰乐河、杭埠河规划港口岸线3.45千米；引江济淮菜子湖线规划港口岸线1.82千米；兆西河（含黄屯河）规划港口岸线5.67千米，已开发利用0.6千米；裕溪河（含支流）规划港口岸线5.43千米，已开发利用2.3千米；滁河规划港口岸线290米，已开发利用290米；柘皋河规划港口岸线500米；巢湖规划港口岸线3.015千米，已开发利用3.015千米。</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三、同意将合肥港划分为南淝河、江淮运河、丰乐河、白石天河、兆西河、裕溪河、环湖7个港区。南淝河港区是以集装箱、散货、件杂货、石油化工品为主的综合性港区，主要为合肥市东部片区发展服务；江淮运河港区是以集装箱、散货、件杂货、商品汽车滚装为主的综合性港区，主要为合肥市及皖西北等地区发展服务；兆西河港区以散货、件杂货、石油化工品为主，主要为庐江高新区龙桥板块以及重点乡镇发展服务；裕溪河港区以散货、件杂货、集装箱运输为主，主要为巢湖市产业园区发展服务；丰乐河港区、白石天河港区以散货、件杂货运输为主，主要为沿河产业园区和重点乡镇发展服务；环湖港区以散货和旅游客运服务为主，主要为环巢湖旅游开发和矿产资源开发服务。</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四、同意《规划》提出的规划布置方案。</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（一）港区。</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1.南淝河港区。迎河作业区位于南淝河右岸，南环线铁路桥至三汊河口之间，港口岸线长1450米，陆域纵深400～730米，规划陆域面积75万平方米。三汊河作业区位于南淝河两岸和店埠河右岸，港口岸线长4140米，陆域纵深140～500米，规划陆域面积102万平方米。循环经济示范园作业区位于店埠河左岸，临河口至店埠河口之间，港口岸线长2110米，陆域纵深150～560米，规划陆域面积123万平方米。</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2.江淮运河港区。庄墓作业区位于庄墓河左岸，G206桥下游3500米至3800米之间，港口岸线长300米，陆域纵深300米，规划陆域面积9万平方米。新桥作业区位于江淮沟通段航道左岸，规划金郢大桥下游320米至规划高升大桥上游320米之间，港口岸线长900米，陆域纵深400米，规划陆域面积36万平方米。小庙作业区位于江淮沟通段航道右岸，规划新庄桥下游320米至规划蜀山大道桥上游1580米之间，港口岸线长900米，陆域纵深550米，规划陆域面积50万平方米。中派作业区位于派河两岸，青龙桥至合安高速公路桥之间，港口岸线长3945米，陆域纵深150～800米，规划陆域面积170万平方米。下派作业区位于派河右岸，合安高速公路桥下游1050米至下游涵闸之间，港口岸线长1500米，陆域纵深620～1200米，规划陆域面积130万平方米。</w:t>
      </w:r>
    </w:p>
    <w:p>
      <w:pPr>
        <w:pStyle w:val="98"/>
        <w:snapToGrid w:val="0"/>
        <w:rPr>
          <w:rFonts w:ascii="Times New Roman" w:hAnsi="Times New Roman" w:cs="Times New Roman"/>
          <w:color w:val="000000"/>
          <w:szCs w:val="22"/>
        </w:rPr>
      </w:pPr>
      <w:r>
        <w:rPr>
          <w:rFonts w:ascii="Times New Roman" w:hAnsi="Times New Roman" w:cs="Times New Roman"/>
          <w:color w:val="000000"/>
          <w:szCs w:val="22"/>
        </w:rPr>
        <w:t>3.丰乐河港区。丰乐作业区位于丰乐河左岸，合铜高速公路桥下游2500米至董家湾，港口岸线长900米，陆域纵深300米，规划陆域面积27万平方米。同大作业区位于杭埠河右岸，位于S103大桥上游3100米至新建杭埠河大桥上游500米之间，港口岸线长2550米，陆域纵深300米，规划陆域面积57万平方米。</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4.白石天河港区。罗埠作业区位于菜子湖线两岸，罗埠大桥下游1000米至规划老虎桥上游880米之间，港口岸线长1020米，陆域纵深300米，规划陆域面积24万平方米。城西产业新区作业区位于菜子湖线左岸，合铜黄高速公路桥下游370米至1170米之间，港口岸线800米，陆域纵深300米，规划陆域面积24万平方米。</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5.兆西河港区。龙桥作业区位于兆西河右岸，缺口码头上游540米至黄屯河口之间，港口岸线总长5170米，陆域纵深300米，规划陆域面积130万平方米。</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6.裕溪河港区。巢城作业区位于裕溪河左岸汊河口至清溪河口之间，港口岸线长2790米，陆域纵深200～400米，规划陆域面积72万平方米。岱山作业区位于裕溪河右岸和支流河道内，港口岸线总长2640米，陆域纵深100～420米，规划陆域面积40万平方米。</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7.环湖港区。规划保留桥湾、散兵、谢王、南湾、高林等现状码头，整合为散兵作业区，不再扩大规模。</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（二）锚地。</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规划南淝河港区迎河作业区锚地，南淝河港区循环经济示范园作业区锚地，丰乐河港区同大作业区锚地，裕溪河港区巢城作业区锚地等4处港口锚地。</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五、原则同意《规划》对到港船型的分析和预测，具体船型在港口建设项目前期工作中进一步论证确定。</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六、原则同意《规划》提出的公路、铁路等集疏运通道的规划方案，各集疏运通道的具体建设标准在建设项目可行性研究阶段论证确定。应充分考虑各种运输方式相互衔接，发展综合运输体系。</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七、《规划》提出的环境保护措施可行，在规划实施过程中，应严格遵守国家法律法规，并按照合肥港总体规划环境影响报告书审查意见要求，做好相关工作，并切实加强港口环境影响跟踪评价分析工作。在实施建设项目时，应按国家有关规定开展建设项目环境影响评价工作。</w:t>
      </w:r>
    </w:p>
    <w:p>
      <w:pPr>
        <w:pStyle w:val="98"/>
        <w:snapToGrid w:val="0"/>
        <w:ind w:firstLine="480" w:firstLineChars="200"/>
        <w:rPr>
          <w:rFonts w:ascii="Times New Roman" w:hAnsi="Times New Roman" w:cs="Times New Roman"/>
          <w:color w:val="000000"/>
          <w:szCs w:val="22"/>
        </w:rPr>
      </w:pPr>
      <w:r>
        <w:rPr>
          <w:rFonts w:ascii="Times New Roman" w:hAnsi="Times New Roman" w:cs="Times New Roman"/>
          <w:color w:val="000000"/>
          <w:szCs w:val="22"/>
        </w:rPr>
        <w:t>八、《规划》是指导合肥港发展与建设、有效保护和合理利用港口岸线资源的依据。自本批复之日起，建设港口设施必须符合《规划》。</w:t>
      </w:r>
    </w:p>
    <w:p>
      <w:pPr>
        <w:pStyle w:val="98"/>
        <w:snapToGrid w:val="0"/>
        <w:ind w:firstLine="480"/>
        <w:rPr>
          <w:rFonts w:ascii="Times New Roman" w:hAnsi="Times New Roman" w:cs="Times New Roman"/>
          <w:color w:val="000000"/>
          <w:szCs w:val="22"/>
        </w:rPr>
      </w:pPr>
      <w:r>
        <w:rPr>
          <w:rFonts w:ascii="Times New Roman" w:hAnsi="Times New Roman" w:cs="Times New Roman"/>
          <w:color w:val="000000"/>
          <w:szCs w:val="22"/>
        </w:rPr>
        <w:t>九、合肥市人民政府港口行政管理部门依据《中华人民共和国港口法》负责执行《规划》，并实施监督管理。</w:t>
      </w:r>
    </w:p>
    <w:p>
      <w:pPr>
        <w:pStyle w:val="98"/>
        <w:snapToGrid w:val="0"/>
        <w:ind w:firstLine="480"/>
        <w:rPr>
          <w:rFonts w:ascii="Times New Roman" w:hAnsi="Times New Roman" w:cs="Times New Roman"/>
        </w:rPr>
        <w:sectPr>
          <w:pgSz w:w="11906" w:h="16838"/>
          <w:pgMar w:top="1417" w:right="1417" w:bottom="1417" w:left="1417" w:header="850" w:footer="992" w:gutter="0"/>
          <w:cols w:space="720" w:num="1"/>
          <w:docGrid w:type="lines" w:linePitch="333" w:charSpace="0"/>
        </w:sectPr>
      </w:pPr>
    </w:p>
    <w:p>
      <w:pPr>
        <w:pStyle w:val="98"/>
        <w:snapToGrid w:val="0"/>
        <w:ind w:firstLine="480"/>
        <w:rPr>
          <w:rFonts w:ascii="Times New Roman" w:hAnsi="Times New Roman" w:cs="Times New Roman"/>
        </w:rPr>
      </w:pPr>
      <w:r>
        <w:rPr>
          <w:rFonts w:ascii="Times New Roman" w:hAnsi="Times New Roman" w:cs="Times New Roman"/>
        </w:rPr>
        <w:drawing>
          <wp:inline distT="0" distB="0" distL="0" distR="0">
            <wp:extent cx="8474075" cy="11993245"/>
            <wp:effectExtent l="0" t="0" r="0" b="0"/>
            <wp:docPr id="7"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true" noChangeArrowheads="true"/>
                    </pic:cNvPicPr>
                  </pic:nvPicPr>
                  <pic:blipFill>
                    <a:blip r:embed="rId34" cstate="print"/>
                    <a:srcRect/>
                    <a:stretch>
                      <a:fillRect/>
                    </a:stretch>
                  </pic:blipFill>
                  <pic:spPr>
                    <a:xfrm>
                      <a:off x="0" y="0"/>
                      <a:ext cx="8474075" cy="11993245"/>
                    </a:xfrm>
                    <a:prstGeom prst="rect">
                      <a:avLst/>
                    </a:prstGeom>
                    <a:noFill/>
                    <a:ln>
                      <a:noFill/>
                    </a:ln>
                  </pic:spPr>
                </pic:pic>
              </a:graphicData>
            </a:graphic>
          </wp:inline>
        </w:drawing>
      </w:r>
    </w:p>
    <w:p>
      <w:pPr>
        <w:pStyle w:val="98"/>
        <w:snapToGrid w:val="0"/>
        <w:ind w:firstLine="480"/>
        <w:rPr>
          <w:rFonts w:ascii="Times New Roman" w:hAnsi="Times New Roman" w:cs="Times New Roman"/>
        </w:rPr>
      </w:pPr>
    </w:p>
    <w:p>
      <w:pPr>
        <w:pStyle w:val="98"/>
        <w:snapToGrid w:val="0"/>
        <w:ind w:firstLine="480"/>
        <w:jc w:val="center"/>
        <w:rPr>
          <w:rFonts w:ascii="Times New Roman" w:hAnsi="Times New Roman" w:cs="Times New Roman"/>
          <w:szCs w:val="21"/>
        </w:rPr>
        <w:sectPr>
          <w:pgSz w:w="16840" w:h="23808"/>
          <w:pgMar w:top="1418" w:right="1418" w:bottom="1418" w:left="1418" w:header="851" w:footer="992" w:gutter="0"/>
          <w:cols w:space="720" w:num="1"/>
          <w:docGrid w:type="lines" w:linePitch="333" w:charSpace="0"/>
        </w:sectPr>
      </w:pPr>
      <w:r>
        <w:rPr>
          <w:rFonts w:ascii="Times New Roman" w:hAnsi="Times New Roman" w:cs="Times New Roman"/>
          <w:b/>
          <w:bCs/>
          <w:sz w:val="21"/>
          <w:szCs w:val="21"/>
        </w:rPr>
        <w:t>图2.4-2.1   合肥港总体规划图</w:t>
      </w:r>
    </w:p>
    <w:p>
      <w:pPr>
        <w:pStyle w:val="98"/>
        <w:snapToGrid w:val="0"/>
        <w:jc w:val="center"/>
        <w:rPr>
          <w:rFonts w:ascii="Times New Roman" w:hAnsi="Times New Roman" w:cs="Times New Roman"/>
        </w:rPr>
      </w:pPr>
      <w:r>
        <w:rPr>
          <w:rFonts w:ascii="Times New Roman" w:hAnsi="Times New Roman" w:cs="Times New Roman"/>
        </w:rPr>
        <w:drawing>
          <wp:inline distT="0" distB="0" distL="0" distR="0">
            <wp:extent cx="11866245" cy="8410575"/>
            <wp:effectExtent l="0" t="0" r="0" b="0"/>
            <wp:docPr id="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true" noChangeArrowheads="true"/>
                    </pic:cNvPicPr>
                  </pic:nvPicPr>
                  <pic:blipFill>
                    <a:blip r:embed="rId35" cstate="hqprint"/>
                    <a:srcRect/>
                    <a:stretch>
                      <a:fillRect/>
                    </a:stretch>
                  </pic:blipFill>
                  <pic:spPr>
                    <a:xfrm>
                      <a:off x="0" y="0"/>
                      <a:ext cx="11866245" cy="8410575"/>
                    </a:xfrm>
                    <a:prstGeom prst="rect">
                      <a:avLst/>
                    </a:prstGeom>
                    <a:noFill/>
                    <a:ln>
                      <a:noFill/>
                    </a:ln>
                  </pic:spPr>
                </pic:pic>
              </a:graphicData>
            </a:graphic>
          </wp:inline>
        </w:drawing>
      </w:r>
    </w:p>
    <w:p>
      <w:pPr>
        <w:pStyle w:val="98"/>
        <w:snapToGrid w:val="0"/>
        <w:jc w:val="center"/>
        <w:rPr>
          <w:rFonts w:ascii="Times New Roman" w:hAnsi="Times New Roman" w:cs="Times New Roman"/>
          <w:b/>
          <w:bCs/>
        </w:rPr>
      </w:pPr>
      <w:r>
        <w:rPr>
          <w:rFonts w:ascii="Times New Roman" w:hAnsi="Times New Roman" w:cs="Times New Roman"/>
          <w:b/>
          <w:bCs/>
        </w:rPr>
        <w:t>图2.4-2.2   合肥港-南淝河、店埠河岸线规划图</w:t>
      </w:r>
    </w:p>
    <w:p>
      <w:pPr>
        <w:pStyle w:val="98"/>
        <w:snapToGrid w:val="0"/>
        <w:jc w:val="center"/>
        <w:rPr>
          <w:rFonts w:ascii="Times New Roman" w:hAnsi="Times New Roman" w:cs="Times New Roman"/>
        </w:rPr>
      </w:pPr>
      <w:r>
        <w:rPr>
          <w:rFonts w:ascii="Times New Roman" w:hAnsi="Times New Roman" w:cs="Times New Roman"/>
        </w:rPr>
        <w:drawing>
          <wp:inline distT="0" distB="0" distL="0" distR="0">
            <wp:extent cx="13769340" cy="5401310"/>
            <wp:effectExtent l="0" t="0" r="0" b="0"/>
            <wp:docPr id="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true" noChangeArrowheads="true"/>
                    </pic:cNvPicPr>
                  </pic:nvPicPr>
                  <pic:blipFill>
                    <a:blip r:embed="rId36"/>
                    <a:srcRect/>
                    <a:stretch>
                      <a:fillRect/>
                    </a:stretch>
                  </pic:blipFill>
                  <pic:spPr>
                    <a:xfrm>
                      <a:off x="0" y="0"/>
                      <a:ext cx="13769340" cy="5401310"/>
                    </a:xfrm>
                    <a:prstGeom prst="rect">
                      <a:avLst/>
                    </a:prstGeom>
                    <a:noFill/>
                    <a:ln>
                      <a:noFill/>
                    </a:ln>
                  </pic:spPr>
                </pic:pic>
              </a:graphicData>
            </a:graphic>
          </wp:inline>
        </w:drawing>
      </w:r>
    </w:p>
    <w:p>
      <w:pPr>
        <w:pStyle w:val="98"/>
        <w:snapToGrid w:val="0"/>
        <w:jc w:val="center"/>
        <w:rPr>
          <w:rFonts w:ascii="Times New Roman" w:hAnsi="Times New Roman" w:eastAsia="黑体" w:cs="Times New Roman"/>
          <w:sz w:val="21"/>
          <w:szCs w:val="21"/>
        </w:rPr>
      </w:pPr>
      <w:r>
        <w:rPr>
          <w:rFonts w:ascii="Times New Roman" w:hAnsi="Times New Roman" w:cs="Times New Roman"/>
          <w:b/>
          <w:bCs/>
        </w:rPr>
        <w:t>图2.4-2.3   合肥港总体规划南淝河港区循环经济示范园作业区规划布置图</w:t>
      </w:r>
    </w:p>
    <w:p>
      <w:pPr>
        <w:pStyle w:val="98"/>
        <w:snapToGrid w:val="0"/>
        <w:rPr>
          <w:rFonts w:ascii="Times New Roman" w:hAnsi="Times New Roman" w:cs="Times New Roman"/>
        </w:rPr>
        <w:sectPr>
          <w:pgSz w:w="23808" w:h="16840" w:orient="landscape"/>
          <w:pgMar w:top="1418" w:right="1418" w:bottom="1418" w:left="1418" w:header="851" w:footer="992" w:gutter="0"/>
          <w:cols w:space="720" w:num="1"/>
          <w:docGrid w:type="linesAndChars" w:linePitch="333" w:charSpace="0"/>
        </w:sectPr>
      </w:pPr>
    </w:p>
    <w:p>
      <w:pPr>
        <w:adjustRightInd/>
        <w:ind w:firstLine="482"/>
        <w:rPr>
          <w:rFonts w:ascii="Times New Roman" w:hAnsi="Times New Roman" w:cs="Times New Roman"/>
          <w:color w:val="auto"/>
          <w:szCs w:val="21"/>
        </w:rPr>
      </w:pPr>
      <w:r>
        <w:rPr>
          <w:rFonts w:ascii="Times New Roman" w:hAnsi="Times New Roman" w:cs="Times New Roman"/>
          <w:b/>
          <w:bCs/>
          <w:color w:val="auto"/>
          <w:szCs w:val="21"/>
        </w:rPr>
        <w:t>根据《合肥港总体规划（2035年）》，</w:t>
      </w:r>
      <w:r>
        <w:rPr>
          <w:rFonts w:ascii="Times New Roman" w:hAnsi="Times New Roman" w:cs="Times New Roman"/>
          <w:color w:val="auto"/>
          <w:szCs w:val="21"/>
        </w:rPr>
        <w:t>规划南淝河港区是以集装箱、散货、件杂货、石油化工品运输为主的综合性港区，主要为合肥市东部片区发展服务。港区分布在南淝河和店埠河沿线，下辖迎河、三汊河和循环经济示范园3个作业区。其中，本项目所在的循环经济示范园作业区，位于店埠河左岸，临河口至店埠河口之间，港口岸线长2110米，规划以散货、件杂货、石油化工</w:t>
      </w:r>
      <w:r>
        <w:rPr>
          <w:rFonts w:hint="eastAsia" w:ascii="Times New Roman" w:hAnsi="Times New Roman" w:cs="Times New Roman"/>
          <w:color w:val="auto"/>
          <w:szCs w:val="21"/>
        </w:rPr>
        <w:t>品</w:t>
      </w:r>
      <w:r>
        <w:rPr>
          <w:rFonts w:ascii="Times New Roman" w:hAnsi="Times New Roman" w:cs="Times New Roman"/>
          <w:color w:val="auto"/>
          <w:szCs w:val="21"/>
        </w:rPr>
        <w:t>运输为主。</w:t>
      </w:r>
    </w:p>
    <w:p>
      <w:pPr>
        <w:adjustRightInd/>
        <w:ind w:firstLine="480"/>
        <w:rPr>
          <w:rFonts w:ascii="Times New Roman" w:hAnsi="Times New Roman" w:cs="Times New Roman"/>
          <w:color w:val="auto"/>
          <w:szCs w:val="21"/>
        </w:rPr>
      </w:pPr>
      <w:r>
        <w:rPr>
          <w:rFonts w:ascii="Times New Roman" w:hAnsi="Times New Roman" w:cs="Times New Roman"/>
          <w:color w:val="auto"/>
          <w:szCs w:val="21"/>
        </w:rPr>
        <w:t>规划自上而下形成石油化工码头区、通用泊位区、支持保障区。石油化工码头区位于临河口与繁华大道桥之间，布置7个500-1000吨级石油化工泊位，利用岸线640米，形成通过能力300万吨。通用泊位区位于繁华大道下游，布置11个500-1000吨级通用泊位，利用岸线1020米，形成通过能力600万吨。在店埠河老河道内布置支持保障系统泊位，利用岸线450米。作业区总体陆域纵深150~560米，规划用地123万平方米。</w:t>
      </w:r>
    </w:p>
    <w:p>
      <w:pPr>
        <w:pStyle w:val="98"/>
        <w:snapToGrid w:val="0"/>
        <w:ind w:firstLine="480"/>
        <w:rPr>
          <w:rFonts w:ascii="Times New Roman" w:hAnsi="Times New Roman" w:cs="Times New Roman"/>
          <w:b/>
          <w:bCs/>
          <w:color w:val="FF0000"/>
          <w:sz w:val="21"/>
          <w:szCs w:val="18"/>
        </w:rPr>
      </w:pPr>
      <w:r>
        <w:rPr>
          <w:rFonts w:ascii="Times New Roman" w:hAnsi="Times New Roman" w:cs="Times New Roman"/>
          <w:b/>
          <w:bCs/>
          <w:color w:val="FF0000"/>
          <w:szCs w:val="21"/>
        </w:rPr>
        <w:t>符合性分析：本工程使用循环经济示范园作业区石油化工码头区港口岸线640m，属于规划的南淝河港区；拟建设7个1000吨级</w:t>
      </w:r>
      <w:r>
        <w:rPr>
          <w:rFonts w:ascii="Times New Roman" w:hAnsi="Times New Roman" w:cs="Times New Roman"/>
          <w:b/>
          <w:bCs/>
          <w:color w:val="FF0000"/>
          <w:kern w:val="24"/>
          <w:szCs w:val="22"/>
        </w:rPr>
        <w:t>液体油品化工</w:t>
      </w:r>
      <w:r>
        <w:rPr>
          <w:rFonts w:ascii="Times New Roman" w:hAnsi="Times New Roman" w:cs="Times New Roman"/>
          <w:b/>
          <w:bCs/>
          <w:color w:val="FF0000"/>
          <w:szCs w:val="21"/>
        </w:rPr>
        <w:t>泊位，年设计通过能力为338.9万吨，2030年水平年预测吞吐量为300万吨；</w:t>
      </w:r>
      <w:r>
        <w:rPr>
          <w:rFonts w:hint="eastAsia" w:ascii="Times New Roman" w:hAnsi="Times New Roman" w:cs="Times New Roman"/>
          <w:b/>
          <w:bCs/>
          <w:color w:val="FF0000"/>
          <w:szCs w:val="21"/>
        </w:rPr>
        <w:t>根据</w:t>
      </w:r>
      <w:r>
        <w:rPr>
          <w:rFonts w:ascii="Times New Roman" w:hAnsi="Times New Roman" w:cs="Times New Roman"/>
          <w:b/>
          <w:bCs/>
          <w:color w:val="FF0000"/>
        </w:rPr>
        <w:t>《合肥港总体规划（2035年）》及规划环评中南淝河港区区分货类吞吐量预测</w:t>
      </w:r>
      <w:r>
        <w:rPr>
          <w:rFonts w:hint="eastAsia" w:ascii="Times New Roman" w:hAnsi="Times New Roman" w:cs="Times New Roman"/>
          <w:b/>
          <w:bCs/>
          <w:color w:val="FF0000"/>
        </w:rPr>
        <w:t>（详见表2</w:t>
      </w:r>
      <w:r>
        <w:rPr>
          <w:rFonts w:ascii="Times New Roman" w:hAnsi="Times New Roman" w:cs="Times New Roman"/>
          <w:b/>
          <w:bCs/>
          <w:color w:val="FF0000"/>
        </w:rPr>
        <w:t>.4-1</w:t>
      </w:r>
      <w:r>
        <w:rPr>
          <w:rFonts w:hint="eastAsia" w:ascii="Times New Roman" w:hAnsi="Times New Roman" w:cs="Times New Roman"/>
          <w:b/>
          <w:bCs/>
          <w:color w:val="FF0000"/>
        </w:rPr>
        <w:t>），南淝河港区石油及制品和化工原料及制品合计2</w:t>
      </w:r>
      <w:r>
        <w:rPr>
          <w:rFonts w:ascii="Times New Roman" w:hAnsi="Times New Roman" w:cs="Times New Roman"/>
          <w:b/>
          <w:bCs/>
          <w:color w:val="FF0000"/>
        </w:rPr>
        <w:t>030</w:t>
      </w:r>
      <w:r>
        <w:rPr>
          <w:rFonts w:hint="eastAsia" w:ascii="Times New Roman" w:hAnsi="Times New Roman" w:cs="Times New Roman"/>
          <w:b/>
          <w:bCs/>
          <w:color w:val="FF0000"/>
        </w:rPr>
        <w:t>年预测吞吐量为4</w:t>
      </w:r>
      <w:r>
        <w:rPr>
          <w:rFonts w:ascii="Times New Roman" w:hAnsi="Times New Roman" w:cs="Times New Roman"/>
          <w:b/>
          <w:bCs/>
          <w:color w:val="FF0000"/>
        </w:rPr>
        <w:t>20</w:t>
      </w:r>
      <w:r>
        <w:rPr>
          <w:rFonts w:hint="eastAsia" w:ascii="Times New Roman" w:hAnsi="Times New Roman" w:cs="Times New Roman"/>
          <w:b/>
          <w:bCs/>
          <w:color w:val="FF0000"/>
        </w:rPr>
        <w:t>万吨</w:t>
      </w:r>
      <w:r>
        <w:rPr>
          <w:rFonts w:hint="eastAsia" w:ascii="Times New Roman" w:hAnsi="Times New Roman" w:cs="Times New Roman"/>
          <w:b/>
          <w:bCs/>
          <w:color w:val="FF0000"/>
          <w:sz w:val="21"/>
          <w:szCs w:val="18"/>
        </w:rPr>
        <w:t>；</w:t>
      </w:r>
    </w:p>
    <w:p>
      <w:pPr>
        <w:pStyle w:val="98"/>
        <w:snapToGrid w:val="0"/>
        <w:ind w:firstLine="480"/>
        <w:rPr>
          <w:rFonts w:ascii="Times New Roman" w:hAnsi="Times New Roman" w:cs="Times New Roman"/>
          <w:b/>
          <w:bCs/>
          <w:color w:val="000000"/>
          <w:sz w:val="21"/>
          <w:szCs w:val="18"/>
        </w:rPr>
      </w:pPr>
      <w:r>
        <w:rPr>
          <w:rFonts w:ascii="Times New Roman" w:hAnsi="Times New Roman" w:cs="Times New Roman"/>
          <w:b/>
          <w:bCs/>
          <w:color w:val="000000"/>
          <w:sz w:val="21"/>
          <w:szCs w:val="18"/>
        </w:rPr>
        <w:t>表2.4-1   《合肥港总体规划（2035年）》及规划环评中南淝河港区区分货类吞吐量预测表</w:t>
      </w:r>
    </w:p>
    <w:p>
      <w:pPr>
        <w:pStyle w:val="98"/>
        <w:snapToGrid w:val="0"/>
        <w:spacing w:line="240" w:lineRule="auto"/>
        <w:ind w:firstLine="480"/>
        <w:jc w:val="right"/>
        <w:rPr>
          <w:rFonts w:ascii="Times New Roman" w:hAnsi="Times New Roman" w:cs="Times New Roman"/>
          <w:b/>
          <w:bCs/>
          <w:color w:val="000000"/>
          <w:szCs w:val="22"/>
        </w:rPr>
      </w:pPr>
      <w:r>
        <w:rPr>
          <w:rFonts w:ascii="Times New Roman" w:hAnsi="Times New Roman" w:cs="Times New Roman"/>
          <w:b/>
          <w:bCs/>
          <w:color w:val="000000"/>
          <w:sz w:val="18"/>
          <w:szCs w:val="15"/>
        </w:rPr>
        <w:t>单位：万吨、万TEU</w:t>
      </w:r>
      <w:r>
        <w:rPr>
          <w:rFonts w:ascii="Times New Roman" w:hAnsi="Times New Roman" w:cs="Times New Roman"/>
          <w:b/>
          <w:bCs/>
          <w:color w:val="000000"/>
          <w:sz w:val="21"/>
          <w:szCs w:val="18"/>
        </w:rPr>
        <w:cr/>
      </w:r>
      <w:r>
        <w:rPr>
          <w:rFonts w:ascii="Times New Roman" w:hAnsi="Times New Roman" w:cs="Times New Roman"/>
        </w:rPr>
        <w:drawing>
          <wp:inline distT="0" distB="0" distL="0" distR="0">
            <wp:extent cx="5752465" cy="3242945"/>
            <wp:effectExtent l="0" t="0" r="0" b="0"/>
            <wp:docPr id="10"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true" noChangeArrowheads="true"/>
                    </pic:cNvPicPr>
                  </pic:nvPicPr>
                  <pic:blipFill>
                    <a:blip r:embed="rId37"/>
                    <a:srcRect/>
                    <a:stretch>
                      <a:fillRect/>
                    </a:stretch>
                  </pic:blipFill>
                  <pic:spPr>
                    <a:xfrm>
                      <a:off x="0" y="0"/>
                      <a:ext cx="5752465" cy="3242945"/>
                    </a:xfrm>
                    <a:prstGeom prst="rect">
                      <a:avLst/>
                    </a:prstGeom>
                    <a:noFill/>
                    <a:ln>
                      <a:noFill/>
                    </a:ln>
                  </pic:spPr>
                </pic:pic>
              </a:graphicData>
            </a:graphic>
          </wp:inline>
        </w:drawing>
      </w:r>
    </w:p>
    <w:p>
      <w:pPr>
        <w:pStyle w:val="98"/>
        <w:snapToGrid w:val="0"/>
        <w:ind w:firstLine="480"/>
        <w:rPr>
          <w:rFonts w:ascii="Times New Roman" w:hAnsi="Times New Roman" w:cs="Times New Roman"/>
          <w:b/>
          <w:bCs/>
          <w:color w:val="FF0000"/>
        </w:rPr>
      </w:pPr>
      <w:r>
        <w:rPr>
          <w:rFonts w:hint="eastAsia" w:ascii="Times New Roman" w:hAnsi="Times New Roman" w:cs="Times New Roman"/>
          <w:b/>
          <w:bCs/>
          <w:color w:val="FF0000"/>
        </w:rPr>
        <w:t>本项目</w:t>
      </w:r>
      <w:r>
        <w:rPr>
          <w:rFonts w:ascii="Times New Roman" w:hAnsi="Times New Roman" w:cs="Times New Roman"/>
          <w:b/>
          <w:bCs/>
          <w:color w:val="FF0000"/>
        </w:rPr>
        <w:t>建设地点与规模、泊位等级</w:t>
      </w:r>
      <w:r>
        <w:rPr>
          <w:rFonts w:hint="eastAsia" w:ascii="Times New Roman" w:hAnsi="Times New Roman" w:cs="Times New Roman"/>
          <w:b/>
          <w:bCs/>
          <w:color w:val="FF0000"/>
        </w:rPr>
        <w:t>、</w:t>
      </w:r>
      <w:r>
        <w:rPr>
          <w:rFonts w:ascii="Times New Roman" w:hAnsi="Times New Roman" w:cs="Times New Roman"/>
          <w:b/>
          <w:bCs/>
          <w:color w:val="FF0000"/>
        </w:rPr>
        <w:t>使用岸线长度</w:t>
      </w:r>
      <w:r>
        <w:rPr>
          <w:rFonts w:hint="eastAsia" w:ascii="Times New Roman" w:hAnsi="Times New Roman" w:cs="Times New Roman"/>
          <w:b/>
          <w:bCs/>
          <w:color w:val="FF0000"/>
        </w:rPr>
        <w:t>及预测吞吐量</w:t>
      </w:r>
      <w:r>
        <w:rPr>
          <w:rFonts w:ascii="Times New Roman" w:hAnsi="Times New Roman" w:cs="Times New Roman"/>
          <w:b/>
          <w:bCs/>
          <w:color w:val="FF0000"/>
        </w:rPr>
        <w:t>均符合《合肥港总体规划（2035年）》。</w:t>
      </w:r>
    </w:p>
    <w:p>
      <w:pPr>
        <w:pStyle w:val="5"/>
        <w:keepNext w:val="0"/>
        <w:keepLines w:val="0"/>
        <w:numPr>
          <w:ilvl w:val="3"/>
          <w:numId w:val="0"/>
        </w:numPr>
        <w:tabs>
          <w:tab w:val="left" w:pos="1080"/>
        </w:tabs>
        <w:spacing w:after="0" w:line="360" w:lineRule="auto"/>
        <w:rPr>
          <w:rFonts w:ascii="Times New Roman" w:hAnsi="Times New Roman" w:eastAsia="宋体" w:cs="Times New Roman"/>
          <w:spacing w:val="-2"/>
          <w:sz w:val="24"/>
          <w:szCs w:val="22"/>
        </w:rPr>
      </w:pPr>
      <w:r>
        <w:rPr>
          <w:rFonts w:ascii="Times New Roman" w:hAnsi="Times New Roman" w:eastAsia="宋体" w:cs="Times New Roman"/>
          <w:spacing w:val="-2"/>
          <w:sz w:val="24"/>
          <w:szCs w:val="22"/>
        </w:rPr>
        <w:t>2.4.3.5与《合肥港总体规划（2016-2040年）环境影响报告书》及批复的相符性分析</w:t>
      </w:r>
    </w:p>
    <w:p>
      <w:pPr>
        <w:pStyle w:val="98"/>
        <w:snapToGrid w:val="0"/>
        <w:ind w:firstLine="480"/>
        <w:rPr>
          <w:rFonts w:ascii="Times New Roman" w:hAnsi="Times New Roman" w:cs="Times New Roman"/>
          <w:color w:val="000000"/>
          <w:szCs w:val="22"/>
        </w:rPr>
      </w:pPr>
      <w:r>
        <w:rPr>
          <w:rFonts w:ascii="Times New Roman" w:hAnsi="Times New Roman" w:cs="Times New Roman"/>
          <w:color w:val="000000"/>
          <w:szCs w:val="22"/>
        </w:rPr>
        <w:t>根据中华人民共和国生态环境部于2019年7月21日“关于《合肥港总体规划（2016-2040 年）环境影响报告书》的审查意见”（环审[2019]93号），具体内容如下：</w:t>
      </w:r>
    </w:p>
    <w:p>
      <w:pPr>
        <w:pStyle w:val="98"/>
        <w:snapToGrid w:val="0"/>
        <w:ind w:firstLine="480"/>
        <w:rPr>
          <w:rFonts w:ascii="Times New Roman" w:hAnsi="Times New Roman" w:cs="Times New Roman"/>
          <w:color w:val="000000"/>
          <w:szCs w:val="22"/>
        </w:rPr>
      </w:pPr>
      <w:r>
        <w:rPr>
          <w:rFonts w:ascii="Times New Roman" w:hAnsi="Times New Roman" w:cs="Times New Roman"/>
          <w:color w:val="000000"/>
          <w:szCs w:val="22"/>
        </w:rPr>
        <w:t>（1）处理好保护和发展的关系：合理安排港口开发建设时序，制定各作业区和水域运输货种生态环境准入清单。</w:t>
      </w:r>
    </w:p>
    <w:p>
      <w:pPr>
        <w:pStyle w:val="98"/>
        <w:snapToGrid w:val="0"/>
        <w:ind w:firstLine="480"/>
        <w:rPr>
          <w:rFonts w:ascii="Times New Roman" w:hAnsi="Times New Roman" w:cs="Times New Roman"/>
          <w:color w:val="000000"/>
          <w:szCs w:val="22"/>
        </w:rPr>
      </w:pPr>
      <w:r>
        <w:rPr>
          <w:rFonts w:ascii="Times New Roman" w:hAnsi="Times New Roman" w:cs="Times New Roman"/>
          <w:b/>
          <w:bCs/>
          <w:color w:val="000000"/>
          <w:szCs w:val="22"/>
        </w:rPr>
        <w:t>符合性分析：本项目位于南淝河港区中循环经济示范园作业区，南淝河港区是以集装箱、散货、件杂货、石油化工品为主的综合性港区，本项目以石油化工品运输为主，在其环境准入清单内</w:t>
      </w:r>
      <w:r>
        <w:rPr>
          <w:rFonts w:ascii="Times New Roman" w:hAnsi="Times New Roman" w:cs="Times New Roman"/>
          <w:color w:val="000000"/>
          <w:szCs w:val="22"/>
        </w:rPr>
        <w:t xml:space="preserve">。 </w:t>
      </w:r>
    </w:p>
    <w:p>
      <w:pPr>
        <w:pStyle w:val="98"/>
        <w:snapToGrid w:val="0"/>
        <w:ind w:firstLine="480"/>
        <w:rPr>
          <w:rFonts w:ascii="Times New Roman" w:hAnsi="Times New Roman" w:cs="Times New Roman"/>
          <w:color w:val="000000"/>
          <w:szCs w:val="22"/>
        </w:rPr>
      </w:pPr>
      <w:r>
        <w:rPr>
          <w:rFonts w:ascii="Times New Roman" w:hAnsi="Times New Roman" w:cs="Times New Roman"/>
          <w:color w:val="000000"/>
          <w:szCs w:val="22"/>
        </w:rPr>
        <w:t>（2）严守生态保护红线：建议对仓拐、梅园、庄墓、下派、同大、丰乐、郭河、罗埠、乐桥、盛桥、龙桥工业园、岱山、巢城和散兵等作业区涉及生态保护红线的规划内容予以取消，依法依规做好避让，确保符合生态保护红线管控要求，实现生态保护红线功能不降低、面积不减少、性质不改变。</w:t>
      </w:r>
    </w:p>
    <w:p>
      <w:pPr>
        <w:pStyle w:val="98"/>
        <w:snapToGrid w:val="0"/>
        <w:ind w:firstLine="480"/>
        <w:rPr>
          <w:rFonts w:ascii="Times New Roman" w:hAnsi="Times New Roman" w:cs="Times New Roman"/>
          <w:b/>
          <w:bCs/>
          <w:color w:val="000000"/>
          <w:szCs w:val="22"/>
        </w:rPr>
      </w:pPr>
      <w:r>
        <w:rPr>
          <w:rFonts w:ascii="Times New Roman" w:hAnsi="Times New Roman" w:cs="Times New Roman"/>
          <w:b/>
          <w:bCs/>
          <w:color w:val="000000"/>
          <w:szCs w:val="22"/>
        </w:rPr>
        <w:t>符合性分析：本项目不在生态保护红线内，不违背生态保护红线要求。</w:t>
      </w:r>
    </w:p>
    <w:p>
      <w:pPr>
        <w:pStyle w:val="98"/>
        <w:snapToGrid w:val="0"/>
        <w:ind w:firstLine="480"/>
        <w:rPr>
          <w:rFonts w:ascii="Times New Roman" w:hAnsi="Times New Roman" w:cs="Times New Roman"/>
          <w:color w:val="000000"/>
          <w:szCs w:val="22"/>
        </w:rPr>
      </w:pPr>
      <w:r>
        <w:rPr>
          <w:rFonts w:ascii="Times New Roman" w:hAnsi="Times New Roman" w:cs="Times New Roman"/>
          <w:color w:val="000000"/>
          <w:szCs w:val="22"/>
        </w:rPr>
        <w:t>（3）加强对巢湖生态系统的保护：进一步优化涉及巢湖风景名胜区、重要湿地的同大、仓拐、盛桥和散兵作业区选址和功能定位。加强与《巢湖风景名胜区总体规划》的衔接，压缩旅游码头数量，取消位于饮用水水源保护区内的规划旅游码头，保护巢湖生态系统结构和功能。强化环巢湖区域污染防治工作，港区污水应排入污水管网集中处理，或经自建处理设施处理达标后回用。</w:t>
      </w:r>
    </w:p>
    <w:p>
      <w:pPr>
        <w:widowControl/>
        <w:adjustRightInd/>
        <w:ind w:firstLine="482"/>
        <w:jc w:val="left"/>
        <w:rPr>
          <w:rFonts w:ascii="Times New Roman" w:hAnsi="Times New Roman" w:cs="Times New Roman"/>
          <w:b/>
          <w:bCs/>
        </w:rPr>
      </w:pPr>
      <w:r>
        <w:rPr>
          <w:rFonts w:ascii="Times New Roman" w:hAnsi="Times New Roman" w:cs="Times New Roman"/>
          <w:b/>
          <w:bCs/>
        </w:rPr>
        <w:t xml:space="preserve">符合性分析：本项目位于循环经济示范园作业区，不涉及上述需优化和取消作业区，港区各类污废水均进行收集及处理达标后，外排废水接管区域污水管网，依托合肥循环经济示范园污水处理厂进行处理。 </w:t>
      </w:r>
    </w:p>
    <w:p>
      <w:pPr>
        <w:widowControl/>
        <w:adjustRightInd/>
        <w:ind w:firstLine="240" w:firstLineChars="100"/>
        <w:jc w:val="left"/>
        <w:rPr>
          <w:rFonts w:ascii="Times New Roman" w:hAnsi="Times New Roman" w:cs="Times New Roman"/>
        </w:rPr>
      </w:pPr>
      <w:r>
        <w:rPr>
          <w:rFonts w:ascii="Times New Roman" w:hAnsi="Times New Roman" w:cs="Times New Roman"/>
        </w:rPr>
        <w:t xml:space="preserve">（4）加快解决港区现有环境问题：巢城、散兵、岱山等作业区位于生态保护红线内的现有码头，应依法依规制定退出计划，限期整改，逐步退出。尽快落实合肥市主城区范围内的港口、码头拆除要求，优化合肥港现状油品、液体化学品码头的布局，缩减规模，降低对环巢湖区域生态环境的影响。加强规划控制，规划作业区外的生产性码头、泊位应依法依规予以取缔。 </w:t>
      </w:r>
    </w:p>
    <w:p>
      <w:pPr>
        <w:widowControl/>
        <w:adjustRightInd/>
        <w:ind w:firstLine="482"/>
        <w:jc w:val="left"/>
        <w:rPr>
          <w:rFonts w:ascii="Times New Roman" w:hAnsi="Times New Roman" w:cs="Times New Roman"/>
        </w:rPr>
      </w:pPr>
      <w:r>
        <w:rPr>
          <w:rFonts w:ascii="Times New Roman" w:hAnsi="Times New Roman" w:cs="Times New Roman"/>
          <w:b/>
          <w:bCs/>
        </w:rPr>
        <w:t>符合性分析：</w:t>
      </w:r>
      <w:r>
        <w:rPr>
          <w:rFonts w:ascii="Times New Roman" w:hAnsi="Times New Roman" w:cs="Times New Roman"/>
        </w:rPr>
        <w:t>本项目位于合肥港循环经济示范园作业区，</w:t>
      </w:r>
      <w:r>
        <w:rPr>
          <w:rFonts w:ascii="Times New Roman" w:hAnsi="Times New Roman" w:cs="Times New Roman"/>
          <w:b/>
          <w:bCs/>
        </w:rPr>
        <w:t>不属于巢城、散兵、岱山等作业区位于生态保护红线内的现有码头</w:t>
      </w:r>
      <w:r>
        <w:rPr>
          <w:rFonts w:ascii="Times New Roman" w:hAnsi="Times New Roman" w:cs="Times New Roman"/>
        </w:rPr>
        <w:t>；本项目为合肥大兴集危险品码头的迁建项目，</w:t>
      </w:r>
      <w:r>
        <w:rPr>
          <w:rFonts w:ascii="Times New Roman" w:hAnsi="Times New Roman" w:cs="Times New Roman"/>
          <w:b/>
          <w:bCs/>
        </w:rPr>
        <w:t>符合尽快落实合肥市主城区范围内的港口、码头拆除要求，优化合肥港现状油品、液体化学品码头的布局的要求</w:t>
      </w:r>
      <w:r>
        <w:rPr>
          <w:rFonts w:ascii="Times New Roman" w:hAnsi="Times New Roman" w:cs="Times New Roman"/>
        </w:rPr>
        <w:t xml:space="preserve">；合肥市自然资源和规划局已出具了本项目用地预审审查意见（合自然资规函[2020]829号），合肥市港航管理局出具了本项目岸线选址意见表。 </w:t>
      </w:r>
    </w:p>
    <w:p>
      <w:pPr>
        <w:pStyle w:val="25"/>
        <w:spacing w:line="360" w:lineRule="auto"/>
        <w:ind w:firstLine="482"/>
        <w:rPr>
          <w:rFonts w:ascii="Times New Roman" w:hAnsi="Times New Roman" w:cs="Times New Roman"/>
          <w:b/>
          <w:bCs/>
          <w:color w:val="FF0000"/>
        </w:rPr>
      </w:pPr>
      <w:r>
        <w:rPr>
          <w:rFonts w:hint="eastAsia" w:ascii="Times New Roman" w:hAnsi="Times New Roman" w:cs="Times New Roman"/>
          <w:b/>
          <w:bCs/>
          <w:color w:val="FF0000"/>
        </w:rPr>
        <w:t>根据</w:t>
      </w:r>
      <w:r>
        <w:rPr>
          <w:rFonts w:ascii="Times New Roman" w:hAnsi="Times New Roman" w:cs="Times New Roman"/>
          <w:b/>
          <w:bCs/>
          <w:color w:val="FF0000"/>
        </w:rPr>
        <w:t>《合肥港总体规划（2035年）》及规划环评中南淝河港区区分货类吞吐量预测</w:t>
      </w:r>
      <w:r>
        <w:rPr>
          <w:rFonts w:hint="eastAsia" w:ascii="Times New Roman" w:hAnsi="Times New Roman" w:cs="Times New Roman"/>
          <w:b/>
          <w:bCs/>
          <w:color w:val="FF0000"/>
        </w:rPr>
        <w:t>（详见表2</w:t>
      </w:r>
      <w:r>
        <w:rPr>
          <w:rFonts w:ascii="Times New Roman" w:hAnsi="Times New Roman" w:cs="Times New Roman"/>
          <w:b/>
          <w:bCs/>
          <w:color w:val="FF0000"/>
        </w:rPr>
        <w:t>.4-1</w:t>
      </w:r>
      <w:r>
        <w:rPr>
          <w:rFonts w:hint="eastAsia" w:ascii="Times New Roman" w:hAnsi="Times New Roman" w:cs="Times New Roman"/>
          <w:b/>
          <w:bCs/>
          <w:color w:val="FF0000"/>
        </w:rPr>
        <w:t>），南淝河港区石油及制品和化工原料及制品合计2</w:t>
      </w:r>
      <w:r>
        <w:rPr>
          <w:rFonts w:ascii="Times New Roman" w:hAnsi="Times New Roman" w:cs="Times New Roman"/>
          <w:b/>
          <w:bCs/>
          <w:color w:val="FF0000"/>
        </w:rPr>
        <w:t>030</w:t>
      </w:r>
      <w:r>
        <w:rPr>
          <w:rFonts w:hint="eastAsia" w:ascii="Times New Roman" w:hAnsi="Times New Roman" w:cs="Times New Roman"/>
          <w:b/>
          <w:bCs/>
          <w:color w:val="FF0000"/>
        </w:rPr>
        <w:t>年预测吞吐量为4</w:t>
      </w:r>
      <w:r>
        <w:rPr>
          <w:rFonts w:ascii="Times New Roman" w:hAnsi="Times New Roman" w:cs="Times New Roman"/>
          <w:b/>
          <w:bCs/>
          <w:color w:val="FF0000"/>
        </w:rPr>
        <w:t>20</w:t>
      </w:r>
      <w:r>
        <w:rPr>
          <w:rFonts w:hint="eastAsia" w:ascii="Times New Roman" w:hAnsi="Times New Roman" w:cs="Times New Roman"/>
          <w:b/>
          <w:bCs/>
          <w:color w:val="FF0000"/>
        </w:rPr>
        <w:t>万吨；本工程</w:t>
      </w:r>
      <w:r>
        <w:rPr>
          <w:rFonts w:ascii="Times New Roman" w:hAnsi="Times New Roman" w:cs="Times New Roman"/>
          <w:b/>
          <w:bCs/>
          <w:color w:val="FF0000"/>
        </w:rPr>
        <w:t>年设计通过能力为338.9万吨，2030年水平年预测吞吐量为300万吨；</w:t>
      </w:r>
      <w:r>
        <w:rPr>
          <w:rFonts w:hint="eastAsia" w:ascii="Times New Roman" w:hAnsi="Times New Roman" w:cs="Times New Roman"/>
          <w:b/>
          <w:bCs/>
          <w:color w:val="FF0000"/>
        </w:rPr>
        <w:t>本工程</w:t>
      </w:r>
      <w:r>
        <w:rPr>
          <w:rFonts w:ascii="Times New Roman" w:hAnsi="Times New Roman" w:cs="Times New Roman"/>
          <w:b/>
          <w:bCs/>
          <w:color w:val="FF0000"/>
        </w:rPr>
        <w:t>码头设计通过能力及预测吞吐量未突破规划预测吞吐量。</w:t>
      </w:r>
    </w:p>
    <w:p>
      <w:pPr>
        <w:widowControl/>
        <w:adjustRightInd/>
        <w:ind w:firstLine="240" w:firstLineChars="100"/>
        <w:jc w:val="left"/>
        <w:rPr>
          <w:rFonts w:ascii="Times New Roman" w:hAnsi="Times New Roman" w:cs="Times New Roman"/>
        </w:rPr>
      </w:pPr>
      <w:r>
        <w:rPr>
          <w:rFonts w:ascii="Times New Roman" w:hAnsi="Times New Roman" w:cs="Times New Roman"/>
        </w:rPr>
        <w:t xml:space="preserve">（5）强化各类环境保护对策措施 </w:t>
      </w:r>
    </w:p>
    <w:p>
      <w:pPr>
        <w:widowControl/>
        <w:adjustRightInd/>
        <w:ind w:firstLine="480"/>
        <w:jc w:val="left"/>
        <w:rPr>
          <w:rFonts w:ascii="Times New Roman" w:hAnsi="Times New Roman" w:cs="Times New Roman"/>
        </w:rPr>
      </w:pPr>
      <w:r>
        <w:rPr>
          <w:rFonts w:ascii="Times New Roman" w:hAnsi="Times New Roman" w:cs="Times New Roman"/>
        </w:rPr>
        <w:t xml:space="preserve">建立健全渔业资源损害补偿机制，开展增殖放流、生境重建等生态修复工作。 </w:t>
      </w:r>
    </w:p>
    <w:p>
      <w:pPr>
        <w:widowControl/>
        <w:adjustRightInd/>
        <w:ind w:firstLine="480"/>
        <w:jc w:val="left"/>
        <w:rPr>
          <w:rFonts w:ascii="Times New Roman" w:hAnsi="Times New Roman" w:cs="Times New Roman"/>
        </w:rPr>
      </w:pPr>
      <w:r>
        <w:rPr>
          <w:rFonts w:ascii="Times New Roman" w:hAnsi="Times New Roman" w:cs="Times New Roman"/>
        </w:rPr>
        <w:t xml:space="preserve">加强船舶污染物接收转运和处置，全面推广船舶靠港使用岸电，大型散货作业区应采取密闭存储、运输措施，采取油气回收等措施，控制油品码头和罐区的无组织排放以及集疏运系统的大气污染物排放。 </w:t>
      </w:r>
    </w:p>
    <w:p>
      <w:pPr>
        <w:widowControl/>
        <w:adjustRightInd/>
        <w:ind w:firstLine="482"/>
        <w:jc w:val="left"/>
        <w:rPr>
          <w:rFonts w:ascii="Times New Roman" w:hAnsi="Times New Roman" w:cs="Times New Roman"/>
          <w:b/>
          <w:bCs/>
        </w:rPr>
      </w:pPr>
      <w:r>
        <w:rPr>
          <w:rFonts w:ascii="Times New Roman" w:hAnsi="Times New Roman" w:cs="Times New Roman"/>
          <w:b/>
          <w:bCs/>
        </w:rPr>
        <w:t>符合性分析：本项目为液体化学品和油品码头，采取油气回收等措施控制油品码头和罐区的无组织排放。船舶生活污水用污水泵抽取至船舶生活污水接收装置，随港区生活污水经化粪池处理后一道接入合肥循环经济示范园污水处理厂；船舶舱底油污水用污水泵抽取至船舶油污水接收装置收集后，</w:t>
      </w:r>
      <w:r>
        <w:rPr>
          <w:rFonts w:hint="eastAsia" w:ascii="Times New Roman" w:hAnsi="Times New Roman" w:cs="Times New Roman"/>
          <w:b/>
          <w:bCs/>
        </w:rPr>
        <w:t>接入港区陆域含油污水处理装置处理后排入</w:t>
      </w:r>
      <w:r>
        <w:rPr>
          <w:rFonts w:ascii="Times New Roman" w:hAnsi="Times New Roman" w:cs="Times New Roman"/>
          <w:b/>
          <w:bCs/>
        </w:rPr>
        <w:t xml:space="preserve">合肥循环经济示范园污水处理厂。 </w:t>
      </w:r>
    </w:p>
    <w:p>
      <w:pPr>
        <w:widowControl/>
        <w:adjustRightInd/>
        <w:ind w:firstLine="480"/>
        <w:jc w:val="left"/>
        <w:rPr>
          <w:rFonts w:ascii="Times New Roman" w:hAnsi="Times New Roman" w:cs="Times New Roman"/>
        </w:rPr>
      </w:pPr>
      <w:r>
        <w:rPr>
          <w:rFonts w:ascii="Times New Roman" w:hAnsi="Times New Roman" w:cs="Times New Roman"/>
        </w:rPr>
        <w:t xml:space="preserve">（6）加强环境风险防范：科学、合理规划布置化学品、油品码头，确保饮用水和生态安全。配备港区船舶航行监控系统，建立水运污染事故应急设备和物资储备库，加大船舶航行安全保障和风险防范力度。健全与区域联动的应急响应机制，强化环境风险防范体系建设，落实与各港区环境风险相匹配的应急能力建设。 </w:t>
      </w:r>
    </w:p>
    <w:p>
      <w:pPr>
        <w:widowControl/>
        <w:adjustRightInd/>
        <w:ind w:firstLine="482"/>
        <w:jc w:val="left"/>
        <w:rPr>
          <w:rFonts w:ascii="Times New Roman" w:hAnsi="Times New Roman" w:cs="Times New Roman"/>
          <w:b/>
          <w:bCs/>
        </w:rPr>
      </w:pPr>
      <w:r>
        <w:rPr>
          <w:rFonts w:ascii="Times New Roman" w:hAnsi="Times New Roman" w:cs="Times New Roman"/>
          <w:b/>
          <w:bCs/>
        </w:rPr>
        <w:t xml:space="preserve">符合性分析：本项目属于化学品和油品码头，位于合肥港循环经济示范园作业区，项目同步建设船舶航行监控系统，按照《港口码头水上污染事故应急防备能力要求》（JT/T 451-2017）要求配备水运污染事故应急设备和物资储备库。同时制定突发环境风险事件应急预案，与合肥港及合肥循环示范园应急响应联动。 </w:t>
      </w:r>
    </w:p>
    <w:p>
      <w:pPr>
        <w:widowControl/>
        <w:adjustRightInd/>
        <w:ind w:firstLine="480" w:firstLineChars="0"/>
        <w:jc w:val="left"/>
        <w:rPr>
          <w:rFonts w:ascii="Times New Roman" w:hAnsi="Times New Roman" w:cs="Times New Roman"/>
        </w:rPr>
      </w:pPr>
      <w:r>
        <w:rPr>
          <w:rFonts w:ascii="Times New Roman" w:hAnsi="Times New Roman" w:cs="Times New Roman"/>
        </w:rPr>
        <w:t>综上，本项目符合《合肥港总体规划（2016-2040 年）环境影响报告书》及其审查意见。</w:t>
      </w:r>
    </w:p>
    <w:p>
      <w:pPr>
        <w:pStyle w:val="5"/>
        <w:keepNext w:val="0"/>
        <w:keepLines w:val="0"/>
        <w:numPr>
          <w:ilvl w:val="3"/>
          <w:numId w:val="0"/>
        </w:numPr>
        <w:tabs>
          <w:tab w:val="left" w:pos="1080"/>
        </w:tabs>
        <w:spacing w:after="0" w:line="360" w:lineRule="auto"/>
        <w:rPr>
          <w:rFonts w:ascii="Times New Roman" w:hAnsi="Times New Roman" w:eastAsia="宋体" w:cs="Times New Roman"/>
          <w:color w:val="auto"/>
          <w:spacing w:val="-2"/>
          <w:sz w:val="24"/>
          <w:szCs w:val="22"/>
        </w:rPr>
      </w:pPr>
      <w:r>
        <w:rPr>
          <w:rFonts w:ascii="Times New Roman" w:hAnsi="Times New Roman" w:eastAsia="宋体" w:cs="Times New Roman"/>
          <w:color w:val="auto"/>
          <w:spacing w:val="-2"/>
          <w:sz w:val="24"/>
          <w:szCs w:val="22"/>
        </w:rPr>
        <w:t>2.4.3.6与《安徽省交通运输十四五发展规划》的相符性分析</w:t>
      </w:r>
    </w:p>
    <w:p>
      <w:pPr>
        <w:ind w:firstLine="480"/>
        <w:rPr>
          <w:rFonts w:ascii="Times New Roman" w:hAnsi="Times New Roman" w:cs="Times New Roman"/>
          <w:color w:val="auto"/>
          <w:kern w:val="0"/>
          <w:szCs w:val="24"/>
          <w:lang w:bidi="ar"/>
        </w:rPr>
      </w:pPr>
      <w:r>
        <w:rPr>
          <w:rFonts w:hint="eastAsia" w:ascii="Times New Roman" w:hAnsi="Times New Roman" w:cs="Times New Roman"/>
          <w:color w:val="auto"/>
          <w:kern w:val="0"/>
          <w:szCs w:val="24"/>
          <w:lang w:bidi="ar"/>
        </w:rPr>
        <w:t>安徽省交通运输厅</w:t>
      </w:r>
      <w:r>
        <w:rPr>
          <w:rFonts w:ascii="Times New Roman" w:hAnsi="Times New Roman" w:cs="Times New Roman"/>
          <w:color w:val="auto"/>
          <w:kern w:val="0"/>
          <w:szCs w:val="24"/>
          <w:lang w:bidi="ar"/>
        </w:rPr>
        <w:t>于2021年12月发布了</w:t>
      </w:r>
      <w:r>
        <w:rPr>
          <w:rFonts w:ascii="Times New Roman" w:hAnsi="Times New Roman" w:cs="Times New Roman"/>
          <w:color w:val="auto"/>
          <w:spacing w:val="-2"/>
        </w:rPr>
        <w:t>《安徽省交通运输十四五发展规划》，涉及水运方面的规划如下（节选）</w:t>
      </w:r>
      <w:r>
        <w:rPr>
          <w:rFonts w:ascii="Times New Roman" w:hAnsi="Times New Roman" w:cs="Times New Roman"/>
          <w:color w:val="auto"/>
          <w:kern w:val="0"/>
          <w:szCs w:val="24"/>
          <w:lang w:bidi="ar"/>
        </w:rPr>
        <w:t>。</w:t>
      </w:r>
    </w:p>
    <w:p>
      <w:pPr>
        <w:ind w:firstLine="480"/>
        <w:rPr>
          <w:rFonts w:ascii="Times New Roman" w:hAnsi="Times New Roman" w:eastAsia="楷体_GB2312" w:cs="Times New Roman"/>
          <w:color w:val="auto"/>
          <w:szCs w:val="24"/>
        </w:rPr>
      </w:pPr>
      <w:bookmarkStart w:id="118" w:name="_Toc90912445"/>
      <w:bookmarkStart w:id="119" w:name="_Toc102984273"/>
      <w:bookmarkStart w:id="120" w:name="_Hlk46331156"/>
      <w:r>
        <w:rPr>
          <w:rFonts w:ascii="Times New Roman" w:hAnsi="Times New Roman" w:eastAsia="楷体_GB2312" w:cs="Times New Roman"/>
          <w:color w:val="auto"/>
          <w:szCs w:val="24"/>
        </w:rPr>
        <w:t>（二）构建完善顺畅的干线网</w:t>
      </w:r>
      <w:bookmarkEnd w:id="118"/>
      <w:r>
        <w:rPr>
          <w:rFonts w:ascii="Times New Roman" w:hAnsi="Times New Roman" w:eastAsia="楷体_GB2312" w:cs="Times New Roman"/>
          <w:color w:val="auto"/>
          <w:szCs w:val="24"/>
        </w:rPr>
        <w:t>。</w:t>
      </w:r>
      <w:bookmarkEnd w:id="119"/>
    </w:p>
    <w:p>
      <w:pPr>
        <w:ind w:firstLine="482"/>
        <w:rPr>
          <w:rFonts w:ascii="Times New Roman" w:hAnsi="Times New Roman" w:eastAsia="仿宋" w:cs="Times New Roman"/>
          <w:b/>
          <w:bCs/>
          <w:color w:val="auto"/>
          <w:szCs w:val="24"/>
        </w:rPr>
      </w:pPr>
      <w:r>
        <w:rPr>
          <w:rFonts w:ascii="Times New Roman" w:hAnsi="Times New Roman" w:eastAsia="仿宋" w:cs="Times New Roman"/>
          <w:b/>
          <w:bCs/>
          <w:color w:val="auto"/>
          <w:szCs w:val="24"/>
        </w:rPr>
        <w:t>1.建设“航道上的安徽”</w:t>
      </w:r>
    </w:p>
    <w:p>
      <w:pPr>
        <w:ind w:firstLine="480"/>
        <w:rPr>
          <w:rFonts w:ascii="Times New Roman" w:hAnsi="Times New Roman" w:eastAsia="仿宋" w:cs="Times New Roman"/>
          <w:color w:val="auto"/>
          <w:szCs w:val="24"/>
        </w:rPr>
      </w:pPr>
      <w:r>
        <w:rPr>
          <w:rFonts w:ascii="Times New Roman" w:hAnsi="Times New Roman" w:eastAsia="仿宋" w:cs="Times New Roman"/>
          <w:color w:val="auto"/>
          <w:szCs w:val="24"/>
        </w:rPr>
        <w:t>优先建设大运量骨干通道，以“一纵两横”为核心，推动航道由轴线向网络化联通转型，港口由单点向集群化协同转型，实现江淮沟通、通江达海。</w:t>
      </w:r>
    </w:p>
    <w:p>
      <w:pPr>
        <w:ind w:firstLine="482"/>
        <w:rPr>
          <w:rFonts w:ascii="Times New Roman" w:hAnsi="Times New Roman" w:eastAsia="仿宋" w:cs="Times New Roman"/>
          <w:color w:val="auto"/>
          <w:szCs w:val="24"/>
        </w:rPr>
      </w:pPr>
      <w:r>
        <w:rPr>
          <w:rFonts w:ascii="Times New Roman" w:hAnsi="Times New Roman" w:eastAsia="仿宋" w:cs="Times New Roman"/>
          <w:b/>
          <w:bCs/>
          <w:color w:val="auto"/>
          <w:szCs w:val="24"/>
        </w:rPr>
        <w:t>加快建成“一纵”。</w:t>
      </w:r>
      <w:r>
        <w:rPr>
          <w:rFonts w:ascii="Times New Roman" w:hAnsi="Times New Roman" w:eastAsia="仿宋" w:cs="Times New Roman"/>
          <w:color w:val="auto"/>
          <w:szCs w:val="24"/>
        </w:rPr>
        <w:t>全面建成引江济淮一期工程，加快推进引江济淮二期航运工程建设，畅通江淮运河通道体系，重塑全省水运发展格局。实施合裕线、沙颍河扩容工程，疏通局部堵航节点，推进江淮运河通道向南北拓展。开展兆西河高等级航道前期研究。</w:t>
      </w:r>
    </w:p>
    <w:p>
      <w:pPr>
        <w:ind w:firstLine="482"/>
        <w:rPr>
          <w:rFonts w:ascii="Times New Roman" w:hAnsi="Times New Roman" w:eastAsia="仿宋" w:cs="Times New Roman"/>
          <w:color w:val="auto"/>
          <w:szCs w:val="24"/>
        </w:rPr>
      </w:pPr>
      <w:r>
        <w:rPr>
          <w:rFonts w:ascii="Times New Roman" w:hAnsi="Times New Roman" w:eastAsia="仿宋" w:cs="Times New Roman"/>
          <w:b/>
          <w:bCs/>
          <w:color w:val="auto"/>
          <w:szCs w:val="24"/>
        </w:rPr>
        <w:t>优化提升“两横”。</w:t>
      </w:r>
      <w:r>
        <w:rPr>
          <w:rFonts w:ascii="Times New Roman" w:hAnsi="Times New Roman" w:eastAsia="仿宋" w:cs="Times New Roman"/>
          <w:color w:val="auto"/>
          <w:szCs w:val="24"/>
        </w:rPr>
        <w:t>与交通运输部长江航务管理局共建皖江深水航道，力争实现10.5米维护水深常年到芜湖、8米维护水深常年到合肥、合裕线入江口段裕溪水道航道维护水深至4米以上。续建并完成淮河干流航道整治工程，实现临淮岗下游航段提升至二级，上游航段提升至三级。</w:t>
      </w:r>
    </w:p>
    <w:p>
      <w:pPr>
        <w:ind w:firstLine="482"/>
        <w:rPr>
          <w:rFonts w:ascii="Times New Roman" w:hAnsi="Times New Roman" w:eastAsia="仿宋" w:cs="Times New Roman"/>
          <w:color w:val="auto"/>
          <w:szCs w:val="24"/>
        </w:rPr>
      </w:pPr>
      <w:r>
        <w:rPr>
          <w:rFonts w:ascii="Times New Roman" w:hAnsi="Times New Roman" w:eastAsia="仿宋" w:cs="Times New Roman"/>
          <w:b/>
          <w:bCs/>
          <w:color w:val="auto"/>
          <w:szCs w:val="24"/>
        </w:rPr>
        <w:t>着力畅通“五干”。</w:t>
      </w:r>
      <w:r>
        <w:rPr>
          <w:rFonts w:ascii="Times New Roman" w:hAnsi="Times New Roman" w:eastAsia="仿宋" w:cs="Times New Roman"/>
          <w:color w:val="auto"/>
          <w:szCs w:val="24"/>
        </w:rPr>
        <w:t>加快推进沱浍河和涡河航道整治工程，建成临涣、蒙城船闸，开工建设蕲县、大寺复线船闸，提升皖北地区航道通过能力，贯通豫东地区通江达海通道。新建滁河-清流河航道，续建完成汊河集船闸。推进茨淮新河航道整治工程，积极推动新安江旅游航道发展和碍航、断航闸坝复航。</w:t>
      </w:r>
    </w:p>
    <w:p>
      <w:pPr>
        <w:ind w:firstLine="482"/>
        <w:rPr>
          <w:rFonts w:ascii="Times New Roman" w:hAnsi="Times New Roman" w:eastAsia="仿宋" w:cs="Times New Roman"/>
          <w:color w:val="auto"/>
          <w:szCs w:val="24"/>
        </w:rPr>
      </w:pPr>
      <w:r>
        <w:rPr>
          <w:rFonts w:ascii="Times New Roman" w:hAnsi="Times New Roman" w:eastAsia="仿宋" w:cs="Times New Roman"/>
          <w:b/>
          <w:bCs/>
          <w:color w:val="auto"/>
          <w:szCs w:val="24"/>
        </w:rPr>
        <w:t>推进港航协同。</w:t>
      </w:r>
      <w:r>
        <w:rPr>
          <w:rFonts w:ascii="Times New Roman" w:hAnsi="Times New Roman" w:eastAsia="仿宋" w:cs="Times New Roman"/>
          <w:color w:val="auto"/>
          <w:szCs w:val="24"/>
        </w:rPr>
        <w:t>提升港口专业化、规模化、集约化水平，优化港口功能布局，加速港口资源有效整合，推进港航在规划、建设、运营等方面一体化发展，提升干线航道对腹地经济辐射带动能力。</w:t>
      </w:r>
    </w:p>
    <w:tbl>
      <w:tblPr>
        <w:tblStyle w:val="62"/>
        <w:tblW w:w="9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22" w:type="dxa"/>
          </w:tcPr>
          <w:p>
            <w:pPr>
              <w:spacing w:line="240" w:lineRule="auto"/>
              <w:ind w:firstLine="440"/>
              <w:rPr>
                <w:rFonts w:ascii="Times New Roman" w:hAnsi="Times New Roman" w:eastAsia="黑体" w:cs="Times New Roman"/>
                <w:bCs/>
                <w:color w:val="auto"/>
                <w:sz w:val="22"/>
              </w:rPr>
            </w:pPr>
            <w:r>
              <w:rPr>
                <w:rFonts w:ascii="Times New Roman" w:hAnsi="Times New Roman" w:eastAsia="黑体" w:cs="Times New Roman"/>
                <w:bCs/>
                <w:color w:val="auto"/>
                <w:sz w:val="22"/>
              </w:rPr>
              <w:t>专栏3  “航道上的安徽”建设工程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22" w:type="dxa"/>
          </w:tcPr>
          <w:p>
            <w:pPr>
              <w:spacing w:line="240" w:lineRule="auto"/>
              <w:ind w:firstLine="442"/>
              <w:rPr>
                <w:rFonts w:ascii="Times New Roman" w:hAnsi="Times New Roman" w:eastAsia="仿宋_GB2312" w:cs="Times New Roman"/>
                <w:bCs/>
                <w:color w:val="auto"/>
                <w:sz w:val="22"/>
              </w:rPr>
            </w:pPr>
            <w:r>
              <w:rPr>
                <w:rFonts w:ascii="Times New Roman" w:hAnsi="Times New Roman" w:eastAsia="楷体_GB2312" w:cs="Times New Roman"/>
                <w:b/>
                <w:color w:val="auto"/>
                <w:sz w:val="22"/>
              </w:rPr>
              <w:t>建成“一纵”。</w:t>
            </w:r>
            <w:r>
              <w:rPr>
                <w:rFonts w:ascii="Times New Roman" w:hAnsi="Times New Roman" w:eastAsia="仿宋_GB2312" w:cs="Times New Roman"/>
                <w:color w:val="auto"/>
                <w:sz w:val="22"/>
              </w:rPr>
              <w:t>续建</w:t>
            </w:r>
            <w:r>
              <w:rPr>
                <w:rFonts w:ascii="Times New Roman" w:hAnsi="Times New Roman" w:eastAsia="仿宋_GB2312" w:cs="Times New Roman"/>
                <w:bCs/>
                <w:color w:val="auto"/>
                <w:sz w:val="22"/>
              </w:rPr>
              <w:t>引江济淮一期航运工程（安徽段）、合裕线裕溪一线船闸扩容工程、沙颍河耿楼复线船闸工程。新建引江济淮二期航运工程（通道扩容工程、航道延伸工程）、合裕线巢湖船闸扩容工程、沙颍河阜阳复线船闸工程，推进兆西河高等级航道项目前期研究。</w:t>
            </w:r>
          </w:p>
          <w:p>
            <w:pPr>
              <w:spacing w:line="240" w:lineRule="auto"/>
              <w:ind w:firstLine="442"/>
              <w:rPr>
                <w:rFonts w:ascii="Times New Roman" w:hAnsi="Times New Roman" w:eastAsia="仿宋_GB2312" w:cs="Times New Roman"/>
                <w:color w:val="auto"/>
                <w:sz w:val="22"/>
              </w:rPr>
            </w:pPr>
            <w:r>
              <w:rPr>
                <w:rFonts w:ascii="Times New Roman" w:hAnsi="Times New Roman" w:eastAsia="楷体_GB2312" w:cs="Times New Roman"/>
                <w:b/>
                <w:color w:val="auto"/>
                <w:sz w:val="22"/>
              </w:rPr>
              <w:t>提升“两横”。</w:t>
            </w:r>
            <w:r>
              <w:rPr>
                <w:rFonts w:ascii="Times New Roman" w:hAnsi="Times New Roman" w:eastAsia="仿宋_GB2312" w:cs="Times New Roman"/>
                <w:color w:val="auto"/>
                <w:sz w:val="22"/>
              </w:rPr>
              <w:t>续建淮河干流航道（三河尖至蚌埠闸段）整治工程、淮河干流航道（蚌埠闸至红山头段）整治工程、淮河临淮岗复线船闸工程。新建淮河蚌埠三线船闸工程，改建淮河津浦铁路桥工程。</w:t>
            </w:r>
          </w:p>
          <w:p>
            <w:pPr>
              <w:spacing w:line="240" w:lineRule="auto"/>
              <w:ind w:firstLine="442"/>
              <w:rPr>
                <w:rFonts w:ascii="Times New Roman" w:hAnsi="Times New Roman" w:eastAsia="仿宋_GB2312" w:cs="Times New Roman"/>
                <w:bCs/>
                <w:color w:val="auto"/>
                <w:sz w:val="22"/>
              </w:rPr>
            </w:pPr>
            <w:r>
              <w:rPr>
                <w:rFonts w:ascii="Times New Roman" w:hAnsi="Times New Roman" w:eastAsia="楷体_GB2312" w:cs="Times New Roman"/>
                <w:b/>
                <w:color w:val="auto"/>
                <w:sz w:val="22"/>
              </w:rPr>
              <w:t>畅通“五干”。</w:t>
            </w:r>
            <w:r>
              <w:rPr>
                <w:rFonts w:ascii="Times New Roman" w:hAnsi="Times New Roman" w:eastAsia="仿宋_GB2312" w:cs="Times New Roman"/>
                <w:color w:val="auto"/>
                <w:sz w:val="22"/>
              </w:rPr>
              <w:t>续建沱浍河航道（宿州段）整治工程、沱浍河临涣船闸工程、涡河航道（大寺闸至入淮口段）整治工程、滁河汊河集船闸改建工程。新建沱浍河航道（李口集至临涣段）整治工程、沱浍河航道（蚌埠段）整治工程、沱浍河蕲县复线船闸工程、涡河航道（省界至大寺闸段）整治工程、涡河大寺复线船闸工程、滁河-清流河航道整治工程、新安江旅游航道整治等项目。</w:t>
            </w:r>
          </w:p>
          <w:p>
            <w:pPr>
              <w:spacing w:line="240" w:lineRule="auto"/>
              <w:ind w:firstLine="442"/>
              <w:rPr>
                <w:rFonts w:ascii="Times New Roman" w:hAnsi="Times New Roman" w:eastAsia="仿宋_GB2312" w:cs="Times New Roman"/>
                <w:b/>
                <w:color w:val="auto"/>
                <w:sz w:val="22"/>
              </w:rPr>
            </w:pPr>
            <w:r>
              <w:rPr>
                <w:rFonts w:ascii="Times New Roman" w:hAnsi="Times New Roman" w:eastAsia="楷体_GB2312" w:cs="Times New Roman"/>
                <w:b/>
                <w:color w:val="auto"/>
                <w:sz w:val="22"/>
              </w:rPr>
              <w:t>港航协同。</w:t>
            </w:r>
            <w:r>
              <w:rPr>
                <w:rFonts w:ascii="Times New Roman" w:hAnsi="Times New Roman" w:eastAsia="仿宋_GB2312" w:cs="Times New Roman"/>
                <w:color w:val="auto"/>
                <w:sz w:val="22"/>
              </w:rPr>
              <w:t>续建</w:t>
            </w:r>
            <w:r>
              <w:rPr>
                <w:rFonts w:ascii="Times New Roman" w:hAnsi="Times New Roman" w:eastAsia="仿宋_GB2312" w:cs="Times New Roman"/>
                <w:bCs/>
                <w:color w:val="auto"/>
                <w:sz w:val="22"/>
              </w:rPr>
              <w:t>派河国际综合物流园港区一期、巢城港区二期、朱家桥外贸综合物流园区一期码头、长江LNG内河加注站项目码头、童埠港区童埠码头改扩建、宣州港二期、新河庄港区白山作业区汪联河北山码头、明光港区明光新港（润辉物流港务码头）、皖江物流综合码头、临泉港区综合码头共计10个港口建设项目；</w:t>
            </w:r>
            <w:r>
              <w:rPr>
                <w:rFonts w:ascii="Times New Roman" w:hAnsi="Times New Roman" w:eastAsia="仿宋_GB2312" w:cs="Times New Roman"/>
                <w:b/>
                <w:color w:val="auto"/>
                <w:sz w:val="22"/>
              </w:rPr>
              <w:t>新开工东航码头</w:t>
            </w:r>
            <w:r>
              <w:rPr>
                <w:rFonts w:ascii="Times New Roman" w:hAnsi="Times New Roman" w:eastAsia="仿宋_GB2312" w:cs="Times New Roman"/>
                <w:bCs/>
                <w:color w:val="auto"/>
                <w:sz w:val="22"/>
              </w:rPr>
              <w:t>、中派临港绿色建材物流园一期、派河国际物流园港区二期三期、国家物流枢纽裕溪口配套区大宗散货集散中心、马鞍山港中心港区9#码头升级改造、1-4#码头改扩建、郑蒲港区皖江散货砂石集散联运中心码头等港口建设项目。</w:t>
            </w:r>
          </w:p>
        </w:tc>
      </w:tr>
      <w:bookmarkEnd w:id="120"/>
    </w:tbl>
    <w:p>
      <w:pPr>
        <w:ind w:firstLine="474"/>
        <w:rPr>
          <w:rFonts w:ascii="Times New Roman" w:hAnsi="Times New Roman" w:cs="Times New Roman"/>
          <w:b/>
          <w:bCs/>
          <w:color w:val="auto"/>
          <w:spacing w:val="-2"/>
        </w:rPr>
      </w:pPr>
      <w:r>
        <w:rPr>
          <w:rFonts w:ascii="Times New Roman" w:hAnsi="Times New Roman" w:cs="Times New Roman"/>
          <w:b/>
          <w:bCs/>
          <w:color w:val="auto"/>
          <w:spacing w:val="-2"/>
        </w:rPr>
        <w:t>符合性分析：本项目属于《安徽省交通运输十四五发展规划》中新开工的合肥东航码头工程，符合规划要求。</w:t>
      </w:r>
    </w:p>
    <w:p>
      <w:pPr>
        <w:pStyle w:val="5"/>
        <w:keepNext w:val="0"/>
        <w:keepLines w:val="0"/>
        <w:numPr>
          <w:ilvl w:val="3"/>
          <w:numId w:val="0"/>
        </w:numPr>
        <w:tabs>
          <w:tab w:val="left" w:pos="1080"/>
        </w:tabs>
        <w:spacing w:after="0" w:line="360" w:lineRule="auto"/>
        <w:rPr>
          <w:rFonts w:ascii="Times New Roman" w:hAnsi="Times New Roman" w:eastAsia="宋体" w:cs="Times New Roman"/>
          <w:color w:val="auto"/>
          <w:spacing w:val="-2"/>
          <w:sz w:val="24"/>
          <w:szCs w:val="22"/>
        </w:rPr>
      </w:pPr>
      <w:r>
        <w:rPr>
          <w:rFonts w:ascii="Times New Roman" w:hAnsi="Times New Roman" w:eastAsia="宋体" w:cs="Times New Roman"/>
          <w:color w:val="auto"/>
          <w:spacing w:val="-2"/>
          <w:sz w:val="24"/>
          <w:szCs w:val="22"/>
        </w:rPr>
        <w:t>2.4.3.7与《合肥市交通运输十四五发展规划》的相符性分析</w:t>
      </w:r>
    </w:p>
    <w:p>
      <w:pPr>
        <w:adjustRightInd/>
        <w:snapToGrid/>
        <w:ind w:firstLine="480"/>
        <w:rPr>
          <w:rFonts w:ascii="Times New Roman" w:hAnsi="Times New Roman" w:cs="Times New Roman"/>
          <w:color w:val="auto"/>
          <w:kern w:val="0"/>
          <w:szCs w:val="24"/>
          <w:lang w:bidi="ar"/>
        </w:rPr>
      </w:pPr>
      <w:r>
        <w:rPr>
          <w:rFonts w:ascii="Times New Roman" w:hAnsi="Times New Roman" w:cs="Times New Roman"/>
          <w:color w:val="auto"/>
          <w:kern w:val="0"/>
          <w:szCs w:val="24"/>
          <w:lang w:bidi="ar"/>
        </w:rPr>
        <w:t>合肥市人民政府于2022年1月14日发布了</w:t>
      </w:r>
      <w:r>
        <w:rPr>
          <w:rFonts w:ascii="Times New Roman" w:hAnsi="Times New Roman" w:cs="Times New Roman"/>
          <w:color w:val="auto"/>
          <w:spacing w:val="-2"/>
        </w:rPr>
        <w:t>《合肥市“十四五”交通运输发展规划》（合政办秘[2022]2号），涉及水运方面的规划如下（节选）</w:t>
      </w:r>
      <w:r>
        <w:rPr>
          <w:rFonts w:ascii="Times New Roman" w:hAnsi="Times New Roman" w:cs="Times New Roman"/>
          <w:color w:val="auto"/>
          <w:kern w:val="0"/>
          <w:szCs w:val="24"/>
          <w:lang w:bidi="ar"/>
        </w:rPr>
        <w:t>。</w:t>
      </w:r>
    </w:p>
    <w:p>
      <w:pPr>
        <w:adjustRightInd/>
        <w:snapToGrid/>
        <w:ind w:firstLine="480"/>
        <w:rPr>
          <w:rFonts w:ascii="Times New Roman" w:hAnsi="Times New Roman" w:eastAsia="仿宋" w:cs="Times New Roman"/>
          <w:color w:val="auto"/>
          <w:szCs w:val="24"/>
        </w:rPr>
      </w:pPr>
      <w:r>
        <w:rPr>
          <w:rFonts w:ascii="Times New Roman" w:hAnsi="Times New Roman" w:cs="Times New Roman"/>
        </w:rPr>
        <w:t>到“十四五”末基本完成辖区航道网建设和支持保障系统等航运中心硬件建设，建成区域航运枢纽，为2035年初步建成“一中心二网络三体系”的江淮区域性航运中心总格局奠定基础</w:t>
      </w:r>
      <w:r>
        <w:rPr>
          <w:rFonts w:ascii="Times New Roman" w:hAnsi="Times New Roman" w:eastAsia="仿宋" w:cs="Times New Roman"/>
          <w:color w:val="auto"/>
          <w:szCs w:val="24"/>
        </w:rPr>
        <w:t>。</w:t>
      </w:r>
    </w:p>
    <w:p>
      <w:pPr>
        <w:adjustRightInd/>
        <w:snapToGrid/>
        <w:ind w:left="382" w:hanging="381" w:hangingChars="159"/>
        <w:jc w:val="center"/>
        <w:rPr>
          <w:rFonts w:ascii="Times New Roman" w:hAnsi="Times New Roman" w:cs="Times New Roman"/>
        </w:rPr>
      </w:pPr>
      <w:r>
        <w:rPr>
          <w:rFonts w:ascii="Times New Roman" w:hAnsi="Times New Roman" w:cs="Times New Roman"/>
        </w:rPr>
        <w:drawing>
          <wp:inline distT="0" distB="0" distL="0" distR="0">
            <wp:extent cx="5273040" cy="4686300"/>
            <wp:effectExtent l="0" t="0" r="3810" b="0"/>
            <wp:docPr id="11"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true" noChangeArrowheads="true"/>
                    </pic:cNvPicPr>
                  </pic:nvPicPr>
                  <pic:blipFill>
                    <a:blip r:embed="rId38"/>
                    <a:srcRect/>
                    <a:stretch>
                      <a:fillRect/>
                    </a:stretch>
                  </pic:blipFill>
                  <pic:spPr>
                    <a:xfrm>
                      <a:off x="0" y="0"/>
                      <a:ext cx="5284704" cy="4696343"/>
                    </a:xfrm>
                    <a:prstGeom prst="rect">
                      <a:avLst/>
                    </a:prstGeom>
                    <a:noFill/>
                    <a:ln>
                      <a:noFill/>
                    </a:ln>
                  </pic:spPr>
                </pic:pic>
              </a:graphicData>
            </a:graphic>
          </wp:inline>
        </w:drawing>
      </w:r>
    </w:p>
    <w:p>
      <w:pPr>
        <w:ind w:firstLine="474"/>
        <w:rPr>
          <w:rFonts w:ascii="Times New Roman" w:hAnsi="Times New Roman" w:cs="Times New Roman"/>
          <w:b/>
          <w:bCs/>
          <w:color w:val="auto"/>
          <w:spacing w:val="-2"/>
        </w:rPr>
      </w:pPr>
      <w:r>
        <w:rPr>
          <w:rFonts w:ascii="Times New Roman" w:hAnsi="Times New Roman" w:cs="Times New Roman"/>
          <w:b/>
          <w:bCs/>
          <w:color w:val="auto"/>
          <w:spacing w:val="-2"/>
        </w:rPr>
        <w:t>符合性分析：本项目属于《合肥市“十四五”交通运输发展规划》中“十四五”新建港口基础设施项目，符合规划要求。</w:t>
      </w:r>
    </w:p>
    <w:p>
      <w:pPr>
        <w:pStyle w:val="5"/>
        <w:keepNext w:val="0"/>
        <w:keepLines w:val="0"/>
        <w:numPr>
          <w:ilvl w:val="3"/>
          <w:numId w:val="0"/>
        </w:numPr>
        <w:tabs>
          <w:tab w:val="left" w:pos="1080"/>
        </w:tabs>
        <w:spacing w:after="0" w:line="360" w:lineRule="auto"/>
        <w:ind w:left="419" w:hanging="419" w:hangingChars="177"/>
        <w:rPr>
          <w:rFonts w:ascii="Times New Roman" w:hAnsi="Times New Roman" w:eastAsia="宋体" w:cs="Times New Roman"/>
          <w:color w:val="FF0000"/>
          <w:spacing w:val="-2"/>
          <w:sz w:val="24"/>
          <w:szCs w:val="22"/>
        </w:rPr>
      </w:pPr>
      <w:r>
        <w:rPr>
          <w:rFonts w:ascii="Times New Roman" w:hAnsi="Times New Roman" w:eastAsia="宋体" w:cs="Times New Roman"/>
          <w:color w:val="FF0000"/>
          <w:spacing w:val="-2"/>
          <w:sz w:val="24"/>
          <w:szCs w:val="22"/>
        </w:rPr>
        <w:t>2.4.3.8与《安徽省干线航道网规划（2018—2030年）》相符性分析</w:t>
      </w:r>
    </w:p>
    <w:p>
      <w:pPr>
        <w:ind w:firstLine="480"/>
        <w:rPr>
          <w:rFonts w:ascii="Times New Roman" w:hAnsi="Times New Roman" w:cs="Times New Roman"/>
          <w:b/>
          <w:bCs/>
          <w:color w:val="auto"/>
        </w:rPr>
      </w:pPr>
      <w:r>
        <w:rPr>
          <w:rFonts w:ascii="Times New Roman" w:hAnsi="Times New Roman" w:cs="Times New Roman"/>
          <w:color w:val="auto"/>
        </w:rPr>
        <w:t>安徽省人民政府办公厅于2018年11月2日发布《关于印发安徽省干线航道网规划（2018—2030年）的通知》（皖政办秘〔2018〕261号），关于航道网规划节选如下：</w:t>
      </w:r>
    </w:p>
    <w:p>
      <w:pPr>
        <w:ind w:firstLine="472"/>
        <w:rPr>
          <w:rFonts w:ascii="Times New Roman" w:hAnsi="Times New Roman" w:cs="Times New Roman"/>
          <w:color w:val="FF0000"/>
          <w:spacing w:val="-2"/>
        </w:rPr>
      </w:pPr>
      <w:r>
        <w:rPr>
          <w:rFonts w:ascii="Times New Roman" w:hAnsi="Times New Roman" w:cs="Times New Roman"/>
          <w:color w:val="FF0000"/>
          <w:spacing w:val="-2"/>
        </w:rPr>
        <w:t>（二）规划方案。</w:t>
      </w:r>
    </w:p>
    <w:p>
      <w:pPr>
        <w:ind w:firstLine="480"/>
        <w:rPr>
          <w:rFonts w:ascii="Times New Roman" w:hAnsi="Times New Roman" w:cs="Times New Roman"/>
          <w:color w:val="auto"/>
        </w:rPr>
      </w:pPr>
      <w:r>
        <w:rPr>
          <w:rFonts w:ascii="Times New Roman" w:hAnsi="Times New Roman" w:cs="Times New Roman"/>
          <w:color w:val="auto"/>
        </w:rPr>
        <w:t>以横贯全省的长江干线、淮河干流，纵穿南北的沙颍河-江淮运河-合裕线-芜申运河为核心，以其他三、四级航道为延伸，形成通达省内主要城市群，沟通沿江沿河的主要产业园区和工矿基地，连接长江沿线及沿海地区的“一纵两横五干二十线”全省干线航道，共规划航道里程约3200公里，其中三级及以上航道里程约占60%、四级航道约占40%。同时，为加强与长江干线、长三角高等级航道网对接，实施阶段应尽可能做到“两个兼顾”，即天然和渠化河流应适当增加设计水深，兼顾航行于限制性航道的运输船舶吃水要求；规划四级航道上的船闸等永久性建筑物应适当提高标准、满足1000吨级货船通行要求。</w:t>
      </w:r>
    </w:p>
    <w:p>
      <w:pPr>
        <w:spacing w:line="240" w:lineRule="auto"/>
        <w:ind w:firstLine="442"/>
        <w:jc w:val="center"/>
        <w:rPr>
          <w:rFonts w:ascii="Times New Roman" w:hAnsi="Times New Roman" w:cs="Times New Roman"/>
          <w:b/>
          <w:bCs/>
          <w:color w:val="333333"/>
          <w:sz w:val="22"/>
        </w:rPr>
      </w:pPr>
    </w:p>
    <w:p>
      <w:pPr>
        <w:spacing w:line="240" w:lineRule="auto"/>
        <w:ind w:firstLine="442"/>
        <w:jc w:val="center"/>
        <w:rPr>
          <w:rFonts w:ascii="Times New Roman" w:hAnsi="Times New Roman" w:cs="Times New Roman"/>
          <w:b/>
          <w:bCs/>
          <w:color w:val="333333"/>
          <w:sz w:val="21"/>
          <w:szCs w:val="21"/>
        </w:rPr>
      </w:pPr>
      <w:r>
        <w:rPr>
          <w:rFonts w:ascii="Times New Roman" w:hAnsi="Times New Roman" w:cs="Times New Roman"/>
          <w:b/>
          <w:bCs/>
          <w:color w:val="333333"/>
          <w:sz w:val="22"/>
        </w:rPr>
        <w:t>表2.4-2  安徽省干线航道布局方案</w:t>
      </w:r>
    </w:p>
    <w:tbl>
      <w:tblPr>
        <w:tblStyle w:val="62"/>
        <w:tblW w:w="8920"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1290"/>
        <w:gridCol w:w="1379"/>
        <w:gridCol w:w="2976"/>
        <w:gridCol w:w="994"/>
        <w:gridCol w:w="228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航道名称</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起讫点</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规划里程</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规划等级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8920" w:type="dxa"/>
            <w:gridSpan w:val="5"/>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“一纵”</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restart"/>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沙颍河-江淮运河-合裕线-芜申运河</w:t>
            </w: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1.沙颍河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常胜沟-沫河口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206</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暂按三级标准控制，以国家规划为准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restart"/>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2.江淮运河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入淮河口-派河口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157.4</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二级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巢湖段：派河口-忠庙</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20.2</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二级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引江济巢兆西河线路:凤凰颈-派河口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114</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引江济巢菜子湖线路:长河入江口-忠庙</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122</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restart"/>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3.合裕线</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312国道大桥-裕溪口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132</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暂按二级标准控制，以国家规划为准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
                <w:color w:val="auto"/>
                <w:kern w:val="0"/>
                <w:sz w:val="18"/>
                <w:szCs w:val="18"/>
              </w:rPr>
            </w:pPr>
            <w:r>
              <w:rPr>
                <w:rFonts w:ascii="Times New Roman" w:hAnsi="Times New Roman" w:cs="Times New Roman"/>
                <w:b/>
                <w:color w:val="auto"/>
                <w:kern w:val="0"/>
                <w:sz w:val="18"/>
                <w:szCs w:val="18"/>
              </w:rPr>
              <w:t>店埠河：合裕公路桥-三汊河口</w:t>
            </w:r>
          </w:p>
        </w:tc>
        <w:tc>
          <w:tcPr>
            <w:tcW w:w="994" w:type="dxa"/>
            <w:vAlign w:val="center"/>
          </w:tcPr>
          <w:p>
            <w:pPr>
              <w:spacing w:line="240" w:lineRule="auto"/>
              <w:ind w:firstLine="0" w:firstLineChars="0"/>
              <w:jc w:val="left"/>
              <w:rPr>
                <w:rFonts w:ascii="Times New Roman" w:hAnsi="Times New Roman" w:cs="Times New Roman"/>
                <w:b/>
                <w:color w:val="auto"/>
                <w:kern w:val="0"/>
                <w:sz w:val="18"/>
                <w:szCs w:val="18"/>
              </w:rPr>
            </w:pPr>
            <w:r>
              <w:rPr>
                <w:rFonts w:ascii="Times New Roman" w:hAnsi="Times New Roman" w:cs="Times New Roman"/>
                <w:b/>
                <w:color w:val="auto"/>
                <w:kern w:val="0"/>
                <w:sz w:val="18"/>
                <w:szCs w:val="18"/>
              </w:rPr>
              <w:t>8.4</w:t>
            </w:r>
          </w:p>
        </w:tc>
        <w:tc>
          <w:tcPr>
            <w:tcW w:w="2281" w:type="dxa"/>
            <w:vAlign w:val="center"/>
          </w:tcPr>
          <w:p>
            <w:pPr>
              <w:spacing w:line="240" w:lineRule="auto"/>
              <w:ind w:firstLine="0" w:firstLineChars="0"/>
              <w:jc w:val="left"/>
              <w:rPr>
                <w:rFonts w:ascii="Times New Roman" w:hAnsi="Times New Roman" w:cs="Times New Roman"/>
                <w:b/>
                <w:color w:val="auto"/>
                <w:kern w:val="0"/>
                <w:sz w:val="18"/>
                <w:szCs w:val="18"/>
              </w:rPr>
            </w:pPr>
            <w:r>
              <w:rPr>
                <w:rFonts w:ascii="Times New Roman" w:hAnsi="Times New Roman" w:cs="Times New Roman"/>
                <w:b/>
                <w:color w:val="auto"/>
                <w:kern w:val="0"/>
                <w:sz w:val="18"/>
                <w:szCs w:val="18"/>
              </w:rPr>
              <w:t>暂按三级标准控制，以国家规划为准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restart"/>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4.芜申运河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江口-丹农砖瓦厂</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40.8</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彭家圩-定埠粮站</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4.9</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jc w:val="center"/>
        </w:trPr>
        <w:tc>
          <w:tcPr>
            <w:tcW w:w="8920" w:type="dxa"/>
            <w:gridSpan w:val="5"/>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“两横”</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长江干线</w:t>
            </w: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1.长江干线</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叶家湾（皖鄂交界）-方庄（皖苏交界）</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343</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一级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restart"/>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淮河干流</w:t>
            </w:r>
          </w:p>
        </w:tc>
        <w:tc>
          <w:tcPr>
            <w:tcW w:w="1379" w:type="dxa"/>
            <w:vMerge w:val="restart"/>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2.淮河干流</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三河尖-临淮岗枢纽</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73</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暂按三级标准控制，以国家规划为准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临淮岗枢纽-红山头</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305</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暂按二级标准控制，以国家规划为准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jc w:val="center"/>
        </w:trPr>
        <w:tc>
          <w:tcPr>
            <w:tcW w:w="8920" w:type="dxa"/>
            <w:gridSpan w:val="5"/>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“五干”</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1.浍河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李口集-入淮河口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190</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2.涡河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戴桥-怀远河口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226.4</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3.茨淮新河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茨河铺-入淮河口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133.77</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jc w:val="center"/>
        </w:trPr>
        <w:tc>
          <w:tcPr>
            <w:tcW w:w="1290" w:type="dxa"/>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4.新安江</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屯溪翻板坝-街口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83</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五级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restart"/>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5.滁河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大王闸-向阳河口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122</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襄河：宁西铁路桥-襄河口枢纽</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6</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8920" w:type="dxa"/>
            <w:gridSpan w:val="5"/>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“二十线”</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jc w:val="center"/>
        </w:trPr>
        <w:tc>
          <w:tcPr>
            <w:tcW w:w="1290" w:type="dxa"/>
            <w:vMerge w:val="restart"/>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长江水系</w:t>
            </w: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1.丰乐河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合界高速桥-忠庙</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30.6</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2.柘皋河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柘皋大桥-河口村</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20.7</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3.洲河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凤凰颈-黄雒河</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44.7</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4.漳河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峨桥-入江口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19.28</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5.青弋江</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南阳村-清水</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25</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restart"/>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6.水阳江</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海棠湾-甘家拐</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48.8</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汪联河：马山埠-新河庄</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8</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7.青山河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三里埂-三汊河</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35</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8.姑溪河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西陡门-珍珠关</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55</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9.清流河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滁州城区橡胶坝-汊河集</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36</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10.驷马山干渠</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金银浆-入江口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27</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11.华阳河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挖口-入江口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37.6</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restart"/>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12.南淝河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石牌大桥-石库</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24</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石库-河口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17.24</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店埠河：石门港-南淝河大桥</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10.2</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restart"/>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13.秋浦河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殷汇-木闸</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11.9</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木闸-池口入江口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23.3</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14.青通河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童埠-大通入江口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15.4</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15.顺安河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顺安公路桥-入江口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11.6</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restart"/>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淮河水系</w:t>
            </w: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16.泉河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周楼-沙颍河口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83</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restart"/>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17.沱河-新汴河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沱河：大王庄桥-七岭</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49</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新汴河：七岭-团结闸</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111</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肖濉新河：黄桥闸-濉引河口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29</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18.窑河-高塘湖</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炉桥-入淮河口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28</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19.池河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山许闸-入淮河口</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64</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Merge w:val="continue"/>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20.白塔河</w:t>
            </w: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天长-安徽1号标</w:t>
            </w: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33</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四级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jc w:val="center"/>
        </w:trPr>
        <w:tc>
          <w:tcPr>
            <w:tcW w:w="1290"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合 计</w:t>
            </w:r>
          </w:p>
        </w:tc>
        <w:tc>
          <w:tcPr>
            <w:tcW w:w="1379" w:type="dxa"/>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2976" w:type="dxa"/>
            <w:vAlign w:val="center"/>
          </w:tcPr>
          <w:p>
            <w:pPr>
              <w:spacing w:line="240" w:lineRule="auto"/>
              <w:ind w:firstLine="0" w:firstLineChars="0"/>
              <w:jc w:val="left"/>
              <w:rPr>
                <w:rFonts w:ascii="Times New Roman" w:hAnsi="Times New Roman" w:cs="Times New Roman"/>
                <w:bCs/>
                <w:color w:val="auto"/>
                <w:kern w:val="0"/>
                <w:sz w:val="18"/>
                <w:szCs w:val="18"/>
              </w:rPr>
            </w:pPr>
          </w:p>
        </w:tc>
        <w:tc>
          <w:tcPr>
            <w:tcW w:w="994" w:type="dxa"/>
            <w:vAlign w:val="center"/>
          </w:tcPr>
          <w:p>
            <w:pPr>
              <w:spacing w:line="240" w:lineRule="auto"/>
              <w:ind w:firstLine="0" w:firstLineChars="0"/>
              <w:jc w:val="left"/>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3186.2</w:t>
            </w:r>
          </w:p>
        </w:tc>
        <w:tc>
          <w:tcPr>
            <w:tcW w:w="2281" w:type="dxa"/>
            <w:vAlign w:val="center"/>
          </w:tcPr>
          <w:p>
            <w:pPr>
              <w:spacing w:line="240" w:lineRule="auto"/>
              <w:ind w:firstLine="0" w:firstLineChars="0"/>
              <w:jc w:val="left"/>
              <w:rPr>
                <w:rFonts w:ascii="Times New Roman" w:hAnsi="Times New Roman" w:cs="Times New Roman"/>
                <w:bCs/>
                <w:color w:val="auto"/>
                <w:kern w:val="0"/>
                <w:sz w:val="18"/>
                <w:szCs w:val="18"/>
              </w:rPr>
            </w:pPr>
          </w:p>
        </w:tc>
      </w:tr>
    </w:tbl>
    <w:p>
      <w:pPr>
        <w:ind w:firstLine="480"/>
        <w:rPr>
          <w:rFonts w:ascii="Times New Roman" w:hAnsi="Times New Roman" w:cs="Times New Roman"/>
        </w:rPr>
      </w:pPr>
      <w:r>
        <w:rPr>
          <w:rFonts w:ascii="Times New Roman" w:hAnsi="Times New Roman" w:cs="Times New Roman"/>
          <w:szCs w:val="21"/>
          <w:lang w:bidi="ar"/>
        </w:rPr>
        <w:t>根据《安徽省干线航道网规划(2018—2030年)》，店埠河航道位于合肥市区以东，为巢湖支流，航道与合裕线相连，沿线是合肥市化工、物流等产业集聚区。规划店埠河为三级航道，店埠河航道整治开发应与市政水利工程密切结合，2020年以前，加快店埠河综合治理工程的实施，使航道达到规划</w:t>
      </w:r>
      <w:r>
        <w:rPr>
          <w:rFonts w:ascii="Times New Roman" w:hAnsi="Times New Roman" w:eastAsia="仿宋_GB2312" w:cs="Times New Roman"/>
          <w:szCs w:val="21"/>
          <w:lang w:bidi="ar"/>
        </w:rPr>
        <w:fldChar w:fldCharType="begin"/>
      </w:r>
      <w:r>
        <w:rPr>
          <w:rFonts w:ascii="Times New Roman" w:hAnsi="Times New Roman" w:eastAsia="仿宋_GB2312" w:cs="Times New Roman"/>
          <w:szCs w:val="21"/>
          <w:lang w:bidi="ar"/>
        </w:rPr>
        <w:instrText xml:space="preserve"> = 3 \* ROMAN \* MERGEFORMAT </w:instrText>
      </w:r>
      <w:r>
        <w:rPr>
          <w:rFonts w:ascii="Times New Roman" w:hAnsi="Times New Roman" w:eastAsia="仿宋_GB2312" w:cs="Times New Roman"/>
          <w:szCs w:val="21"/>
          <w:lang w:bidi="ar"/>
        </w:rPr>
        <w:fldChar w:fldCharType="separate"/>
      </w:r>
      <w:r>
        <w:rPr>
          <w:rFonts w:ascii="Times New Roman" w:hAnsi="Times New Roman" w:cs="Times New Roman"/>
        </w:rPr>
        <w:t>III</w:t>
      </w:r>
      <w:r>
        <w:rPr>
          <w:rFonts w:ascii="Times New Roman" w:hAnsi="Times New Roman" w:eastAsia="仿宋_GB2312" w:cs="Times New Roman"/>
          <w:szCs w:val="21"/>
          <w:lang w:bidi="ar"/>
        </w:rPr>
        <w:fldChar w:fldCharType="end"/>
      </w:r>
      <w:r>
        <w:rPr>
          <w:rFonts w:ascii="Times New Roman" w:hAnsi="Times New Roman" w:cs="Times New Roman"/>
          <w:szCs w:val="21"/>
          <w:lang w:bidi="ar"/>
        </w:rPr>
        <w:t>级标准。</w:t>
      </w:r>
    </w:p>
    <w:p>
      <w:pPr>
        <w:ind w:firstLine="482"/>
        <w:rPr>
          <w:rFonts w:ascii="Times New Roman" w:hAnsi="Times New Roman" w:cs="Times New Roman"/>
          <w:b/>
          <w:bCs/>
          <w:szCs w:val="21"/>
          <w:lang w:bidi="ar"/>
        </w:rPr>
      </w:pPr>
      <w:r>
        <w:rPr>
          <w:rFonts w:ascii="Times New Roman" w:hAnsi="Times New Roman" w:cs="Times New Roman"/>
          <w:b/>
          <w:bCs/>
          <w:szCs w:val="21"/>
          <w:lang w:bidi="ar"/>
        </w:rPr>
        <w:t>符合性分析：店埠河航道目前已经按照限制性</w:t>
      </w:r>
      <w:r>
        <w:rPr>
          <w:rFonts w:ascii="Times New Roman" w:hAnsi="Times New Roman" w:eastAsia="仿宋_GB2312" w:cs="Times New Roman"/>
          <w:b/>
          <w:bCs/>
          <w:szCs w:val="21"/>
          <w:lang w:bidi="ar"/>
        </w:rPr>
        <w:t>Ⅲ</w:t>
      </w:r>
      <w:r>
        <w:rPr>
          <w:rFonts w:ascii="Times New Roman" w:hAnsi="Times New Roman" w:cs="Times New Roman"/>
          <w:b/>
          <w:bCs/>
          <w:szCs w:val="21"/>
          <w:lang w:bidi="ar"/>
        </w:rPr>
        <w:t>级标准完成升级改造工作，设计航道底宽为45m，设计水深为3.2m，最小弯曲半径为480m，可常年通航1000吨级及其以下船舶，设计代表船型采用1000吨级驳船67.5×10.8×2.0m（船长×船宽×吃水）；店埠河合裕公路桥～三汊河口原航道长8.4km，升级改造后全长约7.65km。</w:t>
      </w:r>
    </w:p>
    <w:p>
      <w:pPr>
        <w:ind w:firstLine="482"/>
        <w:rPr>
          <w:rFonts w:ascii="Times New Roman" w:hAnsi="Times New Roman" w:cs="Times New Roman"/>
          <w:b/>
          <w:bCs/>
        </w:rPr>
      </w:pPr>
      <w:r>
        <w:rPr>
          <w:rFonts w:ascii="Times New Roman" w:hAnsi="Times New Roman" w:cs="Times New Roman"/>
          <w:b/>
          <w:bCs/>
          <w:szCs w:val="21"/>
          <w:lang w:bidi="ar"/>
        </w:rPr>
        <w:t>本工程的建设依托店埠河航道，拟建设7个1000吨级泊位，码头泊位等级与设计船型尺度与航道现状与规划具有良好的符合性。</w:t>
      </w:r>
    </w:p>
    <w:p>
      <w:pPr>
        <w:pStyle w:val="5"/>
        <w:keepNext w:val="0"/>
        <w:keepLines w:val="0"/>
        <w:numPr>
          <w:ilvl w:val="3"/>
          <w:numId w:val="0"/>
        </w:numPr>
        <w:tabs>
          <w:tab w:val="left" w:pos="1080"/>
        </w:tabs>
        <w:spacing w:after="0" w:line="360" w:lineRule="auto"/>
        <w:ind w:left="419" w:hanging="419" w:hangingChars="177"/>
        <w:rPr>
          <w:rFonts w:ascii="Times New Roman" w:hAnsi="Times New Roman" w:eastAsia="宋体" w:cs="Times New Roman"/>
          <w:color w:val="FF0000"/>
          <w:spacing w:val="-2"/>
          <w:sz w:val="24"/>
          <w:szCs w:val="24"/>
        </w:rPr>
      </w:pPr>
      <w:r>
        <w:rPr>
          <w:rFonts w:ascii="Times New Roman" w:hAnsi="Times New Roman" w:eastAsia="宋体" w:cs="Times New Roman"/>
          <w:color w:val="FF0000"/>
          <w:spacing w:val="-2"/>
          <w:sz w:val="24"/>
          <w:szCs w:val="24"/>
        </w:rPr>
        <w:t>2.4.3.8与《合肥循环经济示范园总体规划（2015-2030）》相符性分析</w:t>
      </w:r>
    </w:p>
    <w:p>
      <w:pPr>
        <w:autoSpaceDE w:val="0"/>
        <w:autoSpaceDN w:val="0"/>
        <w:ind w:firstLine="465" w:firstLineChars="0"/>
        <w:jc w:val="left"/>
        <w:rPr>
          <w:rFonts w:ascii="Times New Roman" w:hAnsi="Times New Roman" w:cs="Times New Roman"/>
          <w:bCs/>
          <w:color w:val="auto"/>
          <w:szCs w:val="24"/>
        </w:rPr>
      </w:pPr>
      <w:r>
        <w:rPr>
          <w:rFonts w:ascii="Times New Roman" w:hAnsi="Times New Roman" w:cs="Times New Roman"/>
          <w:bCs/>
          <w:color w:val="auto"/>
          <w:szCs w:val="24"/>
        </w:rPr>
        <w:t>合肥循环经济示范园位于肥东县境内，撮镇镇以东、桥头集镇以西，距合肥主城16公里，距肥东县城8公里，距撮镇镇2公里，桥头集镇1公里。在合肥市“1331”城市空间格局中，合肥循环经济示范园处在创新利用环巢湖地区与合肥主城区的交汇处，主导发展低碳经济产业特色园区。</w:t>
      </w:r>
    </w:p>
    <w:p>
      <w:pPr>
        <w:pStyle w:val="25"/>
        <w:spacing w:line="360" w:lineRule="auto"/>
        <w:ind w:firstLine="480"/>
        <w:rPr>
          <w:rFonts w:ascii="Times New Roman" w:hAnsi="Times New Roman" w:cs="Times New Roman"/>
          <w:color w:val="FF0000"/>
          <w:szCs w:val="24"/>
        </w:rPr>
      </w:pPr>
      <w:r>
        <w:rPr>
          <w:rFonts w:ascii="Times New Roman" w:hAnsi="Times New Roman" w:cs="Times New Roman"/>
          <w:bCs/>
          <w:color w:val="auto"/>
          <w:szCs w:val="24"/>
        </w:rPr>
        <w:t>合肥循环经济示范园前身为合肥化学工业园，2005年10月30日，合肥市政府第18次常务会议决定启动“合肥化工企业搬迁工程”，将化工企业搬离主城区，在县域布局化工产业园，实现“化工出城”，以改善城市生态环境、加快巢湖综合治理和优化城市布局。2006年3月，“合肥化企搬迁工程”在这里培土奠基，合肥化学工业园由此诞生。</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FF0000"/>
          <w:szCs w:val="24"/>
        </w:rPr>
        <w:t>根据《合肥循环经济示范园总体规划（2015-2030）》，园区总规模34.74km</w:t>
      </w:r>
      <w:r>
        <w:rPr>
          <w:rFonts w:ascii="Times New Roman" w:hAnsi="Times New Roman" w:cs="Times New Roman"/>
          <w:color w:val="FF0000"/>
          <w:szCs w:val="24"/>
          <w:vertAlign w:val="superscript"/>
        </w:rPr>
        <w:t>2</w:t>
      </w:r>
      <w:r>
        <w:rPr>
          <w:rFonts w:ascii="Times New Roman" w:hAnsi="Times New Roman" w:cs="Times New Roman"/>
          <w:color w:val="FF0000"/>
          <w:szCs w:val="24"/>
        </w:rPr>
        <w:t>，规划区东起裕溪路和淮南铁路，南到锦绣大道，西至店忠路、店埠河，北邻撮镇灌溉渠。</w:t>
      </w:r>
      <w:r>
        <w:rPr>
          <w:rFonts w:hint="eastAsia" w:ascii="Times New Roman" w:hAnsi="Times New Roman" w:cs="Times New Roman"/>
          <w:color w:val="FF0000"/>
          <w:szCs w:val="24"/>
        </w:rPr>
        <w:t>本项目位于肥东县撮镇店埠河左岸，用地属于</w:t>
      </w:r>
      <w:r>
        <w:rPr>
          <w:rFonts w:ascii="Times New Roman" w:hAnsi="Times New Roman" w:cs="Times New Roman"/>
          <w:color w:val="FF0000"/>
          <w:szCs w:val="24"/>
        </w:rPr>
        <w:t>合肥循环经济示范园总体规划</w:t>
      </w:r>
      <w:r>
        <w:rPr>
          <w:rFonts w:hint="eastAsia" w:ascii="Times New Roman" w:hAnsi="Times New Roman" w:cs="Times New Roman"/>
          <w:color w:val="FF0000"/>
          <w:szCs w:val="24"/>
        </w:rPr>
        <w:t>范围。</w:t>
      </w:r>
    </w:p>
    <w:p>
      <w:pPr>
        <w:ind w:firstLine="482"/>
        <w:rPr>
          <w:rFonts w:ascii="Times New Roman" w:hAnsi="Times New Roman" w:cs="Times New Roman"/>
          <w:b/>
          <w:snapToGrid w:val="0"/>
          <w:color w:val="auto"/>
          <w:szCs w:val="24"/>
        </w:rPr>
      </w:pPr>
      <w:bookmarkStart w:id="121" w:name="_Toc102984274"/>
      <w:bookmarkStart w:id="122" w:name="_Toc470522131"/>
      <w:r>
        <w:rPr>
          <w:rFonts w:ascii="Times New Roman" w:hAnsi="Times New Roman" w:cs="Times New Roman"/>
          <w:b/>
          <w:snapToGrid w:val="0"/>
          <w:color w:val="auto"/>
          <w:szCs w:val="24"/>
        </w:rPr>
        <w:t>（1）发展目标</w:t>
      </w:r>
      <w:bookmarkEnd w:id="121"/>
      <w:bookmarkEnd w:id="122"/>
    </w:p>
    <w:p>
      <w:pPr>
        <w:ind w:firstLine="482"/>
        <w:rPr>
          <w:rFonts w:ascii="Times New Roman" w:hAnsi="Times New Roman" w:cs="Times New Roman"/>
          <w:b/>
          <w:color w:val="auto"/>
          <w:szCs w:val="24"/>
        </w:rPr>
      </w:pPr>
      <w:r>
        <w:rPr>
          <w:rFonts w:ascii="Times New Roman" w:hAnsi="Times New Roman" w:cs="Times New Roman"/>
          <w:b/>
          <w:color w:val="auto"/>
          <w:szCs w:val="24"/>
        </w:rPr>
        <w:t>1、复合型产业集中区</w:t>
      </w:r>
    </w:p>
    <w:p>
      <w:pPr>
        <w:ind w:firstLine="480"/>
        <w:rPr>
          <w:rFonts w:ascii="Times New Roman" w:hAnsi="Times New Roman" w:cs="Times New Roman"/>
          <w:color w:val="auto"/>
          <w:szCs w:val="24"/>
        </w:rPr>
      </w:pPr>
      <w:r>
        <w:rPr>
          <w:rFonts w:ascii="Times New Roman" w:hAnsi="Times New Roman" w:cs="Times New Roman"/>
          <w:color w:val="auto"/>
          <w:szCs w:val="24"/>
        </w:rPr>
        <w:t xml:space="preserve">借助承接皖江经济带产业转移示范区以及合肥都市圈的机遇，加快产业结构调整和发展方式转变，推动传统产业新型化。引进高端科技型、环保型产业，形成新兴产业集中区。 </w:t>
      </w:r>
    </w:p>
    <w:p>
      <w:pPr>
        <w:ind w:firstLine="482"/>
        <w:rPr>
          <w:rFonts w:ascii="Times New Roman" w:hAnsi="Times New Roman" w:cs="Times New Roman"/>
          <w:b/>
          <w:color w:val="auto"/>
          <w:szCs w:val="24"/>
        </w:rPr>
      </w:pPr>
      <w:r>
        <w:rPr>
          <w:rFonts w:ascii="Times New Roman" w:hAnsi="Times New Roman" w:cs="Times New Roman"/>
          <w:b/>
          <w:color w:val="auto"/>
          <w:szCs w:val="24"/>
        </w:rPr>
        <w:t xml:space="preserve">2、现代化物流基地 </w:t>
      </w:r>
    </w:p>
    <w:p>
      <w:pPr>
        <w:ind w:firstLine="480"/>
        <w:rPr>
          <w:rFonts w:ascii="Times New Roman" w:hAnsi="Times New Roman" w:cs="Times New Roman"/>
          <w:color w:val="auto"/>
          <w:szCs w:val="24"/>
        </w:rPr>
      </w:pPr>
      <w:r>
        <w:rPr>
          <w:rFonts w:ascii="Times New Roman" w:hAnsi="Times New Roman" w:cs="Times New Roman"/>
          <w:color w:val="auto"/>
          <w:szCs w:val="24"/>
        </w:rPr>
        <w:t>依托铁路、水路、公路三者兼备的综合物流体系，以港口分拨、多式联运、信息服务为主要特色，建设为全面的货物集散、仓储、配送、信息、物流增值服务为一体的现代化物流基地。</w:t>
      </w:r>
    </w:p>
    <w:p>
      <w:pPr>
        <w:ind w:firstLine="482"/>
        <w:rPr>
          <w:rFonts w:ascii="Times New Roman" w:hAnsi="Times New Roman" w:cs="Times New Roman"/>
          <w:b/>
          <w:color w:val="auto"/>
          <w:szCs w:val="24"/>
        </w:rPr>
      </w:pPr>
      <w:r>
        <w:rPr>
          <w:rFonts w:ascii="Times New Roman" w:hAnsi="Times New Roman" w:cs="Times New Roman"/>
          <w:b/>
          <w:color w:val="auto"/>
          <w:szCs w:val="24"/>
        </w:rPr>
        <w:t xml:space="preserve">3、特色城市门户风景 </w:t>
      </w:r>
    </w:p>
    <w:p>
      <w:pPr>
        <w:ind w:firstLine="480"/>
        <w:rPr>
          <w:rFonts w:ascii="Times New Roman" w:hAnsi="Times New Roman" w:cs="Times New Roman"/>
          <w:color w:val="auto"/>
          <w:szCs w:val="24"/>
        </w:rPr>
      </w:pPr>
      <w:r>
        <w:rPr>
          <w:rFonts w:ascii="Times New Roman" w:hAnsi="Times New Roman" w:cs="Times New Roman"/>
          <w:color w:val="auto"/>
          <w:szCs w:val="24"/>
        </w:rPr>
        <w:t>提萃城市文化特色，提升园区形象，塑造富有地方特征和时代特色的产业园区景观形象。</w:t>
      </w:r>
    </w:p>
    <w:p>
      <w:pPr>
        <w:ind w:firstLine="482"/>
        <w:rPr>
          <w:rFonts w:ascii="Times New Roman" w:hAnsi="Times New Roman" w:cs="Times New Roman"/>
          <w:b/>
          <w:snapToGrid w:val="0"/>
          <w:color w:val="auto"/>
          <w:szCs w:val="24"/>
        </w:rPr>
      </w:pPr>
      <w:bookmarkStart w:id="123" w:name="_Toc102984275"/>
      <w:r>
        <w:rPr>
          <w:rFonts w:ascii="Times New Roman" w:hAnsi="Times New Roman" w:cs="Times New Roman"/>
          <w:b/>
          <w:snapToGrid w:val="0"/>
          <w:color w:val="auto"/>
          <w:szCs w:val="24"/>
        </w:rPr>
        <w:t>（2）主导产业</w:t>
      </w:r>
      <w:bookmarkEnd w:id="123"/>
    </w:p>
    <w:p>
      <w:pPr>
        <w:ind w:firstLine="482"/>
        <w:rPr>
          <w:rFonts w:ascii="Times New Roman" w:hAnsi="Times New Roman" w:cs="Times New Roman"/>
          <w:color w:val="auto"/>
          <w:szCs w:val="24"/>
        </w:rPr>
      </w:pPr>
      <w:r>
        <w:rPr>
          <w:rFonts w:ascii="Times New Roman" w:hAnsi="Times New Roman" w:cs="Times New Roman"/>
          <w:b/>
          <w:color w:val="auto"/>
          <w:szCs w:val="24"/>
          <w:u w:val="single"/>
        </w:rPr>
        <w:t>合肥循环经济示范园主导产业为新材料产业、智能产业、高端装备制造业、现代物流业</w:t>
      </w:r>
      <w:r>
        <w:rPr>
          <w:rFonts w:ascii="Times New Roman" w:hAnsi="Times New Roman" w:cs="Times New Roman"/>
          <w:color w:val="auto"/>
          <w:szCs w:val="24"/>
        </w:rPr>
        <w:t>，积极发展机械加工产业、静脉产业、现代农业和智慧城市产业。</w:t>
      </w:r>
    </w:p>
    <w:p>
      <w:pPr>
        <w:ind w:firstLine="482"/>
        <w:rPr>
          <w:rFonts w:ascii="Times New Roman" w:hAnsi="Times New Roman" w:cs="Times New Roman"/>
          <w:b/>
          <w:snapToGrid w:val="0"/>
          <w:color w:val="auto"/>
          <w:szCs w:val="24"/>
        </w:rPr>
      </w:pPr>
      <w:bookmarkStart w:id="124" w:name="_Toc102984276"/>
      <w:r>
        <w:rPr>
          <w:rFonts w:ascii="Times New Roman" w:hAnsi="Times New Roman" w:cs="Times New Roman"/>
          <w:b/>
          <w:snapToGrid w:val="0"/>
          <w:color w:val="auto"/>
          <w:szCs w:val="24"/>
        </w:rPr>
        <w:t>（3）功能布局</w:t>
      </w:r>
      <w:bookmarkEnd w:id="124"/>
    </w:p>
    <w:p>
      <w:pPr>
        <w:ind w:firstLine="480"/>
        <w:rPr>
          <w:rFonts w:ascii="Times New Roman" w:hAnsi="Times New Roman" w:cs="Times New Roman"/>
          <w:color w:val="auto"/>
          <w:szCs w:val="24"/>
        </w:rPr>
      </w:pPr>
      <w:r>
        <w:rPr>
          <w:rFonts w:ascii="Times New Roman" w:hAnsi="Times New Roman" w:cs="Times New Roman"/>
          <w:color w:val="auto"/>
          <w:szCs w:val="24"/>
        </w:rPr>
        <w:t>以高端装备制造产业、新材料产业、智能产业、现代物流业为主导的产业园区，配套居住、科研及商业服务业设施用地。规划建设用地34.74平方公里。</w:t>
      </w:r>
    </w:p>
    <w:p>
      <w:pPr>
        <w:spacing w:line="240" w:lineRule="auto"/>
        <w:ind w:firstLine="422"/>
        <w:jc w:val="center"/>
        <w:rPr>
          <w:rFonts w:ascii="Times New Roman" w:hAnsi="Times New Roman" w:cs="Times New Roman"/>
          <w:b/>
          <w:color w:val="auto"/>
          <w:kern w:val="44"/>
          <w:sz w:val="21"/>
          <w:szCs w:val="21"/>
        </w:rPr>
      </w:pPr>
      <w:r>
        <w:rPr>
          <w:rFonts w:ascii="Times New Roman" w:hAnsi="Times New Roman" w:cs="Times New Roman"/>
          <w:b/>
          <w:color w:val="auto"/>
          <w:kern w:val="44"/>
          <w:sz w:val="21"/>
          <w:szCs w:val="21"/>
        </w:rPr>
        <w:t>表2.4-2   合肥循环经济示范园用地规划平衡表</w:t>
      </w:r>
    </w:p>
    <w:tbl>
      <w:tblPr>
        <w:tblStyle w:val="62"/>
        <w:tblW w:w="9288"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959"/>
        <w:gridCol w:w="666"/>
        <w:gridCol w:w="916"/>
        <w:gridCol w:w="3206"/>
        <w:gridCol w:w="1832"/>
        <w:gridCol w:w="170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blHeader/>
        </w:trPr>
        <w:tc>
          <w:tcPr>
            <w:tcW w:w="95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bookmarkStart w:id="125" w:name="RANGE!C4"/>
            <w:r>
              <w:rPr>
                <w:rFonts w:ascii="Times New Roman" w:hAnsi="Times New Roman" w:cs="Times New Roman"/>
                <w:bCs/>
                <w:color w:val="auto"/>
                <w:kern w:val="0"/>
                <w:sz w:val="18"/>
                <w:szCs w:val="18"/>
              </w:rPr>
              <w:t>用地分类</w:t>
            </w:r>
            <w:bookmarkEnd w:id="125"/>
          </w:p>
        </w:tc>
        <w:tc>
          <w:tcPr>
            <w:tcW w:w="66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用地代码</w:t>
            </w:r>
          </w:p>
        </w:tc>
        <w:tc>
          <w:tcPr>
            <w:tcW w:w="4122" w:type="dxa"/>
            <w:gridSpan w:val="2"/>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用地名称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用地面积</w:t>
            </w:r>
          </w:p>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（公顷）</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占规划总用地比例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restart"/>
            <w:shd w:val="clear" w:color="auto" w:fill="auto"/>
            <w:vAlign w:val="center"/>
          </w:tcPr>
          <w:p>
            <w:pPr>
              <w:spacing w:line="240" w:lineRule="auto"/>
              <w:ind w:firstLineChars="111"/>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H1</w:t>
            </w:r>
          </w:p>
        </w:tc>
        <w:tc>
          <w:tcPr>
            <w:tcW w:w="66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R</w:t>
            </w:r>
          </w:p>
        </w:tc>
        <w:tc>
          <w:tcPr>
            <w:tcW w:w="4122" w:type="dxa"/>
            <w:gridSpan w:val="2"/>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居住用地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85.3</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2.46%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其中</w:t>
            </w: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二类居住用地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83.22</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2.40%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服务设施用地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2.08</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0.06%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A</w:t>
            </w:r>
          </w:p>
        </w:tc>
        <w:tc>
          <w:tcPr>
            <w:tcW w:w="4122" w:type="dxa"/>
            <w:gridSpan w:val="2"/>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公共管理与公共服务设施用地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122.32</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3.52%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其中</w:t>
            </w: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行政办公用地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1.65</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0.05%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教育科研用地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119.72</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3.45%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文物古迹用地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0.95</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0.03%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B</w:t>
            </w:r>
          </w:p>
        </w:tc>
        <w:tc>
          <w:tcPr>
            <w:tcW w:w="4122" w:type="dxa"/>
            <w:gridSpan w:val="2"/>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商业服务业设施用地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68.18</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1.96%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其中</w:t>
            </w: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商业设施用地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66.1</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1.90%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公用设施营业网点用地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2.08</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0.06%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M</w:t>
            </w:r>
          </w:p>
        </w:tc>
        <w:tc>
          <w:tcPr>
            <w:tcW w:w="4122" w:type="dxa"/>
            <w:gridSpan w:val="2"/>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工业用地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1655.99</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47.67%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其中</w:t>
            </w: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一类工业用地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419.65</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12.08%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二类工业用地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1236.34</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35.59%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W</w:t>
            </w:r>
          </w:p>
        </w:tc>
        <w:tc>
          <w:tcPr>
            <w:tcW w:w="4122" w:type="dxa"/>
            <w:gridSpan w:val="2"/>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物流仓储用地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48</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1.38%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S</w:t>
            </w:r>
          </w:p>
        </w:tc>
        <w:tc>
          <w:tcPr>
            <w:tcW w:w="4122" w:type="dxa"/>
            <w:gridSpan w:val="2"/>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道路与交通设施用地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351.06</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10.11%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其中</w:t>
            </w: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城市道路用地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344.1</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9.91%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交通场站用地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6.96</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0.20%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U</w:t>
            </w:r>
          </w:p>
        </w:tc>
        <w:tc>
          <w:tcPr>
            <w:tcW w:w="4122" w:type="dxa"/>
            <w:gridSpan w:val="2"/>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公用设施用地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30.49</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0.88%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其中</w:t>
            </w: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供应设施用地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10.41</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0.30%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环境设施用地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17.88</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0.51%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安全设施用地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2.2</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0.06%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G</w:t>
            </w:r>
          </w:p>
        </w:tc>
        <w:tc>
          <w:tcPr>
            <w:tcW w:w="4122" w:type="dxa"/>
            <w:gridSpan w:val="2"/>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绿地与广场用地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bookmarkStart w:id="126" w:name="RANGE!H27"/>
            <w:r>
              <w:rPr>
                <w:rFonts w:ascii="Times New Roman" w:hAnsi="Times New Roman" w:cs="Times New Roman"/>
                <w:bCs/>
                <w:color w:val="auto"/>
                <w:kern w:val="0"/>
                <w:sz w:val="18"/>
                <w:szCs w:val="18"/>
              </w:rPr>
              <w:t>872.95</w:t>
            </w:r>
            <w:bookmarkEnd w:id="126"/>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25.13%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其中</w:t>
            </w: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公园绿地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547.13</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15.75%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916" w:type="dxa"/>
            <w:vMerge w:val="continue"/>
            <w:vAlign w:val="center"/>
          </w:tcPr>
          <w:p>
            <w:pPr>
              <w:spacing w:line="240" w:lineRule="auto"/>
              <w:ind w:firstLine="0" w:firstLineChars="0"/>
              <w:jc w:val="center"/>
              <w:rPr>
                <w:rFonts w:ascii="Times New Roman" w:hAnsi="Times New Roman" w:cs="Times New Roman"/>
                <w:bCs/>
                <w:color w:val="auto"/>
                <w:kern w:val="0"/>
                <w:sz w:val="18"/>
                <w:szCs w:val="18"/>
              </w:rPr>
            </w:pPr>
          </w:p>
        </w:tc>
        <w:tc>
          <w:tcPr>
            <w:tcW w:w="320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防护绿地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325.82</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9.38%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restart"/>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H2</w:t>
            </w:r>
          </w:p>
        </w:tc>
        <w:tc>
          <w:tcPr>
            <w:tcW w:w="66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H21</w:t>
            </w:r>
          </w:p>
        </w:tc>
        <w:tc>
          <w:tcPr>
            <w:tcW w:w="4122" w:type="dxa"/>
            <w:gridSpan w:val="2"/>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铁路用地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59.11</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1.70%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959" w:type="dxa"/>
            <w:vMerge w:val="continue"/>
            <w:vAlign w:val="center"/>
          </w:tcPr>
          <w:p>
            <w:pPr>
              <w:spacing w:line="240" w:lineRule="auto"/>
              <w:ind w:firstLine="360"/>
              <w:jc w:val="center"/>
              <w:rPr>
                <w:rFonts w:ascii="Times New Roman" w:hAnsi="Times New Roman" w:cs="Times New Roman"/>
                <w:bCs/>
                <w:color w:val="auto"/>
                <w:kern w:val="0"/>
                <w:sz w:val="18"/>
                <w:szCs w:val="18"/>
              </w:rPr>
            </w:pPr>
          </w:p>
        </w:tc>
        <w:tc>
          <w:tcPr>
            <w:tcW w:w="666"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H23</w:t>
            </w:r>
          </w:p>
        </w:tc>
        <w:tc>
          <w:tcPr>
            <w:tcW w:w="4122" w:type="dxa"/>
            <w:gridSpan w:val="2"/>
            <w:shd w:val="clear" w:color="auto" w:fill="auto"/>
            <w:vAlign w:val="center"/>
          </w:tcPr>
          <w:p>
            <w:pPr>
              <w:spacing w:line="240" w:lineRule="auto"/>
              <w:ind w:firstLine="0" w:firstLineChars="0"/>
              <w:jc w:val="center"/>
              <w:rPr>
                <w:rFonts w:ascii="Times New Roman" w:hAnsi="Times New Roman" w:cs="Times New Roman"/>
                <w:b/>
                <w:color w:val="auto"/>
                <w:kern w:val="0"/>
                <w:sz w:val="18"/>
                <w:szCs w:val="18"/>
              </w:rPr>
            </w:pPr>
            <w:r>
              <w:rPr>
                <w:rFonts w:ascii="Times New Roman" w:hAnsi="Times New Roman" w:cs="Times New Roman"/>
                <w:b/>
                <w:color w:val="auto"/>
                <w:kern w:val="0"/>
                <w:sz w:val="18"/>
                <w:szCs w:val="18"/>
              </w:rPr>
              <w:t>港口用地</w:t>
            </w:r>
          </w:p>
        </w:tc>
        <w:tc>
          <w:tcPr>
            <w:tcW w:w="1832" w:type="dxa"/>
            <w:shd w:val="clear" w:color="auto" w:fill="auto"/>
            <w:vAlign w:val="center"/>
          </w:tcPr>
          <w:p>
            <w:pPr>
              <w:spacing w:line="240" w:lineRule="auto"/>
              <w:ind w:firstLine="0" w:firstLineChars="0"/>
              <w:jc w:val="center"/>
              <w:rPr>
                <w:rFonts w:ascii="Times New Roman" w:hAnsi="Times New Roman" w:cs="Times New Roman"/>
                <w:b/>
                <w:color w:val="auto"/>
                <w:kern w:val="0"/>
                <w:sz w:val="18"/>
                <w:szCs w:val="18"/>
              </w:rPr>
            </w:pPr>
            <w:r>
              <w:rPr>
                <w:rFonts w:ascii="Times New Roman" w:hAnsi="Times New Roman" w:cs="Times New Roman"/>
                <w:b/>
                <w:color w:val="auto"/>
                <w:kern w:val="0"/>
                <w:sz w:val="18"/>
                <w:szCs w:val="18"/>
              </w:rPr>
              <w:t>180.41</w:t>
            </w:r>
          </w:p>
        </w:tc>
        <w:tc>
          <w:tcPr>
            <w:tcW w:w="1709" w:type="dxa"/>
            <w:shd w:val="clear" w:color="auto" w:fill="auto"/>
            <w:vAlign w:val="center"/>
          </w:tcPr>
          <w:p>
            <w:pPr>
              <w:spacing w:line="240" w:lineRule="auto"/>
              <w:ind w:firstLine="0" w:firstLineChars="0"/>
              <w:jc w:val="center"/>
              <w:rPr>
                <w:rFonts w:ascii="Times New Roman" w:hAnsi="Times New Roman" w:cs="Times New Roman"/>
                <w:b/>
                <w:color w:val="auto"/>
                <w:kern w:val="0"/>
                <w:sz w:val="18"/>
                <w:szCs w:val="18"/>
              </w:rPr>
            </w:pPr>
            <w:r>
              <w:rPr>
                <w:rFonts w:ascii="Times New Roman" w:hAnsi="Times New Roman" w:cs="Times New Roman"/>
                <w:b/>
                <w:color w:val="auto"/>
                <w:kern w:val="0"/>
                <w:sz w:val="18"/>
                <w:szCs w:val="18"/>
              </w:rPr>
              <w:t>5.19%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c>
          <w:tcPr>
            <w:tcW w:w="1625" w:type="dxa"/>
            <w:gridSpan w:val="2"/>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H</w:t>
            </w:r>
          </w:p>
        </w:tc>
        <w:tc>
          <w:tcPr>
            <w:tcW w:w="4122" w:type="dxa"/>
            <w:gridSpan w:val="2"/>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规划总用地</w:t>
            </w:r>
          </w:p>
        </w:tc>
        <w:tc>
          <w:tcPr>
            <w:tcW w:w="1832"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3473.81</w:t>
            </w:r>
          </w:p>
        </w:tc>
        <w:tc>
          <w:tcPr>
            <w:tcW w:w="1709" w:type="dxa"/>
            <w:shd w:val="clear" w:color="auto" w:fill="auto"/>
            <w:vAlign w:val="center"/>
          </w:tcPr>
          <w:p>
            <w:pPr>
              <w:spacing w:line="240" w:lineRule="auto"/>
              <w:ind w:firstLine="0" w:firstLineChars="0"/>
              <w:jc w:val="center"/>
              <w:rPr>
                <w:rFonts w:ascii="Times New Roman" w:hAnsi="Times New Roman" w:cs="Times New Roman"/>
                <w:bCs/>
                <w:color w:val="auto"/>
                <w:kern w:val="0"/>
                <w:sz w:val="18"/>
                <w:szCs w:val="18"/>
              </w:rPr>
            </w:pPr>
            <w:r>
              <w:rPr>
                <w:rFonts w:ascii="Times New Roman" w:hAnsi="Times New Roman" w:cs="Times New Roman"/>
                <w:bCs/>
                <w:color w:val="auto"/>
                <w:kern w:val="0"/>
                <w:sz w:val="18"/>
                <w:szCs w:val="18"/>
              </w:rPr>
              <w:t>100.00%</w:t>
            </w:r>
          </w:p>
        </w:tc>
      </w:tr>
    </w:tbl>
    <w:p>
      <w:pPr>
        <w:ind w:firstLine="480"/>
        <w:rPr>
          <w:rFonts w:ascii="Times New Roman" w:hAnsi="Times New Roman" w:cs="Times New Roman"/>
          <w:color w:val="auto"/>
          <w:szCs w:val="24"/>
        </w:rPr>
      </w:pPr>
      <w:r>
        <w:rPr>
          <w:rFonts w:ascii="Times New Roman" w:hAnsi="Times New Roman" w:cs="Times New Roman"/>
          <w:color w:val="auto"/>
          <w:szCs w:val="24"/>
        </w:rPr>
        <w:t xml:space="preserve">针对合肥循环经济示范园的特点，通过功能细化和重组，实现园区内部以及周边功能区之间的有机联系与过渡，园区将形成“两轴、七片区”的规划空间结构，将各个功能合理的组织在一起，共同营造园区网络空间。 </w:t>
      </w:r>
    </w:p>
    <w:p>
      <w:pPr>
        <w:ind w:firstLine="480"/>
        <w:rPr>
          <w:rFonts w:ascii="Times New Roman" w:hAnsi="Times New Roman" w:cs="Times New Roman"/>
          <w:color w:val="auto"/>
          <w:szCs w:val="24"/>
        </w:rPr>
      </w:pPr>
      <w:r>
        <w:rPr>
          <w:rFonts w:ascii="Times New Roman" w:hAnsi="Times New Roman" w:cs="Times New Roman"/>
          <w:color w:val="auto"/>
          <w:szCs w:val="24"/>
        </w:rPr>
        <w:t>两轴：四顶山路发展轴和繁华大道发展轴。</w:t>
      </w:r>
    </w:p>
    <w:p>
      <w:pPr>
        <w:ind w:firstLine="480"/>
        <w:rPr>
          <w:rFonts w:ascii="Times New Roman" w:hAnsi="Times New Roman" w:cs="Times New Roman"/>
          <w:b/>
          <w:bCs/>
          <w:color w:val="auto"/>
          <w:sz w:val="32"/>
          <w:szCs w:val="32"/>
        </w:rPr>
      </w:pPr>
      <w:r>
        <w:rPr>
          <w:rFonts w:ascii="Times New Roman" w:hAnsi="Times New Roman" w:cs="Times New Roman"/>
          <w:color w:val="auto"/>
          <w:szCs w:val="24"/>
        </w:rPr>
        <w:t>七片区：现代物流区、北部产业区、中部产业区、南部产业区、智慧城市产业区、生态景观区、配套生活区。</w:t>
      </w:r>
    </w:p>
    <w:p>
      <w:pPr>
        <w:ind w:firstLine="482"/>
        <w:rPr>
          <w:rFonts w:ascii="Times New Roman" w:hAnsi="Times New Roman" w:cs="Times New Roman"/>
          <w:b/>
          <w:bCs/>
          <w:color w:val="auto"/>
          <w:szCs w:val="28"/>
        </w:rPr>
      </w:pPr>
      <w:r>
        <w:rPr>
          <w:rFonts w:hint="eastAsia" w:ascii="宋体" w:hAnsi="宋体" w:cs="宋体"/>
          <w:b/>
          <w:bCs/>
          <w:color w:val="auto"/>
          <w:szCs w:val="24"/>
        </w:rPr>
        <w:t>①</w:t>
      </w:r>
      <w:r>
        <w:rPr>
          <w:rFonts w:ascii="Times New Roman" w:hAnsi="Times New Roman" w:cs="Times New Roman"/>
          <w:b/>
          <w:bCs/>
          <w:color w:val="auto"/>
          <w:szCs w:val="24"/>
        </w:rPr>
        <w:t>现代物流区：</w:t>
      </w:r>
      <w:r>
        <w:rPr>
          <w:rFonts w:ascii="Times New Roman" w:hAnsi="Times New Roman" w:cs="Times New Roman"/>
          <w:color w:val="auto"/>
          <w:szCs w:val="28"/>
        </w:rPr>
        <w:t>园区将打造出一个能充分体现园区特色、具有相当规模和知名度的专业物流市场——“物流市场区”，依托园区公路、铁路、</w:t>
      </w:r>
      <w:r>
        <w:rPr>
          <w:rFonts w:ascii="Times New Roman" w:hAnsi="Times New Roman" w:cs="Times New Roman"/>
          <w:b/>
          <w:bCs/>
          <w:color w:val="auto"/>
          <w:szCs w:val="28"/>
        </w:rPr>
        <w:t>水运</w:t>
      </w:r>
      <w:r>
        <w:rPr>
          <w:rFonts w:ascii="Times New Roman" w:hAnsi="Times New Roman" w:cs="Times New Roman"/>
          <w:color w:val="auto"/>
          <w:szCs w:val="28"/>
        </w:rPr>
        <w:t>综合性交通体系，以港口分拨、多式联运、信息服务为主要特色，发展高新技术产业物流、循环经济物流、仓储配送、展销交易、信息咨询等，促进生产与市场保持同步，不仅为园区未来庞大产业做好配套物流服务，还大大降低入园企业的生产成本。</w:t>
      </w:r>
    </w:p>
    <w:p>
      <w:pPr>
        <w:ind w:firstLine="480"/>
        <w:rPr>
          <w:rFonts w:ascii="Times New Roman" w:hAnsi="Times New Roman" w:cs="Times New Roman"/>
          <w:color w:val="auto"/>
          <w:szCs w:val="24"/>
        </w:rPr>
      </w:pPr>
      <w:r>
        <w:rPr>
          <w:rFonts w:ascii="Times New Roman" w:hAnsi="Times New Roman" w:cs="Times New Roman"/>
          <w:color w:val="auto"/>
          <w:szCs w:val="24"/>
        </w:rPr>
        <w:t>撮镇主要发展商贸、物流、制造等产业，在城区西部打造商贸物流开发区，结合</w:t>
      </w:r>
      <w:r>
        <w:rPr>
          <w:rFonts w:ascii="Times New Roman" w:hAnsi="Times New Roman" w:cs="Times New Roman"/>
          <w:b/>
          <w:bCs/>
          <w:color w:val="auto"/>
          <w:szCs w:val="24"/>
        </w:rPr>
        <w:t>沿河港口</w:t>
      </w:r>
      <w:r>
        <w:rPr>
          <w:rFonts w:ascii="Times New Roman" w:hAnsi="Times New Roman" w:cs="Times New Roman"/>
          <w:color w:val="auto"/>
          <w:szCs w:val="24"/>
        </w:rPr>
        <w:t>、铁路货站、高速下道口设置三处物流仓储用地，着力打造以公路运输为主导的商贸物流园区；以铁路运输为主导的货物转运物流园区。</w:t>
      </w:r>
    </w:p>
    <w:p>
      <w:pPr>
        <w:ind w:firstLine="480"/>
        <w:rPr>
          <w:rFonts w:ascii="Times New Roman" w:hAnsi="Times New Roman" w:cs="Times New Roman"/>
          <w:color w:val="auto"/>
          <w:szCs w:val="24"/>
        </w:rPr>
      </w:pPr>
      <w:r>
        <w:rPr>
          <w:rFonts w:hint="eastAsia" w:ascii="宋体" w:hAnsi="宋体" w:cs="宋体"/>
          <w:color w:val="auto"/>
          <w:szCs w:val="24"/>
        </w:rPr>
        <w:t>②</w:t>
      </w:r>
      <w:r>
        <w:rPr>
          <w:rFonts w:ascii="Times New Roman" w:hAnsi="Times New Roman" w:cs="Times New Roman"/>
          <w:color w:val="auto"/>
          <w:szCs w:val="24"/>
        </w:rPr>
        <w:t>北部产业区：发展高端装备制造业，近期重点发展大型工程机械、新型环保设备及基础部件等先进装备制造产业，实行以整机为核心，大型基础件、关键配套产品共同推进的发展模式，形成特色鲜明的装备制造业产业集群。到2020年，初步建成有一定影响力的装备制造业基地。到2020年，重大装备制造产业产值占园区工业总产值的10%以上。</w:t>
      </w:r>
    </w:p>
    <w:p>
      <w:pPr>
        <w:ind w:firstLine="480"/>
        <w:rPr>
          <w:rFonts w:ascii="Times New Roman" w:hAnsi="Times New Roman" w:cs="Times New Roman"/>
          <w:color w:val="auto"/>
          <w:szCs w:val="24"/>
        </w:rPr>
      </w:pPr>
      <w:r>
        <w:rPr>
          <w:rFonts w:hint="eastAsia" w:ascii="宋体" w:hAnsi="宋体" w:cs="宋体"/>
          <w:color w:val="auto"/>
          <w:szCs w:val="24"/>
        </w:rPr>
        <w:t>③</w:t>
      </w:r>
      <w:r>
        <w:rPr>
          <w:rFonts w:ascii="Times New Roman" w:hAnsi="Times New Roman" w:cs="Times New Roman"/>
          <w:color w:val="auto"/>
          <w:szCs w:val="24"/>
        </w:rPr>
        <w:t>中部产业区：繁华大道以南，宏图大道以北，长山路以东。发展新材料产业，结合园区产业基础和区域资源优势，积极培育绿色化工、新型金属材料、新型能源材料和新型建筑材料四大特色新材料产业。以“赶超国际先进水平、填补国内空白、解决国内对新材料急需”为目标，聚集一批管理规范、技术力量雄厚、应用领域广泛的科技创新型企业，形成从实验室研发、工程化中试到产业化制造一体化发展的高科技产业集群，做大做强新材料产业。力争到2020年，四大新兴产业产值占园区工业总产值的40%以上，培育发展10家产值10亿元以上新兴产业龙头企业。</w:t>
      </w:r>
    </w:p>
    <w:p>
      <w:pPr>
        <w:ind w:firstLine="480"/>
        <w:rPr>
          <w:rFonts w:ascii="Times New Roman" w:hAnsi="Times New Roman" w:cs="Times New Roman"/>
          <w:color w:val="auto"/>
          <w:szCs w:val="24"/>
        </w:rPr>
      </w:pPr>
      <w:r>
        <w:rPr>
          <w:rFonts w:hint="eastAsia" w:ascii="宋体" w:hAnsi="宋体" w:cs="宋体"/>
          <w:color w:val="auto"/>
          <w:szCs w:val="24"/>
        </w:rPr>
        <w:t>④</w:t>
      </w:r>
      <w:r>
        <w:rPr>
          <w:rFonts w:ascii="Times New Roman" w:hAnsi="Times New Roman" w:cs="Times New Roman"/>
          <w:color w:val="auto"/>
          <w:szCs w:val="24"/>
        </w:rPr>
        <w:t>南部产业区：发展智能产业，智能产业是《国务院关于加快培育和发展战略性新兴产业的决定》明确的重点领域，以新型传感器、智能控制系统、工业机器人、自动化成套生产线为代表的智能制造装备产业体系初步形成。园区在区位、交通、基础设施等方面优势突出，而合肥市作为全国重要的家电、汽车生产基地，发展高端智能产业对于优化园区产业结构，促进可持续发展具有重要意义。近期大力发展智慧城市产业、高档数控机床、精密铸造等产业。到2020年，高端智能产业产值占园区工业总产值的20%以上，引进3-4家知名企业。</w:t>
      </w:r>
    </w:p>
    <w:p>
      <w:pPr>
        <w:ind w:firstLine="480"/>
        <w:rPr>
          <w:rFonts w:ascii="Times New Roman" w:hAnsi="Times New Roman" w:cs="Times New Roman"/>
          <w:color w:val="auto"/>
          <w:szCs w:val="24"/>
        </w:rPr>
      </w:pPr>
      <w:r>
        <w:rPr>
          <w:rFonts w:hint="eastAsia" w:ascii="宋体" w:hAnsi="宋体" w:cs="宋体"/>
          <w:color w:val="auto"/>
          <w:szCs w:val="24"/>
        </w:rPr>
        <w:t>⑤</w:t>
      </w:r>
      <w:r>
        <w:rPr>
          <w:rFonts w:ascii="Times New Roman" w:hAnsi="Times New Roman" w:cs="Times New Roman"/>
          <w:color w:val="auto"/>
          <w:szCs w:val="24"/>
        </w:rPr>
        <w:t>智慧城市产业区：</w:t>
      </w:r>
      <w:r>
        <w:rPr>
          <w:rFonts w:ascii="Times New Roman" w:hAnsi="Times New Roman" w:cs="Times New Roman"/>
          <w:color w:val="auto"/>
          <w:szCs w:val="28"/>
        </w:rPr>
        <w:t>突出园区优势，加大与合肥大中专院校、职业技术学校和做，搭建产学研合作交流平台。开展“双创”工作，大力扶持科技含量高、经济效益好的小微企业入园，鼓励做强做大，通过建设标准化厂房，科技企业孵化器等举措吸引小微企业。</w:t>
      </w:r>
    </w:p>
    <w:p>
      <w:pPr>
        <w:ind w:firstLine="480"/>
        <w:rPr>
          <w:rFonts w:ascii="Times New Roman" w:hAnsi="Times New Roman" w:cs="Times New Roman"/>
          <w:color w:val="auto"/>
          <w:szCs w:val="24"/>
        </w:rPr>
      </w:pPr>
      <w:r>
        <w:rPr>
          <w:rFonts w:hint="eastAsia" w:ascii="宋体" w:hAnsi="宋体" w:cs="宋体"/>
          <w:color w:val="auto"/>
          <w:szCs w:val="24"/>
        </w:rPr>
        <w:t>⑥</w:t>
      </w:r>
      <w:r>
        <w:rPr>
          <w:rFonts w:ascii="Times New Roman" w:hAnsi="Times New Roman" w:cs="Times New Roman"/>
          <w:color w:val="auto"/>
          <w:szCs w:val="24"/>
        </w:rPr>
        <w:t>生态景观区：规划依托湾秦河、扁担河、沙河、渠道等水系，构筑串联整个园区的生态景观带，依托店埠河，构筑串联肥东至巢湖的生态景观带，将自然生态基质的河道景观和各具特色的公园景观节点进行串联，塑造园区多样化的滨河景观。</w:t>
      </w:r>
    </w:p>
    <w:p>
      <w:pPr>
        <w:ind w:firstLine="480"/>
        <w:rPr>
          <w:rFonts w:ascii="Times New Roman" w:hAnsi="Times New Roman" w:cs="Times New Roman"/>
          <w:color w:val="auto"/>
          <w:szCs w:val="24"/>
        </w:rPr>
      </w:pPr>
      <w:r>
        <w:rPr>
          <w:rFonts w:hint="eastAsia" w:ascii="宋体" w:hAnsi="宋体" w:cs="宋体"/>
          <w:color w:val="auto"/>
          <w:szCs w:val="24"/>
        </w:rPr>
        <w:t>⑦</w:t>
      </w:r>
      <w:r>
        <w:rPr>
          <w:rFonts w:ascii="Times New Roman" w:hAnsi="Times New Roman" w:cs="Times New Roman"/>
          <w:color w:val="auto"/>
          <w:szCs w:val="24"/>
        </w:rPr>
        <w:t>配套生活区：规划在锦绣大道以北、长山路以东，设置居住用地85.3公顷。</w:t>
      </w:r>
    </w:p>
    <w:p>
      <w:pPr>
        <w:ind w:firstLine="482"/>
        <w:rPr>
          <w:rFonts w:ascii="Times New Roman" w:hAnsi="Times New Roman" w:cs="Times New Roman"/>
          <w:b/>
          <w:bCs/>
          <w:color w:val="FF0000"/>
        </w:rPr>
      </w:pPr>
      <w:r>
        <w:rPr>
          <w:rFonts w:ascii="Times New Roman" w:hAnsi="Times New Roman" w:cs="Times New Roman"/>
          <w:b/>
          <w:bCs/>
          <w:color w:val="FF0000"/>
        </w:rPr>
        <w:t>符合性分析：合肥东航码头</w:t>
      </w:r>
      <w:r>
        <w:rPr>
          <w:rFonts w:hint="eastAsia" w:ascii="Times New Roman" w:hAnsi="Times New Roman" w:cs="Times New Roman"/>
          <w:b/>
          <w:bCs/>
          <w:color w:val="FF0000"/>
        </w:rPr>
        <w:t>选址属于</w:t>
      </w:r>
      <w:r>
        <w:rPr>
          <w:rFonts w:ascii="Times New Roman" w:hAnsi="Times New Roman" w:cs="Times New Roman"/>
          <w:b/>
          <w:bCs/>
          <w:color w:val="FF0000"/>
        </w:rPr>
        <w:t>合肥循环经济示范园</w:t>
      </w:r>
      <w:r>
        <w:rPr>
          <w:rFonts w:hint="eastAsia" w:ascii="Times New Roman" w:hAnsi="Times New Roman" w:cs="Times New Roman"/>
          <w:b/>
          <w:bCs/>
          <w:color w:val="FF0000"/>
        </w:rPr>
        <w:t>规划用地范围</w:t>
      </w:r>
      <w:r>
        <w:rPr>
          <w:rFonts w:ascii="Times New Roman" w:hAnsi="Times New Roman" w:cs="Times New Roman"/>
          <w:b/>
          <w:bCs/>
          <w:color w:val="FF0000"/>
        </w:rPr>
        <w:t>，码头定位：为入园企业提供安全、高效、畅通的水运运输服务；与合肥循环经济示范园现发展代物流业产业定位相符。</w:t>
      </w:r>
    </w:p>
    <w:p>
      <w:pPr>
        <w:pStyle w:val="5"/>
        <w:keepNext w:val="0"/>
        <w:keepLines w:val="0"/>
        <w:numPr>
          <w:ilvl w:val="3"/>
          <w:numId w:val="0"/>
        </w:numPr>
        <w:tabs>
          <w:tab w:val="left" w:pos="1080"/>
        </w:tabs>
        <w:spacing w:after="0" w:line="360" w:lineRule="auto"/>
        <w:ind w:firstLine="4" w:firstLineChars="2"/>
        <w:jc w:val="left"/>
        <w:rPr>
          <w:rFonts w:ascii="Times New Roman" w:hAnsi="Times New Roman" w:eastAsia="宋体" w:cs="Times New Roman"/>
          <w:color w:val="FF0000"/>
          <w:spacing w:val="-2"/>
          <w:sz w:val="24"/>
          <w:szCs w:val="24"/>
        </w:rPr>
      </w:pPr>
      <w:r>
        <w:rPr>
          <w:rFonts w:ascii="Times New Roman" w:hAnsi="Times New Roman" w:eastAsia="宋体" w:cs="Times New Roman"/>
          <w:color w:val="FF0000"/>
          <w:spacing w:val="-2"/>
          <w:sz w:val="24"/>
          <w:szCs w:val="24"/>
        </w:rPr>
        <w:t>2.4.3.9与《合肥循环经济示范园总体规划（2015-2030）环境影响报告书》及审查意见相符性分析</w:t>
      </w:r>
    </w:p>
    <w:p>
      <w:pPr>
        <w:ind w:firstLine="480"/>
        <w:rPr>
          <w:rFonts w:ascii="Times New Roman" w:hAnsi="Times New Roman" w:cs="Times New Roman"/>
          <w:color w:val="auto"/>
          <w:szCs w:val="32"/>
        </w:rPr>
      </w:pPr>
      <w:r>
        <w:rPr>
          <w:rFonts w:ascii="Times New Roman" w:hAnsi="Times New Roman" w:cs="Times New Roman"/>
          <w:color w:val="auto"/>
          <w:szCs w:val="32"/>
        </w:rPr>
        <w:t>（1）与园区主导产业规划符合性分析</w:t>
      </w:r>
    </w:p>
    <w:p>
      <w:pPr>
        <w:autoSpaceDE w:val="0"/>
        <w:autoSpaceDN w:val="0"/>
        <w:ind w:firstLine="480"/>
        <w:jc w:val="left"/>
        <w:rPr>
          <w:rFonts w:ascii="Times New Roman" w:hAnsi="Times New Roman" w:cs="Times New Roman"/>
          <w:color w:val="auto"/>
          <w:szCs w:val="24"/>
        </w:rPr>
      </w:pPr>
      <w:r>
        <w:rPr>
          <w:rFonts w:ascii="Times New Roman" w:hAnsi="Times New Roman" w:cs="Times New Roman"/>
          <w:bCs/>
          <w:color w:val="auto"/>
          <w:kern w:val="0"/>
          <w:szCs w:val="24"/>
        </w:rPr>
        <w:t>合肥循环经济示范园主导产业为新材料产业、智能产业、高端装备制造业、现代物流业，积极发展机械加工产业、静脉产业、现代农业和智慧城市产业。</w:t>
      </w:r>
    </w:p>
    <w:p>
      <w:pPr>
        <w:ind w:firstLine="480"/>
        <w:rPr>
          <w:rFonts w:ascii="Times New Roman" w:hAnsi="Times New Roman" w:cs="Times New Roman"/>
          <w:color w:val="auto"/>
          <w:szCs w:val="32"/>
        </w:rPr>
      </w:pPr>
      <w:r>
        <w:rPr>
          <w:rFonts w:ascii="Times New Roman" w:hAnsi="Times New Roman" w:cs="Times New Roman"/>
          <w:color w:val="auto"/>
          <w:szCs w:val="32"/>
        </w:rPr>
        <w:t>根据《合肥循环经济示范园总体规划环境影响报告书》及其审查意见，本项目与规划环评要求的符合性分析情况见下表。</w:t>
      </w:r>
    </w:p>
    <w:p>
      <w:pPr>
        <w:spacing w:line="240" w:lineRule="auto"/>
        <w:ind w:firstLine="0" w:firstLineChars="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表2.4-3  本项目与园区规划环评要求符合性分析一览表</w:t>
      </w:r>
    </w:p>
    <w:tbl>
      <w:tblPr>
        <w:tblStyle w:val="62"/>
        <w:tblW w:w="9180"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47"/>
        <w:gridCol w:w="4039"/>
        <w:gridCol w:w="3402"/>
        <w:gridCol w:w="99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7" w:type="dxa"/>
            <w:vAlign w:val="center"/>
          </w:tcPr>
          <w:p>
            <w:pPr>
              <w:autoSpaceDE w:val="0"/>
              <w:autoSpaceDN w:val="0"/>
              <w:spacing w:line="240" w:lineRule="auto"/>
              <w:ind w:firstLine="0" w:firstLineChars="0"/>
              <w:jc w:val="center"/>
              <w:rPr>
                <w:rFonts w:ascii="Times New Roman" w:hAnsi="Times New Roman" w:cs="Times New Roman"/>
                <w:b/>
                <w:bCs/>
                <w:color w:val="auto"/>
                <w:kern w:val="0"/>
                <w:sz w:val="18"/>
                <w:szCs w:val="18"/>
              </w:rPr>
            </w:pPr>
            <w:r>
              <w:rPr>
                <w:rFonts w:ascii="Times New Roman" w:hAnsi="Times New Roman" w:cs="Times New Roman"/>
                <w:b/>
                <w:bCs/>
                <w:color w:val="auto"/>
                <w:kern w:val="0"/>
                <w:sz w:val="18"/>
                <w:szCs w:val="18"/>
              </w:rPr>
              <w:t>序号</w:t>
            </w:r>
          </w:p>
        </w:tc>
        <w:tc>
          <w:tcPr>
            <w:tcW w:w="4039" w:type="dxa"/>
            <w:vAlign w:val="center"/>
          </w:tcPr>
          <w:p>
            <w:pPr>
              <w:autoSpaceDE w:val="0"/>
              <w:autoSpaceDN w:val="0"/>
              <w:spacing w:line="240" w:lineRule="auto"/>
              <w:ind w:firstLine="0" w:firstLineChars="0"/>
              <w:jc w:val="center"/>
              <w:rPr>
                <w:rFonts w:ascii="Times New Roman" w:hAnsi="Times New Roman" w:cs="Times New Roman"/>
                <w:b/>
                <w:bCs/>
                <w:color w:val="auto"/>
                <w:kern w:val="0"/>
                <w:sz w:val="18"/>
                <w:szCs w:val="18"/>
              </w:rPr>
            </w:pPr>
            <w:r>
              <w:rPr>
                <w:rFonts w:ascii="Times New Roman" w:hAnsi="Times New Roman" w:cs="Times New Roman"/>
                <w:b/>
                <w:bCs/>
                <w:color w:val="auto"/>
                <w:kern w:val="0"/>
                <w:sz w:val="18"/>
                <w:szCs w:val="18"/>
              </w:rPr>
              <w:t>规划环评要求</w:t>
            </w:r>
          </w:p>
        </w:tc>
        <w:tc>
          <w:tcPr>
            <w:tcW w:w="3402" w:type="dxa"/>
            <w:vAlign w:val="center"/>
          </w:tcPr>
          <w:p>
            <w:pPr>
              <w:autoSpaceDE w:val="0"/>
              <w:autoSpaceDN w:val="0"/>
              <w:spacing w:line="240" w:lineRule="auto"/>
              <w:ind w:firstLine="0" w:firstLineChars="0"/>
              <w:jc w:val="center"/>
              <w:rPr>
                <w:rFonts w:ascii="Times New Roman" w:hAnsi="Times New Roman" w:cs="Times New Roman"/>
                <w:b/>
                <w:bCs/>
                <w:color w:val="auto"/>
                <w:kern w:val="0"/>
                <w:sz w:val="18"/>
                <w:szCs w:val="18"/>
              </w:rPr>
            </w:pPr>
            <w:r>
              <w:rPr>
                <w:rFonts w:ascii="Times New Roman" w:hAnsi="Times New Roman" w:cs="Times New Roman"/>
                <w:b/>
                <w:bCs/>
                <w:color w:val="auto"/>
                <w:kern w:val="0"/>
                <w:sz w:val="18"/>
                <w:szCs w:val="18"/>
              </w:rPr>
              <w:t>本项目情况</w:t>
            </w:r>
          </w:p>
        </w:tc>
        <w:tc>
          <w:tcPr>
            <w:tcW w:w="992" w:type="dxa"/>
            <w:vAlign w:val="center"/>
          </w:tcPr>
          <w:p>
            <w:pPr>
              <w:autoSpaceDE w:val="0"/>
              <w:autoSpaceDN w:val="0"/>
              <w:spacing w:line="240" w:lineRule="auto"/>
              <w:ind w:firstLine="0" w:firstLineChars="0"/>
              <w:jc w:val="center"/>
              <w:rPr>
                <w:rFonts w:ascii="Times New Roman" w:hAnsi="Times New Roman" w:cs="Times New Roman"/>
                <w:b/>
                <w:bCs/>
                <w:color w:val="auto"/>
                <w:kern w:val="0"/>
                <w:sz w:val="18"/>
                <w:szCs w:val="18"/>
              </w:rPr>
            </w:pPr>
            <w:r>
              <w:rPr>
                <w:rFonts w:ascii="Times New Roman" w:hAnsi="Times New Roman" w:cs="Times New Roman"/>
                <w:b/>
                <w:bCs/>
                <w:color w:val="auto"/>
                <w:kern w:val="0"/>
                <w:sz w:val="18"/>
                <w:szCs w:val="18"/>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7" w:type="dxa"/>
            <w:vAlign w:val="center"/>
          </w:tcPr>
          <w:p>
            <w:pPr>
              <w:autoSpaceDE w:val="0"/>
              <w:autoSpaceDN w:val="0"/>
              <w:spacing w:line="240" w:lineRule="auto"/>
              <w:ind w:firstLine="0" w:firstLineChars="0"/>
              <w:jc w:val="center"/>
              <w:rPr>
                <w:rFonts w:ascii="Times New Roman" w:hAnsi="Times New Roman" w:cs="Times New Roman"/>
                <w:b/>
                <w:bCs/>
                <w:color w:val="auto"/>
                <w:kern w:val="0"/>
                <w:sz w:val="18"/>
                <w:szCs w:val="18"/>
              </w:rPr>
            </w:pPr>
            <w:r>
              <w:rPr>
                <w:rFonts w:ascii="Times New Roman" w:hAnsi="Times New Roman" w:cs="Times New Roman"/>
                <w:color w:val="auto"/>
                <w:kern w:val="0"/>
                <w:sz w:val="18"/>
                <w:szCs w:val="18"/>
              </w:rPr>
              <w:t>1</w:t>
            </w:r>
          </w:p>
        </w:tc>
        <w:tc>
          <w:tcPr>
            <w:tcW w:w="4039" w:type="dxa"/>
            <w:vAlign w:val="center"/>
          </w:tcPr>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结合合肥循环经济示范园总体规划发展目标及产业发展定位，对区域空间布局进一步优化调整。应合理布局配套生活区，其与工业区之间应设置必要的缓冲区域；化工集中区边界需设置绿化隔离带，从源头上避免和减轻规划实施对本区域及相关区域产生不利影响；化工集中区空间防护距离为距其边界1800m</w:t>
            </w:r>
          </w:p>
        </w:tc>
        <w:tc>
          <w:tcPr>
            <w:tcW w:w="3402" w:type="dxa"/>
            <w:vAlign w:val="center"/>
          </w:tcPr>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本项目液体化学品、油品码头建设项目并配套储罐区，项目</w:t>
            </w:r>
            <w:r>
              <w:rPr>
                <w:rFonts w:hint="eastAsia" w:ascii="Times New Roman" w:hAnsi="Times New Roman" w:cs="Times New Roman"/>
                <w:color w:val="auto"/>
                <w:kern w:val="0"/>
                <w:sz w:val="18"/>
                <w:szCs w:val="18"/>
              </w:rPr>
              <w:t>用地</w:t>
            </w:r>
            <w:r>
              <w:rPr>
                <w:rFonts w:ascii="Times New Roman" w:hAnsi="Times New Roman" w:cs="Times New Roman"/>
                <w:color w:val="auto"/>
                <w:kern w:val="0"/>
                <w:sz w:val="18"/>
                <w:szCs w:val="18"/>
              </w:rPr>
              <w:t>位于合肥循环经济示范园规范范围内，项目的建设可为园区提供高效低碳的水路运输服务，符合园区</w:t>
            </w:r>
            <w:r>
              <w:rPr>
                <w:rFonts w:ascii="Times New Roman" w:hAnsi="Times New Roman" w:cs="Times New Roman"/>
                <w:color w:val="auto"/>
                <w:sz w:val="18"/>
                <w:szCs w:val="18"/>
              </w:rPr>
              <w:t>依托园区公路、铁路、水运综合性交通体系，以港口分拨、多式联运、信息服务为主要特色，发展高新技术产业物流、循环经济物流、仓储配送、展销交易、信息咨询等产业的定位要求</w:t>
            </w:r>
          </w:p>
        </w:tc>
        <w:tc>
          <w:tcPr>
            <w:tcW w:w="992" w:type="dxa"/>
            <w:vAlign w:val="center"/>
          </w:tcPr>
          <w:p>
            <w:pPr>
              <w:autoSpaceDE w:val="0"/>
              <w:autoSpaceDN w:val="0"/>
              <w:spacing w:line="240" w:lineRule="auto"/>
              <w:ind w:firstLine="0" w:firstLineChars="0"/>
              <w:jc w:val="center"/>
              <w:rPr>
                <w:rFonts w:ascii="Times New Roman" w:hAnsi="Times New Roman" w:cs="Times New Roman"/>
                <w:b/>
                <w:bCs/>
                <w:color w:val="auto"/>
                <w:kern w:val="0"/>
                <w:sz w:val="18"/>
                <w:szCs w:val="18"/>
              </w:rPr>
            </w:pPr>
            <w:r>
              <w:rPr>
                <w:rFonts w:ascii="Times New Roman" w:hAnsi="Times New Roman" w:cs="Times New Roman"/>
                <w:color w:val="auto"/>
                <w:kern w:val="0"/>
                <w:sz w:val="18"/>
                <w:szCs w:val="18"/>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7" w:type="dxa"/>
            <w:vAlign w:val="center"/>
          </w:tcPr>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2</w:t>
            </w:r>
          </w:p>
        </w:tc>
        <w:tc>
          <w:tcPr>
            <w:tcW w:w="4039" w:type="dxa"/>
            <w:vAlign w:val="center"/>
          </w:tcPr>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提高项目准入门槛。禁止引进制革、印染、电镀、炼焦、食品制造、农副食品加工、畜牧业、炸药、火工及焰火产品制造等行业以及违反国家产业政策的建设项目。在园区保留的化工集中区内可发展与园区主导产业及现有化工企业相关的化工行业。贯彻循环经济理念，提倡采取中水回用等措施减少水资源消耗量，降低废水排放量，提高区域水资源利用率。</w:t>
            </w:r>
          </w:p>
        </w:tc>
        <w:tc>
          <w:tcPr>
            <w:tcW w:w="3402" w:type="dxa"/>
            <w:vAlign w:val="center"/>
          </w:tcPr>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本项目属于液体化学品、油品码头建设项目并配套储罐区，为水运工程基础设施；符合园区现代物流业主导产业发展要求。</w:t>
            </w:r>
          </w:p>
        </w:tc>
        <w:tc>
          <w:tcPr>
            <w:tcW w:w="992" w:type="dxa"/>
            <w:vAlign w:val="center"/>
          </w:tcPr>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83" w:hRule="atLeast"/>
        </w:trPr>
        <w:tc>
          <w:tcPr>
            <w:tcW w:w="747" w:type="dxa"/>
            <w:vAlign w:val="center"/>
          </w:tcPr>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3</w:t>
            </w:r>
          </w:p>
        </w:tc>
        <w:tc>
          <w:tcPr>
            <w:tcW w:w="4039" w:type="dxa"/>
            <w:vAlign w:val="center"/>
          </w:tcPr>
          <w:p>
            <w:pPr>
              <w:autoSpaceDE w:val="0"/>
              <w:autoSpaceDN w:val="0"/>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入区项目要采用先进的生产工艺和装备，采用高水平的污染治理措施。清洁生产水平现阶段要按国内先进水平要求，并逐步提高。严格执行国家节能减排政策，控制水、气等污染物排放总量，制定污染物总量削减方案。区域污染物排放总量应控制在市下达的指标内。严格落实各项环境影响减缓措施、环境风险防范措施，入区企业要在园区环境风险应急处置框架下，制定并完善环境应急预案，在具体项目建设运行中细化落实，确保环境安全。</w:t>
            </w:r>
          </w:p>
          <w:p>
            <w:pPr>
              <w:widowControl/>
              <w:adjustRightInd/>
              <w:spacing w:before="60" w:after="160" w:line="240" w:lineRule="auto"/>
              <w:ind w:right="113"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加强各类固体废物的收集和安全处置。危险废物应按有关规定安全收集、暂存、处置。确定专人对危险废物进行管理，建立危险废物环境管理台账和信息档案，严格执行危险废物转移联单制度。加强一般工业固体废弃物综合利用，生活垃圾应集中收集后送环卫部门妥善处理。</w:t>
            </w:r>
          </w:p>
        </w:tc>
        <w:tc>
          <w:tcPr>
            <w:tcW w:w="3402" w:type="dxa"/>
            <w:vAlign w:val="center"/>
          </w:tcPr>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本项目采用</w:t>
            </w:r>
            <w:r>
              <w:rPr>
                <w:rFonts w:ascii="Times New Roman" w:hAnsi="Times New Roman" w:cs="Times New Roman"/>
                <w:color w:val="auto"/>
                <w:sz w:val="18"/>
                <w:szCs w:val="18"/>
              </w:rPr>
              <w:t>先进的码头装卸及储存生产工艺和装备，采用油气回收装置等高水平的污染治理措施；严格执行国家节能减排政策，控制水、气等污染物排放总量；运营期严格落实各项环境影响减缓措施、环境风险防范措施，结合园区环境风险应急处置框架下，制定环境应急预案。运营期</w:t>
            </w:r>
            <w:r>
              <w:rPr>
                <w:rFonts w:ascii="Times New Roman" w:hAnsi="Times New Roman" w:cs="Times New Roman"/>
                <w:color w:val="auto"/>
                <w:kern w:val="0"/>
                <w:sz w:val="18"/>
                <w:szCs w:val="18"/>
              </w:rPr>
              <w:t>加强各类固体废物的收集和安全处置。</w:t>
            </w:r>
          </w:p>
        </w:tc>
        <w:tc>
          <w:tcPr>
            <w:tcW w:w="992" w:type="dxa"/>
            <w:vAlign w:val="center"/>
          </w:tcPr>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7" w:type="dxa"/>
            <w:vAlign w:val="center"/>
          </w:tcPr>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4</w:t>
            </w:r>
          </w:p>
        </w:tc>
        <w:tc>
          <w:tcPr>
            <w:tcW w:w="4039" w:type="dxa"/>
            <w:vAlign w:val="center"/>
          </w:tcPr>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加强建设项目环境管理。区域内所有建设项目必须严格执行国家环评法规定，履行环评审批手续，杜绝未批先建等环境违法行为。健全园区环境监控体系，要求入园企业建立健全环境管理机构，完善环境管理制度，按照有关规范要求开展日常环境监测、监控工作；建设规范的污染物排放在线监控系统，并与环保部门实现联网。</w:t>
            </w:r>
          </w:p>
        </w:tc>
        <w:tc>
          <w:tcPr>
            <w:tcW w:w="3402" w:type="dxa"/>
            <w:vAlign w:val="center"/>
          </w:tcPr>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本项目严格履行环境影响评价手续，本次评价未取得批复不得开工建设。</w:t>
            </w:r>
          </w:p>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运营期按照要求建立健全环境管理机构，完善环境管理制度，按照有关规范要求开展日常环境监测、监控工作；建设规范的污染物排放在线监控系统，并与环保部门实现联网。</w:t>
            </w:r>
          </w:p>
        </w:tc>
        <w:tc>
          <w:tcPr>
            <w:tcW w:w="992" w:type="dxa"/>
            <w:vAlign w:val="center"/>
          </w:tcPr>
          <w:p>
            <w:pPr>
              <w:autoSpaceDE w:val="0"/>
              <w:autoSpaceDN w:val="0"/>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符合</w:t>
            </w:r>
          </w:p>
        </w:tc>
      </w:tr>
    </w:tbl>
    <w:p>
      <w:pPr>
        <w:pStyle w:val="5"/>
        <w:keepNext w:val="0"/>
        <w:keepLines w:val="0"/>
        <w:numPr>
          <w:ilvl w:val="3"/>
          <w:numId w:val="0"/>
        </w:numPr>
        <w:tabs>
          <w:tab w:val="left" w:pos="1080"/>
        </w:tabs>
        <w:spacing w:after="0" w:line="360" w:lineRule="auto"/>
        <w:rPr>
          <w:rFonts w:ascii="Times New Roman" w:hAnsi="Times New Roman" w:cs="Times New Roman"/>
        </w:rPr>
      </w:pPr>
      <w:r>
        <w:rPr>
          <w:rFonts w:ascii="Times New Roman" w:hAnsi="Times New Roman" w:eastAsia="宋体" w:cs="Times New Roman"/>
          <w:color w:val="auto"/>
          <w:spacing w:val="-2"/>
          <w:sz w:val="24"/>
          <w:szCs w:val="22"/>
        </w:rPr>
        <w:t>2.4.3.10与</w:t>
      </w:r>
      <w:r>
        <w:rPr>
          <w:rFonts w:ascii="Times New Roman" w:hAnsi="Times New Roman" w:eastAsia="宋体" w:cs="Times New Roman"/>
          <w:sz w:val="24"/>
          <w:szCs w:val="22"/>
        </w:rPr>
        <w:t>《肥东县城总体规划 2015-2030 年（2018 年修改）》的相符性分析</w:t>
      </w:r>
    </w:p>
    <w:p>
      <w:pPr>
        <w:widowControl/>
        <w:adjustRightInd/>
        <w:snapToGrid/>
        <w:ind w:firstLine="480"/>
        <w:jc w:val="left"/>
        <w:rPr>
          <w:rFonts w:ascii="Times New Roman" w:hAnsi="Times New Roman" w:cs="Times New Roman"/>
          <w:color w:val="auto"/>
          <w:szCs w:val="24"/>
        </w:rPr>
      </w:pPr>
      <w:r>
        <w:rPr>
          <w:rFonts w:ascii="Times New Roman" w:hAnsi="Times New Roman" w:cs="Times New Roman"/>
          <w:color w:val="auto"/>
          <w:szCs w:val="24"/>
        </w:rPr>
        <w:t>根据《肥东县城总体规划 2015-2030 年（2018 年修改）》中“水运：合裕线提升为2级航道，店埠河航道提升为3级航道；在店埠河港区，设店埠、撮镇、</w:t>
      </w:r>
      <w:r>
        <w:rPr>
          <w:rFonts w:ascii="Times New Roman" w:hAnsi="Times New Roman" w:cs="Times New Roman"/>
          <w:b/>
          <w:bCs/>
          <w:color w:val="auto"/>
          <w:szCs w:val="24"/>
        </w:rPr>
        <w:t>循环经济园3处作业区；</w:t>
      </w:r>
      <w:r>
        <w:rPr>
          <w:rFonts w:ascii="Times New Roman" w:hAnsi="Times New Roman" w:cs="Times New Roman"/>
          <w:color w:val="auto"/>
          <w:szCs w:val="24"/>
        </w:rPr>
        <w:t xml:space="preserve">在南淝河港区，设东华作业区；设包公桥、长临河、红石咀3处旅游码头。” </w:t>
      </w:r>
    </w:p>
    <w:p>
      <w:pPr>
        <w:widowControl/>
        <w:adjustRightInd/>
        <w:snapToGrid/>
        <w:ind w:firstLine="480"/>
        <w:jc w:val="left"/>
        <w:rPr>
          <w:rFonts w:ascii="Times New Roman" w:hAnsi="Times New Roman" w:cs="Times New Roman"/>
          <w:color w:val="FF0000"/>
        </w:rPr>
      </w:pPr>
      <w:r>
        <w:rPr>
          <w:rFonts w:ascii="Times New Roman" w:hAnsi="Times New Roman" w:cs="Times New Roman"/>
          <w:color w:val="FF0000"/>
          <w:szCs w:val="24"/>
        </w:rPr>
        <w:t>本项目地处上述循环经济园作业区内，</w:t>
      </w:r>
      <w:r>
        <w:rPr>
          <w:rFonts w:hint="eastAsia" w:ascii="Times New Roman" w:hAnsi="Times New Roman" w:cs="Times New Roman"/>
          <w:color w:val="FF0000"/>
          <w:szCs w:val="24"/>
        </w:rPr>
        <w:t>用地现状属于耕地及村镇建设用地，</w:t>
      </w:r>
      <w:r>
        <w:rPr>
          <w:rFonts w:ascii="Times New Roman" w:hAnsi="Times New Roman" w:cs="Times New Roman"/>
          <w:color w:val="FF0000"/>
          <w:szCs w:val="24"/>
        </w:rPr>
        <w:t>符合《肥东县城总体规划 2015-2030 年（</w:t>
      </w:r>
      <w:r>
        <w:rPr>
          <w:rFonts w:hint="eastAsia" w:ascii="Times New Roman" w:hAnsi="Times New Roman" w:cs="Times New Roman"/>
          <w:color w:val="FF0000"/>
          <w:szCs w:val="24"/>
        </w:rPr>
        <w:t>调整完善</w:t>
      </w:r>
      <w:r>
        <w:rPr>
          <w:rFonts w:ascii="Times New Roman" w:hAnsi="Times New Roman" w:cs="Times New Roman"/>
          <w:color w:val="FF0000"/>
          <w:szCs w:val="24"/>
        </w:rPr>
        <w:t>）》</w:t>
      </w:r>
      <w:r>
        <w:rPr>
          <w:rFonts w:hint="eastAsia" w:ascii="Times New Roman" w:hAnsi="Times New Roman" w:cs="Times New Roman"/>
          <w:color w:val="FF0000"/>
          <w:szCs w:val="24"/>
        </w:rPr>
        <w:t>的要求</w:t>
      </w:r>
      <w:r>
        <w:rPr>
          <w:rFonts w:ascii="Times New Roman" w:hAnsi="Times New Roman" w:cs="Times New Roman"/>
          <w:color w:val="FF0000"/>
          <w:szCs w:val="24"/>
        </w:rPr>
        <w:t>。</w:t>
      </w:r>
    </w:p>
    <w:p>
      <w:pPr>
        <w:ind w:firstLine="480"/>
        <w:jc w:val="center"/>
        <w:rPr>
          <w:rFonts w:ascii="Times New Roman" w:hAnsi="Times New Roman" w:cs="Times New Roman"/>
        </w:rPr>
      </w:pPr>
    </w:p>
    <w:p>
      <w:pPr>
        <w:pStyle w:val="25"/>
        <w:ind w:firstLine="0" w:firstLineChars="0"/>
        <w:rPr>
          <w:rFonts w:ascii="Times New Roman" w:hAnsi="Times New Roman" w:cs="Times New Roman"/>
        </w:rPr>
      </w:pPr>
      <w:r>
        <w:rPr>
          <w:rFonts w:ascii="Times New Roman" w:hAnsi="Times New Roman" w:cs="Times New Roman"/>
        </w:rPr>
        <w:drawing>
          <wp:inline distT="0" distB="0" distL="0" distR="0">
            <wp:extent cx="5762625" cy="8325485"/>
            <wp:effectExtent l="0" t="0" r="0" b="0"/>
            <wp:docPr id="12"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true" noChangeArrowheads="true"/>
                    </pic:cNvPicPr>
                  </pic:nvPicPr>
                  <pic:blipFill>
                    <a:blip r:embed="rId39"/>
                    <a:srcRect/>
                    <a:stretch>
                      <a:fillRect/>
                    </a:stretch>
                  </pic:blipFill>
                  <pic:spPr>
                    <a:xfrm>
                      <a:off x="0" y="0"/>
                      <a:ext cx="5762625" cy="8325485"/>
                    </a:xfrm>
                    <a:prstGeom prst="rect">
                      <a:avLst/>
                    </a:prstGeom>
                    <a:noFill/>
                    <a:ln>
                      <a:noFill/>
                    </a:ln>
                  </pic:spPr>
                </pic:pic>
              </a:graphicData>
            </a:graphic>
          </wp:inline>
        </w:drawing>
      </w:r>
    </w:p>
    <w:p>
      <w:pPr>
        <w:ind w:firstLine="422"/>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图2.4-5  肥东县县域交通规划图</w:t>
      </w:r>
    </w:p>
    <w:p>
      <w:pPr>
        <w:pStyle w:val="25"/>
        <w:ind w:firstLine="480"/>
      </w:pPr>
    </w:p>
    <w:p>
      <w:pPr>
        <w:pStyle w:val="98"/>
        <w:ind w:leftChars="-118" w:hanging="283" w:hangingChars="118"/>
      </w:pPr>
      <w:r>
        <mc:AlternateContent>
          <mc:Choice Requires="wps">
            <w:drawing>
              <wp:anchor distT="0" distB="0" distL="114300" distR="114300" simplePos="0" relativeHeight="251709440" behindDoc="0" locked="0" layoutInCell="1" allowOverlap="1">
                <wp:simplePos x="0" y="0"/>
                <wp:positionH relativeFrom="column">
                  <wp:posOffset>1290320</wp:posOffset>
                </wp:positionH>
                <wp:positionV relativeFrom="paragraph">
                  <wp:posOffset>1747520</wp:posOffset>
                </wp:positionV>
                <wp:extent cx="201930" cy="744220"/>
                <wp:effectExtent l="57150" t="38100" r="26670" b="17780"/>
                <wp:wrapNone/>
                <wp:docPr id="1952" name="箭头: 上 1952"/>
                <wp:cNvGraphicFramePr/>
                <a:graphic xmlns:a="http://schemas.openxmlformats.org/drawingml/2006/main">
                  <a:graphicData uri="http://schemas.microsoft.com/office/word/2010/wordprocessingShape">
                    <wps:wsp>
                      <wps:cNvSpPr/>
                      <wps:spPr>
                        <a:xfrm>
                          <a:off x="0" y="0"/>
                          <a:ext cx="202019" cy="744279"/>
                        </a:xfrm>
                        <a:prstGeom prst="upArrow">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箭头: 上 1952" o:spid="_x0000_s1026" o:spt="68" type="#_x0000_t68" style="position:absolute;left:0pt;margin-left:101.6pt;margin-top:137.6pt;height:58.6pt;width:15.9pt;z-index:251709440;v-text-anchor:middle;mso-width-relative:page;mso-height-relative:page;" filled="f" stroked="t" coordsize="21600,21600" o:gfxdata="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FgAAAGRycy9QSwECFAAUAAAACACHTuJAqWt41tsAAAALAQAADwAAAAAAAAABACAAAAA4AAAAZHJz&#10;L2Rvd25yZXYueG1sUEsBAhQAFAAAAAgAh07iQD0Lp1ldAgAAmQQAAA4AAAAAAAAAAQAgAAAAQAEA&#10;AGRycy9lMm9Eb2MueG1sUEsFBgAAAAAGAAYAWQEAAA8GAAAAAA==&#10;" adj="2931,5400">
                <v:fill on="f" focussize="0,0"/>
                <v:stroke weight="2.25pt" color="#000000 [3213]" miterlimit="8" joinstyle="miter"/>
                <v:imagedata o:title=""/>
                <o:lock v:ext="edit" aspectratio="f"/>
              </v:shape>
            </w:pict>
          </mc:Fallback>
        </mc:AlternateContent>
      </w:r>
      <w:r>
        <w:drawing>
          <wp:inline distT="0" distB="0" distL="0" distR="0">
            <wp:extent cx="6113145" cy="4439920"/>
            <wp:effectExtent l="0" t="0" r="1905" b="0"/>
            <wp:docPr id="1951" name="图片 19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51" name="图片 1951"/>
                    <pic:cNvPicPr>
                      <a:picLocks noChangeAspect="true"/>
                    </pic:cNvPicPr>
                  </pic:nvPicPr>
                  <pic:blipFill>
                    <a:blip r:embed="rId40"/>
                    <a:stretch>
                      <a:fillRect/>
                    </a:stretch>
                  </pic:blipFill>
                  <pic:spPr>
                    <a:xfrm>
                      <a:off x="0" y="0"/>
                      <a:ext cx="6119692" cy="4444736"/>
                    </a:xfrm>
                    <a:prstGeom prst="rect">
                      <a:avLst/>
                    </a:prstGeom>
                  </pic:spPr>
                </pic:pic>
              </a:graphicData>
            </a:graphic>
          </wp:inline>
        </w:drawing>
      </w:r>
    </w:p>
    <w:p>
      <w:pPr>
        <w:pStyle w:val="98"/>
        <w:ind w:left="-35" w:leftChars="-118" w:hanging="248" w:hangingChars="118"/>
        <w:jc w:val="center"/>
      </w:pPr>
      <w:r>
        <w:rPr>
          <w:rFonts w:ascii="Times New Roman" w:hAnsi="Times New Roman" w:cs="Times New Roman"/>
          <w:b/>
          <w:bCs/>
          <w:sz w:val="21"/>
          <w:szCs w:val="21"/>
        </w:rPr>
        <w:t xml:space="preserve">图2.4-6    </w:t>
      </w:r>
      <w:r>
        <w:rPr>
          <w:rFonts w:hint="eastAsia" w:ascii="Times New Roman" w:hAnsi="Times New Roman" w:cs="Times New Roman"/>
          <w:b/>
          <w:bCs/>
          <w:sz w:val="21"/>
          <w:szCs w:val="21"/>
        </w:rPr>
        <w:t>本项目位置与肥东县土地利用总体规划图</w:t>
      </w:r>
    </w:p>
    <w:p>
      <w:pPr>
        <w:pStyle w:val="5"/>
        <w:keepNext w:val="0"/>
        <w:keepLines w:val="0"/>
        <w:numPr>
          <w:ilvl w:val="3"/>
          <w:numId w:val="0"/>
        </w:numPr>
        <w:tabs>
          <w:tab w:val="left" w:pos="1080"/>
        </w:tabs>
        <w:spacing w:after="0" w:line="360" w:lineRule="auto"/>
        <w:rPr>
          <w:rFonts w:ascii="Times New Roman" w:hAnsi="Times New Roman" w:eastAsia="宋体" w:cs="Times New Roman"/>
          <w:color w:val="auto"/>
          <w:spacing w:val="-2"/>
          <w:sz w:val="24"/>
          <w:szCs w:val="22"/>
        </w:rPr>
      </w:pPr>
      <w:r>
        <w:rPr>
          <w:rFonts w:ascii="Times New Roman" w:hAnsi="Times New Roman" w:eastAsia="宋体" w:cs="Times New Roman"/>
          <w:color w:val="auto"/>
          <w:spacing w:val="-2"/>
          <w:sz w:val="24"/>
          <w:szCs w:val="22"/>
        </w:rPr>
        <w:t>2.4.3.11与《肥东县撮镇镇总体规划（2009年-2030年）》及土地利用规划相符性分析</w:t>
      </w:r>
    </w:p>
    <w:p>
      <w:pPr>
        <w:pStyle w:val="98"/>
        <w:snapToGrid w:val="0"/>
        <w:ind w:firstLine="480" w:firstLineChars="200"/>
        <w:rPr>
          <w:rFonts w:ascii="Times New Roman" w:hAnsi="Times New Roman" w:cs="Times New Roman"/>
        </w:rPr>
      </w:pPr>
      <w:r>
        <w:rPr>
          <w:rFonts w:ascii="Times New Roman" w:hAnsi="Times New Roman" w:cs="Times New Roman"/>
        </w:rPr>
        <w:t>撮镇镇地处合肥、县城店埠的南大门，有“吞江吐淮，吸东纳西”的独特区位优势。是肥东县南部地区的政治、经济、文化、商贸和交通中心。是合肥市总体规划中城镇体系中重要卫星镇。镇域总面积116.7平方公里。合肥循环经济示范园就坐落于撮镇与桥头集镇交界处，园区规划总面积达20平方公里，是省“861”行动计划重点项目，是合肥经济圈的重要产业区，已吸引中盐红四方、马钢钢材深加工、桑尼重工等项目入驻。撮镇镇是合肥东部重化工转移新区的重要组成部分</w:t>
      </w:r>
      <w:r>
        <w:rPr>
          <w:rFonts w:hint="eastAsia" w:ascii="Times New Roman" w:hAnsi="Times New Roman" w:cs="Times New Roman"/>
        </w:rPr>
        <w:t>，</w:t>
      </w:r>
      <w:r>
        <w:rPr>
          <w:rFonts w:ascii="Times New Roman" w:hAnsi="Times New Roman" w:cs="Times New Roman"/>
        </w:rPr>
        <w:t>东部重化工产业区的建设，将进一步促进撮镇的产业发展、城镇化发展。</w:t>
      </w:r>
    </w:p>
    <w:p>
      <w:pPr>
        <w:pStyle w:val="98"/>
        <w:snapToGrid w:val="0"/>
        <w:rPr>
          <w:rFonts w:ascii="Times New Roman" w:hAnsi="Times New Roman" w:eastAsia="等线" w:cs="Times New Roman"/>
          <w:b/>
          <w:bCs/>
        </w:rPr>
      </w:pPr>
      <w:r>
        <w:rPr>
          <w:rFonts w:ascii="Times New Roman" w:hAnsi="Times New Roman" w:eastAsia="等线" w:cs="Times New Roman"/>
          <w:b/>
          <w:bCs/>
        </w:rPr>
        <w:t>（1）</w:t>
      </w:r>
      <w:r>
        <w:rPr>
          <w:rFonts w:ascii="Times New Roman" w:hAnsi="Times New Roman" w:cs="Times New Roman"/>
          <w:b/>
          <w:bCs/>
        </w:rPr>
        <w:t>空间发展结构</w:t>
      </w:r>
    </w:p>
    <w:p>
      <w:pPr>
        <w:ind w:firstLine="480"/>
        <w:rPr>
          <w:rFonts w:ascii="Times New Roman" w:hAnsi="Times New Roman" w:cs="Times New Roman"/>
        </w:rPr>
      </w:pPr>
      <w:r>
        <w:rPr>
          <w:rFonts w:ascii="Times New Roman" w:hAnsi="Times New Roman" w:cs="Times New Roman"/>
        </w:rPr>
        <w:t>规划考虑到撮镇被河流、高速公路及铁路等分割的特点，老镇区以调整、整合为主，合理布局周边各发展区，在多轮规划方案的基础上，形成城镇整体结构框架：</w:t>
      </w:r>
      <w:r>
        <w:rPr>
          <w:rFonts w:ascii="Times New Roman" w:hAnsi="Times New Roman" w:cs="Times New Roman"/>
          <w:b/>
        </w:rPr>
        <w:t>“一城三区”</w:t>
      </w:r>
      <w:r>
        <w:rPr>
          <w:rFonts w:ascii="Times New Roman" w:hAnsi="Times New Roman" w:cs="Times New Roman"/>
        </w:rPr>
        <w:t>。片区间有生产绿地、河流等绿色开敞空间自然楔入、渗透。</w:t>
      </w:r>
    </w:p>
    <w:p>
      <w:pPr>
        <w:ind w:firstLine="480"/>
        <w:rPr>
          <w:rFonts w:ascii="Times New Roman" w:hAnsi="Times New Roman" w:cs="Times New Roman"/>
        </w:rPr>
      </w:pPr>
      <w:r>
        <w:rPr>
          <w:rFonts w:ascii="Times New Roman" w:hAnsi="Times New Roman" w:cs="Times New Roman"/>
        </w:rPr>
        <w:t>规划形成以老镇区为主中心，各片区中心为副中心，“一主三副”的城市中心区服务框架。</w:t>
      </w:r>
    </w:p>
    <w:p>
      <w:pPr>
        <w:ind w:firstLine="482"/>
        <w:rPr>
          <w:rFonts w:ascii="Times New Roman" w:hAnsi="Times New Roman" w:cs="Times New Roman"/>
        </w:rPr>
      </w:pPr>
      <w:r>
        <w:rPr>
          <w:rFonts w:ascii="Times New Roman" w:hAnsi="Times New Roman" w:cs="Times New Roman"/>
          <w:b/>
        </w:rPr>
        <w:t>一城：</w:t>
      </w:r>
      <w:r>
        <w:rPr>
          <w:rFonts w:ascii="Times New Roman" w:hAnsi="Times New Roman" w:cs="Times New Roman"/>
        </w:rPr>
        <w:t>综合服务中心城区</w:t>
      </w:r>
    </w:p>
    <w:p>
      <w:pPr>
        <w:ind w:firstLine="480"/>
        <w:rPr>
          <w:rFonts w:ascii="Times New Roman" w:hAnsi="Times New Roman" w:cs="Times New Roman"/>
        </w:rPr>
      </w:pPr>
      <w:r>
        <w:rPr>
          <w:rFonts w:ascii="Times New Roman" w:hAnsi="Times New Roman" w:cs="Times New Roman"/>
        </w:rPr>
        <w:t>即：以撮镇老镇区为中心的综合服务城区，是撮镇的行政办公中心，商业、文化娱乐中心区。</w:t>
      </w:r>
    </w:p>
    <w:p>
      <w:pPr>
        <w:ind w:firstLine="482"/>
        <w:rPr>
          <w:rFonts w:ascii="Times New Roman" w:hAnsi="Times New Roman" w:cs="Times New Roman"/>
        </w:rPr>
      </w:pPr>
      <w:r>
        <w:rPr>
          <w:rFonts w:ascii="Times New Roman" w:hAnsi="Times New Roman" w:cs="Times New Roman"/>
          <w:b/>
        </w:rPr>
        <w:t>三区：</w:t>
      </w:r>
      <w:r>
        <w:rPr>
          <w:rFonts w:ascii="Times New Roman" w:hAnsi="Times New Roman" w:cs="Times New Roman"/>
        </w:rPr>
        <w:t>城西区、城南区、城北区</w:t>
      </w:r>
    </w:p>
    <w:p>
      <w:pPr>
        <w:ind w:firstLine="482"/>
        <w:rPr>
          <w:rFonts w:ascii="Times New Roman" w:hAnsi="Times New Roman" w:cs="Times New Roman"/>
        </w:rPr>
      </w:pPr>
      <w:r>
        <w:rPr>
          <w:rFonts w:ascii="Times New Roman" w:hAnsi="Times New Roman" w:cs="Times New Roman"/>
          <w:b/>
        </w:rPr>
        <w:t>城西区：</w:t>
      </w:r>
      <w:r>
        <w:rPr>
          <w:rFonts w:ascii="Times New Roman" w:hAnsi="Times New Roman" w:cs="Times New Roman"/>
        </w:rPr>
        <w:t>主要指店埠河以西区域，以物流综合开发区为主体，培育成为合肥东部商贸服务聚集地，第三方物流的摇篮。</w:t>
      </w:r>
    </w:p>
    <w:p>
      <w:pPr>
        <w:ind w:firstLine="482"/>
        <w:rPr>
          <w:rFonts w:ascii="Times New Roman" w:hAnsi="Times New Roman" w:cs="Times New Roman"/>
        </w:rPr>
      </w:pPr>
      <w:r>
        <w:rPr>
          <w:rFonts w:ascii="Times New Roman" w:hAnsi="Times New Roman" w:cs="Times New Roman"/>
          <w:b/>
        </w:rPr>
        <w:t>城南区：</w:t>
      </w:r>
      <w:r>
        <w:rPr>
          <w:rFonts w:ascii="Times New Roman" w:hAnsi="Times New Roman" w:cs="Times New Roman"/>
        </w:rPr>
        <w:t>主要指循环经济示范园及其西部沿河港区，以循环经济园为主体，成为合肥东部重化工基地，循环经济发展的示范区域。</w:t>
      </w:r>
    </w:p>
    <w:p>
      <w:pPr>
        <w:pStyle w:val="98"/>
        <w:snapToGrid w:val="0"/>
        <w:rPr>
          <w:rFonts w:ascii="Times New Roman" w:hAnsi="Times New Roman" w:cs="Times New Roman"/>
          <w:lang w:bidi="en-US"/>
        </w:rPr>
      </w:pPr>
      <w:r>
        <w:rPr>
          <w:rFonts w:ascii="Times New Roman" w:hAnsi="Times New Roman" w:cs="Times New Roman"/>
          <w:b/>
          <w:lang w:bidi="en-US"/>
        </w:rPr>
        <w:t>城北区：</w:t>
      </w:r>
      <w:r>
        <w:rPr>
          <w:rFonts w:ascii="Times New Roman" w:hAnsi="Times New Roman" w:cs="Times New Roman"/>
          <w:lang w:bidi="en-US"/>
        </w:rPr>
        <w:t>主要指店忠路以东区域，是撮镇、东城新市镇、桥头集联合发展的重要区域，是拓展店忠路区域发展纽带的重要组团，是缝合强镇的重要发展极。</w:t>
      </w:r>
    </w:p>
    <w:p>
      <w:pPr>
        <w:pStyle w:val="98"/>
        <w:snapToGrid w:val="0"/>
        <w:rPr>
          <w:rFonts w:ascii="Times New Roman" w:hAnsi="Times New Roman" w:eastAsia="等线" w:cs="Times New Roman"/>
          <w:b/>
          <w:bCs/>
        </w:rPr>
      </w:pPr>
      <w:r>
        <w:rPr>
          <w:rFonts w:ascii="Times New Roman" w:hAnsi="Times New Roman" w:eastAsia="等线" w:cs="Times New Roman"/>
          <w:b/>
          <w:bCs/>
        </w:rPr>
        <w:t>（2）</w:t>
      </w:r>
      <w:r>
        <w:rPr>
          <w:rFonts w:ascii="Times New Roman" w:hAnsi="Times New Roman" w:cs="Times New Roman"/>
          <w:b/>
          <w:bCs/>
        </w:rPr>
        <w:t>产业发展方向</w:t>
      </w:r>
    </w:p>
    <w:p>
      <w:pPr>
        <w:widowControl/>
        <w:adjustRightInd/>
        <w:ind w:firstLine="482"/>
        <w:jc w:val="left"/>
        <w:rPr>
          <w:rFonts w:ascii="Times New Roman" w:hAnsi="Times New Roman" w:cs="Times New Roman"/>
          <w:b/>
          <w:color w:val="auto"/>
          <w:kern w:val="0"/>
          <w:szCs w:val="24"/>
          <w:lang w:bidi="en-US"/>
        </w:rPr>
      </w:pPr>
      <w:r>
        <w:rPr>
          <w:rFonts w:ascii="Times New Roman" w:hAnsi="Times New Roman" w:cs="Times New Roman"/>
          <w:b/>
          <w:color w:val="auto"/>
          <w:kern w:val="0"/>
          <w:szCs w:val="24"/>
          <w:lang w:bidi="en-US"/>
        </w:rPr>
        <w:t>高速以西片区：</w:t>
      </w:r>
    </w:p>
    <w:p>
      <w:pPr>
        <w:widowControl/>
        <w:adjustRightInd/>
        <w:ind w:firstLine="480"/>
        <w:jc w:val="left"/>
        <w:rPr>
          <w:rFonts w:ascii="Times New Roman" w:hAnsi="Times New Roman" w:cs="Times New Roman"/>
          <w:color w:val="auto"/>
          <w:kern w:val="0"/>
          <w:szCs w:val="24"/>
          <w:lang w:bidi="en-US"/>
        </w:rPr>
      </w:pPr>
      <w:r>
        <w:rPr>
          <w:rFonts w:ascii="Times New Roman" w:hAnsi="Times New Roman" w:cs="Times New Roman"/>
          <w:color w:val="auto"/>
          <w:kern w:val="0"/>
          <w:szCs w:val="24"/>
          <w:lang w:bidi="en-US"/>
        </w:rPr>
        <w:t>对接合肥的重要区域，必须要高起点高标准建设。该片区现状以大型商贸市场为主，包括目前已经基本建设完成的华东国际建材中心，即将入驻的红星美凯龙家居市场等等，是撮镇商贸产业发展的主导区域。</w:t>
      </w:r>
    </w:p>
    <w:p>
      <w:pPr>
        <w:widowControl/>
        <w:adjustRightInd/>
        <w:ind w:firstLine="482"/>
        <w:jc w:val="left"/>
        <w:rPr>
          <w:rFonts w:ascii="Times New Roman" w:hAnsi="Times New Roman" w:cs="Times New Roman"/>
          <w:b/>
          <w:color w:val="auto"/>
          <w:kern w:val="0"/>
          <w:szCs w:val="24"/>
          <w:lang w:bidi="en-US"/>
        </w:rPr>
      </w:pPr>
      <w:r>
        <w:rPr>
          <w:rFonts w:ascii="Times New Roman" w:hAnsi="Times New Roman" w:cs="Times New Roman"/>
          <w:b/>
          <w:color w:val="auto"/>
          <w:kern w:val="0"/>
          <w:szCs w:val="24"/>
          <w:lang w:bidi="en-US"/>
        </w:rPr>
        <w:t>裕溪路两侧片区：</w:t>
      </w:r>
    </w:p>
    <w:p>
      <w:pPr>
        <w:widowControl/>
        <w:adjustRightInd/>
        <w:ind w:firstLine="480"/>
        <w:jc w:val="left"/>
        <w:rPr>
          <w:rFonts w:ascii="Times New Roman" w:hAnsi="Times New Roman" w:cs="Times New Roman"/>
          <w:color w:val="auto"/>
          <w:kern w:val="0"/>
          <w:szCs w:val="24"/>
          <w:lang w:bidi="en-US"/>
        </w:rPr>
      </w:pPr>
      <w:r>
        <w:rPr>
          <w:rFonts w:ascii="Times New Roman" w:hAnsi="Times New Roman" w:cs="Times New Roman"/>
          <w:color w:val="auto"/>
          <w:kern w:val="0"/>
          <w:szCs w:val="24"/>
          <w:lang w:bidi="en-US"/>
        </w:rPr>
        <w:t>裕溪路两侧区域是撮镇发展的根据地，西拓东优。店埠河以西地段是建设物流开发区的核心地段，是推动撮镇新时期跨越发展的领地。店埠河以东地区为撮镇的老镇区，目前老镇区的改造已经逐步启动，优化城市空间结构，提升服务功能是其近期发展主要途径。</w:t>
      </w:r>
    </w:p>
    <w:p>
      <w:pPr>
        <w:widowControl/>
        <w:adjustRightInd/>
        <w:ind w:firstLine="482"/>
        <w:jc w:val="left"/>
        <w:rPr>
          <w:rFonts w:ascii="Times New Roman" w:hAnsi="Times New Roman" w:cs="Times New Roman"/>
          <w:b/>
          <w:color w:val="auto"/>
          <w:kern w:val="0"/>
          <w:szCs w:val="24"/>
          <w:lang w:bidi="en-US"/>
        </w:rPr>
      </w:pPr>
      <w:r>
        <w:rPr>
          <w:rFonts w:ascii="Times New Roman" w:hAnsi="Times New Roman" w:cs="Times New Roman"/>
          <w:b/>
          <w:color w:val="auto"/>
          <w:kern w:val="0"/>
          <w:szCs w:val="24"/>
          <w:lang w:bidi="en-US"/>
        </w:rPr>
        <w:t>三岔河片区：</w:t>
      </w:r>
    </w:p>
    <w:p>
      <w:pPr>
        <w:widowControl/>
        <w:adjustRightInd/>
        <w:ind w:firstLine="482"/>
        <w:jc w:val="left"/>
        <w:rPr>
          <w:rFonts w:ascii="Times New Roman" w:hAnsi="Times New Roman" w:cs="Times New Roman"/>
          <w:b/>
          <w:color w:val="auto"/>
          <w:kern w:val="0"/>
          <w:szCs w:val="24"/>
          <w:lang w:bidi="en-US"/>
        </w:rPr>
      </w:pPr>
      <w:r>
        <w:rPr>
          <w:rFonts w:ascii="Times New Roman" w:hAnsi="Times New Roman" w:cs="Times New Roman"/>
          <w:b/>
          <w:color w:val="auto"/>
          <w:kern w:val="0"/>
          <w:szCs w:val="24"/>
          <w:lang w:bidi="en-US"/>
        </w:rPr>
        <w:t>促进工业、物流联动发展的重要区域。依托现状已经规划的港口，发展临港工业，寻求与东部循环经济示范园的联动发展。</w:t>
      </w:r>
    </w:p>
    <w:p>
      <w:pPr>
        <w:widowControl/>
        <w:adjustRightInd/>
        <w:ind w:firstLine="482"/>
        <w:jc w:val="left"/>
        <w:rPr>
          <w:rFonts w:ascii="Times New Roman" w:hAnsi="Times New Roman" w:cs="Times New Roman"/>
          <w:b/>
          <w:color w:val="auto"/>
          <w:kern w:val="0"/>
          <w:szCs w:val="24"/>
          <w:lang w:bidi="en-US"/>
        </w:rPr>
      </w:pPr>
      <w:r>
        <w:rPr>
          <w:rFonts w:ascii="Times New Roman" w:hAnsi="Times New Roman" w:cs="Times New Roman"/>
          <w:b/>
          <w:color w:val="auto"/>
          <w:kern w:val="0"/>
          <w:szCs w:val="24"/>
          <w:lang w:bidi="en-US"/>
        </w:rPr>
        <w:t>长乐片区：</w:t>
      </w:r>
    </w:p>
    <w:p>
      <w:pPr>
        <w:widowControl/>
        <w:adjustRightInd/>
        <w:ind w:firstLine="480"/>
        <w:jc w:val="left"/>
        <w:rPr>
          <w:rFonts w:ascii="Times New Roman" w:hAnsi="Times New Roman" w:cs="Times New Roman"/>
          <w:color w:val="auto"/>
          <w:kern w:val="0"/>
          <w:szCs w:val="24"/>
          <w:lang w:bidi="en-US"/>
        </w:rPr>
      </w:pPr>
      <w:r>
        <w:rPr>
          <w:rFonts w:ascii="Times New Roman" w:hAnsi="Times New Roman" w:cs="Times New Roman"/>
          <w:color w:val="auto"/>
          <w:kern w:val="0"/>
          <w:szCs w:val="24"/>
          <w:lang w:bidi="en-US"/>
        </w:rPr>
        <w:t>循环经济示范园区的拓展范围，服务于循环经济示范园。长乐片区目前已经有部分村庄交由循环经济示范园区管理和统一建设，该片区未来将会成为循环经济示范园区的拓展区和配套服务区。</w:t>
      </w:r>
    </w:p>
    <w:p>
      <w:pPr>
        <w:widowControl/>
        <w:adjustRightInd/>
        <w:ind w:firstLine="482"/>
        <w:jc w:val="left"/>
        <w:rPr>
          <w:rFonts w:ascii="Times New Roman" w:hAnsi="Times New Roman" w:cs="Times New Roman"/>
          <w:b/>
          <w:color w:val="auto"/>
          <w:kern w:val="0"/>
          <w:szCs w:val="24"/>
          <w:lang w:bidi="en-US"/>
        </w:rPr>
      </w:pPr>
      <w:r>
        <w:rPr>
          <w:rFonts w:ascii="Times New Roman" w:hAnsi="Times New Roman" w:cs="Times New Roman"/>
          <w:b/>
          <w:color w:val="auto"/>
          <w:kern w:val="0"/>
          <w:szCs w:val="24"/>
          <w:lang w:bidi="en-US"/>
        </w:rPr>
        <w:t>铁路以北片区：</w:t>
      </w:r>
    </w:p>
    <w:p>
      <w:pPr>
        <w:widowControl/>
        <w:adjustRightInd/>
        <w:ind w:firstLine="480"/>
        <w:jc w:val="left"/>
        <w:rPr>
          <w:rFonts w:ascii="Times New Roman" w:hAnsi="Times New Roman" w:cs="Times New Roman"/>
          <w:color w:val="auto"/>
          <w:kern w:val="0"/>
          <w:szCs w:val="24"/>
          <w:lang w:bidi="en-US"/>
        </w:rPr>
      </w:pPr>
      <w:r>
        <w:rPr>
          <w:rFonts w:ascii="Times New Roman" w:hAnsi="Times New Roman" w:cs="Times New Roman"/>
          <w:color w:val="auto"/>
          <w:kern w:val="0"/>
          <w:szCs w:val="24"/>
          <w:lang w:bidi="en-US"/>
        </w:rPr>
        <w:t>该片区是缝合店埠、撮镇、桥头集三个肥东县传统强镇的重要发展区域，肥东县合肥东城新市镇核心区基础设施已有部分投入，寻求与其联合协作发展，是本片区发展的可行思路之一。</w:t>
      </w:r>
    </w:p>
    <w:p>
      <w:pPr>
        <w:pStyle w:val="25"/>
        <w:ind w:leftChars="-118" w:hanging="283" w:hangingChars="118"/>
        <w:rPr>
          <w:rFonts w:ascii="Times New Roman" w:hAnsi="Times New Roman" w:cs="Times New Roman"/>
          <w:lang w:bidi="en-US"/>
        </w:rPr>
      </w:pPr>
      <w:r>
        <w:rPr>
          <w:rFonts w:ascii="Times New Roman" w:hAnsi="Times New Roman" w:eastAsia="等线" w:cs="Times New Roman"/>
          <w:b/>
          <w:szCs w:val="24"/>
        </w:rPr>
        <mc:AlternateContent>
          <mc:Choice Requires="wps">
            <w:drawing>
              <wp:anchor distT="0" distB="0" distL="114300" distR="114300" simplePos="0" relativeHeight="251587584" behindDoc="0" locked="0" layoutInCell="1" allowOverlap="1">
                <wp:simplePos x="0" y="0"/>
                <wp:positionH relativeFrom="column">
                  <wp:posOffset>2633980</wp:posOffset>
                </wp:positionH>
                <wp:positionV relativeFrom="paragraph">
                  <wp:posOffset>3796030</wp:posOffset>
                </wp:positionV>
                <wp:extent cx="628650" cy="266700"/>
                <wp:effectExtent l="0" t="0" r="0" b="0"/>
                <wp:wrapNone/>
                <wp:docPr id="1945" name="Rectangle 3073"/>
                <wp:cNvGraphicFramePr/>
                <a:graphic xmlns:a="http://schemas.openxmlformats.org/drawingml/2006/main">
                  <a:graphicData uri="http://schemas.microsoft.com/office/word/2010/wordprocessingShape">
                    <wps:wsp>
                      <wps:cNvSpPr>
                        <a:spLocks noChangeArrowheads="true"/>
                      </wps:cNvSpPr>
                      <wps:spPr bwMode="auto">
                        <a:xfrm>
                          <a:off x="0" y="0"/>
                          <a:ext cx="628650" cy="266700"/>
                        </a:xfrm>
                        <a:prstGeom prst="rect">
                          <a:avLst/>
                        </a:prstGeom>
                        <a:noFill/>
                        <a:ln>
                          <a:noFill/>
                        </a:ln>
                      </wps:spPr>
                      <wps:txbx>
                        <w:txbxContent>
                          <w:p>
                            <w:pPr>
                              <w:ind w:firstLine="0" w:firstLineChars="0"/>
                              <w:rPr>
                                <w:b/>
                                <w:bCs/>
                                <w:color w:val="FF0000"/>
                                <w:sz w:val="20"/>
                                <w:szCs w:val="18"/>
                              </w:rPr>
                            </w:pPr>
                            <w:r>
                              <w:rPr>
                                <w:rFonts w:hint="eastAsia"/>
                                <w:b/>
                                <w:bCs/>
                                <w:color w:val="FF0000"/>
                                <w:sz w:val="20"/>
                                <w:szCs w:val="18"/>
                                <w:highlight w:val="yellow"/>
                              </w:rPr>
                              <w:t>本项目</w:t>
                            </w:r>
                          </w:p>
                        </w:txbxContent>
                      </wps:txbx>
                      <wps:bodyPr rot="0" vert="horz" wrap="square" lIns="91440" tIns="45720" rIns="91440" bIns="45720" anchor="t" anchorCtr="false" upright="true">
                        <a:noAutofit/>
                      </wps:bodyPr>
                    </wps:wsp>
                  </a:graphicData>
                </a:graphic>
              </wp:anchor>
            </w:drawing>
          </mc:Choice>
          <mc:Fallback>
            <w:pict>
              <v:rect id="Rectangle 3073" o:spid="_x0000_s1026" o:spt="1" style="position:absolute;left:0pt;margin-left:207.4pt;margin-top:298.9pt;height:21pt;width:49.5pt;z-index:251587584;mso-width-relative:page;mso-height-relative:page;" filled="f" stroked="f" coordsize="21600,21600" o:gfxdata="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BYAAABkcnMvUEsBAhQAFAAAAAgAh07iQEA9xTncAAAACwEAAA8AAAAAAAAAAQAgAAAA&#10;OAAAAGRycy9kb3ducmV2LnhtbFBLAQIUABQAAAAIAIdO4kAY43xo8QEAAMwDAAAOAAAAAAAAAAEA&#10;IAAAAEEBAABkcnMvZTJvRG9jLnhtbFBLBQYAAAAABgAGAFkBAACkBQAAAAA=&#10;">
                <v:fill on="f" focussize="0,0"/>
                <v:stroke on="f"/>
                <v:imagedata o:title=""/>
                <o:lock v:ext="edit" aspectratio="f"/>
                <v:textbox>
                  <w:txbxContent>
                    <w:p>
                      <w:pPr>
                        <w:ind w:firstLine="0" w:firstLineChars="0"/>
                        <w:rPr>
                          <w:b/>
                          <w:bCs/>
                          <w:color w:val="FF0000"/>
                          <w:sz w:val="20"/>
                          <w:szCs w:val="18"/>
                        </w:rPr>
                      </w:pPr>
                      <w:r>
                        <w:rPr>
                          <w:rFonts w:hint="eastAsia"/>
                          <w:b/>
                          <w:bCs/>
                          <w:color w:val="FF0000"/>
                          <w:sz w:val="20"/>
                          <w:szCs w:val="18"/>
                          <w:highlight w:val="yellow"/>
                        </w:rPr>
                        <w:t>本项目</w:t>
                      </w:r>
                    </w:p>
                  </w:txbxContent>
                </v:textbox>
              </v:rect>
            </w:pict>
          </mc:Fallback>
        </mc:AlternateContent>
      </w:r>
      <w:r>
        <w:rPr>
          <w:rFonts w:ascii="Times New Roman" w:hAnsi="Times New Roman" w:eastAsia="等线" w:cs="Times New Roman"/>
          <w:b/>
          <w:szCs w:val="24"/>
        </w:rPr>
        <mc:AlternateContent>
          <mc:Choice Requires="wps">
            <w:drawing>
              <wp:anchor distT="0" distB="0" distL="114300" distR="114300" simplePos="0" relativeHeight="251588608" behindDoc="0" locked="0" layoutInCell="1" allowOverlap="1">
                <wp:simplePos x="0" y="0"/>
                <wp:positionH relativeFrom="column">
                  <wp:posOffset>2938780</wp:posOffset>
                </wp:positionH>
                <wp:positionV relativeFrom="paragraph">
                  <wp:posOffset>3910330</wp:posOffset>
                </wp:positionV>
                <wp:extent cx="247650" cy="361950"/>
                <wp:effectExtent l="9525" t="9525" r="57150" b="47625"/>
                <wp:wrapNone/>
                <wp:docPr id="1944" name="AutoShape 3072"/>
                <wp:cNvGraphicFramePr/>
                <a:graphic xmlns:a="http://schemas.openxmlformats.org/drawingml/2006/main">
                  <a:graphicData uri="http://schemas.microsoft.com/office/word/2010/wordprocessingShape">
                    <wps:wsp>
                      <wps:cNvCnPr>
                        <a:cxnSpLocks noChangeShapeType="true"/>
                      </wps:cNvCnPr>
                      <wps:spPr bwMode="auto">
                        <a:xfrm>
                          <a:off x="0" y="0"/>
                          <a:ext cx="247650" cy="361950"/>
                        </a:xfrm>
                        <a:prstGeom prst="straightConnector1">
                          <a:avLst/>
                        </a:prstGeom>
                        <a:noFill/>
                        <a:ln w="12700">
                          <a:solidFill>
                            <a:srgbClr val="FF0000"/>
                          </a:solidFill>
                          <a:round/>
                          <a:tailEnd type="triangle" w="med" len="med"/>
                        </a:ln>
                      </wps:spPr>
                      <wps:bodyPr/>
                    </wps:wsp>
                  </a:graphicData>
                </a:graphic>
              </wp:anchor>
            </w:drawing>
          </mc:Choice>
          <mc:Fallback>
            <w:pict>
              <v:shape id="AutoShape 3072" o:spid="_x0000_s1026" o:spt="32" type="#_x0000_t32" style="position:absolute;left:0pt;margin-left:231.4pt;margin-top:307.9pt;height:28.5pt;width:19.5pt;z-index:251588608;mso-width-relative:page;mso-height-relative:page;" filled="f" stroked="t" coordsize="21600,21600" o:gfxdata="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BYAAABkcnMvUEsBAhQA&#10;FAAAAAgAh07iQKziPTrYAAAACwEAAA8AAAAAAAAAAQAgAAAAOAAAAGRycy9kb3ducmV2LnhtbFBL&#10;AQIUABQAAAAIAIdO4kD6nZ3l4AEAAKADAAAOAAAAAAAAAAEAIAAAAD0BAABkcnMvZTJvRG9jLnht&#10;bFBLBQYAAAAABgAGAFkBAACPBQAAAAA=&#10;">
                <v:fill on="f" focussize="0,0"/>
                <v:stroke weight="1pt" color="#FF0000" joinstyle="round" endarrow="block"/>
                <v:imagedata o:title=""/>
                <o:lock v:ext="edit" aspectratio="f"/>
              </v:shape>
            </w:pict>
          </mc:Fallback>
        </mc:AlternateContent>
      </w:r>
      <w:r>
        <w:rPr>
          <w:rFonts w:ascii="Times New Roman" w:hAnsi="Times New Roman" w:eastAsia="等线" w:cs="Times New Roman"/>
          <w:b/>
          <w:szCs w:val="24"/>
        </w:rPr>
        <w:drawing>
          <wp:inline distT="0" distB="0" distL="0" distR="0">
            <wp:extent cx="5986145" cy="8453120"/>
            <wp:effectExtent l="0" t="0" r="0" b="0"/>
            <wp:docPr id="13" name="图片 13" descr="撮镇总规用地布局审批版2021.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3" descr="撮镇总规用地布局审批版2021.01"/>
                    <pic:cNvPicPr>
                      <a:picLocks noChangeAspect="true" noChangeArrowheads="true"/>
                    </pic:cNvPicPr>
                  </pic:nvPicPr>
                  <pic:blipFill>
                    <a:blip r:embed="rId41"/>
                    <a:srcRect/>
                    <a:stretch>
                      <a:fillRect/>
                    </a:stretch>
                  </pic:blipFill>
                  <pic:spPr>
                    <a:xfrm>
                      <a:off x="0" y="0"/>
                      <a:ext cx="5986145" cy="8453120"/>
                    </a:xfrm>
                    <a:prstGeom prst="rect">
                      <a:avLst/>
                    </a:prstGeom>
                    <a:noFill/>
                    <a:ln>
                      <a:noFill/>
                    </a:ln>
                  </pic:spPr>
                </pic:pic>
              </a:graphicData>
            </a:graphic>
          </wp:inline>
        </w:drawing>
      </w:r>
    </w:p>
    <w:p>
      <w:pPr>
        <w:pStyle w:val="98"/>
        <w:jc w:val="center"/>
        <w:rPr>
          <w:rFonts w:ascii="Times New Roman" w:hAnsi="Times New Roman" w:cs="Times New Roman"/>
          <w:b/>
          <w:bCs/>
        </w:rPr>
      </w:pPr>
      <w:r>
        <w:rPr>
          <w:rFonts w:ascii="Times New Roman" w:hAnsi="Times New Roman" w:cs="Times New Roman"/>
          <w:b/>
          <w:bCs/>
          <w:sz w:val="21"/>
          <w:szCs w:val="21"/>
        </w:rPr>
        <w:t>图2.4-7 肥东县撮镇镇总体规划图</w:t>
      </w:r>
    </w:p>
    <w:p>
      <w:pPr>
        <w:pStyle w:val="98"/>
        <w:snapToGrid w:val="0"/>
        <w:ind w:firstLine="481" w:firstLineChars="200"/>
        <w:rPr>
          <w:rFonts w:ascii="Times New Roman" w:hAnsi="Times New Roman" w:cs="Times New Roman"/>
          <w:b/>
          <w:bCs/>
          <w:color w:val="FF0000"/>
        </w:rPr>
      </w:pPr>
      <w:r>
        <w:rPr>
          <w:rFonts w:ascii="Times New Roman" w:hAnsi="Times New Roman" w:cs="Times New Roman"/>
          <w:b/>
          <w:bCs/>
          <w:color w:val="FF0000"/>
        </w:rPr>
        <w:t>符合性分析:本工程位于合肥市肥东县撮镇镇，店埠河左岸，</w:t>
      </w:r>
      <w:r>
        <w:rPr>
          <w:rFonts w:hint="eastAsia" w:ascii="Times New Roman" w:hAnsi="Times New Roman" w:cs="Times New Roman"/>
          <w:b/>
          <w:bCs/>
          <w:color w:val="FF0000"/>
        </w:rPr>
        <w:t>属于</w:t>
      </w:r>
      <w:r>
        <w:rPr>
          <w:rFonts w:ascii="Times New Roman" w:hAnsi="Times New Roman" w:cs="Times New Roman"/>
          <w:b/>
          <w:bCs/>
          <w:color w:val="FF0000"/>
        </w:rPr>
        <w:t>合肥循环经济示范园园区规划范围内。根据《肥东县撮镇镇总体规划（2009-2030年）》（2017年修改），建设用地布局调整中，以肥东经济开发区、循环经济示范园等为依托，以重大交通基础设施建设为先导，以开放平台建设为支撑，推动肥东发展，形成肥东的开放大格局。</w:t>
      </w:r>
      <w:r>
        <w:rPr>
          <w:rFonts w:hint="eastAsia" w:ascii="Times New Roman" w:hAnsi="Times New Roman" w:cs="Times New Roman"/>
          <w:b/>
          <w:bCs/>
          <w:color w:val="FF0000"/>
        </w:rPr>
        <w:t>本项目符合撮镇“发展临港工业”的总体定位；</w:t>
      </w:r>
      <w:r>
        <w:rPr>
          <w:rFonts w:ascii="Times New Roman" w:hAnsi="Times New Roman" w:cs="Times New Roman"/>
          <w:b/>
          <w:bCs/>
          <w:color w:val="FF0000"/>
        </w:rPr>
        <w:t>根据撮镇镇土地利用规划图得知，本工程用地规划已调整为交通设施用地。</w:t>
      </w:r>
    </w:p>
    <w:p>
      <w:pPr>
        <w:pStyle w:val="5"/>
        <w:keepNext w:val="0"/>
        <w:keepLines w:val="0"/>
        <w:numPr>
          <w:ilvl w:val="3"/>
          <w:numId w:val="0"/>
        </w:numPr>
        <w:tabs>
          <w:tab w:val="left" w:pos="1080"/>
        </w:tabs>
        <w:spacing w:before="166" w:beforeLines="50" w:after="0" w:line="360" w:lineRule="auto"/>
        <w:rPr>
          <w:rFonts w:ascii="Times New Roman" w:hAnsi="Times New Roman" w:eastAsia="宋体" w:cs="Times New Roman"/>
          <w:color w:val="auto"/>
          <w:spacing w:val="-2"/>
          <w:sz w:val="24"/>
          <w:szCs w:val="22"/>
        </w:rPr>
      </w:pPr>
      <w:r>
        <w:rPr>
          <w:rFonts w:ascii="Times New Roman" w:hAnsi="Times New Roman" w:eastAsia="宋体" w:cs="Times New Roman"/>
          <w:color w:val="auto"/>
          <w:spacing w:val="-2"/>
          <w:sz w:val="24"/>
          <w:szCs w:val="22"/>
        </w:rPr>
        <w:t>2.4.3.12与《巢湖流域水污染防治条例》相符性分析</w:t>
      </w:r>
    </w:p>
    <w:p>
      <w:pPr>
        <w:pStyle w:val="98"/>
        <w:snapToGrid w:val="0"/>
        <w:ind w:firstLine="480" w:firstLineChars="200"/>
        <w:rPr>
          <w:rFonts w:ascii="Times New Roman" w:hAnsi="Times New Roman" w:cs="Times New Roman"/>
        </w:rPr>
      </w:pPr>
      <w:r>
        <w:rPr>
          <w:rFonts w:ascii="Times New Roman" w:hAnsi="Times New Roman" w:cs="Times New Roman"/>
        </w:rPr>
        <w:t>根据《巢湖流域水污染防治条例》，巢湖流域水环境实行三级保护。巢湖湖体，巢湖岸线外延一千米范围内陆域，入湖河道上溯至一万米及沿岸两侧各二百米范围内陆域为一级保护区；巢湖岸线外延一千至三千米范围内陆域，入湖河道上溯至一万米沿岸两侧各二百至一千米范围内陆域为二级保护区；其他地区为三级保护区。2017年12月30日，安徽省人民政府发布了《关于公布巢湖流域水环境保护区范围的通知》（皖政秘[2017]254号），公布了巢湖流域一、二、三级保护区的具体范围。</w:t>
      </w:r>
    </w:p>
    <w:p>
      <w:pPr>
        <w:pStyle w:val="98"/>
        <w:snapToGrid w:val="0"/>
        <w:ind w:firstLine="480" w:firstLineChars="200"/>
        <w:rPr>
          <w:rFonts w:ascii="Times New Roman" w:hAnsi="Times New Roman" w:cs="Times New Roman"/>
          <w:color w:val="FF0000"/>
        </w:rPr>
      </w:pPr>
      <w:r>
        <w:rPr>
          <w:rFonts w:hint="eastAsia" w:ascii="Times New Roman" w:hAnsi="Times New Roman" w:cs="Times New Roman"/>
          <w:color w:val="FF0000"/>
        </w:rPr>
        <w:t>本项目位于肥东县撮镇店埠河左岸，合肥循环经济示范园规划用地，根据</w:t>
      </w:r>
      <w:r>
        <w:rPr>
          <w:rFonts w:ascii="Times New Roman" w:hAnsi="Times New Roman" w:cs="Times New Roman"/>
          <w:color w:val="FF0000"/>
        </w:rPr>
        <w:t>巢湖流域水环境保护区范围</w:t>
      </w:r>
      <w:r>
        <w:rPr>
          <w:rFonts w:hint="eastAsia" w:ascii="Times New Roman" w:hAnsi="Times New Roman" w:cs="Times New Roman"/>
          <w:color w:val="FF0000"/>
        </w:rPr>
        <w:t>图（图2</w:t>
      </w:r>
      <w:r>
        <w:rPr>
          <w:rFonts w:ascii="Times New Roman" w:hAnsi="Times New Roman" w:cs="Times New Roman"/>
          <w:color w:val="FF0000"/>
        </w:rPr>
        <w:t>.4-8</w:t>
      </w:r>
      <w:r>
        <w:rPr>
          <w:rFonts w:hint="eastAsia" w:ascii="Times New Roman" w:hAnsi="Times New Roman" w:cs="Times New Roman"/>
          <w:color w:val="FF0000"/>
        </w:rPr>
        <w:t>），本项目不处于</w:t>
      </w:r>
      <w:r>
        <w:rPr>
          <w:rFonts w:ascii="Times New Roman" w:hAnsi="Times New Roman" w:cs="Times New Roman"/>
          <w:color w:val="FF0000"/>
        </w:rPr>
        <w:t>巢湖流域一、二、三级保护区</w:t>
      </w:r>
      <w:r>
        <w:rPr>
          <w:rFonts w:hint="eastAsia" w:ascii="Times New Roman" w:hAnsi="Times New Roman" w:cs="Times New Roman"/>
          <w:color w:val="FF0000"/>
        </w:rPr>
        <w:t>范围。</w:t>
      </w:r>
    </w:p>
    <w:p>
      <w:pPr>
        <w:pStyle w:val="98"/>
        <w:snapToGrid w:val="0"/>
        <w:ind w:firstLine="480" w:firstLineChars="200"/>
        <w:rPr>
          <w:rFonts w:ascii="Times New Roman" w:hAnsi="Times New Roman" w:cs="Times New Roman"/>
        </w:rPr>
      </w:pPr>
      <w:r>
        <w:rPr>
          <w:rFonts w:ascii="Times New Roman" w:hAnsi="Times New Roman" w:cs="Times New Roman"/>
        </w:rPr>
        <w:t>2021年1月8日，安徽省发改委、安徽省经济和信息化厅、安徽省生态环境厅发布了《关于印发巢湖流域禁止和限制的产业产品目录的通知》（皖发改环资[2021]6号）。本项目建设与</w:t>
      </w:r>
      <w:r>
        <w:rPr>
          <w:rFonts w:ascii="Times New Roman" w:hAnsi="Times New Roman" w:cs="Times New Roman"/>
          <w:color w:val="000000"/>
          <w:spacing w:val="-2"/>
          <w:kern w:val="0"/>
        </w:rPr>
        <w:t>巢湖流域水污染防治条例的符合性分析见表2.4-5。</w:t>
      </w:r>
    </w:p>
    <w:p>
      <w:pPr>
        <w:overflowPunct w:val="0"/>
        <w:spacing w:line="240" w:lineRule="auto"/>
        <w:ind w:firstLine="0" w:firstLineChars="0"/>
        <w:jc w:val="center"/>
        <w:textAlignment w:val="baseline"/>
        <w:rPr>
          <w:rFonts w:ascii="Times New Roman" w:hAnsi="Times New Roman" w:cs="Times New Roman"/>
          <w:b/>
          <w:bCs/>
          <w:spacing w:val="-2"/>
          <w:kern w:val="0"/>
          <w:sz w:val="21"/>
          <w:szCs w:val="21"/>
        </w:rPr>
      </w:pPr>
      <w:r>
        <w:rPr>
          <w:rFonts w:ascii="Times New Roman" w:hAnsi="Times New Roman" w:cs="Times New Roman"/>
          <w:b/>
          <w:bCs/>
          <w:spacing w:val="-2"/>
          <w:kern w:val="0"/>
          <w:sz w:val="21"/>
          <w:szCs w:val="21"/>
        </w:rPr>
        <w:t>表2.4-5  项目与巢湖流域水污染防治条例的符合性</w:t>
      </w:r>
    </w:p>
    <w:tbl>
      <w:tblPr>
        <w:tblStyle w:val="62"/>
        <w:tblW w:w="89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283"/>
        <w:gridCol w:w="4054"/>
        <w:gridCol w:w="2954"/>
        <w:gridCol w:w="6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283" w:type="dxa"/>
            <w:tcBorders>
              <w:tl2br w:val="nil"/>
              <w:tr2bl w:val="nil"/>
            </w:tcBorders>
            <w:shd w:val="clear" w:color="auto" w:fill="auto"/>
            <w:vAlign w:val="center"/>
          </w:tcPr>
          <w:p>
            <w:pPr>
              <w:overflowPunct w:val="0"/>
              <w:autoSpaceDE w:val="0"/>
              <w:autoSpaceDN w:val="0"/>
              <w:spacing w:line="240" w:lineRule="auto"/>
              <w:ind w:firstLine="0" w:firstLineChars="0"/>
              <w:jc w:val="center"/>
              <w:textAlignment w:val="baseline"/>
              <w:rPr>
                <w:rFonts w:ascii="Times New Roman" w:hAnsi="Times New Roman" w:cs="Times New Roman"/>
                <w:spacing w:val="-2"/>
                <w:kern w:val="0"/>
                <w:sz w:val="18"/>
                <w:szCs w:val="18"/>
                <w:lang w:eastAsia="en-US"/>
              </w:rPr>
            </w:pPr>
            <w:r>
              <w:rPr>
                <w:rFonts w:ascii="Times New Roman" w:hAnsi="Times New Roman" w:cs="Times New Roman"/>
                <w:spacing w:val="-2"/>
                <w:kern w:val="0"/>
                <w:sz w:val="18"/>
                <w:szCs w:val="18"/>
                <w:lang w:eastAsia="en-US"/>
              </w:rPr>
              <w:t>文件名称</w:t>
            </w:r>
          </w:p>
        </w:tc>
        <w:tc>
          <w:tcPr>
            <w:tcW w:w="4054" w:type="dxa"/>
            <w:tcBorders>
              <w:tl2br w:val="nil"/>
              <w:tr2bl w:val="nil"/>
            </w:tcBorders>
            <w:shd w:val="clear" w:color="auto" w:fill="auto"/>
            <w:vAlign w:val="center"/>
          </w:tcPr>
          <w:p>
            <w:pPr>
              <w:overflowPunct w:val="0"/>
              <w:autoSpaceDE w:val="0"/>
              <w:autoSpaceDN w:val="0"/>
              <w:spacing w:line="240" w:lineRule="auto"/>
              <w:ind w:firstLine="0" w:firstLineChars="0"/>
              <w:jc w:val="center"/>
              <w:textAlignment w:val="baseline"/>
              <w:rPr>
                <w:rFonts w:ascii="Times New Roman" w:hAnsi="Times New Roman" w:cs="Times New Roman"/>
                <w:spacing w:val="-2"/>
                <w:kern w:val="0"/>
                <w:sz w:val="18"/>
                <w:szCs w:val="18"/>
                <w:lang w:eastAsia="en-US"/>
              </w:rPr>
            </w:pPr>
            <w:r>
              <w:rPr>
                <w:rFonts w:ascii="Times New Roman" w:hAnsi="Times New Roman" w:cs="Times New Roman"/>
                <w:spacing w:val="-2"/>
                <w:kern w:val="0"/>
                <w:sz w:val="18"/>
                <w:szCs w:val="18"/>
                <w:lang w:eastAsia="en-US"/>
              </w:rPr>
              <w:t>主要内容</w:t>
            </w:r>
          </w:p>
        </w:tc>
        <w:tc>
          <w:tcPr>
            <w:tcW w:w="2954" w:type="dxa"/>
            <w:tcBorders>
              <w:tl2br w:val="nil"/>
              <w:tr2bl w:val="nil"/>
            </w:tcBorders>
            <w:shd w:val="clear" w:color="auto" w:fill="auto"/>
            <w:vAlign w:val="center"/>
          </w:tcPr>
          <w:p>
            <w:pPr>
              <w:overflowPunct w:val="0"/>
              <w:autoSpaceDE w:val="0"/>
              <w:autoSpaceDN w:val="0"/>
              <w:spacing w:line="240" w:lineRule="auto"/>
              <w:ind w:firstLine="0" w:firstLineChars="0"/>
              <w:jc w:val="center"/>
              <w:textAlignment w:val="baseline"/>
              <w:rPr>
                <w:rFonts w:ascii="Times New Roman" w:hAnsi="Times New Roman" w:cs="Times New Roman"/>
                <w:spacing w:val="-2"/>
                <w:kern w:val="0"/>
                <w:sz w:val="18"/>
                <w:szCs w:val="18"/>
                <w:lang w:eastAsia="en-US"/>
              </w:rPr>
            </w:pPr>
            <w:r>
              <w:rPr>
                <w:rFonts w:ascii="Times New Roman" w:hAnsi="Times New Roman" w:cs="Times New Roman"/>
                <w:spacing w:val="-2"/>
                <w:kern w:val="0"/>
                <w:sz w:val="18"/>
                <w:szCs w:val="18"/>
                <w:lang w:eastAsia="en-US"/>
              </w:rPr>
              <w:t>项目情况</w:t>
            </w:r>
          </w:p>
        </w:tc>
        <w:tc>
          <w:tcPr>
            <w:tcW w:w="639" w:type="dxa"/>
            <w:tcBorders>
              <w:tl2br w:val="nil"/>
              <w:tr2bl w:val="nil"/>
            </w:tcBorders>
            <w:shd w:val="clear" w:color="auto" w:fill="auto"/>
            <w:vAlign w:val="center"/>
          </w:tcPr>
          <w:p>
            <w:pPr>
              <w:overflowPunct w:val="0"/>
              <w:autoSpaceDE w:val="0"/>
              <w:autoSpaceDN w:val="0"/>
              <w:spacing w:line="240" w:lineRule="auto"/>
              <w:ind w:firstLine="0" w:firstLineChars="0"/>
              <w:jc w:val="center"/>
              <w:textAlignment w:val="baseline"/>
              <w:rPr>
                <w:rFonts w:ascii="Times New Roman" w:hAnsi="Times New Roman" w:cs="Times New Roman"/>
                <w:spacing w:val="-2"/>
                <w:kern w:val="0"/>
                <w:sz w:val="18"/>
                <w:szCs w:val="18"/>
                <w:lang w:eastAsia="en-US"/>
              </w:rPr>
            </w:pPr>
            <w:r>
              <w:rPr>
                <w:rFonts w:ascii="Times New Roman" w:hAnsi="Times New Roman" w:cs="Times New Roman"/>
                <w:spacing w:val="-2"/>
                <w:kern w:val="0"/>
                <w:sz w:val="18"/>
                <w:szCs w:val="18"/>
                <w:lang w:eastAsia="en-US"/>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612" w:hRule="atLeast"/>
          <w:jc w:val="center"/>
        </w:trPr>
        <w:tc>
          <w:tcPr>
            <w:tcW w:w="1283" w:type="dxa"/>
            <w:vMerge w:val="restart"/>
            <w:tcBorders>
              <w:tl2br w:val="nil"/>
              <w:tr2bl w:val="nil"/>
            </w:tcBorders>
            <w:shd w:val="clear" w:color="auto" w:fill="auto"/>
            <w:vAlign w:val="center"/>
          </w:tcPr>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《巢湖流域水污染防治条例》</w:t>
            </w:r>
          </w:p>
        </w:tc>
        <w:tc>
          <w:tcPr>
            <w:tcW w:w="4054" w:type="dxa"/>
            <w:tcBorders>
              <w:tl2br w:val="nil"/>
              <w:tr2bl w:val="nil"/>
            </w:tcBorders>
            <w:shd w:val="clear" w:color="auto" w:fill="auto"/>
            <w:vAlign w:val="center"/>
          </w:tcPr>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第三条　巢湖流域水环境实行三级保护。巢湖湖体，巢湖岸线外延一千米范围内陆域，入湖河道上溯至一万米及沿岸两侧各二百米范围内陆域为一级保护区；巢湖岸线外延一千至三千米范围内陆域，入湖河道上溯至一万米沿岸两侧各二百至一千米范围内陆域为二级保护区；其他地区为三级保护区。</w:t>
            </w:r>
          </w:p>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巢湖流域水环境一、二、三级保护区的具体范围，由省人民政府确定并公布。</w:t>
            </w:r>
          </w:p>
        </w:tc>
        <w:tc>
          <w:tcPr>
            <w:tcW w:w="2954" w:type="dxa"/>
            <w:tcBorders>
              <w:tl2br w:val="nil"/>
              <w:tr2bl w:val="nil"/>
            </w:tcBorders>
            <w:shd w:val="clear" w:color="auto" w:fill="auto"/>
            <w:vAlign w:val="center"/>
          </w:tcPr>
          <w:p>
            <w:pPr>
              <w:overflowPunct w:val="0"/>
              <w:autoSpaceDE w:val="0"/>
              <w:autoSpaceDN w:val="0"/>
              <w:spacing w:line="240" w:lineRule="auto"/>
              <w:ind w:left="113" w:leftChars="47" w:right="132" w:rightChars="55"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根据《安徽省人民政府关于公布巢湖流域水环境保护区范围的通知》（皖政秘〔2017〕254号），本项目所在地为三级保护区。</w:t>
            </w:r>
          </w:p>
        </w:tc>
        <w:tc>
          <w:tcPr>
            <w:tcW w:w="639" w:type="dxa"/>
            <w:tcBorders>
              <w:tl2br w:val="nil"/>
              <w:tr2bl w:val="nil"/>
            </w:tcBorders>
            <w:shd w:val="clear" w:color="auto" w:fill="auto"/>
            <w:vAlign w:val="center"/>
          </w:tcPr>
          <w:p>
            <w:pPr>
              <w:overflowPunct w:val="0"/>
              <w:autoSpaceDE w:val="0"/>
              <w:autoSpaceDN w:val="0"/>
              <w:spacing w:line="240" w:lineRule="auto"/>
              <w:ind w:firstLine="0" w:firstLineChars="0"/>
              <w:jc w:val="center"/>
              <w:textAlignment w:val="baseline"/>
              <w:rPr>
                <w:rFonts w:ascii="Times New Roman" w:hAnsi="Times New Roman" w:cs="Times New Roman"/>
                <w:color w:val="FF0000"/>
                <w:spacing w:val="-2"/>
                <w:kern w:val="0"/>
                <w:sz w:val="18"/>
                <w:szCs w:val="18"/>
                <w:lang w:eastAsia="en-US"/>
              </w:rPr>
            </w:pPr>
            <w:r>
              <w:rPr>
                <w:rFonts w:ascii="Times New Roman" w:hAnsi="Times New Roman" w:cs="Times New Roman"/>
                <w:color w:val="FF0000"/>
                <w:spacing w:val="-2"/>
                <w:kern w:val="0"/>
                <w:sz w:val="18"/>
                <w:szCs w:val="18"/>
                <w:lang w:eastAsia="en-U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283" w:type="dxa"/>
            <w:vMerge w:val="continue"/>
            <w:tcBorders>
              <w:tl2br w:val="nil"/>
              <w:tr2bl w:val="nil"/>
            </w:tcBorders>
            <w:shd w:val="clear" w:color="auto" w:fill="auto"/>
            <w:vAlign w:val="center"/>
          </w:tcPr>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lang w:eastAsia="en-US"/>
              </w:rPr>
            </w:pPr>
          </w:p>
        </w:tc>
        <w:tc>
          <w:tcPr>
            <w:tcW w:w="4054" w:type="dxa"/>
            <w:tcBorders>
              <w:tl2br w:val="nil"/>
              <w:tr2bl w:val="nil"/>
            </w:tcBorders>
            <w:shd w:val="clear" w:color="auto" w:fill="auto"/>
            <w:vAlign w:val="center"/>
          </w:tcPr>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在巢湖流域新建、改建、扩建直接或者间接向水体排放污染物的建设项目和其他水上设施，应当依法进行环境影响评价。建设项目的环境影响报告书、报告表未依法经有审批权的生态环境主管部门审查或者审查后未予批准的，建设单位不得开工建设。</w:t>
            </w:r>
          </w:p>
        </w:tc>
        <w:tc>
          <w:tcPr>
            <w:tcW w:w="2954" w:type="dxa"/>
            <w:tcBorders>
              <w:tl2br w:val="nil"/>
              <w:tr2bl w:val="nil"/>
            </w:tcBorders>
            <w:shd w:val="clear" w:color="auto" w:fill="auto"/>
            <w:vAlign w:val="center"/>
          </w:tcPr>
          <w:p>
            <w:pPr>
              <w:overflowPunct w:val="0"/>
              <w:autoSpaceDE w:val="0"/>
              <w:autoSpaceDN w:val="0"/>
              <w:spacing w:line="240" w:lineRule="auto"/>
              <w:ind w:left="113" w:leftChars="47" w:right="132" w:rightChars="55"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本项目为新建水运港口项目，依法进行环境影响评价。建设项目的环境影响报告书未依法经有审批权的生态环境主管部门审查或者审查后未予批准的，建设单位不得开工建设。</w:t>
            </w:r>
          </w:p>
        </w:tc>
        <w:tc>
          <w:tcPr>
            <w:tcW w:w="639" w:type="dxa"/>
            <w:tcBorders>
              <w:tl2br w:val="nil"/>
              <w:tr2bl w:val="nil"/>
            </w:tcBorders>
            <w:shd w:val="clear" w:color="auto" w:fill="auto"/>
            <w:vAlign w:val="center"/>
          </w:tcPr>
          <w:p>
            <w:pPr>
              <w:overflowPunct w:val="0"/>
              <w:autoSpaceDE w:val="0"/>
              <w:autoSpaceDN w:val="0"/>
              <w:spacing w:line="240" w:lineRule="auto"/>
              <w:ind w:firstLine="0" w:firstLineChars="0"/>
              <w:jc w:val="center"/>
              <w:textAlignment w:val="baseline"/>
              <w:rPr>
                <w:rFonts w:ascii="Times New Roman" w:hAnsi="Times New Roman" w:cs="Times New Roman"/>
                <w:color w:val="FF0000"/>
                <w:spacing w:val="-2"/>
                <w:kern w:val="0"/>
                <w:sz w:val="18"/>
                <w:szCs w:val="18"/>
                <w:lang w:eastAsia="en-US"/>
              </w:rPr>
            </w:pPr>
            <w:r>
              <w:rPr>
                <w:rFonts w:ascii="Times New Roman" w:hAnsi="Times New Roman" w:cs="Times New Roman"/>
                <w:color w:val="FF0000"/>
                <w:spacing w:val="-2"/>
                <w:kern w:val="0"/>
                <w:sz w:val="18"/>
                <w:szCs w:val="18"/>
                <w:lang w:eastAsia="en-U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72" w:hRule="atLeast"/>
          <w:jc w:val="center"/>
        </w:trPr>
        <w:tc>
          <w:tcPr>
            <w:tcW w:w="1283" w:type="dxa"/>
            <w:vMerge w:val="continue"/>
            <w:tcBorders>
              <w:tl2br w:val="nil"/>
              <w:tr2bl w:val="nil"/>
            </w:tcBorders>
            <w:shd w:val="clear" w:color="auto" w:fill="auto"/>
            <w:vAlign w:val="center"/>
          </w:tcPr>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lang w:eastAsia="en-US"/>
              </w:rPr>
            </w:pPr>
          </w:p>
        </w:tc>
        <w:tc>
          <w:tcPr>
            <w:tcW w:w="4054" w:type="dxa"/>
            <w:tcBorders>
              <w:tl2br w:val="nil"/>
              <w:tr2bl w:val="nil"/>
            </w:tcBorders>
            <w:shd w:val="clear" w:color="auto" w:fill="auto"/>
            <w:vAlign w:val="center"/>
          </w:tcPr>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第十八条　省人民政府发展改革、经济和信息化等有关部门会同环境保护行政主管部门，拟定巢湖流域禁止和限制的产业、产品目录，报省人民政府批准后施行。</w:t>
            </w:r>
          </w:p>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限期淘汰污染巢湖流域水环境的落后工艺和设备。</w:t>
            </w:r>
          </w:p>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第十九条 水环境一、二、三级保护区内禁止下列行为：</w:t>
            </w:r>
          </w:p>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（一）新建化学制浆造纸企业；</w:t>
            </w:r>
          </w:p>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（二）新建制革、化工、印染、电镀、酿造、水泥、石棉、玻璃等水污染严重的小型项目；</w:t>
            </w:r>
          </w:p>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（三）销售、使用含磷洗涤用品；</w:t>
            </w:r>
          </w:p>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（四）法律、法规禁止的其他行为。</w:t>
            </w:r>
          </w:p>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严格限制在水环境三级保护区内新建制革、化工、印染、电镀、酿造、水泥、石棉、玻璃等水污染严重的大中型项目；确需建设该类项目的，应当事先报经省人民政府环境保护行政主管部门批准。</w:t>
            </w:r>
          </w:p>
        </w:tc>
        <w:tc>
          <w:tcPr>
            <w:tcW w:w="2954" w:type="dxa"/>
            <w:tcBorders>
              <w:tl2br w:val="nil"/>
              <w:tr2bl w:val="nil"/>
            </w:tcBorders>
            <w:shd w:val="clear" w:color="auto" w:fill="auto"/>
            <w:vAlign w:val="center"/>
          </w:tcPr>
          <w:p>
            <w:pPr>
              <w:overflowPunct w:val="0"/>
              <w:autoSpaceDE w:val="0"/>
              <w:autoSpaceDN w:val="0"/>
              <w:spacing w:line="240" w:lineRule="auto"/>
              <w:ind w:left="113" w:leftChars="47" w:right="132" w:rightChars="55"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对照条例要求及安徽省发改委、安徽省经济和信息化厅、安徽省生态环境厅发布了《关于印发巢湖流域禁止和限制的产业产品目录的通知》（皖发改环资[2021]6号），本项目属于水运港口项目，不属于禁止和限制的产业产品。</w:t>
            </w:r>
          </w:p>
        </w:tc>
        <w:tc>
          <w:tcPr>
            <w:tcW w:w="639" w:type="dxa"/>
            <w:tcBorders>
              <w:tl2br w:val="nil"/>
              <w:tr2bl w:val="nil"/>
            </w:tcBorders>
            <w:shd w:val="clear" w:color="auto" w:fill="auto"/>
            <w:vAlign w:val="center"/>
          </w:tcPr>
          <w:p>
            <w:pPr>
              <w:overflowPunct w:val="0"/>
              <w:autoSpaceDE w:val="0"/>
              <w:autoSpaceDN w:val="0"/>
              <w:spacing w:line="240" w:lineRule="auto"/>
              <w:ind w:firstLine="0" w:firstLineChars="0"/>
              <w:jc w:val="center"/>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lang w:eastAsia="en-U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283" w:type="dxa"/>
            <w:vMerge w:val="continue"/>
            <w:tcBorders>
              <w:tl2br w:val="nil"/>
              <w:tr2bl w:val="nil"/>
            </w:tcBorders>
            <w:shd w:val="clear" w:color="auto" w:fill="auto"/>
            <w:vAlign w:val="center"/>
          </w:tcPr>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p>
        </w:tc>
        <w:tc>
          <w:tcPr>
            <w:tcW w:w="4054" w:type="dxa"/>
            <w:tcBorders>
              <w:tl2br w:val="nil"/>
              <w:tr2bl w:val="nil"/>
            </w:tcBorders>
            <w:shd w:val="clear" w:color="auto" w:fill="auto"/>
            <w:vAlign w:val="center"/>
          </w:tcPr>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第二十二条　排放水污染物，不得超过国家或者地方规定的水污染物排放标准和重点水污染物排放总量控制指标。</w:t>
            </w:r>
          </w:p>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排污单位应当按照国家和省有关规定建设规范化排污口，设置标注单位名称和排放污染物的种类、浓度及数量等内容的标志牌，在厂界内、外排污口分别设置排污取样口。</w:t>
            </w:r>
          </w:p>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排污单位间歇排放水污染物的，应当按照环境保护行政主管部门核定的时间排放。排放水污染物的时间应当向社会公布。</w:t>
            </w:r>
          </w:p>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新建、改建、扩大排污口，应当依法经有管辖权的水行政主管部门同意，并由环境保护行政主管部门对其建设项目的环境影响报告书进行审批。</w:t>
            </w:r>
          </w:p>
        </w:tc>
        <w:tc>
          <w:tcPr>
            <w:tcW w:w="2954" w:type="dxa"/>
            <w:tcBorders>
              <w:tl2br w:val="nil"/>
              <w:tr2bl w:val="nil"/>
            </w:tcBorders>
            <w:shd w:val="clear" w:color="auto" w:fill="auto"/>
            <w:vAlign w:val="center"/>
          </w:tcPr>
          <w:p>
            <w:pPr>
              <w:overflowPunct w:val="0"/>
              <w:autoSpaceDE w:val="0"/>
              <w:autoSpaceDN w:val="0"/>
              <w:spacing w:line="240" w:lineRule="auto"/>
              <w:ind w:left="113" w:leftChars="47" w:right="132" w:rightChars="55"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本项目为水运港口项目，港区内污水经收集处理达标后接管排入合肥循环经济示范园污水处理厂，本项目不设排污口，水污染物总量控制指标纳入合肥循环经济示范园污水处理厂总量指标中。</w:t>
            </w:r>
          </w:p>
        </w:tc>
        <w:tc>
          <w:tcPr>
            <w:tcW w:w="639" w:type="dxa"/>
            <w:tcBorders>
              <w:tl2br w:val="nil"/>
              <w:tr2bl w:val="nil"/>
            </w:tcBorders>
            <w:shd w:val="clear" w:color="auto" w:fill="auto"/>
            <w:vAlign w:val="center"/>
          </w:tcPr>
          <w:p>
            <w:pPr>
              <w:overflowPunct w:val="0"/>
              <w:autoSpaceDE w:val="0"/>
              <w:autoSpaceDN w:val="0"/>
              <w:spacing w:line="240" w:lineRule="auto"/>
              <w:ind w:firstLine="0" w:firstLineChars="0"/>
              <w:jc w:val="center"/>
              <w:textAlignment w:val="baseline"/>
              <w:rPr>
                <w:rFonts w:ascii="Times New Roman" w:hAnsi="Times New Roman" w:cs="Times New Roman"/>
                <w:color w:val="FF0000"/>
                <w:spacing w:val="-2"/>
                <w:kern w:val="0"/>
                <w:sz w:val="18"/>
                <w:szCs w:val="18"/>
                <w:lang w:eastAsia="en-US"/>
              </w:rPr>
            </w:pPr>
            <w:r>
              <w:rPr>
                <w:rFonts w:ascii="Times New Roman" w:hAnsi="Times New Roman" w:cs="Times New Roman"/>
                <w:color w:val="FF0000"/>
                <w:spacing w:val="-2"/>
                <w:kern w:val="0"/>
                <w:sz w:val="18"/>
                <w:szCs w:val="18"/>
                <w:lang w:eastAsia="en-U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283" w:type="dxa"/>
            <w:vMerge w:val="continue"/>
            <w:tcBorders>
              <w:tl2br w:val="nil"/>
              <w:tr2bl w:val="nil"/>
            </w:tcBorders>
            <w:shd w:val="clear" w:color="auto" w:fill="auto"/>
            <w:vAlign w:val="center"/>
          </w:tcPr>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lang w:eastAsia="en-US"/>
              </w:rPr>
            </w:pPr>
          </w:p>
        </w:tc>
        <w:tc>
          <w:tcPr>
            <w:tcW w:w="4054" w:type="dxa"/>
            <w:tcBorders>
              <w:tl2br w:val="nil"/>
              <w:tr2bl w:val="nil"/>
            </w:tcBorders>
            <w:shd w:val="clear" w:color="auto" w:fill="auto"/>
            <w:vAlign w:val="center"/>
          </w:tcPr>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第三十三条　在巢湖湖体开展水上旅游、水上运动、水上经营等开发利用活动，不得污染水质。有关行政主管部门在批准前，应当征求省巢湖管理局的意见。</w:t>
            </w:r>
          </w:p>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港口、码头应当设置污水污物收集、转运和处理装置。</w:t>
            </w:r>
          </w:p>
          <w:p>
            <w:pPr>
              <w:overflowPunct w:val="0"/>
              <w:autoSpaceDE w:val="0"/>
              <w:autoSpaceDN w:val="0"/>
              <w:spacing w:line="240" w:lineRule="auto"/>
              <w:ind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入湖船舶应当设置污水污物存贮装置、集油或者油水分离装置，不得向水体倾倒船舶垃圾或者排放船舶残油、废油。</w:t>
            </w:r>
          </w:p>
        </w:tc>
        <w:tc>
          <w:tcPr>
            <w:tcW w:w="2954" w:type="dxa"/>
            <w:tcBorders>
              <w:tl2br w:val="nil"/>
              <w:tr2bl w:val="nil"/>
            </w:tcBorders>
            <w:shd w:val="clear" w:color="auto" w:fill="auto"/>
            <w:vAlign w:val="center"/>
          </w:tcPr>
          <w:p>
            <w:pPr>
              <w:overflowPunct w:val="0"/>
              <w:autoSpaceDE w:val="0"/>
              <w:autoSpaceDN w:val="0"/>
              <w:spacing w:line="240" w:lineRule="auto"/>
              <w:ind w:left="113" w:leftChars="47" w:right="132" w:rightChars="55" w:firstLine="0" w:firstLineChars="0"/>
              <w:textAlignment w:val="baseline"/>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本项目为水运港口项目，码头设置船舶油污水、生活污水及生活垃圾收集、转运和处理装置。</w:t>
            </w:r>
          </w:p>
        </w:tc>
        <w:tc>
          <w:tcPr>
            <w:tcW w:w="639" w:type="dxa"/>
            <w:tcBorders>
              <w:tl2br w:val="nil"/>
              <w:tr2bl w:val="nil"/>
            </w:tcBorders>
            <w:shd w:val="clear" w:color="auto" w:fill="auto"/>
            <w:vAlign w:val="center"/>
          </w:tcPr>
          <w:p>
            <w:pPr>
              <w:overflowPunct w:val="0"/>
              <w:autoSpaceDE w:val="0"/>
              <w:autoSpaceDN w:val="0"/>
              <w:spacing w:line="240" w:lineRule="auto"/>
              <w:ind w:firstLine="0" w:firstLineChars="0"/>
              <w:jc w:val="center"/>
              <w:textAlignment w:val="baseline"/>
              <w:rPr>
                <w:rFonts w:ascii="Times New Roman" w:hAnsi="Times New Roman" w:cs="Times New Roman"/>
                <w:color w:val="FF0000"/>
                <w:spacing w:val="-2"/>
                <w:kern w:val="0"/>
                <w:sz w:val="18"/>
                <w:szCs w:val="18"/>
                <w:lang w:eastAsia="en-US"/>
              </w:rPr>
            </w:pPr>
            <w:r>
              <w:rPr>
                <w:rFonts w:ascii="Times New Roman" w:hAnsi="Times New Roman" w:cs="Times New Roman"/>
                <w:color w:val="FF0000"/>
                <w:spacing w:val="-2"/>
                <w:kern w:val="0"/>
                <w:sz w:val="18"/>
                <w:szCs w:val="18"/>
                <w:lang w:eastAsia="en-US"/>
              </w:rPr>
              <w:t>符合</w:t>
            </w:r>
          </w:p>
        </w:tc>
      </w:tr>
    </w:tbl>
    <w:p>
      <w:pPr>
        <w:pStyle w:val="5"/>
        <w:keepNext w:val="0"/>
        <w:keepLines w:val="0"/>
        <w:numPr>
          <w:ilvl w:val="3"/>
          <w:numId w:val="0"/>
        </w:numPr>
        <w:tabs>
          <w:tab w:val="left" w:pos="1080"/>
        </w:tabs>
        <w:spacing w:after="0" w:line="360" w:lineRule="auto"/>
        <w:rPr>
          <w:rFonts w:ascii="Times New Roman" w:hAnsi="Times New Roman" w:eastAsia="宋体" w:cs="Times New Roman"/>
          <w:color w:val="auto"/>
          <w:spacing w:val="-2"/>
          <w:sz w:val="24"/>
          <w:szCs w:val="22"/>
        </w:rPr>
      </w:pPr>
      <w:r>
        <w:rPr>
          <w:rFonts w:ascii="Times New Roman" w:hAnsi="Times New Roman" w:eastAsia="宋体" w:cs="Times New Roman"/>
          <w:color w:val="auto"/>
          <w:spacing w:val="-2"/>
          <w:sz w:val="24"/>
          <w:szCs w:val="22"/>
        </w:rPr>
        <w:t>2.4.3.13与《巢湖风景名胜区规划（2017年-2035年）》相符性分析</w:t>
      </w:r>
    </w:p>
    <w:p>
      <w:pPr>
        <w:widowControl/>
        <w:adjustRightInd/>
        <w:ind w:firstLine="480"/>
        <w:jc w:val="left"/>
        <w:rPr>
          <w:rFonts w:ascii="Times New Roman" w:hAnsi="Times New Roman" w:cs="Times New Roman"/>
        </w:rPr>
      </w:pPr>
      <w:r>
        <w:rPr>
          <w:rFonts w:ascii="Times New Roman" w:hAnsi="Times New Roman" w:cs="Times New Roman"/>
          <w:kern w:val="0"/>
          <w:szCs w:val="24"/>
        </w:rPr>
        <w:t>巢湖风景名胜区2002年批复为国家级风景名胜区，总面积1300.86平方公里，其中陆域面积517.86平方公里，巢湖水域面积783平方公里，核心景区总面积 445.21平方公里，其中陆域面积106.81平方公里，水域</w:t>
      </w:r>
      <w:r>
        <w:rPr>
          <w:rFonts w:ascii="Times New Roman" w:hAnsi="Times New Roman" w:cs="Times New Roman"/>
          <w:kern w:val="0"/>
        </w:rPr>
        <w:t>面积338.4 平方公里，占风景区总面积的比例为34.22%。</w:t>
      </w:r>
    </w:p>
    <w:p>
      <w:pPr>
        <w:widowControl/>
        <w:adjustRightInd/>
        <w:ind w:firstLine="480"/>
        <w:jc w:val="left"/>
        <w:rPr>
          <w:rFonts w:ascii="Times New Roman" w:hAnsi="Times New Roman" w:cs="Times New Roman"/>
          <w:color w:val="auto"/>
          <w:kern w:val="0"/>
          <w:szCs w:val="24"/>
        </w:rPr>
      </w:pPr>
      <w:r>
        <w:rPr>
          <w:rFonts w:ascii="Times New Roman" w:hAnsi="Times New Roman" w:cs="Times New Roman"/>
          <w:kern w:val="0"/>
          <w:szCs w:val="24"/>
        </w:rPr>
        <w:t xml:space="preserve">2017年为加强巢湖风景名胜区的严格保护和永续利用，安徽省住建厅及合肥市巢湖风景名胜区管理委员会组织编制《巢湖风景名胜区总体规划（2017-2035）》，规划资源分级保护及建设控制管理要求。 </w:t>
      </w:r>
    </w:p>
    <w:p>
      <w:pPr>
        <w:widowControl/>
        <w:adjustRightInd/>
        <w:ind w:firstLine="480"/>
        <w:jc w:val="left"/>
        <w:rPr>
          <w:rFonts w:ascii="Times New Roman" w:hAnsi="Times New Roman" w:cs="Times New Roman"/>
          <w:color w:val="auto"/>
          <w:kern w:val="0"/>
          <w:szCs w:val="24"/>
        </w:rPr>
      </w:pPr>
      <w:r>
        <w:rPr>
          <w:rFonts w:ascii="Times New Roman" w:hAnsi="Times New Roman" w:cs="Times New Roman"/>
          <w:kern w:val="0"/>
          <w:szCs w:val="24"/>
        </w:rPr>
        <w:t xml:space="preserve">划定一级保护区、二级保护区、三级保护区三个层次，实施分级保护与控制，并对一、二级保护区实施重点保护控制一级保护区（核心景区——严格禁止建设范围）：规划面积396.12平方公里，其中陆域面积91.27平方公里，巢湖水域面积304.85平方公里。以保护资源、维护和提升景观品质为主，加强对湖泊水域、自然山形地貌、动植物以及人文景观的严格保护。重点保护巢湖水资源，银屏山、龟山、四顶山等山体，红石咀、黑石咀等湾咀崖石景观，以及三河老街、中庙、鼓山寺等文化资源。适度开展观光游览、生态休闲活动；适当设置景观休憩、游览步道、生态厕所、游客安全等设施。严禁建设与风景游赏和保护无关的建筑物，区内不得安排任何重大建设工程项目；应严格控制游客容量；控制外来机动交通进入保护区；除三河古镇区，核心景区内的居民点应逐步迁出。 </w:t>
      </w:r>
    </w:p>
    <w:p>
      <w:pPr>
        <w:widowControl/>
        <w:adjustRightInd/>
        <w:ind w:firstLine="480"/>
        <w:jc w:val="left"/>
        <w:rPr>
          <w:rFonts w:ascii="Times New Roman" w:hAnsi="Times New Roman" w:cs="Times New Roman"/>
          <w:color w:val="auto"/>
          <w:kern w:val="0"/>
          <w:szCs w:val="24"/>
        </w:rPr>
      </w:pPr>
      <w:r>
        <w:rPr>
          <w:rFonts w:ascii="Times New Roman" w:hAnsi="Times New Roman" w:cs="Times New Roman"/>
          <w:kern w:val="0"/>
          <w:szCs w:val="24"/>
        </w:rPr>
        <w:t xml:space="preserve">二级保护区(严格限制建设范围)：包括二、三级景源周边范围以及具有典型性景观的地区，规划面积 635.32 平方公里，其中陆域面积 157.17 平方公里，巢湖水域面积478.15 平方公里。以风景游赏和风景恢复为主，鼓励游览区建设，改善游览条件和生态环境，对已被破坏的风景资源实施景观和生态恢复。区内不得安排本规划确定以外的重大建设工程项目，限制与风景游赏无关的建设，限制外来机动交通进入。巢湖岸线外延 100 米范围内原则上不得新增与防洪保安、生态保护和景点建设无关的建筑物。现有建筑和设施对景观环境有影响的，应进行景观改造或逐步拆除。 </w:t>
      </w:r>
    </w:p>
    <w:p>
      <w:pPr>
        <w:widowControl/>
        <w:adjustRightInd/>
        <w:ind w:firstLine="480"/>
        <w:jc w:val="left"/>
        <w:rPr>
          <w:rFonts w:ascii="Times New Roman" w:hAnsi="Times New Roman" w:cs="Times New Roman"/>
          <w:kern w:val="0"/>
          <w:szCs w:val="24"/>
        </w:rPr>
      </w:pPr>
      <w:r>
        <w:rPr>
          <w:rFonts w:ascii="Times New Roman" w:hAnsi="Times New Roman" w:cs="Times New Roman"/>
          <w:kern w:val="0"/>
          <w:szCs w:val="24"/>
        </w:rPr>
        <w:t>三级保护区（控制建设范围）：一、二级保护区以外的区域，是风景区重要的设施建设区或环境背景区，规划面积 268.20 平方公里。三级保护区应通过编制详细规划，合理安排游览服务设施，有序引导各项建设活动。建设用地规模、建筑面积、建筑风貌、体量、色彩、高度等控制指标或要求应以景区详细规划为依据，严格履行审批手续。</w:t>
      </w:r>
    </w:p>
    <w:p>
      <w:pPr>
        <w:widowControl/>
        <w:adjustRightInd/>
        <w:ind w:firstLine="482"/>
        <w:jc w:val="left"/>
        <w:rPr>
          <w:rFonts w:ascii="Times New Roman" w:hAnsi="Times New Roman" w:cs="Times New Roman"/>
          <w:b/>
          <w:bCs/>
          <w:color w:val="FF0000"/>
          <w:kern w:val="0"/>
          <w:szCs w:val="24"/>
        </w:rPr>
      </w:pPr>
      <w:r>
        <w:rPr>
          <w:rFonts w:ascii="Times New Roman" w:hAnsi="Times New Roman" w:cs="Times New Roman"/>
          <w:b/>
          <w:bCs/>
          <w:color w:val="FF0000"/>
          <w:kern w:val="0"/>
          <w:szCs w:val="24"/>
        </w:rPr>
        <w:t>符合性分析：根据</w:t>
      </w:r>
      <w:r>
        <w:rPr>
          <w:rFonts w:ascii="Times New Roman" w:hAnsi="Times New Roman" w:cs="Times New Roman"/>
          <w:b/>
          <w:bCs/>
          <w:color w:val="FF0000"/>
          <w:spacing w:val="-2"/>
        </w:rPr>
        <w:t>《巢湖风景名胜区规划（2017年-2035年）》，本项目选址不</w:t>
      </w:r>
      <w:r>
        <w:rPr>
          <w:rFonts w:hint="eastAsia" w:ascii="Times New Roman" w:hAnsi="Times New Roman" w:cs="Times New Roman"/>
          <w:b/>
          <w:bCs/>
          <w:color w:val="FF0000"/>
          <w:spacing w:val="-2"/>
        </w:rPr>
        <w:t>在</w:t>
      </w:r>
      <w:r>
        <w:rPr>
          <w:rFonts w:ascii="Times New Roman" w:hAnsi="Times New Roman" w:cs="Times New Roman"/>
          <w:b/>
          <w:bCs/>
          <w:color w:val="FF0000"/>
          <w:kern w:val="0"/>
          <w:szCs w:val="24"/>
        </w:rPr>
        <w:t>划定的一级保护区、二级保护区、三级保护区范围内，</w:t>
      </w:r>
      <w:r>
        <w:rPr>
          <w:rFonts w:hint="eastAsia" w:ascii="Times New Roman" w:hAnsi="Times New Roman" w:cs="Times New Roman"/>
          <w:b/>
          <w:bCs/>
          <w:color w:val="FF0000"/>
          <w:kern w:val="0"/>
          <w:szCs w:val="24"/>
        </w:rPr>
        <w:t>与巢湖风景名胜区规划不冲突</w:t>
      </w:r>
      <w:r>
        <w:rPr>
          <w:rFonts w:ascii="Times New Roman" w:hAnsi="Times New Roman" w:cs="Times New Roman"/>
          <w:b/>
          <w:bCs/>
          <w:color w:val="FF0000"/>
          <w:kern w:val="0"/>
          <w:szCs w:val="24"/>
        </w:rPr>
        <w:t>。</w:t>
      </w:r>
    </w:p>
    <w:p>
      <w:pPr>
        <w:pStyle w:val="5"/>
        <w:keepNext w:val="0"/>
        <w:keepLines w:val="0"/>
        <w:numPr>
          <w:ilvl w:val="3"/>
          <w:numId w:val="0"/>
        </w:numPr>
        <w:tabs>
          <w:tab w:val="left" w:pos="1080"/>
        </w:tabs>
        <w:spacing w:before="166" w:beforeLines="50" w:after="0" w:line="360" w:lineRule="auto"/>
        <w:rPr>
          <w:rFonts w:ascii="Times New Roman" w:hAnsi="Times New Roman" w:eastAsia="宋体" w:cs="Times New Roman"/>
          <w:color w:val="auto"/>
          <w:spacing w:val="-2"/>
          <w:sz w:val="24"/>
          <w:szCs w:val="22"/>
        </w:rPr>
      </w:pPr>
      <w:r>
        <w:rPr>
          <w:rFonts w:ascii="Times New Roman" w:hAnsi="Times New Roman" w:eastAsia="宋体" w:cs="Times New Roman"/>
          <w:color w:val="auto"/>
          <w:spacing w:val="-2"/>
          <w:sz w:val="24"/>
          <w:szCs w:val="22"/>
        </w:rPr>
        <w:t>2.4.3.14《巢湖综合治理绿色发展总体规划（2018-2035）》</w:t>
      </w:r>
    </w:p>
    <w:p>
      <w:pPr>
        <w:pStyle w:val="98"/>
        <w:snapToGrid w:val="0"/>
        <w:ind w:firstLine="480" w:firstLineChars="200"/>
        <w:rPr>
          <w:rFonts w:ascii="Times New Roman" w:hAnsi="Times New Roman" w:cs="Times New Roman"/>
        </w:rPr>
      </w:pPr>
      <w:r>
        <w:rPr>
          <w:rFonts w:ascii="Times New Roman" w:hAnsi="Times New Roman" w:cs="Times New Roman"/>
        </w:rPr>
        <w:t>第十章  打造绿色综合交通体系：依据巢湖水环境承载力，科学合理确定航运目标，优化港口与码头布局，开展船舶及港口污染防治。加快建设引江济淮工程和整合合新欧国际班列、长江黄金水道等战略性交通设施，提升合肥全国性综合交通枢纽地位和辐射带动力，充分发挥合肥作为长江经济带和一带一路“双节点”城市功能。着力发展绿色交通、智能交通，形成连通城乡、引领合肥都市圈、辐射长三角、沟通 全国、联通国际的现代化综合立体绿色交通体系，增强对巢湖流域绿色发展的战略支撑力。</w:t>
      </w:r>
    </w:p>
    <w:p>
      <w:pPr>
        <w:pStyle w:val="98"/>
        <w:snapToGrid w:val="0"/>
        <w:ind w:firstLine="480" w:firstLineChars="200"/>
        <w:rPr>
          <w:rFonts w:ascii="Times New Roman" w:hAnsi="Times New Roman" w:cs="Times New Roman"/>
        </w:rPr>
      </w:pPr>
      <w:r>
        <w:rPr>
          <w:rFonts w:ascii="Times New Roman" w:hAnsi="Times New Roman" w:cs="Times New Roman"/>
        </w:rPr>
        <w:t>优化港口布局。根据合肥市航道规划布局特点、沿河产业分布情况、港口功能布局现状等诸多因素，规划按照河流对港区重新划分，各港区命名的原则为：与巢湖直接相连接的河流名称命名港区名称，同时兼顾合肥市港航、水利部门对河流名称习惯性说法。调整后港区名称为：南淝河港区、江淮运河港区、丰乐河港区、白石天河港区、兆西河港区、裕溪河港区、环湖港区，未来合肥港将形成“一湖六线、一港七区”的总体布局体系。</w:t>
      </w:r>
    </w:p>
    <w:p>
      <w:pPr>
        <w:pStyle w:val="98"/>
        <w:snapToGrid w:val="0"/>
        <w:ind w:firstLine="480" w:firstLineChars="200"/>
        <w:rPr>
          <w:rFonts w:ascii="Times New Roman" w:hAnsi="Times New Roman" w:cs="Times New Roman"/>
        </w:rPr>
      </w:pPr>
      <w:r>
        <w:rPr>
          <w:rFonts w:ascii="Times New Roman" w:hAnsi="Times New Roman" w:cs="Times New Roman"/>
        </w:rPr>
        <w:t>规划到港船型。根据合肥港吞吐量预测及主要货类的流量、流向特点，结合国内外船船发展趋势、航道条件等因素，参考《长江水系过闸运输船舶标准船型主尺度系列》、《京杭运河、淮河水系过闸运输船舶标准船型主尺度系列》，经论证，推荐规划船型如 为：集装箱船、散货、件杂货船、油品及化工品船、旅游船。</w:t>
      </w:r>
    </w:p>
    <w:p>
      <w:pPr>
        <w:pStyle w:val="98"/>
        <w:snapToGrid w:val="0"/>
        <w:ind w:firstLine="480" w:firstLineChars="200"/>
        <w:rPr>
          <w:rFonts w:ascii="Times New Roman" w:hAnsi="Times New Roman" w:cs="Times New Roman"/>
        </w:rPr>
      </w:pPr>
      <w:r>
        <w:rPr>
          <w:rFonts w:ascii="Times New Roman" w:hAnsi="Times New Roman" w:cs="Times New Roman"/>
        </w:rPr>
        <w:t>开展船舶及港口污染防治。加强船舶污染物排放监管。强化监测和监管能力建设，建立交通运输环境监测网络，完善交通运输环境监测、监管机制；建立完善船舶污染物接收、转运、处置 监管联单制度，加强对船舶防污染设施、污染物偷排漏排行为和 船用燃料油质量监督检查，坚决制止和纠正违法违规行为。开展港口作业污染专项治理。加强港口作业扬尘监管，开展干散货码头粉尘专项治理，全面推进主要港口大型煤炭、矿石码头堆场防风抑尘设施建设和设备配备；推进原油成品油码头油气回收治理。</w:t>
      </w:r>
    </w:p>
    <w:p>
      <w:pPr>
        <w:pStyle w:val="98"/>
        <w:snapToGrid w:val="0"/>
        <w:ind w:firstLine="481" w:firstLineChars="200"/>
        <w:rPr>
          <w:rFonts w:ascii="Times New Roman" w:hAnsi="Times New Roman" w:cs="Times New Roman"/>
        </w:rPr>
      </w:pPr>
      <w:r>
        <w:rPr>
          <w:rFonts w:ascii="Times New Roman" w:hAnsi="Times New Roman" w:cs="Times New Roman"/>
          <w:b/>
          <w:bCs/>
          <w:kern w:val="0"/>
        </w:rPr>
        <w:t>符合性分析：本项目</w:t>
      </w:r>
      <w:r>
        <w:rPr>
          <w:rFonts w:hint="eastAsia" w:ascii="Times New Roman" w:hAnsi="Times New Roman" w:cs="Times New Roman"/>
          <w:b/>
          <w:bCs/>
          <w:kern w:val="0"/>
        </w:rPr>
        <w:t>位于合肥港南淝河港区，</w:t>
      </w:r>
      <w:r>
        <w:rPr>
          <w:rFonts w:ascii="Times New Roman" w:hAnsi="Times New Roman" w:cs="Times New Roman"/>
          <w:b/>
          <w:bCs/>
          <w:kern w:val="0"/>
        </w:rPr>
        <w:t>使用循环经济示范园作业区石油化工码头区港口岸线640m，拟建设7个1000吨级液体油品化工泊位，年设计通过能力为338.9万吨，</w:t>
      </w:r>
      <w:r>
        <w:rPr>
          <w:rFonts w:hint="eastAsia" w:ascii="Times New Roman" w:hAnsi="Times New Roman" w:cs="Times New Roman"/>
          <w:b/>
          <w:bCs/>
          <w:color w:val="FF0000"/>
          <w:szCs w:val="22"/>
        </w:rPr>
        <w:t>根据</w:t>
      </w:r>
      <w:r>
        <w:rPr>
          <w:rFonts w:ascii="Times New Roman" w:hAnsi="Times New Roman" w:cs="Times New Roman"/>
          <w:b/>
          <w:bCs/>
          <w:color w:val="FF0000"/>
        </w:rPr>
        <w:t>《合肥港总体规划（2035年）》及规划环评中南淝河港区区分货类吞吐量预测</w:t>
      </w:r>
      <w:r>
        <w:rPr>
          <w:rFonts w:hint="eastAsia" w:ascii="Times New Roman" w:hAnsi="Times New Roman" w:cs="Times New Roman"/>
          <w:b/>
          <w:bCs/>
          <w:color w:val="FF0000"/>
        </w:rPr>
        <w:t>（详见表2</w:t>
      </w:r>
      <w:r>
        <w:rPr>
          <w:rFonts w:ascii="Times New Roman" w:hAnsi="Times New Roman" w:cs="Times New Roman"/>
          <w:b/>
          <w:bCs/>
          <w:color w:val="FF0000"/>
        </w:rPr>
        <w:t>.4-1</w:t>
      </w:r>
      <w:r>
        <w:rPr>
          <w:rFonts w:hint="eastAsia" w:ascii="Times New Roman" w:hAnsi="Times New Roman" w:cs="Times New Roman"/>
          <w:b/>
          <w:bCs/>
          <w:color w:val="FF0000"/>
        </w:rPr>
        <w:t>），南淝河港区石油及制品和化工原料及制品合计2</w:t>
      </w:r>
      <w:r>
        <w:rPr>
          <w:rFonts w:ascii="Times New Roman" w:hAnsi="Times New Roman" w:cs="Times New Roman"/>
          <w:b/>
          <w:bCs/>
          <w:color w:val="FF0000"/>
        </w:rPr>
        <w:t>030</w:t>
      </w:r>
      <w:r>
        <w:rPr>
          <w:rFonts w:hint="eastAsia" w:ascii="Times New Roman" w:hAnsi="Times New Roman" w:cs="Times New Roman"/>
          <w:b/>
          <w:bCs/>
          <w:color w:val="FF0000"/>
        </w:rPr>
        <w:t>年预测吞吐量为4</w:t>
      </w:r>
      <w:r>
        <w:rPr>
          <w:rFonts w:ascii="Times New Roman" w:hAnsi="Times New Roman" w:cs="Times New Roman"/>
          <w:b/>
          <w:bCs/>
          <w:color w:val="FF0000"/>
        </w:rPr>
        <w:t>20</w:t>
      </w:r>
      <w:r>
        <w:rPr>
          <w:rFonts w:hint="eastAsia" w:ascii="Times New Roman" w:hAnsi="Times New Roman" w:cs="Times New Roman"/>
          <w:b/>
          <w:bCs/>
          <w:color w:val="FF0000"/>
        </w:rPr>
        <w:t>万吨</w:t>
      </w:r>
      <w:r>
        <w:rPr>
          <w:rFonts w:hint="eastAsia" w:ascii="Times New Roman" w:hAnsi="Times New Roman" w:cs="Times New Roman"/>
          <w:b/>
          <w:bCs/>
          <w:color w:val="FF0000"/>
          <w:szCs w:val="22"/>
        </w:rPr>
        <w:t>；本工程</w:t>
      </w:r>
      <w:r>
        <w:rPr>
          <w:rFonts w:ascii="Times New Roman" w:hAnsi="Times New Roman" w:cs="Times New Roman"/>
          <w:b/>
          <w:bCs/>
          <w:color w:val="FF0000"/>
          <w:szCs w:val="22"/>
        </w:rPr>
        <w:t>年设计通过能力为338.9万吨，2030年水平年预测吞吐量为300万吨；</w:t>
      </w:r>
      <w:r>
        <w:rPr>
          <w:rFonts w:hint="eastAsia" w:ascii="Times New Roman" w:hAnsi="Times New Roman" w:cs="Times New Roman"/>
          <w:b/>
          <w:bCs/>
          <w:color w:val="FF0000"/>
          <w:szCs w:val="22"/>
        </w:rPr>
        <w:t>本工程</w:t>
      </w:r>
      <w:r>
        <w:rPr>
          <w:rFonts w:ascii="Times New Roman" w:hAnsi="Times New Roman" w:cs="Times New Roman"/>
          <w:b/>
          <w:bCs/>
          <w:color w:val="FF0000"/>
          <w:szCs w:val="22"/>
        </w:rPr>
        <w:t>码头设计通过能力及预测吞吐量未突破规划预测吞吐量。</w:t>
      </w:r>
      <w:r>
        <w:rPr>
          <w:rFonts w:ascii="Times New Roman" w:hAnsi="Times New Roman" w:cs="Times New Roman"/>
          <w:b/>
          <w:bCs/>
          <w:kern w:val="0"/>
        </w:rPr>
        <w:t>工程建设地点与规模、泊位等级</w:t>
      </w:r>
      <w:r>
        <w:rPr>
          <w:rFonts w:hint="eastAsia" w:ascii="Times New Roman" w:hAnsi="Times New Roman" w:cs="Times New Roman"/>
          <w:b/>
          <w:bCs/>
          <w:kern w:val="0"/>
        </w:rPr>
        <w:t>、</w:t>
      </w:r>
      <w:r>
        <w:rPr>
          <w:rFonts w:ascii="Times New Roman" w:hAnsi="Times New Roman" w:cs="Times New Roman"/>
          <w:b/>
          <w:bCs/>
          <w:kern w:val="0"/>
        </w:rPr>
        <w:t>使用岸线长度</w:t>
      </w:r>
      <w:r>
        <w:rPr>
          <w:rFonts w:hint="eastAsia" w:ascii="Times New Roman" w:hAnsi="Times New Roman" w:cs="Times New Roman"/>
          <w:b/>
          <w:bCs/>
          <w:kern w:val="0"/>
        </w:rPr>
        <w:t>、</w:t>
      </w:r>
      <w:r>
        <w:rPr>
          <w:rFonts w:ascii="Times New Roman" w:hAnsi="Times New Roman" w:cs="Times New Roman"/>
          <w:b/>
          <w:bCs/>
          <w:color w:val="FF0000"/>
          <w:szCs w:val="22"/>
        </w:rPr>
        <w:t>设计通过能力及预测吞吐量</w:t>
      </w:r>
      <w:r>
        <w:rPr>
          <w:rFonts w:ascii="Times New Roman" w:hAnsi="Times New Roman" w:cs="Times New Roman"/>
          <w:b/>
          <w:bCs/>
          <w:kern w:val="0"/>
        </w:rPr>
        <w:t>均符合《合肥港总体规划（2035年）》，</w:t>
      </w:r>
      <w:r>
        <w:rPr>
          <w:rFonts w:ascii="Times New Roman" w:hAnsi="Times New Roman" w:cs="Times New Roman"/>
          <w:b/>
          <w:bCs/>
        </w:rPr>
        <w:t>本项目为液体化学品和油品码头，采取油气回收等措施控制油品码头和罐区的无组织排放。船舶生活污水用污水泵抽取至船舶生活污水收集池，随港区生活污水经化粪池处理后一道接入合肥循环经济示范园污水处理厂；船舶</w:t>
      </w:r>
      <w:r>
        <w:rPr>
          <w:rFonts w:hint="eastAsia" w:ascii="Times New Roman" w:hAnsi="Times New Roman" w:cs="Times New Roman"/>
          <w:b/>
          <w:bCs/>
        </w:rPr>
        <w:t>含</w:t>
      </w:r>
      <w:r>
        <w:rPr>
          <w:rFonts w:ascii="Times New Roman" w:hAnsi="Times New Roman" w:cs="Times New Roman"/>
          <w:b/>
          <w:bCs/>
        </w:rPr>
        <w:t>油污水用污水泵抽取至船舶油污水收集池收集后，经陆域含油污水处理装置进行处理，符合规划要求。</w:t>
      </w:r>
    </w:p>
    <w:p>
      <w:pPr>
        <w:pStyle w:val="98"/>
        <w:ind w:firstLine="480" w:firstLineChars="200"/>
        <w:rPr>
          <w:rFonts w:ascii="Times New Roman" w:hAnsi="Times New Roman" w:cs="Times New Roman"/>
        </w:rPr>
      </w:pPr>
    </w:p>
    <w:p>
      <w:pPr>
        <w:pStyle w:val="98"/>
        <w:ind w:firstLine="480" w:firstLineChars="200"/>
        <w:rPr>
          <w:rFonts w:ascii="Times New Roman" w:hAnsi="Times New Roman" w:cs="Times New Roman"/>
        </w:rPr>
        <w:sectPr>
          <w:pgSz w:w="11906" w:h="16838"/>
          <w:pgMar w:top="1417" w:right="1417" w:bottom="1417" w:left="1417" w:header="850" w:footer="992" w:gutter="0"/>
          <w:cols w:space="720" w:num="1"/>
          <w:docGrid w:type="lines" w:linePitch="333" w:charSpace="0"/>
        </w:sectPr>
      </w:pPr>
    </w:p>
    <w:p>
      <w:pPr>
        <w:pStyle w:val="98"/>
        <w:ind w:firstLine="141" w:firstLineChars="59"/>
        <w:rPr>
          <w:rFonts w:ascii="Times New Roman" w:hAnsi="Times New Roman" w:cs="Times New Roman"/>
        </w:rPr>
      </w:pPr>
      <w:r>
        <mc:AlternateContent>
          <mc:Choice Requires="wps">
            <w:drawing>
              <wp:anchor distT="0" distB="0" distL="114300" distR="114300" simplePos="0" relativeHeight="251713536" behindDoc="0" locked="0" layoutInCell="1" allowOverlap="1">
                <wp:simplePos x="0" y="0"/>
                <wp:positionH relativeFrom="column">
                  <wp:posOffset>3670935</wp:posOffset>
                </wp:positionH>
                <wp:positionV relativeFrom="paragraph">
                  <wp:posOffset>778510</wp:posOffset>
                </wp:positionV>
                <wp:extent cx="1616075" cy="1254760"/>
                <wp:effectExtent l="0" t="0" r="22225" b="22225"/>
                <wp:wrapNone/>
                <wp:docPr id="1958" name="矩形 1958"/>
                <wp:cNvGraphicFramePr/>
                <a:graphic xmlns:a="http://schemas.openxmlformats.org/drawingml/2006/main">
                  <a:graphicData uri="http://schemas.microsoft.com/office/word/2010/wordprocessingShape">
                    <wps:wsp>
                      <wps:cNvSpPr/>
                      <wps:spPr>
                        <a:xfrm>
                          <a:off x="0" y="0"/>
                          <a:ext cx="1616149" cy="125464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89.05pt;margin-top:61.3pt;height:98.8pt;width:127.25pt;z-index:251713536;v-text-anchor:middle;mso-width-relative:page;mso-height-relative:page;" filled="f" stroked="t" coordsize="21600,21600" o:gfxdata="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BYAAABkcnMv&#10;UEsBAhQAFAAAAAgAh07iQNHgDvDYAAAACwEAAA8AAAAAAAAAAQAgAAAAOAAAAGRycy9kb3ducmV2&#10;LnhtbFBLAQIUABQAAAAIAIdO4kCgGhLpWAIAAJMEAAAOAAAAAAAAAAEAIAAAAD0BAABkcnMvZTJv&#10;RG9jLnhtbFBLBQYAAAAABgAGAFkBAAAHBgAAAAA=&#10;">
                <v:fill on="f" focussize="0,0"/>
                <v:stroke weight="1.5pt" color="#FF0000 [3204]" miterlimit="8" joinstyle="miter"/>
                <v:imagedata o:title=""/>
                <o:lock v:ext="edit" aspectratio="f"/>
              </v:rect>
            </w:pict>
          </mc:Fallback>
        </mc:AlternateContent>
      </w:r>
      <w:r>
        <mc:AlternateContent>
          <mc:Choice Requires="wps">
            <w:drawing>
              <wp:anchor distT="0" distB="0" distL="114300" distR="114300" simplePos="0" relativeHeight="251711488" behindDoc="0" locked="0" layoutInCell="1" allowOverlap="1">
                <wp:simplePos x="0" y="0"/>
                <wp:positionH relativeFrom="column">
                  <wp:posOffset>10082530</wp:posOffset>
                </wp:positionH>
                <wp:positionV relativeFrom="paragraph">
                  <wp:posOffset>874395</wp:posOffset>
                </wp:positionV>
                <wp:extent cx="170180" cy="180975"/>
                <wp:effectExtent l="19050" t="38100" r="40005" b="29210"/>
                <wp:wrapNone/>
                <wp:docPr id="1955" name="星形: 五角 1955"/>
                <wp:cNvGraphicFramePr/>
                <a:graphic xmlns:a="http://schemas.openxmlformats.org/drawingml/2006/main">
                  <a:graphicData uri="http://schemas.microsoft.com/office/word/2010/wordprocessingShape">
                    <wps:wsp>
                      <wps:cNvSpPr/>
                      <wps:spPr>
                        <a:xfrm>
                          <a:off x="0" y="0"/>
                          <a:ext cx="170121" cy="180754"/>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星形: 五角 1955" o:spid="_x0000_s1026" style="position:absolute;left:0pt;margin-left:793.9pt;margin-top:68.85pt;height:14.25pt;width:13.4pt;z-index:251711488;v-text-anchor:middle;mso-width-relative:page;mso-height-relative:page;" fillcolor="#4472C4 [3204]" filled="t" stroked="t" coordsize="170121,180754" o:gfxdata="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WAAAAZHJzL1BLAQIUABQAAAAIAIdO4kC0HH7/&#10;2AAAAA0BAAAPAAAAAAAAAAEAIAAAADgAAABkcnMvZG93bnJldi54bWxQSwECFAAUAAAACACHTuJA&#10;EYcoFn0CAADkBAAADgAAAAAAAAABACAAAAA9AQAAZHJzL2Uyb0RvYy54bWxQSwUGAAAAAAYABgBZ&#10;AQAALAYAAAAA&#10;" path="m0,69041l64980,69042,85060,0,105140,69042,170120,69041,117550,111711,137630,180753,85060,138082,32490,180753,52570,111711xe">
                <v:path o:connectlocs="85060,0;0,69041;32490,180753;137630,180753;170120,69041" o:connectangles="247,164,82,82,0"/>
                <v:fill on="t" focussize="0,0"/>
                <v:stroke weight="1pt" color="#2F528F [3204]" miterlimit="8" joinstyle="miter"/>
                <v:imagedata o:title=""/>
                <o:lock v:ext="edit" aspectratio="f"/>
              </v:shape>
            </w:pict>
          </mc:Fallback>
        </mc:AlternateContent>
      </w:r>
      <w:r>
        <mc:AlternateContent>
          <mc:Choice Requires="wps">
            <w:drawing>
              <wp:anchor distT="0" distB="0" distL="114300" distR="114300" simplePos="0" relativeHeight="251712512" behindDoc="0" locked="0" layoutInCell="1" allowOverlap="1">
                <wp:simplePos x="0" y="0"/>
                <wp:positionH relativeFrom="column">
                  <wp:posOffset>10443210</wp:posOffset>
                </wp:positionH>
                <wp:positionV relativeFrom="paragraph">
                  <wp:posOffset>1590040</wp:posOffset>
                </wp:positionV>
                <wp:extent cx="802640" cy="337185"/>
                <wp:effectExtent l="304800" t="609600" r="16510" b="25400"/>
                <wp:wrapNone/>
                <wp:docPr id="1956" name="对话气泡: 圆角矩形 1956"/>
                <wp:cNvGraphicFramePr/>
                <a:graphic xmlns:a="http://schemas.openxmlformats.org/drawingml/2006/main">
                  <a:graphicData uri="http://schemas.microsoft.com/office/word/2010/wordprocessingShape">
                    <wps:wsp>
                      <wps:cNvSpPr/>
                      <wps:spPr>
                        <a:xfrm>
                          <a:off x="0" y="0"/>
                          <a:ext cx="802640" cy="337141"/>
                        </a:xfrm>
                        <a:prstGeom prst="wedgeRoundRectCallout">
                          <a:avLst>
                            <a:gd name="adj1" fmla="val -83716"/>
                            <a:gd name="adj2" fmla="val -213413"/>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ind w:firstLine="0" w:firstLineChars="0"/>
                              <w:jc w:val="center"/>
                              <w:rPr>
                                <w:color w:val="FF0000"/>
                              </w:rPr>
                            </w:pPr>
                            <w:r>
                              <w:rPr>
                                <w:rFonts w:hint="eastAsia"/>
                                <w:color w:val="FF0000"/>
                                <w:highlight w:val="yellow"/>
                              </w:rPr>
                              <w:t>本项目</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对话气泡: 圆角矩形 1956" o:spid="_x0000_s1026" o:spt="62" type="#_x0000_t62" style="position:absolute;left:0pt;margin-left:822.3pt;margin-top:125.2pt;height:26.55pt;width:63.2pt;z-index:251712512;v-text-anchor:middle;mso-width-relative:page;mso-height-relative:page;" fillcolor="#4472C4 [3204]" filled="t" stroked="t" coordsize="21600,21600" o:gfxdata="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WAAAAZHJzL1BLAQIUABQAAAAIAIdO4kCQZB552gAAAA0BAAAPAAAAAAAAAAEAIAAAADgAAABk&#10;cnMvZG93bnJldi54bWxQSwECFAAUAAAACACHTuJAzSM51dICAACDBQAADgAAAAAAAAABACAAAAA/&#10;AQAAZHJzL2Uyb0RvYy54bWxQSwUGAAAAAAYABgBZAQAAgwYAAAAA&#10;" adj="0,0,14400">
                <v:fill on="t" focussize="0,0"/>
                <v:stroke weight="1pt" color="#2F528F [3204]" miterlimit="8" joinstyle="miter"/>
                <v:imagedata o:title=""/>
                <o:lock v:ext="edit" aspectratio="f"/>
                <v:textbox>
                  <w:txbxContent>
                    <w:p>
                      <w:pPr>
                        <w:ind w:firstLine="0" w:firstLineChars="0"/>
                        <w:jc w:val="center"/>
                        <w:rPr>
                          <w:color w:val="FF0000"/>
                        </w:rPr>
                      </w:pPr>
                      <w:r>
                        <w:rPr>
                          <w:rFonts w:hint="eastAsia"/>
                          <w:color w:val="FF0000"/>
                          <w:highlight w:val="yellow"/>
                        </w:rPr>
                        <w:t>本项目</w:t>
                      </w:r>
                    </w:p>
                  </w:txbxContent>
                </v:textbox>
              </v:shape>
            </w:pict>
          </mc:Fallback>
        </mc:AlternateContent>
      </w:r>
      <w:r>
        <w:drawing>
          <wp:anchor distT="0" distB="0" distL="114300" distR="114300" simplePos="0" relativeHeight="251710464" behindDoc="0" locked="0" layoutInCell="1" allowOverlap="1">
            <wp:simplePos x="0" y="0"/>
            <wp:positionH relativeFrom="column">
              <wp:posOffset>6356350</wp:posOffset>
            </wp:positionH>
            <wp:positionV relativeFrom="paragraph">
              <wp:posOffset>443230</wp:posOffset>
            </wp:positionV>
            <wp:extent cx="5015230" cy="3395980"/>
            <wp:effectExtent l="0" t="0" r="0" b="0"/>
            <wp:wrapNone/>
            <wp:docPr id="1954" name="图片 19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54" name="图片 1954"/>
                    <pic:cNvPicPr>
                      <a:picLocks noChangeAspect="true"/>
                    </pic:cNvPicPr>
                  </pic:nvPicPr>
                  <pic:blipFill>
                    <a:blip r:embed="rId42"/>
                    <a:stretch>
                      <a:fillRect/>
                    </a:stretch>
                  </pic:blipFill>
                  <pic:spPr>
                    <a:xfrm>
                      <a:off x="0" y="0"/>
                      <a:ext cx="5015496" cy="3395773"/>
                    </a:xfrm>
                    <a:prstGeom prst="rect">
                      <a:avLst/>
                    </a:prstGeom>
                  </pic:spPr>
                </pic:pic>
              </a:graphicData>
            </a:graphic>
          </wp:anchor>
        </w:drawing>
      </w:r>
      <w:r>
        <mc:AlternateContent>
          <mc:Choice Requires="wps">
            <w:drawing>
              <wp:anchor distT="0" distB="0" distL="114300" distR="114300" simplePos="0" relativeHeight="251714560" behindDoc="0" locked="0" layoutInCell="1" allowOverlap="1">
                <wp:simplePos x="0" y="0"/>
                <wp:positionH relativeFrom="column">
                  <wp:posOffset>4851400</wp:posOffset>
                </wp:positionH>
                <wp:positionV relativeFrom="paragraph">
                  <wp:posOffset>1119505</wp:posOffset>
                </wp:positionV>
                <wp:extent cx="2530475" cy="148590"/>
                <wp:effectExtent l="0" t="57150" r="22225" b="22860"/>
                <wp:wrapNone/>
                <wp:docPr id="1959" name="直接箭头连接符 1959"/>
                <wp:cNvGraphicFramePr/>
                <a:graphic xmlns:a="http://schemas.openxmlformats.org/drawingml/2006/main">
                  <a:graphicData uri="http://schemas.microsoft.com/office/word/2010/wordprocessingShape">
                    <wps:wsp>
                      <wps:cNvCnPr/>
                      <wps:spPr>
                        <a:xfrm flipV="true">
                          <a:off x="0" y="0"/>
                          <a:ext cx="2530549" cy="14870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82pt;margin-top:88.15pt;height:11.7pt;width:199.25pt;z-index:251714560;mso-width-relative:page;mso-height-relative:page;" filled="f" stroked="t" coordsize="21600,21600" o:gfxdata="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WAAAAZHJzL1BLAQIUABQAAAAIAIdO4kBKJStY2wAAAAwBAAAP&#10;AAAAAAAAAAEAIAAAADgAAABkcnMvZG93bnJldi54bWxQSwECFAAUAAAACACHTuJAxRU5Zf8BAACr&#10;AwAADgAAAAAAAAABACAAAABAAQAAZHJzL2Uyb0RvYy54bWxQSwUGAAAAAAYABgBZAQAAsQUAAAAA&#10;">
                <v:fill on="f" focussize="0,0"/>
                <v:stroke weight="0.5pt" color="#FF0000 [3204]" miterlimit="8" joinstyle="miter" endarrow="block"/>
                <v:imagedata o:title=""/>
                <o:lock v:ext="edit" aspectratio="f"/>
              </v:shape>
            </w:pict>
          </mc:Fallback>
        </mc:AlternateContent>
      </w:r>
      <w:r>
        <w:rPr>
          <w:rFonts w:ascii="Times New Roman" w:hAnsi="Times New Roman" w:cs="Times New Roman"/>
        </w:rPr>
        <w:drawing>
          <wp:inline distT="0" distB="0" distL="0" distR="0">
            <wp:extent cx="12561570" cy="8250555"/>
            <wp:effectExtent l="0" t="0" r="0" b="0"/>
            <wp:docPr id="1953" name="图片 19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53" name="图片 1953"/>
                    <pic:cNvPicPr>
                      <a:picLocks noChangeAspect="true" noChangeArrowheads="true"/>
                    </pic:cNvPicPr>
                  </pic:nvPicPr>
                  <pic:blipFill>
                    <a:blip r:embed="rId43" cstate="hqprint"/>
                    <a:srcRect/>
                    <a:stretch>
                      <a:fillRect/>
                    </a:stretch>
                  </pic:blipFill>
                  <pic:spPr>
                    <a:xfrm>
                      <a:off x="0" y="0"/>
                      <a:ext cx="12572694" cy="8258099"/>
                    </a:xfrm>
                    <a:prstGeom prst="rect">
                      <a:avLst/>
                    </a:prstGeom>
                    <a:noFill/>
                    <a:ln>
                      <a:noFill/>
                    </a:ln>
                  </pic:spPr>
                </pic:pic>
              </a:graphicData>
            </a:graphic>
          </wp:inline>
        </w:drawing>
      </w:r>
    </w:p>
    <w:p>
      <w:pPr>
        <w:pStyle w:val="98"/>
        <w:ind w:firstLine="124" w:firstLineChars="59"/>
        <w:jc w:val="center"/>
        <w:rPr>
          <w:rFonts w:ascii="Times New Roman" w:hAnsi="Times New Roman" w:cs="Times New Roman"/>
        </w:rPr>
        <w:sectPr>
          <w:pgSz w:w="23808" w:h="16840" w:orient="landscape"/>
          <w:pgMar w:top="1418" w:right="1418" w:bottom="1418" w:left="1418" w:header="851" w:footer="992" w:gutter="0"/>
          <w:cols w:space="720" w:num="1"/>
          <w:docGrid w:type="lines" w:linePitch="333" w:charSpace="0"/>
        </w:sectPr>
      </w:pPr>
      <w:r>
        <w:rPr>
          <w:rFonts w:ascii="Times New Roman" w:hAnsi="Times New Roman" w:cs="Times New Roman"/>
          <w:b/>
          <w:bCs/>
          <w:sz w:val="21"/>
          <w:szCs w:val="21"/>
        </w:rPr>
        <w:t>图2.4-8   本项目与</w:t>
      </w:r>
      <w:r>
        <w:rPr>
          <w:rFonts w:hint="eastAsia" w:ascii="Times New Roman" w:hAnsi="Times New Roman" w:cs="Times New Roman"/>
          <w:b/>
          <w:bCs/>
          <w:sz w:val="21"/>
          <w:szCs w:val="21"/>
        </w:rPr>
        <w:t>巢湖流域水环境保护区范围</w:t>
      </w:r>
      <w:r>
        <w:rPr>
          <w:rFonts w:ascii="Times New Roman" w:hAnsi="Times New Roman" w:cs="Times New Roman"/>
          <w:b/>
          <w:bCs/>
          <w:sz w:val="21"/>
          <w:szCs w:val="21"/>
        </w:rPr>
        <w:t>图</w:t>
      </w:r>
    </w:p>
    <w:p>
      <w:pPr>
        <w:pStyle w:val="98"/>
        <w:ind w:firstLine="141" w:firstLineChars="59"/>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589632" behindDoc="0" locked="0" layoutInCell="1" allowOverlap="1">
                <wp:simplePos x="0" y="0"/>
                <wp:positionH relativeFrom="column">
                  <wp:posOffset>4328795</wp:posOffset>
                </wp:positionH>
                <wp:positionV relativeFrom="paragraph">
                  <wp:posOffset>344805</wp:posOffset>
                </wp:positionV>
                <wp:extent cx="266700" cy="314325"/>
                <wp:effectExtent l="9525" t="9525" r="47625" b="47625"/>
                <wp:wrapNone/>
                <wp:docPr id="1943" name="AutoShape 1662"/>
                <wp:cNvGraphicFramePr/>
                <a:graphic xmlns:a="http://schemas.openxmlformats.org/drawingml/2006/main">
                  <a:graphicData uri="http://schemas.microsoft.com/office/word/2010/wordprocessingShape">
                    <wps:wsp>
                      <wps:cNvCnPr>
                        <a:cxnSpLocks noChangeShapeType="true"/>
                      </wps:cNvCnPr>
                      <wps:spPr bwMode="auto">
                        <a:xfrm>
                          <a:off x="0" y="0"/>
                          <a:ext cx="266700" cy="314325"/>
                        </a:xfrm>
                        <a:prstGeom prst="straightConnector1">
                          <a:avLst/>
                        </a:prstGeom>
                        <a:noFill/>
                        <a:ln w="9525">
                          <a:solidFill>
                            <a:srgbClr val="FF0000"/>
                          </a:solidFill>
                          <a:round/>
                          <a:tailEnd type="triangle" w="med" len="med"/>
                        </a:ln>
                      </wps:spPr>
                      <wps:bodyPr/>
                    </wps:wsp>
                  </a:graphicData>
                </a:graphic>
              </wp:anchor>
            </w:drawing>
          </mc:Choice>
          <mc:Fallback>
            <w:pict>
              <v:shape id="AutoShape 1662" o:spid="_x0000_s1026" o:spt="32" type="#_x0000_t32" style="position:absolute;left:0pt;margin-left:340.85pt;margin-top:27.15pt;height:24.75pt;width:21pt;z-index:251589632;mso-width-relative:page;mso-height-relative:page;" filled="f" stroked="t" coordsize="21600,21600" o:gfxdata="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FgAAAGRycy9QSwEC&#10;FAAUAAAACACHTuJA8tKAgtoAAAAKAQAADwAAAAAAAAABACAAAAA4AAAAZHJzL2Rvd25yZXYueG1s&#10;UEsBAhQAFAAAAAgAh07iQAfsIsngAQAAnwMAAA4AAAAAAAAAAQAgAAAAPwEAAGRycy9lMm9Eb2Mu&#10;eG1sUEsFBgAAAAAGAAYAWQEAAJEFAAAAAA==&#10;">
                <v:fill on="f" focussize="0,0"/>
                <v:stroke color="#FF0000" joinstyle="round" endarrow="block"/>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590656" behindDoc="0" locked="0" layoutInCell="1" allowOverlap="1">
                <wp:simplePos x="0" y="0"/>
                <wp:positionH relativeFrom="column">
                  <wp:posOffset>4566920</wp:posOffset>
                </wp:positionH>
                <wp:positionV relativeFrom="paragraph">
                  <wp:posOffset>630555</wp:posOffset>
                </wp:positionV>
                <wp:extent cx="95250" cy="90805"/>
                <wp:effectExtent l="0" t="0" r="0" b="4445"/>
                <wp:wrapNone/>
                <wp:docPr id="1942" name="Oval 2182"/>
                <wp:cNvGraphicFramePr/>
                <a:graphic xmlns:a="http://schemas.openxmlformats.org/drawingml/2006/main">
                  <a:graphicData uri="http://schemas.microsoft.com/office/word/2010/wordprocessingShape">
                    <wps:wsp>
                      <wps:cNvSpPr>
                        <a:spLocks noChangeArrowheads="true"/>
                      </wps:cNvSpPr>
                      <wps:spPr bwMode="auto">
                        <a:xfrm>
                          <a:off x="0" y="0"/>
                          <a:ext cx="95250" cy="90805"/>
                        </a:xfrm>
                        <a:prstGeom prst="ellipse">
                          <a:avLst/>
                        </a:prstGeom>
                        <a:solidFill>
                          <a:srgbClr val="FF0000"/>
                        </a:solidFill>
                        <a:ln>
                          <a:noFill/>
                        </a:ln>
                      </wps:spPr>
                      <wps:bodyPr rot="0" vert="horz" wrap="square" lIns="91440" tIns="45720" rIns="91440" bIns="45720" anchor="t" anchorCtr="false" upright="true">
                        <a:noAutofit/>
                      </wps:bodyPr>
                    </wps:wsp>
                  </a:graphicData>
                </a:graphic>
              </wp:anchor>
            </w:drawing>
          </mc:Choice>
          <mc:Fallback>
            <w:pict>
              <v:shape id="Oval 2182" o:spid="_x0000_s1026" o:spt="3" type="#_x0000_t3" style="position:absolute;left:0pt;margin-left:359.6pt;margin-top:49.65pt;height:7.15pt;width:7.5pt;z-index:251590656;mso-width-relative:page;mso-height-relative:page;" fillcolor="#FF0000" filled="t" stroked="f" coordsize="21600,21600" o:gfxdata="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WAAAAZHJzL1BLAQIUABQAAAAIAIdO4kDMkI/h2QAAAAoBAAAPAAAA&#10;AAAAAAEAIAAAADgAAABkcnMvZG93bnJldi54bWxQSwECFAAUAAAACACHTuJAm9rA0/4BAADmAwAA&#10;DgAAAAAAAAABACAAAAA+AQAAZHJzL2Uyb0RvYy54bWxQSwUGAAAAAAYABgBZAQAArgUAAAAA&#10;">
                <v:fill on="t" focussize="0,0"/>
                <v:stroke on="f"/>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591680" behindDoc="0" locked="0" layoutInCell="1" allowOverlap="1">
                <wp:simplePos x="0" y="0"/>
                <wp:positionH relativeFrom="column">
                  <wp:posOffset>4471670</wp:posOffset>
                </wp:positionH>
                <wp:positionV relativeFrom="paragraph">
                  <wp:posOffset>468630</wp:posOffset>
                </wp:positionV>
                <wp:extent cx="971550" cy="333375"/>
                <wp:effectExtent l="0" t="0" r="0" b="0"/>
                <wp:wrapNone/>
                <wp:docPr id="1941" name="Rectangle 2181"/>
                <wp:cNvGraphicFramePr/>
                <a:graphic xmlns:a="http://schemas.openxmlformats.org/drawingml/2006/main">
                  <a:graphicData uri="http://schemas.microsoft.com/office/word/2010/wordprocessingShape">
                    <wps:wsp>
                      <wps:cNvSpPr>
                        <a:spLocks noChangeArrowheads="true"/>
                      </wps:cNvSpPr>
                      <wps:spPr bwMode="auto">
                        <a:xfrm>
                          <a:off x="0" y="0"/>
                          <a:ext cx="971550" cy="333375"/>
                        </a:xfrm>
                        <a:prstGeom prst="rect">
                          <a:avLst/>
                        </a:prstGeom>
                        <a:noFill/>
                        <a:ln>
                          <a:noFill/>
                        </a:ln>
                      </wps:spPr>
                      <wps:txbx>
                        <w:txbxContent>
                          <w:p>
                            <w:pPr>
                              <w:ind w:firstLine="240" w:firstLineChars="100"/>
                              <w:rPr>
                                <w:b/>
                                <w:bCs/>
                                <w:color w:val="FF0000"/>
                              </w:rPr>
                            </w:pPr>
                            <w:r>
                              <w:rPr>
                                <w:rFonts w:hint="eastAsia"/>
                                <w:b/>
                                <w:bCs/>
                                <w:color w:val="FF0000"/>
                              </w:rPr>
                              <w:t>本项目</w:t>
                            </w:r>
                          </w:p>
                        </w:txbxContent>
                      </wps:txbx>
                      <wps:bodyPr rot="0" vert="horz" wrap="square" lIns="91440" tIns="45720" rIns="91440" bIns="45720" anchor="t" anchorCtr="false" upright="true">
                        <a:noAutofit/>
                      </wps:bodyPr>
                    </wps:wsp>
                  </a:graphicData>
                </a:graphic>
              </wp:anchor>
            </w:drawing>
          </mc:Choice>
          <mc:Fallback>
            <w:pict>
              <v:rect id="Rectangle 2181" o:spid="_x0000_s1026" o:spt="1" style="position:absolute;left:0pt;margin-left:352.1pt;margin-top:36.9pt;height:26.25pt;width:76.5pt;z-index:251591680;mso-width-relative:page;mso-height-relative:page;" filled="f" stroked="f" coordsize="21600,21600" o:gfxdata="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BYAAABkcnMvUEsBAhQAFAAAAAgAh07iQDL0CUPaAAAACgEAAA8AAAAAAAAAAQAgAAAAOAAA&#10;AGRycy9kb3ducmV2LnhtbFBLAQIUABQAAAAIAIdO4kCjE3CY8AEAAMwDAAAOAAAAAAAAAAEAIAAA&#10;AD8BAABkcnMvZTJvRG9jLnhtbFBLBQYAAAAABgAGAFkBAAChBQAAAAA=&#10;">
                <v:fill on="f" focussize="0,0"/>
                <v:stroke on="f"/>
                <v:imagedata o:title=""/>
                <o:lock v:ext="edit" aspectratio="f"/>
                <v:textbox>
                  <w:txbxContent>
                    <w:p>
                      <w:pPr>
                        <w:ind w:firstLine="240" w:firstLineChars="100"/>
                        <w:rPr>
                          <w:b/>
                          <w:bCs/>
                          <w:color w:val="FF0000"/>
                        </w:rPr>
                      </w:pPr>
                      <w:r>
                        <w:rPr>
                          <w:rFonts w:hint="eastAsia"/>
                          <w:b/>
                          <w:bCs/>
                          <w:color w:val="FF0000"/>
                        </w:rPr>
                        <w:t>本项目</w:t>
                      </w:r>
                    </w:p>
                  </w:txbxContent>
                </v:textbox>
              </v:rect>
            </w:pict>
          </mc:Fallback>
        </mc:AlternateContent>
      </w:r>
      <w:r>
        <w:rPr>
          <w:rFonts w:ascii="Times New Roman" w:hAnsi="Times New Roman" w:cs="Times New Roman"/>
        </w:rPr>
        <w:drawing>
          <wp:inline distT="0" distB="0" distL="0" distR="0">
            <wp:extent cx="13312140" cy="7953375"/>
            <wp:effectExtent l="0" t="0" r="0" b="0"/>
            <wp:docPr id="14"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true" noChangeArrowheads="true"/>
                    </pic:cNvPicPr>
                  </pic:nvPicPr>
                  <pic:blipFill>
                    <a:blip r:embed="rId44"/>
                    <a:srcRect/>
                    <a:stretch>
                      <a:fillRect/>
                    </a:stretch>
                  </pic:blipFill>
                  <pic:spPr>
                    <a:xfrm>
                      <a:off x="0" y="0"/>
                      <a:ext cx="13312140" cy="7953375"/>
                    </a:xfrm>
                    <a:prstGeom prst="rect">
                      <a:avLst/>
                    </a:prstGeom>
                    <a:noFill/>
                    <a:ln>
                      <a:noFill/>
                    </a:ln>
                  </pic:spPr>
                </pic:pic>
              </a:graphicData>
            </a:graphic>
          </wp:inline>
        </w:drawing>
      </w:r>
    </w:p>
    <w:p>
      <w:pPr>
        <w:pStyle w:val="98"/>
        <w:ind w:firstLine="124" w:firstLineChars="59"/>
        <w:jc w:val="center"/>
        <w:rPr>
          <w:rFonts w:ascii="Times New Roman" w:hAnsi="Times New Roman" w:cs="Times New Roman"/>
        </w:rPr>
        <w:sectPr>
          <w:pgSz w:w="23808" w:h="16840" w:orient="landscape"/>
          <w:pgMar w:top="1418" w:right="1418" w:bottom="1418" w:left="1418" w:header="851" w:footer="992" w:gutter="0"/>
          <w:cols w:space="720" w:num="1"/>
          <w:docGrid w:type="lines" w:linePitch="333" w:charSpace="0"/>
        </w:sectPr>
      </w:pPr>
      <w:r>
        <w:rPr>
          <w:rFonts w:ascii="Times New Roman" w:hAnsi="Times New Roman" w:cs="Times New Roman"/>
          <w:b/>
          <w:bCs/>
          <w:sz w:val="21"/>
          <w:szCs w:val="21"/>
        </w:rPr>
        <w:t>图2.4-9   本项目与《巢湖风景名胜区规划（2017年-2035年）》图</w:t>
      </w:r>
    </w:p>
    <w:p>
      <w:pPr>
        <w:pStyle w:val="4"/>
        <w:numPr>
          <w:ilvl w:val="2"/>
          <w:numId w:val="0"/>
        </w:numPr>
        <w:jc w:val="both"/>
        <w:rPr>
          <w:rFonts w:ascii="Times New Roman" w:hAnsi="Times New Roman" w:cs="Times New Roman"/>
          <w:color w:val="auto"/>
          <w:lang w:val="zh-CN"/>
        </w:rPr>
      </w:pPr>
      <w:bookmarkStart w:id="127" w:name="_Toc104733313"/>
      <w:bookmarkStart w:id="128" w:name="_Toc102984277"/>
      <w:r>
        <w:rPr>
          <w:rFonts w:ascii="Times New Roman" w:hAnsi="Times New Roman" w:cs="Times New Roman"/>
          <w:color w:val="auto"/>
        </w:rPr>
        <w:t>2.4.4</w:t>
      </w:r>
      <w:r>
        <w:rPr>
          <w:rFonts w:ascii="Times New Roman" w:hAnsi="Times New Roman" w:cs="Times New Roman"/>
          <w:color w:val="auto"/>
          <w:lang w:val="zh-CN"/>
        </w:rPr>
        <w:t>与相关政策相符性</w:t>
      </w:r>
      <w:bookmarkEnd w:id="127"/>
      <w:bookmarkEnd w:id="128"/>
    </w:p>
    <w:p>
      <w:pPr>
        <w:ind w:firstLine="480"/>
        <w:jc w:val="left"/>
        <w:rPr>
          <w:rFonts w:ascii="Times New Roman" w:hAnsi="Times New Roman" w:cs="Times New Roman"/>
          <w:color w:val="auto"/>
        </w:rPr>
      </w:pPr>
      <w:r>
        <w:rPr>
          <w:rFonts w:ascii="Times New Roman" w:hAnsi="Times New Roman" w:cs="Times New Roman"/>
          <w:color w:val="auto"/>
        </w:rPr>
        <w:t>对照《长江保护法》、《长江经济带生态环境保护规划》、安徽省人民政府《关于全面打造水清岸绿产业优美丽长江（安徽）经济带的实施意见》（升级版）、《长江经济带发展负面清单指南（试行）》、《安徽省长江经济带发展负面清单实施细则（试行）》、《重点行业挥发性有机物综合治理方案》、</w:t>
      </w:r>
      <w:r>
        <w:rPr>
          <w:rFonts w:ascii="Times New Roman" w:hAnsi="Times New Roman" w:cs="Times New Roman"/>
          <w:color w:val="auto"/>
          <w:szCs w:val="24"/>
        </w:rPr>
        <w:t>《2020年挥发性有机物治理攻坚方案》、《关于加快解决当前挥发性有机物治理突出问题的通知》</w:t>
      </w:r>
      <w:r>
        <w:rPr>
          <w:rFonts w:ascii="Times New Roman" w:hAnsi="Times New Roman" w:cs="Times New Roman"/>
          <w:color w:val="auto"/>
        </w:rPr>
        <w:t>等相关政策要求，本项目的政策相符性分析汇总见表2.4-2。</w:t>
      </w:r>
    </w:p>
    <w:p>
      <w:pPr>
        <w:spacing w:line="240" w:lineRule="auto"/>
        <w:ind w:firstLine="0" w:firstLineChars="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表2.4-2  项目实施的政策相符性分析一览表</w:t>
      </w:r>
    </w:p>
    <w:tbl>
      <w:tblPr>
        <w:tblStyle w:val="62"/>
        <w:tblW w:w="1417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2"/>
        <w:gridCol w:w="1806"/>
        <w:gridCol w:w="6273"/>
        <w:gridCol w:w="4678"/>
        <w:gridCol w:w="9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序号</w:t>
            </w:r>
          </w:p>
        </w:tc>
        <w:tc>
          <w:tcPr>
            <w:tcW w:w="180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政策名称</w:t>
            </w:r>
          </w:p>
        </w:tc>
        <w:tc>
          <w:tcPr>
            <w:tcW w:w="627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相关要求</w:t>
            </w:r>
          </w:p>
        </w:tc>
        <w:tc>
          <w:tcPr>
            <w:tcW w:w="467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符合性分析</w:t>
            </w:r>
          </w:p>
        </w:tc>
        <w:tc>
          <w:tcPr>
            <w:tcW w:w="9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分析结果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80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《中华人民共和国长江保护法》</w:t>
            </w:r>
          </w:p>
        </w:tc>
        <w:tc>
          <w:tcPr>
            <w:tcW w:w="6273" w:type="dxa"/>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第二十六条：禁止在长江干支流岸线一公里范围内新建、扩建化工园区和化工项目。</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禁止在长江干流岸线三公里范围内和重要支流岸线一公里范围内新建、改建、扩建尾矿库；但是以提升安全、生态环境保护水平为目的的改建除外。</w:t>
            </w:r>
          </w:p>
          <w:p>
            <w:pPr>
              <w:pStyle w:val="25"/>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第五十二条：禁止在长江流域水上运输剧毒化学品和国家规定禁止通过内河运输的其他危险化学品。长江流域县级以上地方人民政府交通运输主管部门会同本级人民政府有关部门加强对长江流域危险化学品运输的管控。</w:t>
            </w:r>
          </w:p>
          <w:p>
            <w:pPr>
              <w:pStyle w:val="98"/>
              <w:snapToGrid w:val="0"/>
              <w:spacing w:line="240" w:lineRule="auto"/>
              <w:rPr>
                <w:rFonts w:ascii="Times New Roman" w:hAnsi="Times New Roman" w:cs="Times New Roman"/>
                <w:sz w:val="18"/>
                <w:szCs w:val="18"/>
              </w:rPr>
            </w:pPr>
            <w:r>
              <w:rPr>
                <w:rFonts w:ascii="Times New Roman" w:hAnsi="Times New Roman" w:cs="Times New Roman"/>
                <w:sz w:val="18"/>
                <w:szCs w:val="18"/>
              </w:rPr>
              <w:t>第七十一条　国家加强长江流域综合立体交通体系建设，完善港口、航道等水运基础设施，推动交通设施互联互通，实现水陆有机衔接、江海直达联运，提升长江黄金水道功能。</w:t>
            </w:r>
          </w:p>
          <w:p>
            <w:pPr>
              <w:pStyle w:val="98"/>
              <w:snapToGrid w:val="0"/>
              <w:spacing w:line="240" w:lineRule="auto"/>
              <w:rPr>
                <w:rFonts w:ascii="Times New Roman" w:hAnsi="Times New Roman" w:cs="Times New Roman"/>
                <w:sz w:val="18"/>
                <w:szCs w:val="18"/>
              </w:rPr>
            </w:pPr>
            <w:r>
              <w:rPr>
                <w:rFonts w:ascii="Times New Roman" w:hAnsi="Times New Roman" w:cs="Times New Roman"/>
                <w:sz w:val="18"/>
                <w:szCs w:val="18"/>
              </w:rPr>
              <w:t>第七十二条　长江流域县级以上地方人民政府应当统筹建设船舶污染物接收转运处置设施、船舶液化天然气加注站，制定港口岸电设施、船舶受电设施建设和改造计划，并组织实施。具备岸电使用条件的船舶靠港应当按照国家有关规定使用岸电，但使用清洁能源的除外。</w:t>
            </w:r>
          </w:p>
        </w:tc>
        <w:tc>
          <w:tcPr>
            <w:tcW w:w="4678" w:type="dxa"/>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1）本项目为新建水运油品、液体化工品码头项目，项目选址位于合肥市肥东县撮镇镇店埠河左岸，店埠河为南淝河支流，距离巢湖直线距离10.1km，不属于在长江干支流岸线一公里范围内新建、扩建化工园区和化工项目和重要支流岸线一公里范围内新建、改建、扩建尾矿库项目。</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（2）本项目码头运输的货种为汽油、柴油、航空煤油及硫酸、氢氧化钠、氢氧化钾、乙醇、</w:t>
            </w:r>
            <w:r>
              <w:rPr>
                <w:rFonts w:hint="eastAsia" w:ascii="Times New Roman" w:hAnsi="Times New Roman" w:cs="Times New Roman"/>
                <w:color w:val="auto"/>
                <w:sz w:val="18"/>
                <w:szCs w:val="18"/>
              </w:rPr>
              <w:t>乙二醇、</w:t>
            </w:r>
            <w:r>
              <w:rPr>
                <w:rFonts w:ascii="Times New Roman" w:hAnsi="Times New Roman" w:cs="Times New Roman"/>
                <w:color w:val="auto"/>
                <w:sz w:val="18"/>
                <w:szCs w:val="18"/>
              </w:rPr>
              <w:t>氯化钙</w:t>
            </w:r>
            <w:r>
              <w:rPr>
                <w:rFonts w:hint="eastAsia" w:ascii="Times New Roman" w:hAnsi="Times New Roman" w:cs="Times New Roman"/>
                <w:color w:val="auto"/>
                <w:sz w:val="18"/>
                <w:szCs w:val="18"/>
              </w:rPr>
              <w:t>及植物油</w:t>
            </w:r>
            <w:r>
              <w:rPr>
                <w:rFonts w:ascii="Times New Roman" w:hAnsi="Times New Roman" w:cs="Times New Roman"/>
                <w:color w:val="auto"/>
                <w:sz w:val="18"/>
                <w:szCs w:val="18"/>
              </w:rPr>
              <w:t>；对照《内河禁运危险化学品目录（2019版）》，不涉及运输剧毒化学品和国家规定禁止通过内河运输的其他危险化学品。</w:t>
            </w:r>
          </w:p>
          <w:p>
            <w:pPr>
              <w:spacing w:line="240" w:lineRule="auto"/>
              <w:ind w:firstLine="0" w:firstLineChars="0"/>
              <w:rPr>
                <w:rFonts w:ascii="Times New Roman" w:hAnsi="Times New Roman" w:cs="Times New Roman"/>
                <w:sz w:val="18"/>
                <w:szCs w:val="18"/>
              </w:rPr>
            </w:pPr>
            <w:r>
              <w:rPr>
                <w:rFonts w:ascii="Times New Roman" w:hAnsi="Times New Roman" w:cs="Times New Roman"/>
                <w:color w:val="auto"/>
                <w:sz w:val="18"/>
                <w:szCs w:val="18"/>
              </w:rPr>
              <w:t>（3）本项目属于水运港口基础设施建设，符合《合肥港总体规划（2035年）》及安徽省、合肥市十四五交通运输规划，符合</w:t>
            </w:r>
            <w:r>
              <w:rPr>
                <w:rFonts w:ascii="Times New Roman" w:hAnsi="Times New Roman" w:cs="Times New Roman"/>
                <w:sz w:val="18"/>
                <w:szCs w:val="18"/>
              </w:rPr>
              <w:t>加强长江流域综合立体交通体系建设，提升长江黄金水道功能的要求。</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sz w:val="18"/>
                <w:szCs w:val="18"/>
              </w:rPr>
              <w:t>（4）本项目采取油气回收等措施控制油品码头和罐区的无组织排放。船舶生活污水用污水泵抽取至船舶生活污水收集池，随港区生活污水经化粪池处理后一道接入合肥循环经济示范园污水处理厂；船舶舱底油污水用污水泵抽取至船舶油污水收集</w:t>
            </w:r>
            <w:r>
              <w:rPr>
                <w:rFonts w:hint="eastAsia" w:ascii="Times New Roman" w:hAnsi="Times New Roman" w:cs="Times New Roman"/>
                <w:sz w:val="18"/>
                <w:szCs w:val="18"/>
              </w:rPr>
              <w:t>装置</w:t>
            </w:r>
            <w:r>
              <w:rPr>
                <w:rFonts w:ascii="Times New Roman" w:hAnsi="Times New Roman" w:cs="Times New Roman"/>
                <w:sz w:val="18"/>
                <w:szCs w:val="18"/>
              </w:rPr>
              <w:t>收集后，</w:t>
            </w:r>
            <w:r>
              <w:rPr>
                <w:rFonts w:hint="eastAsia" w:ascii="Times New Roman" w:hAnsi="Times New Roman" w:cs="Times New Roman"/>
                <w:sz w:val="18"/>
                <w:szCs w:val="18"/>
              </w:rPr>
              <w:t>接入陆域含油污水处理装置进行处理后</w:t>
            </w:r>
            <w:r>
              <w:rPr>
                <w:rFonts w:ascii="Times New Roman" w:hAnsi="Times New Roman" w:cs="Times New Roman"/>
                <w:sz w:val="18"/>
                <w:szCs w:val="18"/>
              </w:rPr>
              <w:t>合肥循环经济示范园污水处理厂。</w:t>
            </w:r>
          </w:p>
        </w:tc>
        <w:tc>
          <w:tcPr>
            <w:tcW w:w="9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12"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806"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长江经济带生态环境保护规划</w:t>
            </w:r>
          </w:p>
        </w:tc>
        <w:tc>
          <w:tcPr>
            <w:tcW w:w="627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全面推进长江经济带126个地级及以上城市空气质量限期达标工作，已达标城市空气质量进一步巩固，未达标城市要制定并实施分阶段达标计划。完善大气污染物排放总量控制制度，加强二氧化硫、氮氧化物、烟粉尘、挥发性有机物等主要污染物综合防治。实施石化、化工、工业涂装、包装印刷、油品储运销、机动车等重点行业挥发性有机物综合整治工程。推进石化、化工、工业涂装、包装印刷、油品储运销、机动车等重点行业挥发性有机物排放总量控制。</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hint="eastAsia" w:ascii="Times New Roman" w:hAnsi="Times New Roman" w:cs="Times New Roman"/>
                <w:color w:val="FF0000"/>
                <w:sz w:val="18"/>
                <w:szCs w:val="18"/>
              </w:rPr>
              <w:t>根据合肥市2</w:t>
            </w:r>
            <w:r>
              <w:rPr>
                <w:rFonts w:ascii="Times New Roman" w:hAnsi="Times New Roman" w:cs="Times New Roman"/>
                <w:color w:val="FF0000"/>
                <w:sz w:val="18"/>
                <w:szCs w:val="18"/>
              </w:rPr>
              <w:t>021</w:t>
            </w:r>
            <w:r>
              <w:rPr>
                <w:rFonts w:hint="eastAsia" w:ascii="Times New Roman" w:hAnsi="Times New Roman" w:cs="Times New Roman"/>
                <w:color w:val="FF0000"/>
                <w:sz w:val="18"/>
                <w:szCs w:val="18"/>
              </w:rPr>
              <w:t>年环境空气质量公报，合肥市2</w:t>
            </w:r>
            <w:r>
              <w:rPr>
                <w:rFonts w:ascii="Times New Roman" w:hAnsi="Times New Roman" w:cs="Times New Roman"/>
                <w:color w:val="FF0000"/>
                <w:sz w:val="18"/>
                <w:szCs w:val="18"/>
              </w:rPr>
              <w:t>021</w:t>
            </w:r>
            <w:r>
              <w:rPr>
                <w:rFonts w:hint="eastAsia" w:ascii="Times New Roman" w:hAnsi="Times New Roman" w:cs="Times New Roman"/>
                <w:color w:val="FF0000"/>
                <w:sz w:val="18"/>
                <w:szCs w:val="18"/>
              </w:rPr>
              <w:t>年环境空气质量属于达标区；</w:t>
            </w:r>
            <w:r>
              <w:rPr>
                <w:rFonts w:ascii="Times New Roman" w:hAnsi="Times New Roman" w:cs="Times New Roman"/>
                <w:color w:val="FF0000"/>
                <w:sz w:val="18"/>
                <w:szCs w:val="18"/>
              </w:rPr>
              <w:t>本项目属于水运港口基础设施建设项目</w:t>
            </w:r>
            <w:r>
              <w:rPr>
                <w:rFonts w:hint="eastAsia" w:ascii="Times New Roman" w:hAnsi="Times New Roman" w:cs="Times New Roman"/>
                <w:color w:val="FF0000"/>
                <w:sz w:val="18"/>
                <w:szCs w:val="18"/>
              </w:rPr>
              <w:t>及油品储运销重点行业</w:t>
            </w:r>
            <w:r>
              <w:rPr>
                <w:rFonts w:ascii="Times New Roman" w:hAnsi="Times New Roman" w:cs="Times New Roman"/>
                <w:color w:val="FF0000"/>
                <w:sz w:val="18"/>
                <w:szCs w:val="18"/>
              </w:rPr>
              <w:t>，配套储罐区采取内浮顶及油气回收系统对挥发性有机物排放进行收集处理，按照要求申请VOCs总量指标并进行控制。</w:t>
            </w:r>
          </w:p>
        </w:tc>
        <w:tc>
          <w:tcPr>
            <w:tcW w:w="907"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禁止在长江干流自然保护区、风景名胜区、“四大家鱼”产卵场等管控重点区域新建工业类和污染类项目。严格危化品港口建设项目审批管理，自然保护区核心区及缓冲区内禁止新建码头工程，逐步拆除已有的各类生产设施以及危化品、石油类泊位。</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本项目选址位于合肥市肥东县撮镇镇店埠河左岸，</w:t>
            </w:r>
            <w:r>
              <w:rPr>
                <w:rFonts w:hint="eastAsia" w:ascii="Times New Roman" w:hAnsi="Times New Roman" w:cs="Times New Roman"/>
                <w:color w:val="auto"/>
                <w:sz w:val="18"/>
                <w:szCs w:val="18"/>
              </w:rPr>
              <w:t>用地属于</w:t>
            </w:r>
            <w:r>
              <w:rPr>
                <w:rFonts w:ascii="Times New Roman" w:hAnsi="Times New Roman" w:cs="Times New Roman"/>
                <w:color w:val="auto"/>
                <w:sz w:val="18"/>
                <w:szCs w:val="18"/>
              </w:rPr>
              <w:t>合肥循环经济示范园</w:t>
            </w:r>
            <w:r>
              <w:rPr>
                <w:rFonts w:hint="eastAsia" w:ascii="Times New Roman" w:hAnsi="Times New Roman" w:cs="Times New Roman"/>
                <w:color w:val="auto"/>
                <w:sz w:val="18"/>
                <w:szCs w:val="18"/>
              </w:rPr>
              <w:t>规划范围</w:t>
            </w:r>
            <w:r>
              <w:rPr>
                <w:rFonts w:ascii="Times New Roman" w:hAnsi="Times New Roman" w:cs="Times New Roman"/>
                <w:color w:val="auto"/>
                <w:sz w:val="18"/>
                <w:szCs w:val="18"/>
              </w:rPr>
              <w:t>；项目选址不涉及自然保护区核心区及缓冲区，风景名胜区、“四大家鱼”产卵场等管控重点区域。</w:t>
            </w:r>
          </w:p>
        </w:tc>
        <w:tc>
          <w:tcPr>
            <w:tcW w:w="907" w:type="dxa"/>
            <w:vMerge w:val="continue"/>
            <w:vAlign w:val="center"/>
          </w:tcPr>
          <w:p>
            <w:pPr>
              <w:spacing w:line="240" w:lineRule="auto"/>
              <w:ind w:firstLine="0" w:firstLineChars="0"/>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除在建项目外，严禁在干流及主要支流岸线1公里范围内布局新建重化工园区，严控在中上游沿岸地区新建石油化工和煤化工项目。</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FF0000"/>
                <w:sz w:val="18"/>
                <w:szCs w:val="18"/>
              </w:rPr>
              <w:t>本项目属于水运港口基础设施建设项目，项目选址位于合肥市肥东县撮镇镇店埠河左岸，店埠河为南淝河支流，距离巢湖直线距离10.1km不属于新建重化工园区及新建石油化工和煤化工项目。</w:t>
            </w:r>
          </w:p>
        </w:tc>
        <w:tc>
          <w:tcPr>
            <w:tcW w:w="907" w:type="dxa"/>
            <w:vMerge w:val="continue"/>
            <w:vAlign w:val="center"/>
          </w:tcPr>
          <w:p>
            <w:pPr>
              <w:spacing w:line="240" w:lineRule="auto"/>
              <w:ind w:firstLine="0" w:firstLineChars="0"/>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8" w:hRule="atLeast"/>
          <w:jc w:val="center"/>
        </w:trPr>
        <w:tc>
          <w:tcPr>
            <w:tcW w:w="512"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806"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安徽省人民政府关于全面打造水清岸绿产业优美丽长江（安徽）经济带的实施意见（升级版）相关要求</w:t>
            </w:r>
          </w:p>
        </w:tc>
        <w:tc>
          <w:tcPr>
            <w:tcW w:w="6273" w:type="dxa"/>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二、提升“禁新建”行动</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一）严禁1公里范围内新建化工项目。长江干支流岸线1公里范围内，严禁新建、扩建化工园区和化工项目。已批未开工的项目，依法停止建设，支持重新选址。已经开工建设的项目，严格进行检查评估，不符合岸线规划和环保、安全要求的，全部依法依规停建搬迁。</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（二）</w:t>
            </w:r>
            <w:r>
              <w:rPr>
                <w:rFonts w:ascii="Times New Roman" w:hAnsi="Times New Roman" w:cs="Times New Roman"/>
                <w:color w:val="auto"/>
                <w:sz w:val="18"/>
                <w:szCs w:val="18"/>
              </w:rPr>
              <w:tab/>
            </w:r>
            <w:r>
              <w:rPr>
                <w:rFonts w:ascii="Times New Roman" w:hAnsi="Times New Roman" w:cs="Times New Roman"/>
                <w:color w:val="auto"/>
                <w:sz w:val="18"/>
                <w:szCs w:val="18"/>
              </w:rPr>
              <w:t>严控5公里范围内新建重化工重污染项目。长江干流岸线5公里范围内，全面落实长江岸线功能定位要求，实施严格的化工项目市场准入制度，除提升安全、环保、节能水平，以及质量升级、结构调整的改扩建项目外，严控新建石油化工和煤化工等重化工、重污染项目。严禁新建布局重化工园区。合规化工园区内，严禁新批环境基础设施不完善或长期不能稳定运行的企业新建和扩建化工项目。</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三）严管15公里范围内新建项目。长江干流岸线15公里范围内，严把各类项目准入门槛，严格执行环境保护标准，把主要污染物和重点重金属排放总量控制目标作为新（改、扩）建项目环评审批的前置条件，禁止建设没有环境容量和减排总量项目。在岸线开发、河段利用、区域活动和产业发展等方面，严格执行《长江经济带发展负面清单指南（试行）》《安徽省长江经济带发展负面清单实施细则（试行）》。实施备案、环评、安评、能评等并联审批，未落实生态环保、安全生产、能源节约要求的，一律不得开工建设。</w:t>
            </w:r>
          </w:p>
        </w:tc>
        <w:tc>
          <w:tcPr>
            <w:tcW w:w="4678" w:type="dxa"/>
            <w:vMerge w:val="restart"/>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1）本项目为新建水运油品、液体化工品码头项目，项目选址位于合肥市肥东县撮镇镇店埠河左岸，店埠河为南淝河支流，距离长江主要支流巢湖直线距离10.1km，不属于新建、扩建化工园区和化工项目。项目岸线利用符合《合肥港总体规划（2035年）》，并已取得主管部门的岸线使用批复，项目建设符合《长江经济带发展负面清单指南（试行）》《安徽省长江经济带发展负面清单实施细则（试行）》的要求。</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（2）</w:t>
            </w:r>
            <w:r>
              <w:rPr>
                <w:rFonts w:ascii="Times New Roman" w:hAnsi="Times New Roman" w:cs="Times New Roman"/>
                <w:sz w:val="18"/>
                <w:szCs w:val="18"/>
              </w:rPr>
              <w:t>本项目采取油气回收等措施控制油品码头和罐区的无组织排放。码头按照《船舶水污染物内河港口岸上接收设施设计指南》（JTS/T175-2019）要求同步建设</w:t>
            </w:r>
            <w:r>
              <w:rPr>
                <w:rFonts w:ascii="Times New Roman" w:hAnsi="Times New Roman" w:cs="Times New Roman"/>
                <w:color w:val="auto"/>
                <w:sz w:val="18"/>
                <w:szCs w:val="18"/>
              </w:rPr>
              <w:t>船舶污染物接收处置设备</w:t>
            </w:r>
            <w:r>
              <w:rPr>
                <w:rFonts w:ascii="Times New Roman" w:hAnsi="Times New Roman" w:cs="Times New Roman"/>
                <w:sz w:val="18"/>
                <w:szCs w:val="18"/>
              </w:rPr>
              <w:t>；船舶生活污水用污水泵抽取至船舶生活污水接收装置，随港区生活污水经化粪池处理后一道接入合肥循环经济示范园污水处理厂；船舶舱底油污水用污水泵抽取至船舶油污水接收装置收集后，定进入港区陆域含油污水处理装置进行处理。</w:t>
            </w:r>
          </w:p>
        </w:tc>
        <w:tc>
          <w:tcPr>
            <w:tcW w:w="907" w:type="dxa"/>
            <w:vMerge w:val="restart"/>
            <w:vAlign w:val="center"/>
          </w:tcPr>
          <w:p>
            <w:pPr>
              <w:spacing w:line="240" w:lineRule="auto"/>
              <w:ind w:firstLine="0" w:firstLineChars="0"/>
              <w:jc w:val="center"/>
              <w:rPr>
                <w:rFonts w:ascii="Times New Roman" w:hAnsi="Times New Roman" w:cs="Times New Roman"/>
                <w:color w:val="auto"/>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4"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四、提升“关污源"行动</w:t>
            </w:r>
          </w:p>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一）管住船舶港口污染。加快港口码头船舶污染物接收、转运与处置设施建设。巩固港口船舶污染突出问题整治成效，保证港口自身环保设施、船舶污染物港口接收设施有效运行。加强船舶污染物接收处置设备运行监管，依托现有的长江经济带船舶水污染物联合监管与服务信息系统，全面推行船舶污染物接收转移单证电子化。严厉打击危险化学品非法水上运输及油污水、化学品洗舱水等非法转运处置行为。加强船舶造修企业污水收集、处置等环保设施建设。持续淘汰老旧船舶，鼓励使用液化天然气清洁船舶。持续推进船舶岸电使用。</w:t>
            </w:r>
          </w:p>
        </w:tc>
        <w:tc>
          <w:tcPr>
            <w:tcW w:w="4678" w:type="dxa"/>
            <w:vMerge w:val="continue"/>
            <w:vAlign w:val="center"/>
          </w:tcPr>
          <w:p>
            <w:pPr>
              <w:pStyle w:val="25"/>
              <w:spacing w:line="240" w:lineRule="auto"/>
              <w:ind w:firstLine="0" w:firstLineChars="0"/>
              <w:rPr>
                <w:rFonts w:ascii="Times New Roman" w:hAnsi="Times New Roman" w:cs="Times New Roman"/>
                <w:color w:val="auto"/>
                <w:sz w:val="18"/>
                <w:szCs w:val="18"/>
              </w:rPr>
            </w:pPr>
          </w:p>
        </w:tc>
        <w:tc>
          <w:tcPr>
            <w:tcW w:w="907" w:type="dxa"/>
            <w:vMerge w:val="continue"/>
            <w:vAlign w:val="center"/>
          </w:tcPr>
          <w:p>
            <w:pPr>
              <w:spacing w:line="240" w:lineRule="auto"/>
              <w:ind w:firstLine="0" w:firstLineChars="0"/>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3" w:hRule="atLeast"/>
          <w:jc w:val="center"/>
        </w:trPr>
        <w:tc>
          <w:tcPr>
            <w:tcW w:w="512"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806"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《长江经济带发展负面清单指南（试行）》、《安徽省长江经济带发展负面清单实施细则（试行）》</w:t>
            </w:r>
          </w:p>
        </w:tc>
        <w:tc>
          <w:tcPr>
            <w:tcW w:w="627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第四条：禁止建设不符合全国和全省港口布局规划以及港口总体规划的码头项目。码头建设项目需要使用港口岸线的，项目单位应当按照国家、省港口岸线使用管理规定，办理港口岸线使用手续。未取得岸线使用许可的，不得开工建设。禁止建设不符合国家《长江干线过江通道布局规划》的过江通道项目。</w:t>
            </w:r>
          </w:p>
        </w:tc>
        <w:tc>
          <w:tcPr>
            <w:tcW w:w="4678" w:type="dxa"/>
            <w:vMerge w:val="restart"/>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（1）项目建设符合《合肥港总体规划（2035年）》要求，并已取得主管部门的岸线使用批复。</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（2）本项目属于港口码头基础设施建设项目，位于合肥市肥东县撮镇镇店埠河左岸，店埠河为南淝河支流，距离长江主要支流巢湖直线距离10.1km，不属于长江干流及主要支流岸线1公里范围内建设项目。</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（3）本项目属于港口码头基础设施建设项目，</w:t>
            </w:r>
            <w:r>
              <w:rPr>
                <w:rFonts w:hint="eastAsia" w:ascii="Times New Roman" w:hAnsi="Times New Roman" w:cs="Times New Roman"/>
                <w:color w:val="auto"/>
                <w:sz w:val="18"/>
                <w:szCs w:val="18"/>
              </w:rPr>
              <w:t>不属于</w:t>
            </w:r>
            <w:r>
              <w:rPr>
                <w:rFonts w:ascii="Times New Roman" w:hAnsi="Times New Roman" w:cs="Times New Roman"/>
                <w:color w:val="auto"/>
                <w:sz w:val="18"/>
                <w:szCs w:val="18"/>
              </w:rPr>
              <w:t>钢铁、石化、化工、焦化、建材、有色等高污染项目，高污染项目。</w:t>
            </w:r>
          </w:p>
          <w:p>
            <w:pPr>
              <w:pStyle w:val="25"/>
              <w:ind w:firstLine="480"/>
            </w:pPr>
          </w:p>
        </w:tc>
        <w:tc>
          <w:tcPr>
            <w:tcW w:w="907"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第十条 长江干流及主要支流岸线1公里范围内，除必须实施的防洪护岸、河道治理、供水、航道整治、港口码头及集疏运通道、道路及跨江桥隧、公共管理、生态环境治理、国家重要基础设施等事关公共安全和公众利益建设项目，以及长江岸线规划确定的城市建设区内非工业项目外，不得新批建设项目，不得布局新的工业园区。已批未开工的项目，依法停止建设，支持重新选址。已经开工建设的项目，严格进行检查评估，不符合岸线规划和环保、安全要求的，全部依法依规停建搬迁。</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禁止在合规园区外新建、扩建钢铁、石化、化工、焦化、建材、有色等高污染项目，高污染项目严格按照环境保护综合名录等有关要求执行。</w:t>
            </w:r>
          </w:p>
        </w:tc>
        <w:tc>
          <w:tcPr>
            <w:tcW w:w="4678" w:type="dxa"/>
            <w:vMerge w:val="continue"/>
            <w:vAlign w:val="center"/>
          </w:tcPr>
          <w:p>
            <w:pPr>
              <w:spacing w:line="240" w:lineRule="auto"/>
              <w:ind w:firstLine="0" w:firstLineChars="0"/>
              <w:rPr>
                <w:rFonts w:ascii="Times New Roman" w:hAnsi="Times New Roman" w:cs="Times New Roman"/>
                <w:color w:val="auto"/>
                <w:sz w:val="18"/>
                <w:szCs w:val="18"/>
              </w:rPr>
            </w:pPr>
          </w:p>
        </w:tc>
        <w:tc>
          <w:tcPr>
            <w:tcW w:w="907" w:type="dxa"/>
            <w:vMerge w:val="continue"/>
            <w:vAlign w:val="center"/>
          </w:tcPr>
          <w:p>
            <w:pPr>
              <w:spacing w:line="240" w:lineRule="auto"/>
              <w:ind w:firstLine="0" w:firstLineChars="0"/>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1806"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安徽省“十四五”生态环境保护规划</w:t>
            </w:r>
          </w:p>
        </w:tc>
        <w:tc>
          <w:tcPr>
            <w:tcW w:w="6273" w:type="dxa"/>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构建绿色交通运输体系重点加强货运运输结构调整力度，针对煤炭、钢铁、水泥、砂石骨料等大宗物料以及重点地区农产品、工业产品等运输，深挖运输结构调整潜力，谋划货运运输“公转铁”和“公转水”重大工程。依托铁路物流基地、内河港口、物流园区等，推进多式联运设施建设，推广新能源物流配送车辆，建设城市绿色物流体系。</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本项目为水运工程项目，属于大宗货物和中长途货物运输的“公转水”，有利于合肥市进一步优化调整运输结构，提升综合运输效率，降低社会物流成本，促进节能减排降碳，建设城市绿色物流体系。</w:t>
            </w:r>
          </w:p>
        </w:tc>
        <w:tc>
          <w:tcPr>
            <w:tcW w:w="907" w:type="dxa"/>
            <w:vMerge w:val="restart"/>
            <w:vAlign w:val="center"/>
          </w:tcPr>
          <w:p>
            <w:pPr>
              <w:spacing w:line="240" w:lineRule="auto"/>
              <w:ind w:firstLine="0" w:firstLineChars="0"/>
              <w:jc w:val="center"/>
              <w:rPr>
                <w:rFonts w:ascii="Times New Roman" w:hAnsi="Times New Roman" w:cs="Times New Roman"/>
                <w:color w:val="auto"/>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pStyle w:val="25"/>
              <w:spacing w:line="240" w:lineRule="auto"/>
              <w:ind w:firstLine="0" w:firstLineChars="0"/>
              <w:rPr>
                <w:rFonts w:ascii="Times New Roman" w:hAnsi="Times New Roman" w:cs="Times New Roman"/>
              </w:rPr>
            </w:pPr>
            <w:r>
              <w:rPr>
                <w:rFonts w:ascii="Times New Roman" w:hAnsi="Times New Roman" w:cs="Times New Roman"/>
                <w:color w:val="auto"/>
                <w:sz w:val="18"/>
                <w:szCs w:val="18"/>
              </w:rPr>
              <w:t>加强船舶污染治理，推动船舶尾气处理，限制高排放船舶使用。完善港口码头岸电设施，提高岸电使用率。</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本项目靠港船舶应满足《油品运输大气污染物排放标准》（GB 20951—2020）的相关排放限值要求</w:t>
            </w:r>
          </w:p>
        </w:tc>
        <w:tc>
          <w:tcPr>
            <w:tcW w:w="907" w:type="dxa"/>
            <w:vMerge w:val="continue"/>
            <w:vAlign w:val="center"/>
          </w:tcPr>
          <w:p>
            <w:pPr>
              <w:spacing w:line="240" w:lineRule="auto"/>
              <w:ind w:firstLine="0" w:firstLineChars="0"/>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加强内河港口、船舶污染控制，完善内河港口船舶污染物接收转运处置设施，协同推进内河货船生活污水污染防治。</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sz w:val="18"/>
                <w:szCs w:val="18"/>
              </w:rPr>
              <w:t>本项目采取油气回收等措施控制油品码头和罐区的无组织排放；</w:t>
            </w:r>
            <w:r>
              <w:rPr>
                <w:rFonts w:ascii="Times New Roman" w:hAnsi="Times New Roman" w:cs="Times New Roman"/>
                <w:color w:val="auto"/>
                <w:sz w:val="18"/>
                <w:szCs w:val="18"/>
              </w:rPr>
              <w:t>本项目汽油、航空煤油、乙醇等装船、装车过程废气采取油气回收系统处理。</w:t>
            </w:r>
            <w:r>
              <w:rPr>
                <w:rFonts w:ascii="Times New Roman" w:hAnsi="Times New Roman" w:cs="Times New Roman"/>
                <w:sz w:val="18"/>
                <w:szCs w:val="18"/>
              </w:rPr>
              <w:t>码头按照《船舶水污染物内河港口岸上接收设施设计指南》（JTS/T175-2019）要求同步建设</w:t>
            </w:r>
            <w:r>
              <w:rPr>
                <w:rFonts w:ascii="Times New Roman" w:hAnsi="Times New Roman" w:cs="Times New Roman"/>
                <w:color w:val="auto"/>
                <w:sz w:val="18"/>
                <w:szCs w:val="18"/>
              </w:rPr>
              <w:t>船舶污染物接收处置设备。</w:t>
            </w:r>
          </w:p>
        </w:tc>
        <w:tc>
          <w:tcPr>
            <w:tcW w:w="907" w:type="dxa"/>
            <w:vMerge w:val="continue"/>
            <w:vAlign w:val="center"/>
          </w:tcPr>
          <w:p>
            <w:pPr>
              <w:spacing w:line="240" w:lineRule="auto"/>
              <w:ind w:firstLine="0" w:firstLineChars="0"/>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512"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w:t>
            </w:r>
          </w:p>
        </w:tc>
        <w:tc>
          <w:tcPr>
            <w:tcW w:w="1806"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安徽省大气办关于深入开展挥发性有机物污染治理工作的通知皖大气办〔2021）4号</w:t>
            </w:r>
          </w:p>
        </w:tc>
        <w:tc>
          <w:tcPr>
            <w:tcW w:w="627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shd w:val="clear" w:color="auto" w:fill="FFFFFF"/>
              </w:rPr>
              <w:t>深化移动源VOCs污染防治。各地要坚持强化在用车检测/维修制度，完善在用车尾气排放检测机构监管，提升机动车检测站的技术监管手段。建立完善非道路移动机械使用申报登记的长效管理制度，加强在用非道路机械执法检查。坚持加油站、储油库、油罐车油气回收长效管理，推进符合条件的加油站和储油库加快安装油气回收自动监测设备并与生态环境部门联网，推动万吨级以上码头、8000吨以上油船实施油气回收治理。开展全省储油库等各类1.5万个有机液体储罐自检自查、升级改造，同步排查有机液体装卸废气收集治理情况</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本项目储油库、油罐车按照要求采取油气回收管线及装置对油品运输、储存过程中的VOCs废气进行收集处理，按照</w:t>
            </w:r>
            <w:r>
              <w:rPr>
                <w:rFonts w:ascii="Times New Roman" w:hAnsi="Times New Roman" w:cs="Times New Roman"/>
                <w:color w:val="auto"/>
                <w:sz w:val="18"/>
                <w:szCs w:val="18"/>
                <w:shd w:val="clear" w:color="auto" w:fill="FFFFFF"/>
              </w:rPr>
              <w:t>自动监测设备并与生态环境部门联网；运营期对油品储罐加强监控监测。</w:t>
            </w:r>
          </w:p>
        </w:tc>
        <w:tc>
          <w:tcPr>
            <w:tcW w:w="907"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p>
            <w:pPr>
              <w:ind w:firstLine="0" w:firstLineChars="0"/>
              <w:rPr>
                <w:rFonts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实施排污许可。建立健全以排污许可核发为中心的VOCs管控依据，在石油、化工、工业涂装、包装印刷、油品储运销五大领域全面推行排污许可制度，不断规范涉VOCs工业企业的排污许可登记管理，落实企业VOCs源头削减、过程控制和末端污染治理工作，推进企业自行监测、台账落实和定期报告的具体规定落地，严厉处罚无证和不按证排污行为。</w:t>
            </w:r>
          </w:p>
        </w:tc>
        <w:tc>
          <w:tcPr>
            <w:tcW w:w="4678" w:type="dxa"/>
            <w:vAlign w:val="center"/>
          </w:tcPr>
          <w:p>
            <w:pPr>
              <w:spacing w:line="240" w:lineRule="auto"/>
              <w:ind w:firstLine="0" w:firstLineChars="0"/>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本项目运营期严格落实排污许可制度，企业按要求开展自行监测、台账和定期报告工作。</w:t>
            </w:r>
          </w:p>
        </w:tc>
        <w:tc>
          <w:tcPr>
            <w:tcW w:w="907" w:type="dxa"/>
            <w:vMerge w:val="continue"/>
            <w:vAlign w:val="center"/>
          </w:tcPr>
          <w:p>
            <w:pPr>
              <w:spacing w:line="240" w:lineRule="auto"/>
              <w:ind w:firstLine="0" w:firstLineChars="0"/>
              <w:rPr>
                <w:rFonts w:ascii="Times New Roman" w:hAnsi="Times New Roman" w:cs="Times New Roman"/>
                <w:color w:val="auto"/>
                <w:sz w:val="18"/>
                <w:szCs w:val="18"/>
                <w:shd w:val="clear" w:color="auto" w:fill="FFFFFF"/>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51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w:t>
            </w:r>
          </w:p>
        </w:tc>
        <w:tc>
          <w:tcPr>
            <w:tcW w:w="180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安徽省生态环境保护委员会办公室关于印发&lt;安徽省2022年大气污染防治工作要点&gt;的通知》（安环委办〔2022〕37 号）</w:t>
            </w:r>
          </w:p>
        </w:tc>
        <w:tc>
          <w:tcPr>
            <w:tcW w:w="6273"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加快交通运输结构优化。加快推进“公转铁”“公转水”，煤炭、矿石等大宗货物中长距离运输以铁路、水路方式为主，短距离运输优先采用封闭式皮带廊道或新能源车辆，提高年货运量150 万吨以上的煤炭及副产品、建材、商品车、家用电器等工矿企业以及重点物流园区铁路、水路疏运比重，推进铜陵港江北港区、合肥港长风港区等一批铁路专用线工程建设。推进全省港口码头岸电和船舶受电设施改造，推动船舶靠港使用岸电常态化。</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本项目为水运工程项目，属于大宗货物和中长途货物运输的“公转水”，有利于合肥市进一步优化调整运输结构，提升综合运输效率，降低社会物流成本，促进节能减排降碳，建设城市绿色物流体系。</w:t>
            </w:r>
          </w:p>
        </w:tc>
        <w:tc>
          <w:tcPr>
            <w:tcW w:w="907" w:type="dxa"/>
            <w:vAlign w:val="center"/>
          </w:tcPr>
          <w:p>
            <w:pPr>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w:t>
            </w:r>
          </w:p>
        </w:tc>
        <w:tc>
          <w:tcPr>
            <w:tcW w:w="1806"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重点行业挥发性有机物综合治理方案</w:t>
            </w:r>
          </w:p>
        </w:tc>
        <w:tc>
          <w:tcPr>
            <w:tcW w:w="627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4678" w:type="dxa"/>
            <w:vMerge w:val="restart"/>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本项目化工品装卸船采用顶部浸没式装载，装卸过程全密闭，</w:t>
            </w:r>
            <w:r>
              <w:rPr>
                <w:rFonts w:hint="eastAsia" w:ascii="Times New Roman" w:hAnsi="Times New Roman" w:cs="Times New Roman"/>
                <w:color w:val="auto"/>
                <w:sz w:val="18"/>
                <w:szCs w:val="18"/>
              </w:rPr>
              <w:t>汽油</w:t>
            </w:r>
            <w:r>
              <w:rPr>
                <w:rFonts w:ascii="Times New Roman" w:hAnsi="Times New Roman" w:cs="Times New Roman"/>
                <w:color w:val="auto"/>
                <w:sz w:val="18"/>
                <w:szCs w:val="18"/>
              </w:rPr>
              <w:t>装船过程采取采取油气回收系统处理；卸船过程全密闭，汽油、</w:t>
            </w:r>
            <w:r>
              <w:rPr>
                <w:rFonts w:hint="eastAsia" w:ascii="Times New Roman" w:hAnsi="Times New Roman" w:cs="Times New Roman"/>
                <w:color w:val="auto"/>
                <w:sz w:val="18"/>
                <w:szCs w:val="18"/>
              </w:rPr>
              <w:t>乙醇</w:t>
            </w:r>
            <w:r>
              <w:rPr>
                <w:rFonts w:ascii="Times New Roman" w:hAnsi="Times New Roman" w:cs="Times New Roman"/>
                <w:color w:val="auto"/>
                <w:sz w:val="18"/>
                <w:szCs w:val="18"/>
              </w:rPr>
              <w:t>、航空煤油</w:t>
            </w:r>
            <w:r>
              <w:rPr>
                <w:rFonts w:hint="eastAsia" w:ascii="Times New Roman" w:hAnsi="Times New Roman" w:cs="Times New Roman"/>
                <w:color w:val="auto"/>
                <w:sz w:val="18"/>
                <w:szCs w:val="18"/>
              </w:rPr>
              <w:t>采用内浮顶罐配套“全接液浮盘+二次高效密封” 措施</w:t>
            </w:r>
            <w:r>
              <w:rPr>
                <w:rFonts w:ascii="Times New Roman" w:hAnsi="Times New Roman" w:cs="Times New Roman"/>
                <w:color w:val="auto"/>
                <w:sz w:val="18"/>
                <w:szCs w:val="18"/>
              </w:rPr>
              <w:t>。本项目汽油、</w:t>
            </w:r>
            <w:r>
              <w:rPr>
                <w:rFonts w:hint="eastAsia" w:ascii="Times New Roman" w:hAnsi="Times New Roman" w:cs="Times New Roman"/>
                <w:color w:val="auto"/>
                <w:sz w:val="18"/>
                <w:szCs w:val="18"/>
              </w:rPr>
              <w:t>乙醇</w:t>
            </w:r>
            <w:r>
              <w:rPr>
                <w:rFonts w:ascii="Times New Roman" w:hAnsi="Times New Roman" w:cs="Times New Roman"/>
                <w:color w:val="auto"/>
                <w:sz w:val="18"/>
                <w:szCs w:val="18"/>
              </w:rPr>
              <w:t>、航空煤油</w:t>
            </w:r>
            <w:r>
              <w:rPr>
                <w:rFonts w:hint="eastAsia" w:ascii="Times New Roman" w:hAnsi="Times New Roman" w:cs="Times New Roman"/>
                <w:color w:val="auto"/>
                <w:sz w:val="18"/>
                <w:szCs w:val="18"/>
              </w:rPr>
              <w:t>装车</w:t>
            </w:r>
            <w:r>
              <w:rPr>
                <w:rFonts w:ascii="Times New Roman" w:hAnsi="Times New Roman" w:cs="Times New Roman"/>
                <w:color w:val="auto"/>
                <w:sz w:val="18"/>
                <w:szCs w:val="18"/>
              </w:rPr>
              <w:t>采取油气回收系统处理。</w:t>
            </w:r>
          </w:p>
        </w:tc>
        <w:tc>
          <w:tcPr>
            <w:tcW w:w="907" w:type="dxa"/>
            <w:vMerge w:val="restart"/>
            <w:vAlign w:val="center"/>
          </w:tcPr>
          <w:p>
            <w:pPr>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强化储罐与有机液体装卸VOCs治理。加大中间储罐等治理力度，真实蒸气压大于等于5.2千帕（kPa）的，要严格按照有关规定采取有效控制措施。鼓励重点区域对真实蒸气压大于等于2.8kPa的有机液体采取控制措施。进一步加大挥发性有机液体装卸VOCs治理力度，重点区域推广油罐车底部装载方式，推进船舶装卸采用油气回收系统，试点开展火车运输底部装载工作。储罐和有机液体装卸采取末端治理措施的，要确保稳定运行。</w:t>
            </w:r>
          </w:p>
        </w:tc>
        <w:tc>
          <w:tcPr>
            <w:tcW w:w="4678" w:type="dxa"/>
            <w:vMerge w:val="continue"/>
            <w:vAlign w:val="center"/>
          </w:tcPr>
          <w:p>
            <w:pPr>
              <w:spacing w:line="240" w:lineRule="auto"/>
              <w:ind w:firstLine="0" w:firstLineChars="0"/>
              <w:rPr>
                <w:rFonts w:ascii="Times New Roman" w:hAnsi="Times New Roman" w:cs="Times New Roman"/>
                <w:color w:val="auto"/>
                <w:sz w:val="18"/>
                <w:szCs w:val="18"/>
              </w:rPr>
            </w:pPr>
          </w:p>
        </w:tc>
        <w:tc>
          <w:tcPr>
            <w:tcW w:w="907"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油品储运销VOCs综合治理。加大汽油（含乙醇汽油）、石脑油、煤油（含航空煤油）以及原油等VOCs排放控制，重点推进加油站、油罐车、储油库油气回收治理。重点区域还应推进油船油气回收治理工作。</w:t>
            </w:r>
          </w:p>
        </w:tc>
        <w:tc>
          <w:tcPr>
            <w:tcW w:w="4678" w:type="dxa"/>
            <w:vMerge w:val="continue"/>
            <w:vAlign w:val="center"/>
          </w:tcPr>
          <w:p>
            <w:pPr>
              <w:spacing w:line="240" w:lineRule="auto"/>
              <w:ind w:firstLine="0" w:firstLineChars="0"/>
              <w:rPr>
                <w:rFonts w:ascii="Times New Roman" w:hAnsi="Times New Roman" w:cs="Times New Roman"/>
                <w:color w:val="auto"/>
                <w:sz w:val="18"/>
                <w:szCs w:val="18"/>
              </w:rPr>
            </w:pPr>
          </w:p>
        </w:tc>
        <w:tc>
          <w:tcPr>
            <w:tcW w:w="907"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180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《2020年挥发性有机物治理攻坚方案》</w:t>
            </w:r>
          </w:p>
        </w:tc>
        <w:tc>
          <w:tcPr>
            <w:tcW w:w="6273" w:type="dxa"/>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强化油品储运销监管，实现减污降耗增效：加大汽油、石脑油、煤油以及原油等油品储运销全过程VOCs排放控制，在保障安全的前提下，重点推进储油库、油罐车、加油站油气回收治理，加大油气排放监管力度，并要求企业建立日查、自检、年检和维保制度。</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本项目化工品装卸船采用顶部浸没式装载，装卸过程全密闭，</w:t>
            </w:r>
            <w:r>
              <w:rPr>
                <w:rFonts w:hint="eastAsia" w:ascii="Times New Roman" w:hAnsi="Times New Roman" w:cs="Times New Roman"/>
                <w:color w:val="auto"/>
                <w:sz w:val="18"/>
                <w:szCs w:val="18"/>
              </w:rPr>
              <w:t>汽油</w:t>
            </w:r>
            <w:r>
              <w:rPr>
                <w:rFonts w:ascii="Times New Roman" w:hAnsi="Times New Roman" w:cs="Times New Roman"/>
                <w:color w:val="auto"/>
                <w:sz w:val="18"/>
                <w:szCs w:val="18"/>
              </w:rPr>
              <w:t>装船过程采取采取油气回收系统处理；卸船过程全密闭，汽油、</w:t>
            </w:r>
            <w:r>
              <w:rPr>
                <w:rFonts w:hint="eastAsia" w:ascii="Times New Roman" w:hAnsi="Times New Roman" w:cs="Times New Roman"/>
                <w:color w:val="auto"/>
                <w:sz w:val="18"/>
                <w:szCs w:val="18"/>
              </w:rPr>
              <w:t>乙醇</w:t>
            </w:r>
            <w:r>
              <w:rPr>
                <w:rFonts w:ascii="Times New Roman" w:hAnsi="Times New Roman" w:cs="Times New Roman"/>
                <w:color w:val="auto"/>
                <w:sz w:val="18"/>
                <w:szCs w:val="18"/>
              </w:rPr>
              <w:t>、航空煤油</w:t>
            </w:r>
            <w:r>
              <w:rPr>
                <w:rFonts w:hint="eastAsia" w:ascii="Times New Roman" w:hAnsi="Times New Roman" w:cs="Times New Roman"/>
                <w:color w:val="auto"/>
                <w:sz w:val="18"/>
                <w:szCs w:val="18"/>
              </w:rPr>
              <w:t>采用内浮顶罐配套“全接液浮盘+二次高效密封” 措施</w:t>
            </w:r>
            <w:r>
              <w:rPr>
                <w:rFonts w:ascii="Times New Roman" w:hAnsi="Times New Roman" w:cs="Times New Roman"/>
                <w:color w:val="auto"/>
                <w:sz w:val="18"/>
                <w:szCs w:val="18"/>
              </w:rPr>
              <w:t>。本项目汽油、</w:t>
            </w:r>
            <w:r>
              <w:rPr>
                <w:rFonts w:hint="eastAsia" w:ascii="Times New Roman" w:hAnsi="Times New Roman" w:cs="Times New Roman"/>
                <w:color w:val="auto"/>
                <w:sz w:val="18"/>
                <w:szCs w:val="18"/>
              </w:rPr>
              <w:t>乙醇</w:t>
            </w:r>
            <w:r>
              <w:rPr>
                <w:rFonts w:ascii="Times New Roman" w:hAnsi="Times New Roman" w:cs="Times New Roman"/>
                <w:color w:val="auto"/>
                <w:sz w:val="18"/>
                <w:szCs w:val="18"/>
              </w:rPr>
              <w:t>、航空煤油</w:t>
            </w:r>
            <w:r>
              <w:rPr>
                <w:rFonts w:hint="eastAsia" w:ascii="Times New Roman" w:hAnsi="Times New Roman" w:cs="Times New Roman"/>
                <w:color w:val="auto"/>
                <w:sz w:val="18"/>
                <w:szCs w:val="18"/>
              </w:rPr>
              <w:t>装车</w:t>
            </w:r>
            <w:r>
              <w:rPr>
                <w:rFonts w:ascii="Times New Roman" w:hAnsi="Times New Roman" w:cs="Times New Roman"/>
                <w:color w:val="auto"/>
                <w:sz w:val="18"/>
                <w:szCs w:val="18"/>
              </w:rPr>
              <w:t>采取油气回收系统处理。</w:t>
            </w:r>
          </w:p>
        </w:tc>
        <w:tc>
          <w:tcPr>
            <w:tcW w:w="9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restart"/>
            <w:vAlign w:val="center"/>
          </w:tcPr>
          <w:p>
            <w:pPr>
              <w:spacing w:line="240" w:lineRule="auto"/>
              <w:ind w:firstLine="0" w:firstLineChars="0"/>
              <w:jc w:val="center"/>
              <w:rPr>
                <w:rFonts w:ascii="Times New Roman" w:hAnsi="Times New Roman" w:cs="Times New Roman"/>
                <w:color w:val="auto"/>
                <w:sz w:val="18"/>
                <w:szCs w:val="18"/>
              </w:rPr>
            </w:pPr>
            <w:bookmarkStart w:id="129" w:name="_Hlk104312111"/>
            <w:r>
              <w:rPr>
                <w:rFonts w:ascii="Times New Roman" w:hAnsi="Times New Roman" w:cs="Times New Roman"/>
                <w:color w:val="auto"/>
                <w:sz w:val="18"/>
                <w:szCs w:val="18"/>
              </w:rPr>
              <w:t>11</w:t>
            </w:r>
          </w:p>
        </w:tc>
        <w:tc>
          <w:tcPr>
            <w:tcW w:w="1806"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《关于加快解决当前挥发性有机物治理突出问题的通知》环大气〔2021〕65号</w:t>
            </w:r>
          </w:p>
        </w:tc>
        <w:tc>
          <w:tcPr>
            <w:tcW w:w="6273"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一、挥发性有机液体储罐  治理要求。</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 xml:space="preserve">   企业应按照标准要求，根据储存挥发性有机液体的真实蒸气压、储罐容积等进行储罐和浮盘边缘密封方式选型。重点区域存储汽油、航空煤油、石脑油以及苯、甲苯、二甲苯的内浮顶罐罐顶气未收集治理的，宜配备新型高效浮盘与配件，选用“全接液高效浮盘+二次密封”结构。鼓励使用低泄漏的储罐呼吸阀、紧急泄压阀；固定顶罐或建设有机废气治理设施的内浮顶罐宜配备压力监测设备，罐内压力低于50%设计开启压力时，呼吸阀、紧急泄压阀泄漏检测值不宜超过2000μmol/mol。充分考虑罐体变形或浮盘损坏、储罐附件破损等异常排放情况，鼓励对废气收集引气装置、处理装置设置冗余负荷；储罐排气回收处理后无法稳定达标排放的，应进一步优化治理设施或实施深度治理；鼓励企业对内浮顶罐排气进行收集处理。储罐罐体应保持完好，不应有孔洞、缝隙（除内浮顶罐边缘通气孔外）；除采样、计量、例行检查、维护和其他正常活动外，储罐附件的开口（孔）应保持密闭。</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本项目汽油、航空煤油、乙醇储罐采用内浮顶罐并选用选用“全接液高效浮盘+二次密封”结构。柴油储罐为固定顶罐，选用低泄露呼吸阀。油品储罐同步配套建设压力监测设备。</w:t>
            </w:r>
          </w:p>
        </w:tc>
        <w:tc>
          <w:tcPr>
            <w:tcW w:w="9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bookmarkEnd w:id="129"/>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二、挥发性有机液体装卸 治理要求。</w:t>
            </w:r>
          </w:p>
          <w:p>
            <w:pPr>
              <w:spacing w:line="240" w:lineRule="auto"/>
              <w:ind w:firstLine="360"/>
              <w:rPr>
                <w:rFonts w:ascii="Times New Roman" w:hAnsi="Times New Roman" w:cs="Times New Roman"/>
                <w:color w:val="auto"/>
                <w:sz w:val="18"/>
                <w:szCs w:val="18"/>
              </w:rPr>
            </w:pPr>
            <w:r>
              <w:rPr>
                <w:rFonts w:ascii="Times New Roman" w:hAnsi="Times New Roman" w:cs="Times New Roman"/>
                <w:color w:val="auto"/>
                <w:sz w:val="18"/>
                <w:szCs w:val="18"/>
              </w:rPr>
              <w:t>汽车罐车按照标准采用适宜的装载方式，推广采用密封式快速接头等；铁路罐车推广使用锁紧式接头等。废气处理设施吸附剂应及时再生或更换，冷凝温度以及系统压力、气体流量、装载量等相关参数应满足设计要求；装载作业排气经过回收处理后不能稳定达标的，应进一步优化治理设施或实施深度治理。万吨级以上具备发油功能的码头加快建设油气回收设施，8000总吨及以上油船加快建设密闭油气收集系统和惰性气体系统。开展铁路罐车扫仓过程VOCs收集治理，鼓励开展铁路罐车、汽车罐车及船舶油舱的清洗、压舱过程废气收集治理。</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本项目油品装卸车平台采用汽柴油</w:t>
            </w:r>
            <w:r>
              <w:rPr>
                <w:rFonts w:hint="eastAsia" w:ascii="Times New Roman" w:hAnsi="Times New Roman" w:cs="Times New Roman"/>
                <w:color w:val="auto"/>
                <w:sz w:val="18"/>
                <w:szCs w:val="18"/>
              </w:rPr>
              <w:t>上、</w:t>
            </w:r>
            <w:r>
              <w:rPr>
                <w:rFonts w:ascii="Times New Roman" w:hAnsi="Times New Roman" w:cs="Times New Roman"/>
                <w:color w:val="auto"/>
                <w:sz w:val="18"/>
                <w:szCs w:val="18"/>
              </w:rPr>
              <w:t>下装装车鹤管并配套油气回收臂，油品装卸车挥发性废气单独设置油气回收系统；本项目港区内不设置汽车罐车及船舶油舱的清洗功能。</w:t>
            </w:r>
          </w:p>
        </w:tc>
        <w:tc>
          <w:tcPr>
            <w:tcW w:w="9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三、敞开液面逸散  治理要求。</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石油炼制、石油化工企业用于集输、储存、处理含VOCs 废水的设施应密闭；农药原药、农药中间体、化学原料药、兽药原料药、医药中间体企业废水应密闭输送，储存、处理设施应在曝气池及其之前加盖密闭；</w:t>
            </w:r>
            <w:r>
              <w:rPr>
                <w:rFonts w:ascii="Times New Roman" w:hAnsi="Times New Roman" w:cs="Times New Roman"/>
                <w:b/>
                <w:bCs/>
                <w:color w:val="auto"/>
                <w:sz w:val="18"/>
                <w:szCs w:val="18"/>
              </w:rPr>
              <w:t>其他行业根据标准要求检测敞开液面上方VOCs浓度，确定是否采取密闭收集措施。通过采取密闭管道等措施逐步替代地漏、沟、渠、井等敞开式集输方式，减少集水井、含油污水池数量；含油污水应密闭输送并鼓励设置水封，集水井、提升池或无移动部件的含油污水池可通过安装浮动顶盖或整体密闭等方式减少废气排放。</w:t>
            </w:r>
            <w:r>
              <w:rPr>
                <w:rFonts w:ascii="Times New Roman" w:hAnsi="Times New Roman" w:cs="Times New Roman"/>
                <w:color w:val="auto"/>
                <w:sz w:val="18"/>
                <w:szCs w:val="18"/>
              </w:rPr>
              <w:t>池体密闭后保持微负压状态，可采用U型管或密封膜现场检测方法排查池体内部负压情况，密封效果差的加快整治。污水处理场集水井（池）、调节池、隔油池、气浮池、混入含油浮渣的浓缩池等产生的高浓度VOCs废气宜单独收集治理，采用预处理+催化氧化、焚烧等高效处理工艺。低浓度VOCs废气收集处理，确保达标排放。污水均质罐、污油罐、浮渣罐及酸性水罐、氨水罐有机废气鼓励收集处理。焦化行业优先采用干熄焦；采用湿熄焦工艺的，禁止使用未经处理或处理不达标的废水熄焦。对开式循环冷却水系统，每6个月对流经换热器进口和出口的循环冷却水中的总有机碳（TOC）浓度进行检测，若出口浓度大于进口浓度10%，要溯源泄漏点并及时修复。</w:t>
            </w:r>
          </w:p>
        </w:tc>
        <w:tc>
          <w:tcPr>
            <w:tcW w:w="4678" w:type="dxa"/>
            <w:vAlign w:val="center"/>
          </w:tcPr>
          <w:p>
            <w:pPr>
              <w:spacing w:line="240" w:lineRule="auto"/>
              <w:ind w:firstLine="0" w:firstLineChars="0"/>
              <w:rPr>
                <w:rFonts w:ascii="Times New Roman" w:hAnsi="Times New Roman" w:cs="Times New Roman"/>
                <w:color w:val="FF0000"/>
                <w:sz w:val="18"/>
                <w:szCs w:val="18"/>
              </w:rPr>
            </w:pPr>
            <w:r>
              <w:rPr>
                <w:rFonts w:ascii="Times New Roman" w:hAnsi="Times New Roman" w:cs="Times New Roman"/>
                <w:color w:val="FF0000"/>
                <w:sz w:val="18"/>
                <w:szCs w:val="18"/>
              </w:rPr>
              <w:t>本项目针对含油废水的收集管线及收集池体采取密闭加盖措施，码头船舶含油污水的输送采用密闭管道进行收集输送</w:t>
            </w:r>
            <w:r>
              <w:rPr>
                <w:rFonts w:hint="eastAsia" w:ascii="Times New Roman" w:hAnsi="Times New Roman" w:cs="Times New Roman"/>
                <w:color w:val="FF0000"/>
                <w:sz w:val="18"/>
                <w:szCs w:val="18"/>
              </w:rPr>
              <w:t>；本项目无敞开液面。</w:t>
            </w:r>
          </w:p>
        </w:tc>
        <w:tc>
          <w:tcPr>
            <w:tcW w:w="9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四、泄漏检测与修复  治理要求</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石油炼制、石油化工、合成树脂行业所有企业都应开展 LDAR 工作；</w:t>
            </w:r>
            <w:r>
              <w:rPr>
                <w:rFonts w:ascii="Times New Roman" w:hAnsi="Times New Roman" w:cs="Times New Roman"/>
                <w:b/>
                <w:bCs/>
                <w:color w:val="auto"/>
                <w:sz w:val="18"/>
                <w:szCs w:val="18"/>
              </w:rPr>
              <w:t>其他行业企业中载有气态、液态VOCs 物料的设备与管线组件密封点大于等于2000个的，应开展LDAR工作。要将VOCs收集管道、治理设施和与储罐连接的密封点纳入检测范围。按照相关技术规范要求，开展泄漏检测、修复、质量控制、记录管理等工作。</w:t>
            </w:r>
            <w:r>
              <w:rPr>
                <w:rFonts w:ascii="Times New Roman" w:hAnsi="Times New Roman" w:cs="Times New Roman"/>
                <w:color w:val="auto"/>
                <w:sz w:val="18"/>
                <w:szCs w:val="18"/>
              </w:rPr>
              <w:t>鼓励大型石化、化工企业以及化工园区成立检测团队，自行开展 LDAR 工作或对第三方检测结果进行抽查。鼓励企业加严泄漏认定标准；对在用泵、备用泵、调节阀、搅拌器、开口管线等密封点加强巡检；定期采用红外成像仪等对不可达密封点进行泄漏筛查。鼓励重点区域石化、化工行业集中的城市和工业园区建立LDAR信息管理平台，进行统一监管。</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本项目运营期应按照《设备泄漏挥发性有机物排放控制技术规范》（DB34/T 310007-2021）的要求开展LDAR工作，对油品输送泵、管线、储罐、VOCs收集管道、油气回收装置和与储罐连接的密封点纳入检测范围。按照相关技术规范要求，开展泄漏检测、修复、质量控制、记录管理等工作。</w:t>
            </w:r>
          </w:p>
        </w:tc>
        <w:tc>
          <w:tcPr>
            <w:tcW w:w="9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五、废气收集设施  治理要求</w:t>
            </w:r>
          </w:p>
          <w:p>
            <w:pPr>
              <w:spacing w:line="240" w:lineRule="auto"/>
              <w:ind w:firstLine="361"/>
              <w:rPr>
                <w:rFonts w:ascii="Times New Roman" w:hAnsi="Times New Roman" w:cs="Times New Roman"/>
                <w:color w:val="auto"/>
                <w:sz w:val="18"/>
                <w:szCs w:val="18"/>
              </w:rPr>
            </w:pPr>
            <w:r>
              <w:rPr>
                <w:rFonts w:ascii="Times New Roman" w:hAnsi="Times New Roman" w:cs="Times New Roman"/>
                <w:b/>
                <w:bCs/>
                <w:color w:val="auto"/>
                <w:sz w:val="18"/>
                <w:szCs w:val="18"/>
              </w:rPr>
              <w:t>产生VOCs的生产环节优先采用密闭设备、在密闭空间中操作或采用全密闭集气罩收集方式，并保持负压运行。</w:t>
            </w:r>
            <w:r>
              <w:rPr>
                <w:rFonts w:ascii="Times New Roman" w:hAnsi="Times New Roman" w:cs="Times New Roman"/>
                <w:color w:val="auto"/>
                <w:sz w:val="18"/>
                <w:szCs w:val="18"/>
              </w:rPr>
              <w:t>无尘等级要求车间需设置成正压的，宜建设内层正压、外层微负压的双层整体密闭收集空间。对采用局部收集方式的企业，距废气收集系统排风罩开口面最远处的 VOCs 无组织排放位置控制风速不低于0.3m/s；推广以生产线或设备为单位设置隔间，收集风量应确保隔间保持微负压。当废气产生点较多、彼此距离较远时，在满足设计规范、风压平衡的基础上，适当分设多套收集系统或中继风机。废气收集系统的输送管道应密闭、无破损。焦化行业加强焦炉密封性检查，对于变形炉门、炉顶炉盖及时修复更换；加强焦炉工况监督，对焦炉墙串漏及时修缮。制药、农药、涂料、油墨、胶粘剂等间歇性生产工序较多的行业应对进出料、物料输送、搅拌、固液分离、干燥、灌装、取样等过程采取密闭化措施，</w:t>
            </w:r>
            <w:r>
              <w:rPr>
                <w:rFonts w:ascii="Times New Roman" w:hAnsi="Times New Roman" w:cs="Times New Roman"/>
                <w:b/>
                <w:bCs/>
                <w:color w:val="auto"/>
                <w:sz w:val="18"/>
                <w:szCs w:val="18"/>
              </w:rPr>
              <w:t>提升工艺装备水平；含VOCs 物料输送原则上采用重力流或泵送方式；有机液体进料鼓励采用底部、浸入管给料方式</w:t>
            </w:r>
            <w:r>
              <w:rPr>
                <w:rFonts w:ascii="Times New Roman" w:hAnsi="Times New Roman" w:cs="Times New Roman"/>
                <w:color w:val="auto"/>
                <w:sz w:val="18"/>
                <w:szCs w:val="18"/>
              </w:rPr>
              <w:t>；固体物料投加逐步推进采用密闭式投料装置。工业涂装行业建设密闭喷漆房，对于大型构件（船舶、钢结构）实施分段涂装，废气进行收集治理；对于确需露天涂装的，应采用符合国家或地方标准要求的低（无）VOCs 含量涂料，或使用移动式废气收集治理设施。包装印刷行业的印刷、复合、涂布工序实施密闭化改造，全面采用 VOCs 质量占比小于10%的原辅材料的除外。鼓励石油炼制企业开展冷焦水、切焦水等废气收集治理。使用VOCs质量占比大于等于 10%的涂料、油墨、胶粘剂、稀释剂、清洗剂等物料存储、调配、转移、输送等环节应密闭。</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油品输送过程为全密闭管道泵送方式，汽油、航空煤油、乙醇储罐采用内浮顶罐并选用选用“全接液高效浮盘+二次密封”结构。柴油储罐为固定顶罐，选用低泄露呼吸阀。油品装卸车平台采用汽柴油下装装车鹤管并配套油气回收臂，油品装卸车挥发性废气单独设置油气回收系统。</w:t>
            </w:r>
          </w:p>
        </w:tc>
        <w:tc>
          <w:tcPr>
            <w:tcW w:w="9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六、有机废气旁路  治理要求</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对生产系统和治理设施旁路进行系统评估，除保障安全生产必须保留的应急类旁路外，应采取彻底拆除、切断、物理隔离等方式取缔旁路（含生产车间、生产装置建设的直排管线等）。工业涂装、包装印刷等溶剂使用类行业生产车间原则上不设置应急旁路。对于确需保留的应急类旁路，企业应向当地生态环境部门报备，在非紧急情况下保持关闭并铅封，通过安装自动监测设备、流量计等方式加强监管，并保存历史记录，开启后应及时向当地生态环境部门报告，做好台账记录；阀门腐蚀、损坏后应及时更换，鼓励选用泄漏率小于0.5%的阀门；建设有中控系统的企业，鼓励在旁路设置感应式阀门，阀门开启状态、开度等信号接入中控系统，历史记录至少保存5年。在保证安全的前提下，鼓励对旁路废气进行处理，防止直排。</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本项目油气回收系统不设置废气旁路</w:t>
            </w:r>
          </w:p>
        </w:tc>
        <w:tc>
          <w:tcPr>
            <w:tcW w:w="9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七、有机废气治理设施  治理要求</w:t>
            </w:r>
          </w:p>
          <w:p>
            <w:pPr>
              <w:spacing w:line="240" w:lineRule="auto"/>
              <w:ind w:firstLine="360"/>
              <w:rPr>
                <w:rFonts w:ascii="Times New Roman" w:hAnsi="Times New Roman" w:cs="Times New Roman"/>
                <w:color w:val="auto"/>
                <w:sz w:val="18"/>
                <w:szCs w:val="18"/>
              </w:rPr>
            </w:pPr>
            <w:r>
              <w:rPr>
                <w:rFonts w:ascii="Times New Roman" w:hAnsi="Times New Roman" w:cs="Times New Roman"/>
                <w:color w:val="auto"/>
                <w:sz w:val="18"/>
                <w:szCs w:val="18"/>
              </w:rPr>
              <w:t>新建治理设施或对现有治理设施实施改造，应依据排放废气特征、VOCs 组分及浓度、生产工况等，合理选择治理技术；对治理难度大、单一治理工艺难以稳定达标的，宜采用多种技术的组合工艺；除恶臭异味治理外，一般不使用低温等离子、光催化、光氧化等技术。</w:t>
            </w:r>
          </w:p>
          <w:p>
            <w:pPr>
              <w:spacing w:line="240" w:lineRule="auto"/>
              <w:ind w:firstLine="360"/>
              <w:rPr>
                <w:rFonts w:ascii="Times New Roman" w:hAnsi="Times New Roman" w:cs="Times New Roman"/>
                <w:color w:val="auto"/>
                <w:sz w:val="18"/>
                <w:szCs w:val="18"/>
              </w:rPr>
            </w:pPr>
            <w:r>
              <w:rPr>
                <w:rFonts w:ascii="Times New Roman" w:hAnsi="Times New Roman" w:cs="Times New Roman"/>
                <w:color w:val="auto"/>
                <w:sz w:val="18"/>
                <w:szCs w:val="18"/>
              </w:rPr>
              <w:t>加强运行维护管理，做到治理设施较生产设备“先启后停”，在治理设施达到正常运行条件后方可启动生产设备，在生产设备停止、残留 VOCs 废气收集处理完毕后，方可停运治理设施；及时清理、更换吸附剂、吸收剂、催化剂、蓄热体、过滤棉、灯管、电器元件等治理设施耗材，确保设施能够稳定高效运行；做好生产设备和治理设施启停机时间、检维修情况、治理设施耗材维护更换、处置情况等台账记录；对于 VOCs 治理设施产生的废过滤棉、废催化剂、废吸附剂、废吸收剂、废有机溶剂等，应及时清运，属于危险废物的应交有资质的单位处理处置。</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本项目针对油品、</w:t>
            </w:r>
            <w:r>
              <w:rPr>
                <w:rFonts w:hint="eastAsia" w:ascii="Times New Roman" w:hAnsi="Times New Roman" w:cs="Times New Roman"/>
                <w:color w:val="auto"/>
                <w:sz w:val="18"/>
                <w:szCs w:val="18"/>
              </w:rPr>
              <w:t>航煤、</w:t>
            </w:r>
            <w:r>
              <w:rPr>
                <w:rFonts w:ascii="Times New Roman" w:hAnsi="Times New Roman" w:cs="Times New Roman"/>
                <w:color w:val="auto"/>
                <w:sz w:val="18"/>
                <w:szCs w:val="18"/>
              </w:rPr>
              <w:t>乙醇输送及储存过程中产生的VOCs废气采用油气回收系统进行处理，油气回收系统采取冷凝+活性炭吸附工艺方式，其建设满足《码头油气回收设施建设技术规范》（JTS 196-12-2017）的要求。运营期加强油气回收装置的维护。</w:t>
            </w:r>
          </w:p>
        </w:tc>
        <w:tc>
          <w:tcPr>
            <w:tcW w:w="9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1806"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6273"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九、非正常工况  治理要求</w:t>
            </w:r>
          </w:p>
          <w:p>
            <w:pPr>
              <w:spacing w:line="240" w:lineRule="auto"/>
              <w:ind w:firstLine="360"/>
              <w:rPr>
                <w:rFonts w:ascii="Times New Roman" w:hAnsi="Times New Roman" w:cs="Times New Roman"/>
                <w:color w:val="auto"/>
                <w:sz w:val="18"/>
                <w:szCs w:val="18"/>
              </w:rPr>
            </w:pPr>
            <w:r>
              <w:rPr>
                <w:rFonts w:ascii="Times New Roman" w:hAnsi="Times New Roman" w:cs="Times New Roman"/>
                <w:color w:val="auto"/>
                <w:sz w:val="18"/>
                <w:szCs w:val="18"/>
              </w:rPr>
              <w:t>石化、化工企业提前向当地生态环境部门报告检维修计划，制定非正常工况VOCs管控规程，严格按照规程进行操作。</w:t>
            </w:r>
            <w:r>
              <w:rPr>
                <w:rFonts w:ascii="Times New Roman" w:hAnsi="Times New Roman" w:cs="Times New Roman"/>
                <w:b/>
                <w:bCs/>
                <w:color w:val="auto"/>
                <w:sz w:val="18"/>
                <w:szCs w:val="18"/>
              </w:rPr>
              <w:t>企业开停工、检维修期间，退料、清洗、吹扫等作业产生的VOCs废气应及时收集处理，确保满足标准要求。停工退料时应密闭吹扫，最大化回收物料；产生的不凝气应分类进入管网，通过加热炉、火炬系统、治理设施或带有恶臭和 VOCs 废气治理装置的污油罐、污水处理设施、酸性水罐等进行收集处置。</w:t>
            </w:r>
            <w:r>
              <w:rPr>
                <w:rFonts w:ascii="Times New Roman" w:hAnsi="Times New Roman" w:cs="Times New Roman"/>
                <w:color w:val="auto"/>
                <w:sz w:val="18"/>
                <w:szCs w:val="18"/>
              </w:rPr>
              <w:t>在难以建立蒸罐、清洗、吹扫产物密闭排放管网的情况下，可采用移动式设备处理检维修过程排放的废气。</w:t>
            </w:r>
            <w:r>
              <w:rPr>
                <w:rFonts w:ascii="Times New Roman" w:hAnsi="Times New Roman" w:cs="Times New Roman"/>
                <w:b/>
                <w:bCs/>
                <w:color w:val="auto"/>
                <w:sz w:val="18"/>
                <w:szCs w:val="18"/>
              </w:rPr>
              <w:t>蒸罐、清洗、吹扫产物全部处置完毕后，方可停运配套治理设施、气柜、火炬等。</w:t>
            </w:r>
            <w:r>
              <w:rPr>
                <w:rFonts w:ascii="Times New Roman" w:hAnsi="Times New Roman" w:cs="Times New Roman"/>
                <w:color w:val="auto"/>
                <w:sz w:val="18"/>
                <w:szCs w:val="18"/>
              </w:rPr>
              <w:t>加强放空气体VOCs浓度监测，一般低于200μmol/mol 或0.2%爆炸下限浓度后再进行放空作业，减少设备拆解过程中VOCs排放。在停工检维修阶段，环保装置、气柜、火炬等应在生产装置开车前完成检维修；在开机进料时，应将置换出的废气排入火炬系统或采用其他有效方法进行处理；开工初始阶段产生的不合格产品应妥善处理，不得直排。企业检维修期间，当地生态环境部门可利用走航、网格化监测等方式加强监管，必要时可实施驻厂监管。石化、化工企业应加强可燃性气体的回收，火炬燃烧装置一般只用于应急处置，不作为日常大气污染处理设施；企业应按标准要求在火炬系统安装温度监控、废气流量计、助燃气体流量计等，鼓励安装热值检测仪；火炬排放废气热值达不到要求时应及时补充助燃气体。</w:t>
            </w:r>
          </w:p>
        </w:tc>
        <w:tc>
          <w:tcPr>
            <w:tcW w:w="4678" w:type="dxa"/>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本项目在管道、储罐扫线等作业时，开启油气回收装置。</w:t>
            </w:r>
          </w:p>
        </w:tc>
        <w:tc>
          <w:tcPr>
            <w:tcW w:w="90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bl>
    <w:p>
      <w:pPr>
        <w:widowControl/>
        <w:spacing w:before="166" w:beforeLines="50"/>
        <w:ind w:firstLine="480"/>
        <w:jc w:val="left"/>
        <w:rPr>
          <w:rFonts w:ascii="Times New Roman" w:hAnsi="Times New Roman" w:cs="Times New Roman"/>
          <w:color w:val="auto"/>
        </w:rPr>
      </w:pPr>
    </w:p>
    <w:p>
      <w:pPr>
        <w:keepNext/>
        <w:keepLines/>
        <w:numPr>
          <w:ilvl w:val="2"/>
          <w:numId w:val="0"/>
        </w:numPr>
        <w:tabs>
          <w:tab w:val="left" w:pos="1860"/>
        </w:tabs>
        <w:rPr>
          <w:rFonts w:ascii="Times New Roman" w:hAnsi="Times New Roman" w:cs="Times New Roman"/>
          <w:color w:val="auto"/>
        </w:rPr>
      </w:pPr>
    </w:p>
    <w:p>
      <w:pPr>
        <w:ind w:firstLine="480"/>
        <w:rPr>
          <w:rFonts w:ascii="Times New Roman" w:hAnsi="Times New Roman" w:cs="Times New Roman"/>
          <w:color w:val="auto"/>
        </w:rPr>
        <w:sectPr>
          <w:pgSz w:w="16838" w:h="11906" w:orient="landscape"/>
          <w:pgMar w:top="1417" w:right="1417" w:bottom="1417" w:left="1417" w:header="850" w:footer="992" w:gutter="0"/>
          <w:cols w:space="720" w:num="1"/>
          <w:docGrid w:type="lines" w:linePitch="333" w:charSpace="0"/>
        </w:sectPr>
      </w:pPr>
    </w:p>
    <w:p>
      <w:pPr>
        <w:pStyle w:val="3"/>
        <w:widowControl w:val="0"/>
        <w:numPr>
          <w:ilvl w:val="1"/>
          <w:numId w:val="0"/>
        </w:numPr>
        <w:spacing w:before="166" w:beforeLines="50" w:after="0"/>
        <w:jc w:val="both"/>
        <w:rPr>
          <w:rFonts w:ascii="Times New Roman" w:hAnsi="Times New Roman" w:eastAsia="黑体" w:cs="Times New Roman"/>
          <w:color w:val="auto"/>
          <w:kern w:val="2"/>
          <w:sz w:val="28"/>
        </w:rPr>
      </w:pPr>
      <w:bookmarkStart w:id="130" w:name="_Toc104733314"/>
      <w:bookmarkStart w:id="131" w:name="_Toc3531"/>
      <w:bookmarkStart w:id="132" w:name="_Toc9279"/>
      <w:bookmarkStart w:id="133" w:name="_Toc102979810"/>
      <w:r>
        <w:rPr>
          <w:rFonts w:ascii="Times New Roman" w:hAnsi="Times New Roman" w:eastAsia="黑体" w:cs="Times New Roman"/>
          <w:color w:val="auto"/>
          <w:kern w:val="2"/>
          <w:sz w:val="28"/>
        </w:rPr>
        <w:t>2.5“三线一单”相符性分析</w:t>
      </w:r>
      <w:bookmarkEnd w:id="130"/>
      <w:bookmarkEnd w:id="131"/>
      <w:bookmarkEnd w:id="132"/>
      <w:bookmarkEnd w:id="133"/>
    </w:p>
    <w:p>
      <w:pPr>
        <w:pStyle w:val="33"/>
        <w:ind w:firstLine="480"/>
        <w:rPr>
          <w:rFonts w:ascii="Times New Roman" w:hAnsi="Times New Roman" w:cs="Times New Roman"/>
          <w:color w:val="auto"/>
        </w:rPr>
      </w:pPr>
      <w:r>
        <w:rPr>
          <w:rFonts w:ascii="Times New Roman" w:hAnsi="Times New Roman" w:cs="Times New Roman"/>
          <w:color w:val="0000FF"/>
          <w:szCs w:val="24"/>
        </w:rPr>
        <w:t>根据环境保护部2016年10月27日下发的《关于以改善环境质量为核心加强环境影响评价管理的通知》（环环评[2016]150号）、《安徽省生态保护红线》（安徽省人民政府，2018年6月）及《安徽省生态环境厅关于印发安徽省“三线一单” 生态环境分区管控管理办法（暂行）的通知》（皖环发〔2022〕5号）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pPr>
        <w:pStyle w:val="33"/>
        <w:ind w:firstLine="482"/>
        <w:rPr>
          <w:rFonts w:ascii="Times New Roman" w:hAnsi="Times New Roman" w:cs="Times New Roman"/>
          <w:b/>
          <w:bCs/>
          <w:color w:val="auto"/>
          <w:szCs w:val="24"/>
        </w:rPr>
      </w:pPr>
      <w:r>
        <w:rPr>
          <w:rFonts w:ascii="Times New Roman" w:hAnsi="Times New Roman" w:cs="Times New Roman"/>
          <w:b/>
          <w:bCs/>
          <w:color w:val="auto"/>
          <w:szCs w:val="24"/>
        </w:rPr>
        <w:t>1、生态保护红线</w:t>
      </w:r>
    </w:p>
    <w:p>
      <w:pPr>
        <w:ind w:firstLine="480"/>
        <w:rPr>
          <w:rFonts w:ascii="Times New Roman" w:hAnsi="Times New Roman" w:cs="Times New Roman"/>
          <w:color w:val="auto"/>
          <w:szCs w:val="24"/>
        </w:rPr>
        <w:sectPr>
          <w:pgSz w:w="11906" w:h="16838"/>
          <w:pgMar w:top="1417" w:right="1417" w:bottom="1417" w:left="1417" w:header="850" w:footer="992" w:gutter="0"/>
          <w:cols w:space="720" w:num="1"/>
          <w:docGrid w:type="lines" w:linePitch="333" w:charSpace="0"/>
        </w:sectPr>
      </w:pPr>
      <w:r>
        <w:rPr>
          <w:rFonts w:ascii="Times New Roman" w:hAnsi="Times New Roman" w:cs="Times New Roman"/>
          <w:color w:val="auto"/>
        </w:rPr>
        <w:t>对照《安徽省生态保护红线》，项目建设区域不在划定的安徽省生态保护红线区域，故项目建设符合空间生态管控与布局要求。项目与合肥市生态保护红线图的位置关系见图2.5-1所示。</w:t>
      </w:r>
    </w:p>
    <w:p>
      <w:pPr>
        <w:pStyle w:val="33"/>
        <w:spacing w:line="240" w:lineRule="auto"/>
        <w:ind w:firstLine="0" w:firstLineChars="0"/>
        <w:jc w:val="center"/>
        <w:rPr>
          <w:rFonts w:ascii="Times New Roman" w:hAnsi="Times New Roman" w:cs="Times New Roman"/>
        </w:rPr>
      </w:pPr>
      <w:r>
        <w:rPr>
          <w:rFonts w:ascii="Times New Roman" w:hAnsi="Times New Roman" w:cs="Times New Roman"/>
          <w:color w:val="auto"/>
        </w:rPr>
        <mc:AlternateContent>
          <mc:Choice Requires="wps">
            <w:drawing>
              <wp:anchor distT="0" distB="0" distL="114300" distR="114300" simplePos="0" relativeHeight="251592704" behindDoc="0" locked="0" layoutInCell="1" allowOverlap="1">
                <wp:simplePos x="0" y="0"/>
                <wp:positionH relativeFrom="column">
                  <wp:posOffset>3604895</wp:posOffset>
                </wp:positionH>
                <wp:positionV relativeFrom="paragraph">
                  <wp:posOffset>3604895</wp:posOffset>
                </wp:positionV>
                <wp:extent cx="742950" cy="295275"/>
                <wp:effectExtent l="161925" t="9525" r="9525" b="390525"/>
                <wp:wrapNone/>
                <wp:docPr id="1940" name="AutoShape 1805"/>
                <wp:cNvGraphicFramePr/>
                <a:graphic xmlns:a="http://schemas.openxmlformats.org/drawingml/2006/main">
                  <a:graphicData uri="http://schemas.microsoft.com/office/word/2010/wordprocessingShape">
                    <wps:wsp>
                      <wps:cNvSpPr>
                        <a:spLocks noChangeArrowheads="true"/>
                      </wps:cNvSpPr>
                      <wps:spPr bwMode="auto">
                        <a:xfrm>
                          <a:off x="0" y="0"/>
                          <a:ext cx="742950" cy="295275"/>
                        </a:xfrm>
                        <a:prstGeom prst="wedgeRoundRectCallout">
                          <a:avLst>
                            <a:gd name="adj1" fmla="val -66921"/>
                            <a:gd name="adj2" fmla="val 171292"/>
                            <a:gd name="adj3" fmla="val 16667"/>
                          </a:avLst>
                        </a:prstGeom>
                        <a:noFill/>
                        <a:ln w="9525">
                          <a:solidFill>
                            <a:srgbClr val="FF0000"/>
                          </a:solidFill>
                          <a:miter lim="800000"/>
                        </a:ln>
                      </wps:spPr>
                      <wps:txbx>
                        <w:txbxContent>
                          <w:p>
                            <w:pPr>
                              <w:ind w:firstLine="0" w:firstLineChars="0"/>
                              <w:rPr>
                                <w:b/>
                                <w:bCs/>
                                <w:color w:val="FF0000"/>
                              </w:rPr>
                            </w:pPr>
                            <w:r>
                              <w:rPr>
                                <w:rFonts w:hint="eastAsia"/>
                                <w:b/>
                                <w:bCs/>
                                <w:color w:val="FF0000"/>
                              </w:rPr>
                              <w:t>本项目</w:t>
                            </w:r>
                          </w:p>
                        </w:txbxContent>
                      </wps:txbx>
                      <wps:bodyPr rot="0" vert="horz" wrap="square" lIns="91440" tIns="45720" rIns="91440" bIns="45720" anchor="t" anchorCtr="false" upright="true">
                        <a:noAutofit/>
                      </wps:bodyPr>
                    </wps:wsp>
                  </a:graphicData>
                </a:graphic>
              </wp:anchor>
            </w:drawing>
          </mc:Choice>
          <mc:Fallback>
            <w:pict>
              <v:shape id="AutoShape 1805" o:spid="_x0000_s1026" o:spt="62" type="#_x0000_t62" style="position:absolute;left:0pt;margin-left:283.85pt;margin-top:283.85pt;height:23.25pt;width:58.5pt;z-index:251592704;mso-width-relative:page;mso-height-relative:page;" filled="f" stroked="t" coordsize="21600,21600" o:gfxdata="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q95KgNUAAAALAQAADwAAAAAAAAABACAAAAA4AAAAZHJzL2Rvd25yZXYueG1sUEsBAhQAFAAA&#10;AAgAh07iQB+4I2pOAgAAnQQAAA4AAAAAAAAAAQAgAAAAOgEAAGRycy9lMm9Eb2MueG1sUEsFBgAA&#10;AAAGAAYAWQEAAPoFAAAAAA==&#10;" adj="0,47799,14400">
                <v:fill on="f" focussize="0,0"/>
                <v:stroke color="#FF0000" miterlimit="8" joinstyle="miter"/>
                <v:imagedata o:title=""/>
                <o:lock v:ext="edit" aspectratio="f"/>
                <v:textbox>
                  <w:txbxContent>
                    <w:p>
                      <w:pPr>
                        <w:ind w:firstLine="0" w:firstLineChars="0"/>
                        <w:rPr>
                          <w:b/>
                          <w:bCs/>
                          <w:color w:val="FF0000"/>
                        </w:rPr>
                      </w:pPr>
                      <w:r>
                        <w:rPr>
                          <w:rFonts w:hint="eastAsia"/>
                          <w:b/>
                          <w:bCs/>
                          <w:color w:val="FF0000"/>
                        </w:rPr>
                        <w:t>本项目</w:t>
                      </w:r>
                    </w:p>
                  </w:txbxContent>
                </v:textbox>
              </v:shape>
            </w:pict>
          </mc:Fallback>
        </mc:AlternateContent>
      </w:r>
      <w:r>
        <w:rPr>
          <w:rFonts w:ascii="Times New Roman" w:hAnsi="Times New Roman" w:cs="Times New Roman"/>
          <w:color w:val="auto"/>
        </w:rPr>
        <mc:AlternateContent>
          <mc:Choice Requires="wps">
            <w:drawing>
              <wp:anchor distT="0" distB="0" distL="114300" distR="114300" simplePos="0" relativeHeight="251593728" behindDoc="0" locked="0" layoutInCell="1" allowOverlap="1">
                <wp:simplePos x="0" y="0"/>
                <wp:positionH relativeFrom="column">
                  <wp:posOffset>3402330</wp:posOffset>
                </wp:positionH>
                <wp:positionV relativeFrom="paragraph">
                  <wp:posOffset>4201160</wp:posOffset>
                </wp:positionV>
                <wp:extent cx="123825" cy="114300"/>
                <wp:effectExtent l="6985" t="5715" r="2540" b="3810"/>
                <wp:wrapNone/>
                <wp:docPr id="1939" name="椭圆 198"/>
                <wp:cNvGraphicFramePr/>
                <a:graphic xmlns:a="http://schemas.openxmlformats.org/drawingml/2006/main">
                  <a:graphicData uri="http://schemas.microsoft.com/office/word/2010/wordprocessingShape">
                    <wps:wsp>
                      <wps:cNvSpPr>
                        <a:spLocks noChangeArrowheads="true"/>
                      </wps:cNvSpPr>
                      <wps:spPr bwMode="auto">
                        <a:xfrm>
                          <a:off x="0" y="0"/>
                          <a:ext cx="123825" cy="114300"/>
                        </a:xfrm>
                        <a:prstGeom prst="ellipse">
                          <a:avLst/>
                        </a:prstGeom>
                        <a:solidFill>
                          <a:srgbClr val="FF0000"/>
                        </a:solidFill>
                        <a:ln>
                          <a:noFill/>
                        </a:ln>
                      </wps:spPr>
                      <wps:bodyPr rot="0" vert="horz" wrap="square" lIns="91440" tIns="45720" rIns="91440" bIns="45720" anchor="ctr" anchorCtr="false" upright="true">
                        <a:noAutofit/>
                      </wps:bodyPr>
                    </wps:wsp>
                  </a:graphicData>
                </a:graphic>
              </wp:anchor>
            </w:drawing>
          </mc:Choice>
          <mc:Fallback>
            <w:pict>
              <v:shape id="椭圆 198" o:spid="_x0000_s1026" o:spt="3" type="#_x0000_t3" style="position:absolute;left:0pt;margin-left:267.9pt;margin-top:330.8pt;height:9pt;width:9.75pt;z-index:251593728;v-text-anchor:middle;mso-width-relative:page;mso-height-relative:page;" fillcolor="#FF0000" filled="t" stroked="f" coordsize="21600,21600" o:gfxdata="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I0DmCNgAAAALAQAADwAAAAAAAAABACAAAAA4AAAAZHJzL2Rvd25yZXYueG1sUEsBAhQAFAAAAAgA&#10;h07iQB7epbMPAgAA6wMAAA4AAAAAAAAAAQAgAAAAPQEAAGRycy9lMm9Eb2MueG1sUEsFBgAAAAAG&#10;AAYAWQEAAL4FAAAAAA==&#10;">
                <v:fill on="t" focussize="0,0"/>
                <v:stroke on="f"/>
                <v:imagedata o:title=""/>
                <o:lock v:ext="edit" aspectratio="f"/>
              </v:shape>
            </w:pict>
          </mc:Fallback>
        </mc:AlternateContent>
      </w:r>
      <w:r>
        <w:rPr>
          <w:rFonts w:ascii="Times New Roman" w:hAnsi="Times New Roman" w:cs="Times New Roman"/>
        </w:rPr>
        <w:drawing>
          <wp:inline distT="0" distB="0" distL="0" distR="0">
            <wp:extent cx="5911850" cy="8368030"/>
            <wp:effectExtent l="0" t="0" r="0" b="0"/>
            <wp:docPr id="15"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true" noChangeArrowheads="true"/>
                    </pic:cNvPicPr>
                  </pic:nvPicPr>
                  <pic:blipFill>
                    <a:blip r:embed="rId45"/>
                    <a:srcRect/>
                    <a:stretch>
                      <a:fillRect/>
                    </a:stretch>
                  </pic:blipFill>
                  <pic:spPr>
                    <a:xfrm>
                      <a:off x="0" y="0"/>
                      <a:ext cx="5911850" cy="8368030"/>
                    </a:xfrm>
                    <a:prstGeom prst="rect">
                      <a:avLst/>
                    </a:prstGeom>
                    <a:noFill/>
                    <a:ln>
                      <a:noFill/>
                    </a:ln>
                  </pic:spPr>
                </pic:pic>
              </a:graphicData>
            </a:graphic>
          </wp:inline>
        </w:drawing>
      </w:r>
    </w:p>
    <w:p>
      <w:pPr>
        <w:pStyle w:val="33"/>
        <w:spacing w:line="240" w:lineRule="auto"/>
        <w:ind w:firstLine="0" w:firstLineChars="0"/>
        <w:jc w:val="center"/>
        <w:rPr>
          <w:rFonts w:ascii="Times New Roman" w:hAnsi="Times New Roman" w:cs="Times New Roman"/>
        </w:rPr>
        <w:sectPr>
          <w:pgSz w:w="11906" w:h="16838"/>
          <w:pgMar w:top="1418" w:right="1418" w:bottom="1418" w:left="1418" w:header="851" w:footer="992" w:gutter="0"/>
          <w:cols w:space="720" w:num="1"/>
          <w:docGrid w:type="linesAndChars" w:linePitch="333" w:charSpace="0"/>
        </w:sectPr>
      </w:pPr>
      <w:r>
        <w:rPr>
          <w:rFonts w:ascii="Times New Roman" w:hAnsi="Times New Roman" w:cs="Times New Roman"/>
          <w:b/>
          <w:bCs/>
          <w:color w:val="auto"/>
          <w:sz w:val="21"/>
          <w:szCs w:val="21"/>
        </w:rPr>
        <w:t>图2.5-1  合肥市生态保护红线图</w:t>
      </w:r>
    </w:p>
    <w:p>
      <w:pPr>
        <w:adjustRightInd/>
        <w:ind w:firstLine="0" w:firstLineChars="0"/>
        <w:jc w:val="left"/>
        <w:rPr>
          <w:rFonts w:ascii="Times New Roman" w:hAnsi="Times New Roman" w:cs="Times New Roman"/>
          <w:b/>
          <w:bCs/>
          <w:kern w:val="0"/>
          <w:szCs w:val="24"/>
        </w:rPr>
      </w:pPr>
      <w:r>
        <w:rPr>
          <w:rFonts w:ascii="Times New Roman" w:hAnsi="Times New Roman" w:cs="Times New Roman"/>
          <w:b/>
          <w:bCs/>
          <w:kern w:val="0"/>
          <w:szCs w:val="24"/>
        </w:rPr>
        <w:t>2、分区管控要求</w:t>
      </w:r>
    </w:p>
    <w:p>
      <w:pPr>
        <w:adjustRightInd/>
        <w:ind w:firstLine="480"/>
        <w:jc w:val="left"/>
        <w:rPr>
          <w:rFonts w:ascii="Times New Roman" w:hAnsi="Times New Roman" w:cs="Times New Roman"/>
          <w:kern w:val="0"/>
          <w:szCs w:val="24"/>
        </w:rPr>
      </w:pPr>
      <w:r>
        <w:rPr>
          <w:rFonts w:ascii="Times New Roman" w:hAnsi="Times New Roman" w:cs="Times New Roman"/>
          <w:kern w:val="0"/>
          <w:szCs w:val="24"/>
        </w:rPr>
        <w:t>（1）大气环境分区管控</w:t>
      </w:r>
    </w:p>
    <w:p>
      <w:pPr>
        <w:adjustRightInd/>
        <w:ind w:firstLine="480"/>
        <w:jc w:val="left"/>
        <w:rPr>
          <w:rFonts w:ascii="Times New Roman" w:hAnsi="Times New Roman" w:cs="Times New Roman"/>
          <w:kern w:val="0"/>
        </w:rPr>
      </w:pPr>
      <w:r>
        <w:rPr>
          <w:rFonts w:ascii="Times New Roman" w:hAnsi="Times New Roman" w:cs="Times New Roman"/>
          <w:kern w:val="0"/>
          <w:szCs w:val="24"/>
        </w:rPr>
        <w:t>对照合肥市大气环境管控分区图，项目位于大气环境高排重点管控区，落实《合肥市打贏蓝天保卫战三年行动计划》《重点行业挥发性有机物综合治理方案》《合肥市“十三五”生态环境建设规划》等要求，严格目标实施计划，加强环境监管，促进生态环境质量好转。新建、改建和扩建项目大气污染物实施“倍量替代”。</w:t>
      </w:r>
      <w:r>
        <w:rPr>
          <w:rFonts w:ascii="Times New Roman" w:hAnsi="Times New Roman" w:cs="Times New Roman"/>
          <w:kern w:val="0"/>
        </w:rPr>
        <w:t>根据《关于印发&lt;建设项目主要污染物排放总量指标审核及管理暂行办法&gt;的通知》（环发【2014】197号）的规定，“上一年度环境空气质量年平均浓度不达标的城市，相关污染物应按照建设项目所需替代的主要污染物排放总量指标的2倍进行削减替代。细颗粒物（PM</w:t>
      </w:r>
      <w:r>
        <w:rPr>
          <w:rFonts w:ascii="Times New Roman" w:hAnsi="Times New Roman" w:cs="Times New Roman"/>
          <w:kern w:val="0"/>
          <w:vertAlign w:val="subscript"/>
        </w:rPr>
        <w:t>2.5</w:t>
      </w:r>
      <w:r>
        <w:rPr>
          <w:rFonts w:ascii="Times New Roman" w:hAnsi="Times New Roman" w:cs="Times New Roman"/>
          <w:kern w:val="0"/>
        </w:rPr>
        <w:t>）年平均浓度不达标的城市，二氧化硫、氮氧化物、烟粉尘、挥发性有机物四项污染物均需进行2倍削减替代。”本项目码头及罐区的油品输送及液体化学品输送分别通过油气回收系统及</w:t>
      </w:r>
      <w:r>
        <w:rPr>
          <w:rFonts w:hint="eastAsia" w:ascii="Times New Roman" w:hAnsi="Times New Roman" w:cs="Times New Roman"/>
          <w:kern w:val="0"/>
        </w:rPr>
        <w:t>碱液中和罐</w:t>
      </w:r>
      <w:r>
        <w:rPr>
          <w:rFonts w:ascii="Times New Roman" w:hAnsi="Times New Roman" w:cs="Times New Roman"/>
          <w:kern w:val="0"/>
        </w:rPr>
        <w:t>装置进行处理后达标排放。</w:t>
      </w:r>
    </w:p>
    <w:p>
      <w:pPr>
        <w:adjustRightInd/>
        <w:ind w:firstLine="480"/>
        <w:jc w:val="left"/>
        <w:rPr>
          <w:rFonts w:ascii="Times New Roman" w:hAnsi="Times New Roman" w:cs="Times New Roman"/>
          <w:kern w:val="0"/>
        </w:rPr>
      </w:pPr>
      <w:r>
        <w:rPr>
          <w:rFonts w:ascii="Times New Roman" w:hAnsi="Times New Roman" w:cs="Times New Roman"/>
          <w:kern w:val="0"/>
        </w:rPr>
        <w:t>合肥市2021年度环境空气质量达标，故本项目VOCs</w:t>
      </w:r>
      <w:r>
        <w:rPr>
          <w:rFonts w:hint="eastAsia" w:ascii="Times New Roman" w:hAnsi="Times New Roman" w:cs="Times New Roman"/>
          <w:kern w:val="0"/>
        </w:rPr>
        <w:t>排放总量</w:t>
      </w:r>
      <w:r>
        <w:rPr>
          <w:rFonts w:ascii="Times New Roman" w:hAnsi="Times New Roman" w:cs="Times New Roman"/>
          <w:kern w:val="0"/>
        </w:rPr>
        <w:t>可</w:t>
      </w:r>
      <w:r>
        <w:rPr>
          <w:rFonts w:hint="eastAsia" w:ascii="Times New Roman" w:hAnsi="Times New Roman" w:cs="Times New Roman"/>
          <w:kern w:val="0"/>
        </w:rPr>
        <w:t>进行</w:t>
      </w:r>
      <w:r>
        <w:rPr>
          <w:rFonts w:ascii="Times New Roman" w:hAnsi="Times New Roman" w:cs="Times New Roman"/>
          <w:kern w:val="0"/>
        </w:rPr>
        <w:t>等量</w:t>
      </w:r>
      <w:r>
        <w:rPr>
          <w:rFonts w:hint="eastAsia" w:ascii="Times New Roman" w:hAnsi="Times New Roman" w:cs="Times New Roman"/>
          <w:kern w:val="0"/>
        </w:rPr>
        <w:t>替代</w:t>
      </w:r>
      <w:r>
        <w:rPr>
          <w:rFonts w:ascii="Times New Roman" w:hAnsi="Times New Roman" w:cs="Times New Roman"/>
          <w:kern w:val="0"/>
        </w:rPr>
        <w:t>。</w:t>
      </w:r>
    </w:p>
    <w:p>
      <w:pPr>
        <w:pStyle w:val="25"/>
        <w:ind w:firstLine="141" w:firstLineChars="59"/>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594752" behindDoc="0" locked="0" layoutInCell="1" allowOverlap="1">
                <wp:simplePos x="0" y="0"/>
                <wp:positionH relativeFrom="column">
                  <wp:posOffset>3643630</wp:posOffset>
                </wp:positionH>
                <wp:positionV relativeFrom="paragraph">
                  <wp:posOffset>3109595</wp:posOffset>
                </wp:positionV>
                <wp:extent cx="742950" cy="295275"/>
                <wp:effectExtent l="162560" t="9525" r="8890" b="390525"/>
                <wp:wrapNone/>
                <wp:docPr id="1938" name="AutoShape 1806"/>
                <wp:cNvGraphicFramePr/>
                <a:graphic xmlns:a="http://schemas.openxmlformats.org/drawingml/2006/main">
                  <a:graphicData uri="http://schemas.microsoft.com/office/word/2010/wordprocessingShape">
                    <wps:wsp>
                      <wps:cNvSpPr>
                        <a:spLocks noChangeArrowheads="true"/>
                      </wps:cNvSpPr>
                      <wps:spPr bwMode="auto">
                        <a:xfrm>
                          <a:off x="0" y="0"/>
                          <a:ext cx="742950" cy="295275"/>
                        </a:xfrm>
                        <a:prstGeom prst="wedgeRoundRectCallout">
                          <a:avLst>
                            <a:gd name="adj1" fmla="val -66921"/>
                            <a:gd name="adj2" fmla="val 171292"/>
                            <a:gd name="adj3" fmla="val 16667"/>
                          </a:avLst>
                        </a:prstGeom>
                        <a:noFill/>
                        <a:ln w="9525">
                          <a:solidFill>
                            <a:srgbClr val="FF0000"/>
                          </a:solidFill>
                          <a:miter lim="800000"/>
                        </a:ln>
                      </wps:spPr>
                      <wps:txbx>
                        <w:txbxContent>
                          <w:p>
                            <w:pPr>
                              <w:ind w:firstLine="0" w:firstLineChars="0"/>
                              <w:rPr>
                                <w:b/>
                                <w:bCs/>
                                <w:color w:val="FF0000"/>
                              </w:rPr>
                            </w:pPr>
                            <w:r>
                              <w:rPr>
                                <w:rFonts w:hint="eastAsia"/>
                                <w:b/>
                                <w:bCs/>
                                <w:color w:val="FF0000"/>
                              </w:rPr>
                              <w:t>本项目</w:t>
                            </w:r>
                          </w:p>
                        </w:txbxContent>
                      </wps:txbx>
                      <wps:bodyPr rot="0" vert="horz" wrap="square" lIns="91440" tIns="45720" rIns="91440" bIns="45720" anchor="t" anchorCtr="false" upright="true">
                        <a:noAutofit/>
                      </wps:bodyPr>
                    </wps:wsp>
                  </a:graphicData>
                </a:graphic>
              </wp:anchor>
            </w:drawing>
          </mc:Choice>
          <mc:Fallback>
            <w:pict>
              <v:shape id="AutoShape 1806" o:spid="_x0000_s1026" o:spt="62" type="#_x0000_t62" style="position:absolute;left:0pt;margin-left:286.9pt;margin-top:244.85pt;height:23.25pt;width:58.5pt;z-index:251594752;mso-width-relative:page;mso-height-relative:page;" filled="f" stroked="t" coordsize="21600,21600" o:gfxdata="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FgAAAGRycy9QSwECFAAUAAAA&#10;CACHTuJA8E1+vNgAAAALAQAADwAAAAAAAAABACAAAAA4AAAAZHJzL2Rvd25yZXYueG1sUEsBAhQA&#10;FAAAAAgAh07iQNalZWROAgAAnQQAAA4AAAAAAAAAAQAgAAAAPQEAAGRycy9lMm9Eb2MueG1sUEsF&#10;BgAAAAAGAAYAWQEAAP0FAAAAAA==&#10;" adj="0,47799,14400">
                <v:fill on="f" focussize="0,0"/>
                <v:stroke color="#FF0000" miterlimit="8" joinstyle="miter"/>
                <v:imagedata o:title=""/>
                <o:lock v:ext="edit" aspectratio="f"/>
                <v:textbox>
                  <w:txbxContent>
                    <w:p>
                      <w:pPr>
                        <w:ind w:firstLine="0" w:firstLineChars="0"/>
                        <w:rPr>
                          <w:b/>
                          <w:bCs/>
                          <w:color w:val="FF0000"/>
                        </w:rPr>
                      </w:pPr>
                      <w:r>
                        <w:rPr>
                          <w:rFonts w:hint="eastAsia"/>
                          <w:b/>
                          <w:bCs/>
                          <w:color w:val="FF0000"/>
                        </w:rPr>
                        <w:t>本项目</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595776" behindDoc="0" locked="0" layoutInCell="1" allowOverlap="1">
                <wp:simplePos x="0" y="0"/>
                <wp:positionH relativeFrom="column">
                  <wp:posOffset>3441065</wp:posOffset>
                </wp:positionH>
                <wp:positionV relativeFrom="paragraph">
                  <wp:posOffset>3725545</wp:posOffset>
                </wp:positionV>
                <wp:extent cx="123825" cy="114300"/>
                <wp:effectExtent l="7620" t="6350" r="1905" b="3175"/>
                <wp:wrapNone/>
                <wp:docPr id="1937" name="Oval 1807"/>
                <wp:cNvGraphicFramePr/>
                <a:graphic xmlns:a="http://schemas.openxmlformats.org/drawingml/2006/main">
                  <a:graphicData uri="http://schemas.microsoft.com/office/word/2010/wordprocessingShape">
                    <wps:wsp>
                      <wps:cNvSpPr>
                        <a:spLocks noChangeArrowheads="true"/>
                      </wps:cNvSpPr>
                      <wps:spPr bwMode="auto">
                        <a:xfrm>
                          <a:off x="0" y="0"/>
                          <a:ext cx="123825" cy="114300"/>
                        </a:xfrm>
                        <a:prstGeom prst="ellipse">
                          <a:avLst/>
                        </a:prstGeom>
                        <a:solidFill>
                          <a:srgbClr val="FF0000"/>
                        </a:solidFill>
                        <a:ln>
                          <a:noFill/>
                        </a:ln>
                      </wps:spPr>
                      <wps:bodyPr rot="0" vert="horz" wrap="square" lIns="91440" tIns="45720" rIns="91440" bIns="45720" anchor="ctr" anchorCtr="false" upright="true">
                        <a:noAutofit/>
                      </wps:bodyPr>
                    </wps:wsp>
                  </a:graphicData>
                </a:graphic>
              </wp:anchor>
            </w:drawing>
          </mc:Choice>
          <mc:Fallback>
            <w:pict>
              <v:shape id="Oval 1807" o:spid="_x0000_s1026" o:spt="3" type="#_x0000_t3" style="position:absolute;left:0pt;margin-left:270.95pt;margin-top:293.35pt;height:9pt;width:9.75pt;z-index:251595776;v-text-anchor:middle;mso-width-relative:page;mso-height-relative:page;" fillcolor="#FF0000" filled="t" stroked="f" coordsize="21600,21600" o:gfxdata="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BYAAABkcnMvUEsBAhQAFAAAAAgAh07iQMHwtX/ZAAAACwEA&#10;AA8AAAAAAAAAAQAgAAAAOAAAAGRycy9kb3ducmV2LnhtbFBLAQIUABQAAAAIAIdO4kATdx3NAwIA&#10;AOoDAAAOAAAAAAAAAAEAIAAAAD4BAABkcnMvZTJvRG9jLnhtbFBLBQYAAAAABgAGAFkBAACzBQAA&#10;AAA=&#10;">
                <v:fill on="t" focussize="0,0"/>
                <v:stroke on="f"/>
                <v:imagedata o:title=""/>
                <o:lock v:ext="edit" aspectratio="f"/>
              </v:shape>
            </w:pict>
          </mc:Fallback>
        </mc:AlternateContent>
      </w:r>
      <w:r>
        <w:rPr>
          <w:rFonts w:ascii="Times New Roman" w:hAnsi="Times New Roman" w:cs="Times New Roman"/>
        </w:rPr>
        <w:drawing>
          <wp:inline distT="0" distB="0" distL="0" distR="0">
            <wp:extent cx="5762625" cy="8133715"/>
            <wp:effectExtent l="0" t="0" r="0" b="0"/>
            <wp:docPr id="16"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true" noChangeArrowheads="true"/>
                    </pic:cNvPicPr>
                  </pic:nvPicPr>
                  <pic:blipFill>
                    <a:blip r:embed="rId46"/>
                    <a:srcRect/>
                    <a:stretch>
                      <a:fillRect/>
                    </a:stretch>
                  </pic:blipFill>
                  <pic:spPr>
                    <a:xfrm>
                      <a:off x="0" y="0"/>
                      <a:ext cx="5762625" cy="8133715"/>
                    </a:xfrm>
                    <a:prstGeom prst="rect">
                      <a:avLst/>
                    </a:prstGeom>
                    <a:noFill/>
                    <a:ln>
                      <a:noFill/>
                    </a:ln>
                  </pic:spPr>
                </pic:pic>
              </a:graphicData>
            </a:graphic>
          </wp:inline>
        </w:drawing>
      </w:r>
    </w:p>
    <w:p>
      <w:pPr>
        <w:pStyle w:val="33"/>
        <w:spacing w:line="240" w:lineRule="auto"/>
        <w:ind w:firstLine="0" w:firstLineChars="0"/>
        <w:jc w:val="center"/>
        <w:rPr>
          <w:rFonts w:ascii="Times New Roman" w:hAnsi="Times New Roman" w:cs="Times New Roman"/>
        </w:rPr>
        <w:sectPr>
          <w:pgSz w:w="11906" w:h="16838"/>
          <w:pgMar w:top="1418" w:right="1418" w:bottom="1418" w:left="1418" w:header="851" w:footer="992" w:gutter="0"/>
          <w:cols w:space="720" w:num="1"/>
          <w:docGrid w:type="linesAndChars" w:linePitch="333" w:charSpace="0"/>
        </w:sectPr>
      </w:pPr>
      <w:r>
        <w:rPr>
          <w:rFonts w:ascii="Times New Roman" w:hAnsi="Times New Roman" w:cs="Times New Roman"/>
          <w:b/>
          <w:bCs/>
          <w:color w:val="auto"/>
          <w:sz w:val="21"/>
          <w:szCs w:val="21"/>
        </w:rPr>
        <w:t>图2.5-2  合肥市大气环境分区管控图</w:t>
      </w:r>
    </w:p>
    <w:p>
      <w:pPr>
        <w:adjustRightInd/>
        <w:ind w:firstLine="480"/>
        <w:jc w:val="left"/>
        <w:rPr>
          <w:rFonts w:ascii="Times New Roman" w:hAnsi="Times New Roman" w:cs="Times New Roman"/>
          <w:b/>
          <w:bCs/>
          <w:color w:val="FF0000"/>
          <w:kern w:val="0"/>
          <w:szCs w:val="24"/>
        </w:rPr>
      </w:pPr>
      <w:r>
        <w:rPr>
          <w:rFonts w:ascii="Times New Roman" w:hAnsi="Times New Roman" w:cs="Times New Roman"/>
          <w:kern w:val="0"/>
          <w:szCs w:val="24"/>
        </w:rPr>
        <w:t>（2）</w:t>
      </w:r>
      <w:r>
        <w:rPr>
          <w:rFonts w:ascii="Times New Roman" w:hAnsi="Times New Roman" w:cs="Times New Roman"/>
          <w:b/>
          <w:bCs/>
          <w:color w:val="FF0000"/>
          <w:kern w:val="0"/>
          <w:szCs w:val="24"/>
        </w:rPr>
        <w:t>水环境分区管控</w:t>
      </w:r>
    </w:p>
    <w:p>
      <w:pPr>
        <w:adjustRightInd/>
        <w:ind w:firstLine="480"/>
        <w:jc w:val="left"/>
        <w:rPr>
          <w:rFonts w:ascii="Times New Roman" w:hAnsi="Times New Roman" w:cs="Times New Roman"/>
          <w:kern w:val="0"/>
          <w:szCs w:val="24"/>
        </w:rPr>
      </w:pPr>
      <w:r>
        <w:rPr>
          <w:rFonts w:ascii="Times New Roman" w:hAnsi="Times New Roman" w:cs="Times New Roman"/>
          <w:kern w:val="0"/>
          <w:szCs w:val="24"/>
        </w:rPr>
        <w:t>对照合肥市水环境管控分区图，项目位于水环境工业污染重点管控区，依据《中华人民共和国水污染防治法》《水污染防治行动计划》《安徽省水污染防治工作方案》《合肥市水污染防治工作方案》对重点管控区实施管控；依据《巢湖流域水污染防治条例》《巢湖综合治理绿色发展总体规划》《巢湖流域农业面源污染防治实施方案》《关于建设绿色发展美丽巢湖的意见》对巢湖流域实施管控；依据《合肥市水环境保护条例》对合肥市实施管控；依据开发区规划、规划环评及审查意见相关要求对开发区实施管控；落实《安徽省“十四五”环境保护规划》《安徽省“十三五”节能减排实施方案》《合肥市“十三五”生态环境建设规划》《合肥市“十三五”节能减排综合性工作方案》等要求， 新建、改建和扩建项目水污染物实施“等量替代”。</w:t>
      </w:r>
    </w:p>
    <w:p>
      <w:pPr>
        <w:adjustRightInd/>
        <w:ind w:firstLine="480"/>
        <w:jc w:val="left"/>
        <w:rPr>
          <w:rFonts w:ascii="Times New Roman" w:hAnsi="Times New Roman" w:cs="Times New Roman"/>
          <w:kern w:val="0"/>
          <w:szCs w:val="24"/>
        </w:rPr>
      </w:pPr>
      <w:r>
        <w:rPr>
          <w:rFonts w:ascii="Times New Roman" w:hAnsi="Times New Roman" w:cs="Times New Roman"/>
          <w:kern w:val="0"/>
          <w:szCs w:val="24"/>
        </w:rPr>
        <w:t>本项目码头平台、罐区及装车区冲洗水、初期雨水，船舶含油污水，油罐切水废水经密闭式含油污水收集池进行收集，再经含油污水处理装置进行处理达标；员工生活污水及船舶生活污水收集后经化粪池处理后排放至污水管网进入合肥循环经济示范园污水处理厂处理。满足重点管控区管控要求。</w:t>
      </w:r>
    </w:p>
    <w:p>
      <w:pPr>
        <w:adjustRightInd/>
        <w:ind w:firstLine="480"/>
        <w:rPr>
          <w:rFonts w:ascii="Times New Roman" w:hAnsi="Times New Roman" w:cs="Times New Roman"/>
          <w:color w:val="auto"/>
          <w:szCs w:val="24"/>
        </w:rPr>
      </w:pPr>
      <w:r>
        <w:rPr>
          <w:rFonts w:ascii="Times New Roman" w:hAnsi="Times New Roman" w:cs="Times New Roman"/>
          <w:kern w:val="0"/>
          <w:szCs w:val="24"/>
        </w:rPr>
        <w:t>（3）</w:t>
      </w:r>
      <w:r>
        <w:rPr>
          <w:rFonts w:ascii="Times New Roman" w:hAnsi="Times New Roman" w:cs="Times New Roman"/>
          <w:color w:val="auto"/>
          <w:szCs w:val="24"/>
        </w:rPr>
        <w:t>土壤环境分区管控：</w:t>
      </w:r>
    </w:p>
    <w:p>
      <w:pPr>
        <w:adjustRightInd/>
        <w:ind w:firstLine="480"/>
        <w:rPr>
          <w:rFonts w:ascii="Times New Roman" w:hAnsi="Times New Roman" w:cs="Times New Roman"/>
          <w:color w:val="auto"/>
          <w:kern w:val="0"/>
          <w:szCs w:val="24"/>
        </w:rPr>
      </w:pPr>
      <w:r>
        <w:rPr>
          <w:rFonts w:ascii="Times New Roman" w:hAnsi="Times New Roman" w:cs="Times New Roman"/>
          <w:color w:val="auto"/>
          <w:szCs w:val="24"/>
        </w:rPr>
        <w:t>对照合肥市土壤环境管控分区图，项目位于土壤环境建设用地污染风险重点防控区中，</w:t>
      </w:r>
      <w:r>
        <w:rPr>
          <w:rFonts w:ascii="Times New Roman" w:hAnsi="Times New Roman" w:cs="Times New Roman"/>
          <w:kern w:val="0"/>
          <w:szCs w:val="24"/>
        </w:rPr>
        <w:t>具体管控要求：落实《安徽省“十三五”环境保护规划》《安徽省“十三五”重金属污染综合防治规划》《安徽省“十三五”危险废物污染防治规划》《安徽省土壤污染防治工作方案》《合肥市“十三五”生态环境建设规划》《合肥市土壤污染防治工作实施方案》等要求，防止土壤污染风险。</w:t>
      </w:r>
      <w:r>
        <w:rPr>
          <w:rFonts w:ascii="Times New Roman" w:hAnsi="Times New Roman" w:cs="Times New Roman"/>
          <w:kern w:val="0"/>
          <w:szCs w:val="24"/>
        </w:rPr>
        <w:cr/>
      </w:r>
      <w:r>
        <w:rPr>
          <w:rFonts w:ascii="Times New Roman" w:hAnsi="Times New Roman" w:cs="Times New Roman"/>
          <w:kern w:val="0"/>
          <w:szCs w:val="24"/>
        </w:rPr>
        <w:t xml:space="preserve">    本项目为水运码头项目，不涉及重金属的排放。产生的一般固废以及危险废物均进行安全处置，其中危险废物暂存于危废暂存间内，定期委托有资质单位处理；对码头平台区、罐区、装车区（设备区）、污水处理区均采取重点防渗措施，防治土壤及地下水污染。</w:t>
      </w:r>
    </w:p>
    <w:p>
      <w:pPr>
        <w:adjustRightInd/>
        <w:snapToGrid/>
        <w:ind w:firstLine="0" w:firstLineChars="0"/>
        <w:jc w:val="left"/>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596800" behindDoc="0" locked="0" layoutInCell="1" allowOverlap="1">
                <wp:simplePos x="0" y="0"/>
                <wp:positionH relativeFrom="column">
                  <wp:posOffset>3712210</wp:posOffset>
                </wp:positionH>
                <wp:positionV relativeFrom="paragraph">
                  <wp:posOffset>2874010</wp:posOffset>
                </wp:positionV>
                <wp:extent cx="742950" cy="369570"/>
                <wp:effectExtent l="400050" t="0" r="19050" b="868680"/>
                <wp:wrapNone/>
                <wp:docPr id="1936" name="AutoShape 1810"/>
                <wp:cNvGraphicFramePr/>
                <a:graphic xmlns:a="http://schemas.openxmlformats.org/drawingml/2006/main">
                  <a:graphicData uri="http://schemas.microsoft.com/office/word/2010/wordprocessingShape">
                    <wps:wsp>
                      <wps:cNvSpPr>
                        <a:spLocks noChangeArrowheads="true"/>
                      </wps:cNvSpPr>
                      <wps:spPr bwMode="auto">
                        <a:xfrm>
                          <a:off x="0" y="0"/>
                          <a:ext cx="742950" cy="369703"/>
                        </a:xfrm>
                        <a:prstGeom prst="wedgeRoundRectCallout">
                          <a:avLst>
                            <a:gd name="adj1" fmla="val -96975"/>
                            <a:gd name="adj2" fmla="val 275718"/>
                            <a:gd name="adj3" fmla="val 16667"/>
                          </a:avLst>
                        </a:prstGeom>
                        <a:noFill/>
                        <a:ln w="12700">
                          <a:solidFill>
                            <a:srgbClr val="0070C0"/>
                          </a:solidFill>
                          <a:miter lim="800000"/>
                        </a:ln>
                      </wps:spPr>
                      <wps:txbx>
                        <w:txbxContent>
                          <w:p>
                            <w:pPr>
                              <w:ind w:firstLine="0" w:firstLineChars="0"/>
                              <w:rPr>
                                <w:b/>
                                <w:bCs/>
                                <w:color w:val="FF0000"/>
                              </w:rPr>
                            </w:pPr>
                            <w:r>
                              <w:rPr>
                                <w:rFonts w:hint="eastAsia"/>
                                <w:b/>
                                <w:bCs/>
                                <w:color w:val="FF0000"/>
                                <w:highlight w:val="yellow"/>
                              </w:rPr>
                              <w:t>本项目</w:t>
                            </w:r>
                          </w:p>
                        </w:txbxContent>
                      </wps:txbx>
                      <wps:bodyPr rot="0" vert="horz" wrap="square" lIns="91440" tIns="45720" rIns="91440" bIns="45720" anchor="t" anchorCtr="false" upright="true">
                        <a:noAutofit/>
                      </wps:bodyPr>
                    </wps:wsp>
                  </a:graphicData>
                </a:graphic>
              </wp:anchor>
            </w:drawing>
          </mc:Choice>
          <mc:Fallback>
            <w:pict>
              <v:shape id="AutoShape 1810" o:spid="_x0000_s1026" o:spt="62" type="#_x0000_t62" style="position:absolute;left:0pt;margin-left:292.3pt;margin-top:226.3pt;height:29.1pt;width:58.5pt;z-index:251596800;mso-width-relative:page;mso-height-relative:page;" filled="f" stroked="t" coordsize="21600,21600" o:gfxdata="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DoNrfzZAAAACwEAAA8AAAAAAAAAAQAgAAAAOAAAAGRycy9kb3ducmV2Lnht&#10;bFBLAQIUABQAAAAIAIdO4kAqmNztVAIAAJ4EAAAOAAAAAAAAAAEAIAAAAD4BAABkcnMvZTJvRG9j&#10;LnhtbFBLBQYAAAAABgAGAFkBAAAEBgAAAAA=&#10;" adj="0,70355,14400">
                <v:fill on="f" focussize="0,0"/>
                <v:stroke weight="1pt" color="#0070C0" miterlimit="8" joinstyle="miter"/>
                <v:imagedata o:title=""/>
                <o:lock v:ext="edit" aspectratio="f"/>
                <v:textbox>
                  <w:txbxContent>
                    <w:p>
                      <w:pPr>
                        <w:ind w:firstLine="0" w:firstLineChars="0"/>
                        <w:rPr>
                          <w:b/>
                          <w:bCs/>
                          <w:color w:val="FF0000"/>
                        </w:rPr>
                      </w:pPr>
                      <w:r>
                        <w:rPr>
                          <w:rFonts w:hint="eastAsia"/>
                          <w:b/>
                          <w:bCs/>
                          <w:color w:val="FF0000"/>
                          <w:highlight w:val="yellow"/>
                        </w:rPr>
                        <w:t>本项目</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597824" behindDoc="0" locked="0" layoutInCell="1" allowOverlap="1">
                <wp:simplePos x="0" y="0"/>
                <wp:positionH relativeFrom="column">
                  <wp:posOffset>3298190</wp:posOffset>
                </wp:positionH>
                <wp:positionV relativeFrom="paragraph">
                  <wp:posOffset>4036060</wp:posOffset>
                </wp:positionV>
                <wp:extent cx="123825" cy="114300"/>
                <wp:effectExtent l="0" t="0" r="9525" b="0"/>
                <wp:wrapNone/>
                <wp:docPr id="1935" name="Oval 1809"/>
                <wp:cNvGraphicFramePr/>
                <a:graphic xmlns:a="http://schemas.openxmlformats.org/drawingml/2006/main">
                  <a:graphicData uri="http://schemas.microsoft.com/office/word/2010/wordprocessingShape">
                    <wps:wsp>
                      <wps:cNvSpPr>
                        <a:spLocks noChangeArrowheads="true"/>
                      </wps:cNvSpPr>
                      <wps:spPr bwMode="auto">
                        <a:xfrm>
                          <a:off x="0" y="0"/>
                          <a:ext cx="123825" cy="114300"/>
                        </a:xfrm>
                        <a:prstGeom prst="ellipse">
                          <a:avLst/>
                        </a:prstGeom>
                        <a:solidFill>
                          <a:srgbClr val="FFFF00"/>
                        </a:solidFill>
                        <a:ln>
                          <a:noFill/>
                        </a:ln>
                      </wps:spPr>
                      <wps:bodyPr rot="0" vert="horz" wrap="square" lIns="91440" tIns="45720" rIns="91440" bIns="45720" anchor="ctr" anchorCtr="false" upright="true">
                        <a:noAutofit/>
                      </wps:bodyPr>
                    </wps:wsp>
                  </a:graphicData>
                </a:graphic>
              </wp:anchor>
            </w:drawing>
          </mc:Choice>
          <mc:Fallback>
            <w:pict>
              <v:shape id="Oval 1809" o:spid="_x0000_s1026" o:spt="3" type="#_x0000_t3" style="position:absolute;left:0pt;margin-left:259.7pt;margin-top:317.8pt;height:9pt;width:9.75pt;z-index:251597824;v-text-anchor:middle;mso-width-relative:page;mso-height-relative:page;" fillcolor="#FFFF00" filled="t" stroked="f" coordsize="21600,21600" o:gfxdata="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FgAAAGRycy9QSwECFAAUAAAACACHTuJAt/PsMtoAAAALAQAA&#10;DwAAAAAAAAABACAAAAA4AAAAZHJzL2Rvd25yZXYueG1sUEsBAhQAFAAAAAgAh07iQPLT4eUBAgAA&#10;6gMAAA4AAAAAAAAAAQAgAAAAPwEAAGRycy9lMm9Eb2MueG1sUEsFBgAAAAAGAAYAWQEAALIFAAAA&#10;AA==&#10;">
                <v:fill on="t" focussize="0,0"/>
                <v:stroke on="f"/>
                <v:imagedata o:title=""/>
                <o:lock v:ext="edit" aspectratio="f"/>
              </v:shape>
            </w:pict>
          </mc:Fallback>
        </mc:AlternateContent>
      </w:r>
      <w:r>
        <w:drawing>
          <wp:inline distT="0" distB="0" distL="0" distR="0">
            <wp:extent cx="5759450" cy="8136255"/>
            <wp:effectExtent l="0" t="0" r="0" b="0"/>
            <wp:docPr id="1960" name="图片 19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60" name="图片 1960"/>
                    <pic:cNvPicPr>
                      <a:picLocks noChangeAspect="true"/>
                    </pic:cNvPicPr>
                  </pic:nvPicPr>
                  <pic:blipFill>
                    <a:blip r:embed="rId47"/>
                    <a:stretch>
                      <a:fillRect/>
                    </a:stretch>
                  </pic:blipFill>
                  <pic:spPr>
                    <a:xfrm>
                      <a:off x="0" y="0"/>
                      <a:ext cx="5759450" cy="8136255"/>
                    </a:xfrm>
                    <a:prstGeom prst="rect">
                      <a:avLst/>
                    </a:prstGeom>
                  </pic:spPr>
                </pic:pic>
              </a:graphicData>
            </a:graphic>
          </wp:inline>
        </w:drawing>
      </w:r>
    </w:p>
    <w:p>
      <w:pPr>
        <w:pStyle w:val="33"/>
        <w:spacing w:line="240" w:lineRule="auto"/>
        <w:ind w:firstLine="0" w:firstLineChars="0"/>
        <w:jc w:val="center"/>
        <w:rPr>
          <w:rFonts w:ascii="Times New Roman" w:hAnsi="Times New Roman" w:cs="Times New Roman"/>
        </w:rPr>
        <w:sectPr>
          <w:pgSz w:w="11906" w:h="16838"/>
          <w:pgMar w:top="1418" w:right="1418" w:bottom="1418" w:left="1418" w:header="851" w:footer="992" w:gutter="0"/>
          <w:cols w:space="720" w:num="1"/>
          <w:docGrid w:type="linesAndChars" w:linePitch="333" w:charSpace="0"/>
        </w:sectPr>
      </w:pPr>
      <w:r>
        <w:rPr>
          <w:rFonts w:ascii="Times New Roman" w:hAnsi="Times New Roman" w:cs="Times New Roman"/>
          <w:b/>
          <w:bCs/>
          <w:color w:val="auto"/>
          <w:sz w:val="21"/>
          <w:szCs w:val="21"/>
        </w:rPr>
        <w:t>图2.5-3   合肥市水环境分区管控图</w:t>
      </w:r>
    </w:p>
    <w:p>
      <w:pPr>
        <w:adjustRightInd/>
        <w:snapToGrid/>
        <w:ind w:firstLine="0" w:firstLineChars="0"/>
        <w:jc w:val="left"/>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598848" behindDoc="0" locked="0" layoutInCell="1" allowOverlap="1">
                <wp:simplePos x="0" y="0"/>
                <wp:positionH relativeFrom="column">
                  <wp:posOffset>3596005</wp:posOffset>
                </wp:positionH>
                <wp:positionV relativeFrom="paragraph">
                  <wp:posOffset>3510280</wp:posOffset>
                </wp:positionV>
                <wp:extent cx="742950" cy="295275"/>
                <wp:effectExtent l="162560" t="10160" r="8890" b="389890"/>
                <wp:wrapNone/>
                <wp:docPr id="1934" name="AutoShape 1811"/>
                <wp:cNvGraphicFramePr/>
                <a:graphic xmlns:a="http://schemas.openxmlformats.org/drawingml/2006/main">
                  <a:graphicData uri="http://schemas.microsoft.com/office/word/2010/wordprocessingShape">
                    <wps:wsp>
                      <wps:cNvSpPr>
                        <a:spLocks noChangeArrowheads="true"/>
                      </wps:cNvSpPr>
                      <wps:spPr bwMode="auto">
                        <a:xfrm>
                          <a:off x="0" y="0"/>
                          <a:ext cx="742950" cy="295275"/>
                        </a:xfrm>
                        <a:prstGeom prst="wedgeRoundRectCallout">
                          <a:avLst>
                            <a:gd name="adj1" fmla="val -66921"/>
                            <a:gd name="adj2" fmla="val 171292"/>
                            <a:gd name="adj3" fmla="val 16667"/>
                          </a:avLst>
                        </a:prstGeom>
                        <a:noFill/>
                        <a:ln w="9525">
                          <a:solidFill>
                            <a:srgbClr val="FF0000"/>
                          </a:solidFill>
                          <a:miter lim="800000"/>
                        </a:ln>
                      </wps:spPr>
                      <wps:txbx>
                        <w:txbxContent>
                          <w:p>
                            <w:pPr>
                              <w:ind w:firstLine="0" w:firstLineChars="0"/>
                              <w:rPr>
                                <w:b/>
                                <w:bCs/>
                                <w:color w:val="FF0000"/>
                              </w:rPr>
                            </w:pPr>
                            <w:r>
                              <w:rPr>
                                <w:rFonts w:hint="eastAsia"/>
                                <w:b/>
                                <w:bCs/>
                                <w:color w:val="FF0000"/>
                              </w:rPr>
                              <w:t>本项目</w:t>
                            </w:r>
                          </w:p>
                        </w:txbxContent>
                      </wps:txbx>
                      <wps:bodyPr rot="0" vert="horz" wrap="square" lIns="91440" tIns="45720" rIns="91440" bIns="45720" anchor="t" anchorCtr="false" upright="true">
                        <a:noAutofit/>
                      </wps:bodyPr>
                    </wps:wsp>
                  </a:graphicData>
                </a:graphic>
              </wp:anchor>
            </w:drawing>
          </mc:Choice>
          <mc:Fallback>
            <w:pict>
              <v:shape id="AutoShape 1811" o:spid="_x0000_s1026" o:spt="62" type="#_x0000_t62" style="position:absolute;left:0pt;margin-left:283.15pt;margin-top:276.4pt;height:23.25pt;width:58.5pt;z-index:251598848;mso-width-relative:page;mso-height-relative:page;" filled="f" stroked="t" coordsize="21600,21600" o:gfxdata="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WAAAAZHJzL1BLAQIUABQA&#10;AAAIAIdO4kA6utup1wAAAAsBAAAPAAAAAAAAAAEAIAAAADgAAABkcnMvZG93bnJldi54bWxQSwEC&#10;FAAUAAAACACHTuJAzxS9/VECAACdBAAADgAAAAAAAAABACAAAAA8AQAAZHJzL2Uyb0RvYy54bWxQ&#10;SwUGAAAAAAYABgBZAQAA/wUAAAAA&#10;" adj="0,47799,14400">
                <v:fill on="f" focussize="0,0"/>
                <v:stroke color="#FF0000" miterlimit="8" joinstyle="miter"/>
                <v:imagedata o:title=""/>
                <o:lock v:ext="edit" aspectratio="f"/>
                <v:textbox>
                  <w:txbxContent>
                    <w:p>
                      <w:pPr>
                        <w:ind w:firstLine="0" w:firstLineChars="0"/>
                        <w:rPr>
                          <w:b/>
                          <w:bCs/>
                          <w:color w:val="FF0000"/>
                        </w:rPr>
                      </w:pPr>
                      <w:r>
                        <w:rPr>
                          <w:rFonts w:hint="eastAsia"/>
                          <w:b/>
                          <w:bCs/>
                          <w:color w:val="FF0000"/>
                        </w:rPr>
                        <w:t>本项目</w:t>
                      </w:r>
                    </w:p>
                  </w:txbxContent>
                </v:textbox>
              </v:shape>
            </w:pict>
          </mc:Fallback>
        </mc:AlternateContent>
      </w:r>
      <w:r>
        <w:rPr>
          <w:rFonts w:ascii="Times New Roman" w:hAnsi="Times New Roman" w:cs="Times New Roman"/>
        </w:rPr>
        <w:drawing>
          <wp:inline distT="0" distB="0" distL="0" distR="0">
            <wp:extent cx="5762625" cy="8133715"/>
            <wp:effectExtent l="0" t="0" r="0" b="0"/>
            <wp:docPr id="18"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true" noChangeArrowheads="true"/>
                    </pic:cNvPicPr>
                  </pic:nvPicPr>
                  <pic:blipFill>
                    <a:blip r:embed="rId48"/>
                    <a:srcRect/>
                    <a:stretch>
                      <a:fillRect/>
                    </a:stretch>
                  </pic:blipFill>
                  <pic:spPr>
                    <a:xfrm>
                      <a:off x="0" y="0"/>
                      <a:ext cx="5762625" cy="8133715"/>
                    </a:xfrm>
                    <a:prstGeom prst="rect">
                      <a:avLst/>
                    </a:prstGeom>
                    <a:noFill/>
                    <a:ln>
                      <a:noFill/>
                    </a:ln>
                  </pic:spPr>
                </pic:pic>
              </a:graphicData>
            </a:graphic>
          </wp:inline>
        </w:drawing>
      </w:r>
    </w:p>
    <w:p>
      <w:pPr>
        <w:pStyle w:val="33"/>
        <w:spacing w:line="240" w:lineRule="auto"/>
        <w:ind w:firstLine="0" w:firstLineChars="0"/>
        <w:jc w:val="center"/>
        <w:rPr>
          <w:rFonts w:ascii="Times New Roman" w:hAnsi="Times New Roman" w:cs="Times New Roman"/>
        </w:rPr>
        <w:sectPr>
          <w:pgSz w:w="11906" w:h="16838"/>
          <w:pgMar w:top="1418" w:right="1418" w:bottom="1418" w:left="1418" w:header="851" w:footer="992" w:gutter="0"/>
          <w:cols w:space="720" w:num="1"/>
          <w:docGrid w:type="linesAndChars" w:linePitch="333" w:charSpace="0"/>
        </w:sectPr>
      </w:pPr>
      <w:r>
        <w:rPr>
          <w:rFonts w:ascii="Times New Roman" w:hAnsi="Times New Roman" w:cs="Times New Roman"/>
          <w:b/>
          <w:bCs/>
          <w:color w:val="auto"/>
          <w:sz w:val="21"/>
          <w:szCs w:val="21"/>
        </w:rPr>
        <w:t>图2.5-4   合肥市土壤环境分区管控图</w:t>
      </w:r>
    </w:p>
    <w:p>
      <w:pPr>
        <w:ind w:firstLine="480"/>
        <w:rPr>
          <w:rFonts w:ascii="Times New Roman" w:hAnsi="Times New Roman" w:cs="Times New Roman"/>
          <w:szCs w:val="24"/>
        </w:rPr>
      </w:pPr>
      <w:r>
        <w:rPr>
          <w:rFonts w:ascii="Times New Roman" w:hAnsi="Times New Roman" w:cs="Times New Roman"/>
          <w:kern w:val="0"/>
          <w:szCs w:val="24"/>
        </w:rPr>
        <w:t>（4）</w:t>
      </w:r>
      <w:r>
        <w:rPr>
          <w:rFonts w:ascii="Times New Roman" w:hAnsi="Times New Roman" w:cs="Times New Roman"/>
          <w:szCs w:val="24"/>
        </w:rPr>
        <w:t>生态环境重点管控单元</w:t>
      </w:r>
    </w:p>
    <w:p>
      <w:pPr>
        <w:ind w:firstLine="480"/>
        <w:rPr>
          <w:rFonts w:ascii="Times New Roman" w:hAnsi="Times New Roman" w:cs="Times New Roman"/>
          <w:szCs w:val="24"/>
        </w:rPr>
      </w:pPr>
      <w:r>
        <w:rPr>
          <w:rFonts w:ascii="Times New Roman" w:hAnsi="Times New Roman" w:cs="Times New Roman"/>
          <w:szCs w:val="24"/>
        </w:rPr>
        <w:t>对照合肥市生态环境管控分区图</w:t>
      </w:r>
      <w:r>
        <w:rPr>
          <w:rFonts w:hint="eastAsia" w:ascii="Times New Roman" w:hAnsi="Times New Roman" w:cs="Times New Roman"/>
          <w:szCs w:val="24"/>
        </w:rPr>
        <w:t>2</w:t>
      </w:r>
      <w:r>
        <w:rPr>
          <w:rFonts w:ascii="Times New Roman" w:hAnsi="Times New Roman" w:cs="Times New Roman"/>
          <w:szCs w:val="24"/>
        </w:rPr>
        <w:t>.5-5，项目位于生态环境重点管控单元，具体管控要求为：从加强污染物排放管控、环境风险防控和资源开发利用效率等方面，重点提出建设项目禁入清单、污染物排放管控、土壤风险防控、能源资源利用控制要求等。</w:t>
      </w:r>
      <w:r>
        <w:rPr>
          <w:rFonts w:ascii="Times New Roman" w:hAnsi="Times New Roman" w:cs="Times New Roman"/>
          <w:szCs w:val="24"/>
        </w:rPr>
        <w:cr/>
      </w:r>
      <w:r>
        <w:rPr>
          <w:rFonts w:ascii="Times New Roman" w:hAnsi="Times New Roman" w:cs="Times New Roman"/>
          <w:szCs w:val="24"/>
        </w:rPr>
        <w:t xml:space="preserve">    本项目符合相关规划准入要求，对产生的废气、废水、噪声、固废均采取有效防治措施，对环境影响较小，满足生态环境重控单元管控要求。</w:t>
      </w:r>
    </w:p>
    <w:p>
      <w:pPr>
        <w:pStyle w:val="25"/>
        <w:ind w:firstLine="0" w:firstLineChars="0"/>
      </w:pPr>
      <w:r>
        <w:rPr>
          <w:rFonts w:ascii="Times New Roman" w:hAnsi="Times New Roman" w:cs="Times New Roman"/>
        </w:rPr>
        <mc:AlternateContent>
          <mc:Choice Requires="wps">
            <w:drawing>
              <wp:anchor distT="0" distB="0" distL="114300" distR="114300" simplePos="0" relativeHeight="251715584" behindDoc="0" locked="0" layoutInCell="1" allowOverlap="1">
                <wp:simplePos x="0" y="0"/>
                <wp:positionH relativeFrom="column">
                  <wp:posOffset>3525520</wp:posOffset>
                </wp:positionH>
                <wp:positionV relativeFrom="paragraph">
                  <wp:posOffset>3309620</wp:posOffset>
                </wp:positionV>
                <wp:extent cx="742950" cy="358775"/>
                <wp:effectExtent l="171450" t="0" r="19050" b="518160"/>
                <wp:wrapNone/>
                <wp:docPr id="1963" name="AutoShape 1811"/>
                <wp:cNvGraphicFramePr/>
                <a:graphic xmlns:a="http://schemas.openxmlformats.org/drawingml/2006/main">
                  <a:graphicData uri="http://schemas.microsoft.com/office/word/2010/wordprocessingShape">
                    <wps:wsp>
                      <wps:cNvSpPr>
                        <a:spLocks noChangeArrowheads="true"/>
                      </wps:cNvSpPr>
                      <wps:spPr bwMode="auto">
                        <a:xfrm>
                          <a:off x="0" y="0"/>
                          <a:ext cx="742950" cy="358598"/>
                        </a:xfrm>
                        <a:prstGeom prst="wedgeRoundRectCallout">
                          <a:avLst>
                            <a:gd name="adj1" fmla="val -66921"/>
                            <a:gd name="adj2" fmla="val 171292"/>
                            <a:gd name="adj3" fmla="val 16667"/>
                          </a:avLst>
                        </a:prstGeom>
                        <a:noFill/>
                        <a:ln w="9525">
                          <a:solidFill>
                            <a:srgbClr val="FF0000"/>
                          </a:solidFill>
                          <a:miter lim="800000"/>
                        </a:ln>
                      </wps:spPr>
                      <wps:txbx>
                        <w:txbxContent>
                          <w:p>
                            <w:pPr>
                              <w:ind w:firstLine="0" w:firstLineChars="0"/>
                              <w:rPr>
                                <w:b/>
                                <w:bCs/>
                                <w:color w:val="FF0000"/>
                              </w:rPr>
                            </w:pPr>
                            <w:r>
                              <w:rPr>
                                <w:rFonts w:hint="eastAsia"/>
                                <w:b/>
                                <w:bCs/>
                                <w:color w:val="FF0000"/>
                                <w:highlight w:val="yellow"/>
                              </w:rPr>
                              <w:t>本项目</w:t>
                            </w:r>
                          </w:p>
                        </w:txbxContent>
                      </wps:txbx>
                      <wps:bodyPr rot="0" vert="horz" wrap="square" lIns="91440" tIns="45720" rIns="91440" bIns="45720" anchor="t" anchorCtr="false" upright="true">
                        <a:noAutofit/>
                      </wps:bodyPr>
                    </wps:wsp>
                  </a:graphicData>
                </a:graphic>
              </wp:anchor>
            </w:drawing>
          </mc:Choice>
          <mc:Fallback>
            <w:pict>
              <v:shape id="AutoShape 1811" o:spid="_x0000_s1026" o:spt="62" type="#_x0000_t62" style="position:absolute;left:0pt;margin-left:277.6pt;margin-top:260.6pt;height:28.25pt;width:58.5pt;z-index:251715584;mso-width-relative:page;mso-height-relative:page;" filled="f" stroked="t" coordsize="21600,21600" o:gfxdata="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BYAAABkcnMvUEsBAhQA&#10;FAAAAAgAh07iQC9h457WAAAACwEAAA8AAAAAAAAAAQAgAAAAOAAAAGRycy9kb3ducmV2LnhtbFBL&#10;AQIUABQAAAAIAIdO4kBkg/dxVAIAAJ0EAAAOAAAAAAAAAAEAIAAAADsBAABkcnMvZTJvRG9jLnht&#10;bFBLBQYAAAAABgAGAFkBAAABBgAAAAA=&#10;" adj="0,47799,14400">
                <v:fill on="f" focussize="0,0"/>
                <v:stroke color="#FF0000" miterlimit="8" joinstyle="miter"/>
                <v:imagedata o:title=""/>
                <o:lock v:ext="edit" aspectratio="f"/>
                <v:textbox>
                  <w:txbxContent>
                    <w:p>
                      <w:pPr>
                        <w:ind w:firstLine="0" w:firstLineChars="0"/>
                        <w:rPr>
                          <w:b/>
                          <w:bCs/>
                          <w:color w:val="FF0000"/>
                        </w:rPr>
                      </w:pPr>
                      <w:r>
                        <w:rPr>
                          <w:rFonts w:hint="eastAsia"/>
                          <w:b/>
                          <w:bCs/>
                          <w:color w:val="FF0000"/>
                          <w:highlight w:val="yellow"/>
                        </w:rPr>
                        <w:t>本项目</w:t>
                      </w:r>
                    </w:p>
                  </w:txbxContent>
                </v:textbox>
              </v:shape>
            </w:pict>
          </mc:Fallback>
        </mc:AlternateContent>
      </w:r>
      <w:r>
        <w:drawing>
          <wp:inline distT="0" distB="0" distL="0" distR="0">
            <wp:extent cx="5953760" cy="8411210"/>
            <wp:effectExtent l="0" t="0" r="8890" b="8890"/>
            <wp:docPr id="1962" name="图片 19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62" name="图片 1962"/>
                    <pic:cNvPicPr>
                      <a:picLocks noChangeAspect="true"/>
                    </pic:cNvPicPr>
                  </pic:nvPicPr>
                  <pic:blipFill>
                    <a:blip r:embed="rId49"/>
                    <a:stretch>
                      <a:fillRect/>
                    </a:stretch>
                  </pic:blipFill>
                  <pic:spPr>
                    <a:xfrm>
                      <a:off x="0" y="0"/>
                      <a:ext cx="5957542" cy="8416211"/>
                    </a:xfrm>
                    <a:prstGeom prst="rect">
                      <a:avLst/>
                    </a:prstGeom>
                  </pic:spPr>
                </pic:pic>
              </a:graphicData>
            </a:graphic>
          </wp:inline>
        </w:drawing>
      </w:r>
    </w:p>
    <w:p>
      <w:pPr>
        <w:pStyle w:val="33"/>
        <w:spacing w:line="240" w:lineRule="auto"/>
        <w:ind w:firstLine="0" w:firstLineChars="0"/>
        <w:jc w:val="center"/>
        <w:rPr>
          <w:rFonts w:ascii="Times New Roman" w:hAnsi="Times New Roman" w:cs="Times New Roman"/>
        </w:rPr>
        <w:sectPr>
          <w:pgSz w:w="11906" w:h="16838"/>
          <w:pgMar w:top="1418" w:right="1418" w:bottom="1418" w:left="1418" w:header="851" w:footer="992" w:gutter="0"/>
          <w:cols w:space="720" w:num="1"/>
          <w:docGrid w:type="linesAndChars" w:linePitch="333" w:charSpace="0"/>
        </w:sectPr>
      </w:pPr>
      <w:r>
        <w:rPr>
          <w:rFonts w:ascii="Times New Roman" w:hAnsi="Times New Roman" w:cs="Times New Roman"/>
          <w:b/>
          <w:bCs/>
          <w:color w:val="auto"/>
          <w:sz w:val="21"/>
          <w:szCs w:val="21"/>
        </w:rPr>
        <w:t>图2.5-5   合肥市</w:t>
      </w:r>
      <w:r>
        <w:rPr>
          <w:rFonts w:hint="eastAsia" w:ascii="Times New Roman" w:hAnsi="Times New Roman" w:cs="Times New Roman"/>
          <w:b/>
          <w:bCs/>
          <w:color w:val="auto"/>
          <w:sz w:val="21"/>
          <w:szCs w:val="21"/>
        </w:rPr>
        <w:t>环境</w:t>
      </w:r>
      <w:r>
        <w:rPr>
          <w:rFonts w:ascii="Times New Roman" w:hAnsi="Times New Roman" w:cs="Times New Roman"/>
          <w:b/>
          <w:bCs/>
          <w:color w:val="auto"/>
          <w:sz w:val="21"/>
          <w:szCs w:val="21"/>
        </w:rPr>
        <w:t>管控</w:t>
      </w:r>
      <w:r>
        <w:rPr>
          <w:rFonts w:hint="eastAsia" w:ascii="Times New Roman" w:hAnsi="Times New Roman" w:cs="Times New Roman"/>
          <w:b/>
          <w:bCs/>
          <w:color w:val="auto"/>
          <w:sz w:val="21"/>
          <w:szCs w:val="21"/>
        </w:rPr>
        <w:t>单元</w:t>
      </w:r>
      <w:r>
        <w:rPr>
          <w:rFonts w:ascii="Times New Roman" w:hAnsi="Times New Roman" w:cs="Times New Roman"/>
          <w:b/>
          <w:bCs/>
          <w:color w:val="auto"/>
          <w:sz w:val="21"/>
          <w:szCs w:val="21"/>
        </w:rPr>
        <w:t>图</w:t>
      </w:r>
    </w:p>
    <w:p>
      <w:pPr>
        <w:ind w:firstLine="0" w:firstLineChars="0"/>
        <w:rPr>
          <w:rFonts w:ascii="Times New Roman" w:hAnsi="Times New Roman" w:cs="Times New Roman"/>
          <w:b/>
          <w:bCs/>
          <w:color w:val="auto"/>
          <w:szCs w:val="24"/>
        </w:rPr>
      </w:pPr>
      <w:r>
        <w:rPr>
          <w:rFonts w:ascii="Times New Roman" w:hAnsi="Times New Roman" w:cs="Times New Roman"/>
          <w:b/>
          <w:bCs/>
          <w:color w:val="auto"/>
          <w:szCs w:val="24"/>
        </w:rPr>
        <w:t>3、环境质量底线</w:t>
      </w:r>
    </w:p>
    <w:p>
      <w:pPr>
        <w:ind w:firstLine="480"/>
        <w:rPr>
          <w:rFonts w:ascii="Times New Roman" w:hAnsi="Times New Roman" w:cs="Times New Roman"/>
          <w:color w:val="auto"/>
        </w:rPr>
      </w:pPr>
      <w:r>
        <w:rPr>
          <w:rFonts w:ascii="Times New Roman" w:hAnsi="Times New Roman" w:cs="Times New Roman"/>
          <w:color w:val="auto"/>
        </w:rPr>
        <w:t>（1）根据</w:t>
      </w:r>
      <w:r>
        <w:rPr>
          <w:rFonts w:ascii="Times New Roman" w:hAnsi="Times New Roman" w:cs="Times New Roman"/>
          <w:color w:val="auto"/>
          <w:spacing w:val="-2"/>
          <w:kern w:val="0"/>
          <w:szCs w:val="20"/>
        </w:rPr>
        <w:t>合肥市2021年环境质量数据，合肥市属于达标区。</w:t>
      </w:r>
    </w:p>
    <w:p>
      <w:pPr>
        <w:ind w:firstLine="480"/>
        <w:rPr>
          <w:rFonts w:ascii="Times New Roman" w:hAnsi="Times New Roman" w:cs="Times New Roman"/>
          <w:color w:val="auto"/>
        </w:rPr>
      </w:pPr>
      <w:r>
        <w:rPr>
          <w:rFonts w:ascii="Times New Roman" w:hAnsi="Times New Roman" w:cs="Times New Roman"/>
          <w:color w:val="auto"/>
        </w:rPr>
        <w:t>根据合肥市生态环境局发布的2021年合肥市空气质量，2021年合肥市空气质量优良天数达到313天，优良率85.8%，重污染天气持续清零。2021年，合肥市PM</w:t>
      </w:r>
      <w:r>
        <w:rPr>
          <w:rFonts w:ascii="Times New Roman" w:hAnsi="Times New Roman" w:cs="Times New Roman"/>
          <w:color w:val="auto"/>
          <w:vertAlign w:val="subscript"/>
        </w:rPr>
        <w:t>2.5</w:t>
      </w:r>
      <w:r>
        <w:rPr>
          <w:rFonts w:ascii="Times New Roman" w:hAnsi="Times New Roman" w:cs="Times New Roman"/>
          <w:color w:val="auto"/>
        </w:rPr>
        <w:t>年均浓度为32.5微克/立方米，首次达到国家空气质量二级标准，同比下降10.0%，较省定考核目标的40微克/立方米低了7.5微克/立方米。PM</w:t>
      </w:r>
      <w:r>
        <w:rPr>
          <w:rFonts w:ascii="Times New Roman" w:hAnsi="Times New Roman" w:cs="Times New Roman"/>
          <w:color w:val="auto"/>
          <w:vertAlign w:val="subscript"/>
        </w:rPr>
        <w:t>10</w:t>
      </w:r>
      <w:r>
        <w:rPr>
          <w:rFonts w:ascii="Times New Roman" w:hAnsi="Times New Roman" w:cs="Times New Roman"/>
          <w:color w:val="auto"/>
        </w:rPr>
        <w:t>、O</w:t>
      </w:r>
      <w:r>
        <w:rPr>
          <w:rFonts w:ascii="Times New Roman" w:hAnsi="Times New Roman" w:cs="Times New Roman"/>
          <w:color w:val="auto"/>
          <w:vertAlign w:val="subscript"/>
        </w:rPr>
        <w:t>3</w:t>
      </w:r>
      <w:r>
        <w:rPr>
          <w:rFonts w:ascii="Times New Roman" w:hAnsi="Times New Roman" w:cs="Times New Roman"/>
          <w:color w:val="auto"/>
        </w:rPr>
        <w:t>年均浓度分别为63微克/立方米、143微克/立方米，达到二级标准；NO</w:t>
      </w:r>
      <w:r>
        <w:rPr>
          <w:rFonts w:ascii="Times New Roman" w:hAnsi="Times New Roman" w:cs="Times New Roman"/>
          <w:color w:val="auto"/>
          <w:vertAlign w:val="subscript"/>
        </w:rPr>
        <w:t>2</w:t>
      </w:r>
      <w:r>
        <w:rPr>
          <w:rFonts w:ascii="Times New Roman" w:hAnsi="Times New Roman" w:cs="Times New Roman"/>
          <w:color w:val="auto"/>
        </w:rPr>
        <w:t>、SO</w:t>
      </w:r>
      <w:r>
        <w:rPr>
          <w:rFonts w:ascii="Times New Roman" w:hAnsi="Times New Roman" w:cs="Times New Roman"/>
          <w:color w:val="auto"/>
          <w:vertAlign w:val="subscript"/>
        </w:rPr>
        <w:t>2</w:t>
      </w:r>
      <w:r>
        <w:rPr>
          <w:rFonts w:ascii="Times New Roman" w:hAnsi="Times New Roman" w:cs="Times New Roman"/>
          <w:color w:val="auto"/>
        </w:rPr>
        <w:t>、CO年均浓度分别为36微克/立方米、7微克/立方米、1.0毫克/立方米，达到一级标准。各项大气污染物实现协同改善，合肥市空气质量首次全面达标。</w:t>
      </w:r>
    </w:p>
    <w:p>
      <w:pPr>
        <w:ind w:firstLine="422"/>
        <w:jc w:val="center"/>
        <w:rPr>
          <w:rFonts w:ascii="Times New Roman" w:hAnsi="Times New Roman" w:cs="Times New Roman"/>
          <w:b/>
          <w:kern w:val="0"/>
          <w:sz w:val="21"/>
          <w:szCs w:val="21"/>
        </w:rPr>
      </w:pPr>
      <w:r>
        <w:rPr>
          <w:rFonts w:ascii="Times New Roman" w:hAnsi="Times New Roman" w:cs="Times New Roman"/>
          <w:b/>
          <w:kern w:val="0"/>
          <w:sz w:val="21"/>
          <w:szCs w:val="21"/>
        </w:rPr>
        <w:t>表2.5-1   区域空气质量现状评价表</w:t>
      </w:r>
    </w:p>
    <w:tbl>
      <w:tblPr>
        <w:tblStyle w:val="62"/>
        <w:tblW w:w="902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55"/>
        <w:gridCol w:w="3397"/>
        <w:gridCol w:w="1327"/>
        <w:gridCol w:w="1296"/>
        <w:gridCol w:w="1013"/>
        <w:gridCol w:w="103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9" w:hRule="atLeast"/>
        </w:trPr>
        <w:tc>
          <w:tcPr>
            <w:tcW w:w="95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污染物</w:t>
            </w:r>
          </w:p>
        </w:tc>
        <w:tc>
          <w:tcPr>
            <w:tcW w:w="33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年评价指标</w:t>
            </w:r>
          </w:p>
        </w:tc>
        <w:tc>
          <w:tcPr>
            <w:tcW w:w="132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现状浓度/（μg/m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w:t>
            </w:r>
          </w:p>
        </w:tc>
        <w:tc>
          <w:tcPr>
            <w:tcW w:w="12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标准值（μg/m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w:t>
            </w:r>
          </w:p>
        </w:tc>
        <w:tc>
          <w:tcPr>
            <w:tcW w:w="101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占标率</w:t>
            </w:r>
          </w:p>
        </w:tc>
        <w:tc>
          <w:tcPr>
            <w:tcW w:w="103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 w:hRule="atLeast"/>
        </w:trPr>
        <w:tc>
          <w:tcPr>
            <w:tcW w:w="95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PM</w:t>
            </w:r>
            <w:r>
              <w:rPr>
                <w:rFonts w:ascii="Times New Roman" w:hAnsi="Times New Roman" w:cs="Times New Roman"/>
                <w:color w:val="auto"/>
                <w:sz w:val="18"/>
                <w:szCs w:val="18"/>
                <w:vertAlign w:val="subscript"/>
              </w:rPr>
              <w:t>2.5</w:t>
            </w:r>
          </w:p>
        </w:tc>
        <w:tc>
          <w:tcPr>
            <w:tcW w:w="33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年平均浓度</w:t>
            </w:r>
          </w:p>
        </w:tc>
        <w:tc>
          <w:tcPr>
            <w:tcW w:w="132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32.5</w:t>
            </w:r>
          </w:p>
        </w:tc>
        <w:tc>
          <w:tcPr>
            <w:tcW w:w="12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w:t>
            </w:r>
          </w:p>
        </w:tc>
        <w:tc>
          <w:tcPr>
            <w:tcW w:w="101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92.9%</w:t>
            </w:r>
          </w:p>
        </w:tc>
        <w:tc>
          <w:tcPr>
            <w:tcW w:w="103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9" w:hRule="atLeast"/>
        </w:trPr>
        <w:tc>
          <w:tcPr>
            <w:tcW w:w="95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PM</w:t>
            </w:r>
            <w:r>
              <w:rPr>
                <w:rFonts w:ascii="Times New Roman" w:hAnsi="Times New Roman" w:cs="Times New Roman"/>
                <w:color w:val="auto"/>
                <w:sz w:val="18"/>
                <w:szCs w:val="18"/>
                <w:vertAlign w:val="subscript"/>
              </w:rPr>
              <w:t>10</w:t>
            </w:r>
          </w:p>
        </w:tc>
        <w:tc>
          <w:tcPr>
            <w:tcW w:w="33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年平均浓度</w:t>
            </w:r>
          </w:p>
        </w:tc>
        <w:tc>
          <w:tcPr>
            <w:tcW w:w="132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63</w:t>
            </w:r>
          </w:p>
        </w:tc>
        <w:tc>
          <w:tcPr>
            <w:tcW w:w="12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70</w:t>
            </w:r>
          </w:p>
        </w:tc>
        <w:tc>
          <w:tcPr>
            <w:tcW w:w="101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90%</w:t>
            </w:r>
          </w:p>
        </w:tc>
        <w:tc>
          <w:tcPr>
            <w:tcW w:w="103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9" w:hRule="atLeast"/>
        </w:trPr>
        <w:tc>
          <w:tcPr>
            <w:tcW w:w="95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O</w:t>
            </w:r>
            <w:r>
              <w:rPr>
                <w:rFonts w:ascii="Times New Roman" w:hAnsi="Times New Roman" w:cs="Times New Roman"/>
                <w:color w:val="auto"/>
                <w:sz w:val="18"/>
                <w:szCs w:val="18"/>
                <w:vertAlign w:val="subscript"/>
              </w:rPr>
              <w:t>3</w:t>
            </w:r>
          </w:p>
        </w:tc>
        <w:tc>
          <w:tcPr>
            <w:tcW w:w="33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最大8h平均浓度第90百分位数</w:t>
            </w:r>
          </w:p>
        </w:tc>
        <w:tc>
          <w:tcPr>
            <w:tcW w:w="132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143</w:t>
            </w:r>
          </w:p>
        </w:tc>
        <w:tc>
          <w:tcPr>
            <w:tcW w:w="12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160</w:t>
            </w:r>
          </w:p>
        </w:tc>
        <w:tc>
          <w:tcPr>
            <w:tcW w:w="101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89.4%</w:t>
            </w:r>
          </w:p>
        </w:tc>
        <w:tc>
          <w:tcPr>
            <w:tcW w:w="103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9" w:hRule="atLeast"/>
        </w:trPr>
        <w:tc>
          <w:tcPr>
            <w:tcW w:w="95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NO</w:t>
            </w:r>
            <w:r>
              <w:rPr>
                <w:rFonts w:ascii="Times New Roman" w:hAnsi="Times New Roman" w:cs="Times New Roman"/>
                <w:color w:val="auto"/>
                <w:sz w:val="18"/>
                <w:szCs w:val="18"/>
                <w:vertAlign w:val="subscript"/>
              </w:rPr>
              <w:t>2</w:t>
            </w:r>
          </w:p>
        </w:tc>
        <w:tc>
          <w:tcPr>
            <w:tcW w:w="33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年平均浓度</w:t>
            </w:r>
          </w:p>
        </w:tc>
        <w:tc>
          <w:tcPr>
            <w:tcW w:w="132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36</w:t>
            </w:r>
          </w:p>
        </w:tc>
        <w:tc>
          <w:tcPr>
            <w:tcW w:w="12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40</w:t>
            </w:r>
          </w:p>
        </w:tc>
        <w:tc>
          <w:tcPr>
            <w:tcW w:w="101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90%</w:t>
            </w:r>
          </w:p>
        </w:tc>
        <w:tc>
          <w:tcPr>
            <w:tcW w:w="1038" w:type="dxa"/>
            <w:vAlign w:val="center"/>
          </w:tcPr>
          <w:p>
            <w:pPr>
              <w:spacing w:line="240" w:lineRule="auto"/>
              <w:ind w:firstLine="0" w:firstLineChars="0"/>
              <w:jc w:val="center"/>
              <w:rPr>
                <w:rFonts w:ascii="Times New Roman" w:hAnsi="Times New Roman" w:cs="Times New Roman"/>
                <w:color w:val="auto"/>
                <w:sz w:val="18"/>
                <w:szCs w:val="18"/>
              </w:rPr>
            </w:pPr>
            <w:bookmarkStart w:id="134" w:name="_Hlk42521935"/>
            <w:r>
              <w:rPr>
                <w:rFonts w:ascii="Times New Roman" w:hAnsi="Times New Roman" w:cs="Times New Roman"/>
                <w:color w:val="auto"/>
                <w:sz w:val="18"/>
                <w:szCs w:val="18"/>
              </w:rPr>
              <w:t>达标</w:t>
            </w:r>
            <w:bookmarkEnd w:id="134"/>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9" w:hRule="atLeast"/>
        </w:trPr>
        <w:tc>
          <w:tcPr>
            <w:tcW w:w="95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SO</w:t>
            </w:r>
            <w:r>
              <w:rPr>
                <w:rFonts w:ascii="Times New Roman" w:hAnsi="Times New Roman" w:cs="Times New Roman"/>
                <w:color w:val="auto"/>
                <w:sz w:val="18"/>
                <w:szCs w:val="18"/>
                <w:vertAlign w:val="subscript"/>
              </w:rPr>
              <w:t>2</w:t>
            </w:r>
          </w:p>
        </w:tc>
        <w:tc>
          <w:tcPr>
            <w:tcW w:w="33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年平均浓度</w:t>
            </w:r>
          </w:p>
        </w:tc>
        <w:tc>
          <w:tcPr>
            <w:tcW w:w="132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w:t>
            </w:r>
          </w:p>
        </w:tc>
        <w:tc>
          <w:tcPr>
            <w:tcW w:w="12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60</w:t>
            </w:r>
          </w:p>
        </w:tc>
        <w:tc>
          <w:tcPr>
            <w:tcW w:w="101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11.7%</w:t>
            </w:r>
          </w:p>
        </w:tc>
        <w:tc>
          <w:tcPr>
            <w:tcW w:w="103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9" w:hRule="atLeast"/>
        </w:trPr>
        <w:tc>
          <w:tcPr>
            <w:tcW w:w="95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CO</w:t>
            </w:r>
          </w:p>
        </w:tc>
        <w:tc>
          <w:tcPr>
            <w:tcW w:w="339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24h平均浓度第95百分位数</w:t>
            </w:r>
          </w:p>
        </w:tc>
        <w:tc>
          <w:tcPr>
            <w:tcW w:w="132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 mg/m</w:t>
            </w:r>
            <w:r>
              <w:rPr>
                <w:rFonts w:ascii="Times New Roman" w:hAnsi="Times New Roman" w:cs="Times New Roman"/>
                <w:color w:val="auto"/>
                <w:sz w:val="18"/>
                <w:szCs w:val="18"/>
                <w:vertAlign w:val="superscript"/>
              </w:rPr>
              <w:t>3</w:t>
            </w:r>
          </w:p>
        </w:tc>
        <w:tc>
          <w:tcPr>
            <w:tcW w:w="129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 mg/m</w:t>
            </w:r>
            <w:r>
              <w:rPr>
                <w:rFonts w:ascii="Times New Roman" w:hAnsi="Times New Roman" w:cs="Times New Roman"/>
                <w:color w:val="auto"/>
                <w:sz w:val="18"/>
                <w:szCs w:val="18"/>
                <w:vertAlign w:val="superscript"/>
              </w:rPr>
              <w:t>3</w:t>
            </w:r>
          </w:p>
        </w:tc>
        <w:tc>
          <w:tcPr>
            <w:tcW w:w="101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103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达标</w:t>
            </w:r>
          </w:p>
        </w:tc>
      </w:tr>
    </w:tbl>
    <w:p>
      <w:pPr>
        <w:ind w:firstLine="480"/>
        <w:rPr>
          <w:rFonts w:ascii="Times New Roman" w:hAnsi="Times New Roman" w:cs="Times New Roman"/>
          <w:kern w:val="0"/>
          <w:szCs w:val="24"/>
        </w:rPr>
      </w:pPr>
      <w:r>
        <w:rPr>
          <w:rFonts w:ascii="Times New Roman" w:hAnsi="Times New Roman" w:cs="Times New Roman"/>
          <w:kern w:val="0"/>
          <w:szCs w:val="24"/>
        </w:rPr>
        <w:t>根据上表可知，</w:t>
      </w:r>
      <w:r>
        <w:rPr>
          <w:rFonts w:ascii="Times New Roman" w:hAnsi="Times New Roman" w:cs="Times New Roman"/>
          <w:szCs w:val="32"/>
        </w:rPr>
        <w:t>2021年合肥市空气质量</w:t>
      </w:r>
      <w:r>
        <w:rPr>
          <w:rFonts w:ascii="Times New Roman" w:hAnsi="Times New Roman" w:cs="Times New Roman"/>
          <w:kern w:val="0"/>
          <w:szCs w:val="24"/>
        </w:rPr>
        <w:t>满足《环境空气质量标准》（GB3095-2012）的二级标准限值要求，项目所在区域为达标区。</w:t>
      </w:r>
    </w:p>
    <w:p>
      <w:pPr>
        <w:ind w:firstLine="472"/>
        <w:rPr>
          <w:rFonts w:ascii="Times New Roman" w:hAnsi="Times New Roman" w:cs="Times New Roman"/>
          <w:color w:val="FF0000"/>
          <w:szCs w:val="24"/>
        </w:rPr>
      </w:pPr>
      <w:r>
        <w:rPr>
          <w:rFonts w:ascii="Times New Roman" w:hAnsi="Times New Roman" w:cs="Times New Roman"/>
          <w:color w:val="FF0000"/>
          <w:spacing w:val="-2"/>
          <w:kern w:val="0"/>
          <w:szCs w:val="24"/>
        </w:rPr>
        <w:t>根据引用区域环境空气监测数据及现场监测结果，项目区</w:t>
      </w:r>
      <w:r>
        <w:rPr>
          <w:rFonts w:ascii="Times New Roman" w:hAnsi="Times New Roman" w:cs="Times New Roman"/>
          <w:bCs/>
          <w:color w:val="FF0000"/>
          <w:spacing w:val="-2"/>
          <w:kern w:val="0"/>
          <w:szCs w:val="24"/>
        </w:rPr>
        <w:t>二氧化硫、</w:t>
      </w:r>
      <w:r>
        <w:rPr>
          <w:rFonts w:ascii="Times New Roman" w:hAnsi="Times New Roman" w:cs="Times New Roman"/>
          <w:color w:val="FF0000"/>
          <w:szCs w:val="24"/>
        </w:rPr>
        <w:t>PM</w:t>
      </w:r>
      <w:r>
        <w:rPr>
          <w:rFonts w:ascii="Times New Roman" w:hAnsi="Times New Roman" w:cs="Times New Roman"/>
          <w:color w:val="FF0000"/>
          <w:szCs w:val="24"/>
          <w:vertAlign w:val="subscript"/>
        </w:rPr>
        <w:t>10</w:t>
      </w:r>
      <w:r>
        <w:rPr>
          <w:rFonts w:ascii="Times New Roman" w:hAnsi="Times New Roman" w:cs="Times New Roman"/>
          <w:color w:val="FF0000"/>
          <w:szCs w:val="24"/>
        </w:rPr>
        <w:t>、PM</w:t>
      </w:r>
      <w:r>
        <w:rPr>
          <w:rFonts w:ascii="Times New Roman" w:hAnsi="Times New Roman" w:cs="Times New Roman"/>
          <w:color w:val="FF0000"/>
          <w:szCs w:val="24"/>
          <w:vertAlign w:val="subscript"/>
        </w:rPr>
        <w:t>2.5</w:t>
      </w:r>
      <w:r>
        <w:rPr>
          <w:rFonts w:ascii="Times New Roman" w:hAnsi="Times New Roman" w:cs="Times New Roman"/>
          <w:color w:val="FF0000"/>
          <w:szCs w:val="24"/>
        </w:rPr>
        <w:t>、NO</w:t>
      </w:r>
      <w:r>
        <w:rPr>
          <w:rFonts w:ascii="Times New Roman" w:hAnsi="Times New Roman" w:cs="Times New Roman"/>
          <w:color w:val="FF0000"/>
          <w:szCs w:val="24"/>
          <w:vertAlign w:val="subscript"/>
        </w:rPr>
        <w:t>2</w:t>
      </w:r>
      <w:r>
        <w:rPr>
          <w:rFonts w:ascii="Times New Roman" w:hAnsi="Times New Roman" w:cs="Times New Roman"/>
          <w:color w:val="FF0000"/>
          <w:szCs w:val="24"/>
        </w:rPr>
        <w:t>、CO和O</w:t>
      </w:r>
      <w:r>
        <w:rPr>
          <w:rFonts w:ascii="Times New Roman" w:hAnsi="Times New Roman" w:cs="Times New Roman"/>
          <w:color w:val="FF0000"/>
          <w:szCs w:val="24"/>
          <w:vertAlign w:val="subscript"/>
        </w:rPr>
        <w:t>3</w:t>
      </w:r>
      <w:r>
        <w:rPr>
          <w:rFonts w:ascii="Times New Roman" w:hAnsi="Times New Roman" w:cs="Times New Roman"/>
          <w:color w:val="FF0000"/>
          <w:spacing w:val="-2"/>
          <w:kern w:val="0"/>
          <w:szCs w:val="24"/>
        </w:rPr>
        <w:t>满足《环境空气质量标准》（GB3095-2012）中二级标准限值，</w:t>
      </w:r>
      <w:r>
        <w:rPr>
          <w:rFonts w:ascii="Times New Roman" w:hAnsi="Times New Roman" w:cs="Times New Roman"/>
          <w:color w:val="FF0000"/>
          <w:szCs w:val="24"/>
        </w:rPr>
        <w:t>硫酸雾、非甲烷总烃</w:t>
      </w:r>
      <w:r>
        <w:rPr>
          <w:rFonts w:ascii="Times New Roman" w:hAnsi="Times New Roman" w:cs="Times New Roman"/>
          <w:color w:val="FF0000"/>
          <w:spacing w:val="-2"/>
          <w:kern w:val="0"/>
          <w:szCs w:val="24"/>
        </w:rPr>
        <w:t>满足《环境影响评价技术导则大气环境》（HJ2.2－2018）附录D其他污染物空气质量浓度参考限值</w:t>
      </w:r>
      <w:r>
        <w:rPr>
          <w:rFonts w:ascii="Times New Roman" w:hAnsi="Times New Roman" w:cs="Times New Roman"/>
          <w:bCs/>
          <w:color w:val="FF0000"/>
          <w:spacing w:val="-2"/>
          <w:kern w:val="0"/>
          <w:szCs w:val="24"/>
        </w:rPr>
        <w:t>要求</w:t>
      </w:r>
      <w:r>
        <w:rPr>
          <w:rFonts w:ascii="Times New Roman" w:hAnsi="Times New Roman" w:cs="Times New Roman"/>
          <w:color w:val="FF0000"/>
          <w:spacing w:val="-2"/>
          <w:kern w:val="0"/>
          <w:szCs w:val="24"/>
        </w:rPr>
        <w:t>。</w:t>
      </w:r>
    </w:p>
    <w:p>
      <w:pPr>
        <w:ind w:firstLine="480"/>
        <w:rPr>
          <w:rFonts w:ascii="Times New Roman" w:hAnsi="Times New Roman" w:cs="Times New Roman"/>
          <w:color w:val="auto"/>
          <w:szCs w:val="24"/>
        </w:rPr>
      </w:pPr>
      <w:r>
        <w:rPr>
          <w:rFonts w:ascii="Times New Roman" w:hAnsi="Times New Roman" w:cs="Times New Roman"/>
          <w:color w:val="auto"/>
        </w:rPr>
        <w:t>本项目运营期</w:t>
      </w:r>
      <w:r>
        <w:rPr>
          <w:rFonts w:hint="eastAsia" w:ascii="Times New Roman" w:hAnsi="Times New Roman" w:cs="Times New Roman"/>
          <w:color w:val="auto"/>
        </w:rPr>
        <w:t>油品及</w:t>
      </w:r>
      <w:r>
        <w:rPr>
          <w:rFonts w:ascii="Times New Roman" w:hAnsi="Times New Roman" w:cs="Times New Roman"/>
          <w:color w:val="auto"/>
        </w:rPr>
        <w:t>化工品装卸排放废气污染物主要是</w:t>
      </w:r>
      <w:r>
        <w:rPr>
          <w:rFonts w:ascii="Times New Roman" w:hAnsi="Times New Roman" w:cs="Times New Roman"/>
          <w:color w:val="auto"/>
          <w:szCs w:val="24"/>
        </w:rPr>
        <w:t>硫酸雾、非甲烷总烃</w:t>
      </w:r>
      <w:r>
        <w:rPr>
          <w:rFonts w:ascii="Times New Roman" w:hAnsi="Times New Roman" w:cs="Times New Roman"/>
          <w:color w:val="auto"/>
        </w:rPr>
        <w:t>，根据预测结果，正常工况下，各类废气污染物最大落地点浓度均小于其相应浓度标准限值；各污染因子在环境保护目标均可以达到相应标准限值的要求</w:t>
      </w:r>
      <w:r>
        <w:rPr>
          <w:rFonts w:ascii="Times New Roman" w:hAnsi="Times New Roman" w:cs="Times New Roman"/>
          <w:color w:val="auto"/>
          <w:szCs w:val="24"/>
        </w:rPr>
        <w:t>。</w:t>
      </w:r>
    </w:p>
    <w:p>
      <w:pPr>
        <w:ind w:firstLine="480"/>
        <w:rPr>
          <w:rFonts w:ascii="Times New Roman" w:hAnsi="Times New Roman" w:cs="Times New Roman"/>
          <w:color w:val="auto"/>
          <w:spacing w:val="-2"/>
          <w:kern w:val="0"/>
          <w:szCs w:val="20"/>
        </w:rPr>
      </w:pPr>
      <w:r>
        <w:rPr>
          <w:rFonts w:ascii="Times New Roman" w:hAnsi="Times New Roman" w:cs="Times New Roman"/>
          <w:color w:val="auto"/>
        </w:rPr>
        <w:t>（2）</w:t>
      </w:r>
      <w:r>
        <w:rPr>
          <w:rFonts w:ascii="Times New Roman" w:hAnsi="Times New Roman" w:cs="Times New Roman"/>
          <w:color w:val="auto"/>
          <w:spacing w:val="-2"/>
          <w:kern w:val="0"/>
          <w:szCs w:val="20"/>
        </w:rPr>
        <w:t>地表水环境质量现状</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根据合肥市生态环境局网站发布的合肥市2021年12月水环境质量月报：</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2021年12月，店埠河共监测2个断面（含支流马桥河断面）。监测结果表明河内1500米和支流马桥河断面2个断面均为Ⅲ类水质，水质良好。</w:t>
      </w:r>
    </w:p>
    <w:p>
      <w:pPr>
        <w:ind w:firstLine="472"/>
        <w:rPr>
          <w:rFonts w:ascii="Times New Roman" w:hAnsi="Times New Roman" w:cs="Times New Roman"/>
        </w:rPr>
      </w:pPr>
      <w:r>
        <w:rPr>
          <w:rFonts w:ascii="Times New Roman" w:hAnsi="Times New Roman" w:cs="Times New Roman"/>
          <w:color w:val="auto"/>
          <w:spacing w:val="-2"/>
          <w:kern w:val="0"/>
          <w:szCs w:val="20"/>
        </w:rPr>
        <w:t>2021年12月，</w:t>
      </w:r>
      <w:r>
        <w:rPr>
          <w:rFonts w:ascii="Times New Roman" w:hAnsi="Times New Roman" w:cs="Times New Roman"/>
        </w:rPr>
        <w:t>南淝河共监测6个断面,含支流关镇河断面、长乐河（沙河）断面，其中施口断面为国考断面。监测结果表明施口、长江东大街、合钢二厂下游、支流关镇河和长乐河（沙河）5个断面均为Ⅲ类水质，水质良好。亳州路桥断面为劣Ⅴ类水质，属重度污染。</w:t>
      </w:r>
    </w:p>
    <w:p>
      <w:pPr>
        <w:ind w:firstLine="472"/>
        <w:rPr>
          <w:rFonts w:ascii="Times New Roman" w:hAnsi="Times New Roman" w:cs="Times New Roman"/>
        </w:rPr>
      </w:pPr>
      <w:r>
        <w:rPr>
          <w:rFonts w:ascii="Times New Roman" w:hAnsi="Times New Roman" w:cs="Times New Roman"/>
          <w:spacing w:val="-2"/>
          <w:kern w:val="0"/>
          <w:szCs w:val="20"/>
        </w:rPr>
        <w:t>2021年12月，</w:t>
      </w:r>
      <w:r>
        <w:rPr>
          <w:rFonts w:ascii="Times New Roman" w:hAnsi="Times New Roman" w:cs="Times New Roman"/>
        </w:rPr>
        <w:t>巢湖东、西半湖及全湖水质均为Ⅳ类水质，属轻度污染。主要污染指标为总磷。</w:t>
      </w:r>
    </w:p>
    <w:p>
      <w:pPr>
        <w:ind w:firstLine="480"/>
        <w:rPr>
          <w:rFonts w:ascii="Times New Roman" w:hAnsi="Times New Roman" w:cs="Times New Roman"/>
        </w:rPr>
      </w:pPr>
      <w:r>
        <w:rPr>
          <w:rFonts w:ascii="Times New Roman" w:hAnsi="Times New Roman" w:cs="Times New Roman"/>
        </w:rPr>
        <w:t>本项目废水</w:t>
      </w:r>
      <w:r>
        <w:rPr>
          <w:rFonts w:ascii="Times New Roman" w:hAnsi="Times New Roman" w:cs="Times New Roman"/>
          <w:szCs w:val="24"/>
        </w:rPr>
        <w:t>主要</w:t>
      </w:r>
      <w:r>
        <w:rPr>
          <w:rFonts w:ascii="Times New Roman" w:hAnsi="Times New Roman" w:cs="Times New Roman"/>
        </w:rPr>
        <w:t>为接收的船舶生活污水、油污水；码头平台、罐区及装车区冲洗水、初期雨水等；港区工作人员生活污水等，上述废水经收集经码头陆域污水处理设施处理达到接管标准</w:t>
      </w:r>
      <w:r>
        <w:rPr>
          <w:rFonts w:hint="eastAsia" w:ascii="Times New Roman" w:hAnsi="Times New Roman" w:cs="Times New Roman"/>
        </w:rPr>
        <w:t>后</w:t>
      </w:r>
      <w:r>
        <w:rPr>
          <w:rFonts w:ascii="Times New Roman" w:hAnsi="Times New Roman" w:cs="Times New Roman"/>
        </w:rPr>
        <w:t>接入合肥循环经济园污水处理厂集中处理，尾水处理达标后排放，对周边地表水环境基本不会产生影响。</w:t>
      </w:r>
    </w:p>
    <w:p>
      <w:pPr>
        <w:ind w:firstLine="480"/>
        <w:rPr>
          <w:rFonts w:ascii="Times New Roman" w:hAnsi="Times New Roman" w:cs="Times New Roman"/>
          <w:color w:val="auto"/>
        </w:rPr>
      </w:pPr>
      <w:r>
        <w:rPr>
          <w:rFonts w:ascii="Times New Roman" w:hAnsi="Times New Roman" w:cs="Times New Roman"/>
          <w:color w:val="auto"/>
        </w:rPr>
        <w:t>（3）</w:t>
      </w:r>
      <w:r>
        <w:rPr>
          <w:rFonts w:ascii="Times New Roman" w:hAnsi="Times New Roman" w:cs="Times New Roman"/>
          <w:color w:val="auto"/>
          <w:spacing w:val="-2"/>
          <w:kern w:val="0"/>
          <w:szCs w:val="20"/>
        </w:rPr>
        <w:t>目前项目所在区周边监测点昼、夜间声环境均满足《声环境质量标准》（GB3096-2008）中3类、4a类功能区标准值要求，项目区声环境质量较好</w:t>
      </w:r>
      <w:r>
        <w:rPr>
          <w:rFonts w:ascii="Times New Roman" w:hAnsi="Times New Roman" w:cs="Times New Roman"/>
          <w:color w:val="auto"/>
        </w:rPr>
        <w:t>。</w:t>
      </w:r>
    </w:p>
    <w:p>
      <w:pPr>
        <w:ind w:firstLine="480"/>
        <w:rPr>
          <w:rFonts w:ascii="Times New Roman" w:hAnsi="Times New Roman" w:cs="Times New Roman"/>
          <w:color w:val="auto"/>
        </w:rPr>
      </w:pPr>
      <w:r>
        <w:rPr>
          <w:rFonts w:ascii="Times New Roman" w:hAnsi="Times New Roman" w:cs="Times New Roman"/>
          <w:bCs/>
          <w:color w:val="auto"/>
          <w:szCs w:val="24"/>
        </w:rPr>
        <w:t>本项目采取的噪声污染防治措主要有合理布局平面、通过选用低噪声设备；对大功率机泵进行隔声处理，</w:t>
      </w:r>
      <w:r>
        <w:rPr>
          <w:rFonts w:ascii="Times New Roman" w:hAnsi="Times New Roman" w:cs="Times New Roman"/>
          <w:color w:val="auto"/>
        </w:rPr>
        <w:t>厂界噪声达到《工业企业厂界环境噪声排放标准》（GB12348-2008）中的3类及4类标准，不改变评价区域声环境质量现状声功能区级别。</w:t>
      </w:r>
    </w:p>
    <w:p>
      <w:pPr>
        <w:ind w:firstLine="0" w:firstLineChars="0"/>
        <w:rPr>
          <w:rFonts w:ascii="Times New Roman" w:hAnsi="Times New Roman" w:cs="Times New Roman"/>
          <w:b/>
          <w:bCs/>
          <w:color w:val="auto"/>
          <w:szCs w:val="24"/>
        </w:rPr>
      </w:pPr>
      <w:r>
        <w:rPr>
          <w:rFonts w:ascii="Times New Roman" w:hAnsi="Times New Roman" w:cs="Times New Roman"/>
          <w:b/>
          <w:bCs/>
          <w:color w:val="auto"/>
          <w:szCs w:val="24"/>
        </w:rPr>
        <w:t>4、资源利用上限分析</w:t>
      </w:r>
    </w:p>
    <w:p>
      <w:pPr>
        <w:ind w:firstLine="480"/>
        <w:rPr>
          <w:rFonts w:ascii="Times New Roman" w:hAnsi="Times New Roman" w:cs="Times New Roman"/>
          <w:color w:val="auto"/>
          <w:kern w:val="0"/>
          <w:szCs w:val="24"/>
        </w:rPr>
      </w:pPr>
      <w:r>
        <w:rPr>
          <w:rFonts w:ascii="Times New Roman" w:hAnsi="Times New Roman" w:cs="Times New Roman"/>
          <w:color w:val="auto"/>
          <w:szCs w:val="24"/>
        </w:rPr>
        <w:t>合肥东航码头工程位于合肥市肥东县撮镇，</w:t>
      </w:r>
      <w:r>
        <w:rPr>
          <w:rFonts w:hint="eastAsia" w:ascii="Times New Roman" w:hAnsi="Times New Roman" w:cs="Times New Roman"/>
          <w:color w:val="auto"/>
          <w:szCs w:val="24"/>
        </w:rPr>
        <w:t>用地属于</w:t>
      </w:r>
      <w:r>
        <w:rPr>
          <w:rFonts w:ascii="Times New Roman" w:hAnsi="Times New Roman" w:cs="Times New Roman"/>
          <w:color w:val="auto"/>
          <w:szCs w:val="24"/>
        </w:rPr>
        <w:t>合肥循环经济</w:t>
      </w:r>
      <w:r>
        <w:rPr>
          <w:rFonts w:hint="eastAsia" w:ascii="Times New Roman" w:hAnsi="Times New Roman" w:cs="Times New Roman"/>
          <w:color w:val="auto"/>
          <w:szCs w:val="24"/>
        </w:rPr>
        <w:t>示范</w:t>
      </w:r>
      <w:r>
        <w:rPr>
          <w:rFonts w:ascii="Times New Roman" w:hAnsi="Times New Roman" w:cs="Times New Roman"/>
          <w:color w:val="auto"/>
          <w:szCs w:val="24"/>
        </w:rPr>
        <w:t>园</w:t>
      </w:r>
      <w:r>
        <w:rPr>
          <w:rFonts w:hint="eastAsia" w:ascii="Times New Roman" w:hAnsi="Times New Roman" w:cs="Times New Roman"/>
          <w:color w:val="auto"/>
          <w:szCs w:val="24"/>
        </w:rPr>
        <w:t>规划范围</w:t>
      </w:r>
      <w:r>
        <w:rPr>
          <w:rFonts w:ascii="Times New Roman" w:hAnsi="Times New Roman" w:cs="Times New Roman"/>
          <w:color w:val="auto"/>
          <w:szCs w:val="24"/>
        </w:rPr>
        <w:t>，属于新建码头；项目选址及岸线使用符合</w:t>
      </w:r>
      <w:r>
        <w:rPr>
          <w:rFonts w:ascii="Times New Roman" w:hAnsi="Times New Roman" w:cs="Times New Roman"/>
          <w:spacing w:val="-2"/>
        </w:rPr>
        <w:t>《合肥港总体规划（3035年）》及规划环评要求；用地符合肥东县及撮镇土地利用规划</w:t>
      </w:r>
      <w:r>
        <w:rPr>
          <w:rFonts w:ascii="Times New Roman" w:hAnsi="Times New Roman" w:cs="Times New Roman"/>
          <w:color w:val="auto"/>
          <w:kern w:val="0"/>
          <w:szCs w:val="24"/>
        </w:rPr>
        <w:t>。</w:t>
      </w:r>
    </w:p>
    <w:p>
      <w:pPr>
        <w:ind w:firstLine="480"/>
        <w:rPr>
          <w:rFonts w:ascii="Times New Roman" w:hAnsi="Times New Roman" w:cs="Times New Roman"/>
          <w:color w:val="auto"/>
          <w:kern w:val="0"/>
          <w:szCs w:val="24"/>
        </w:rPr>
      </w:pPr>
      <w:r>
        <w:rPr>
          <w:rFonts w:ascii="Times New Roman" w:hAnsi="Times New Roman" w:cs="Times New Roman"/>
          <w:color w:val="auto"/>
          <w:kern w:val="0"/>
          <w:szCs w:val="24"/>
        </w:rPr>
        <w:t>合肥循环经济园为合肥市规模最大、最集中的化工产业园。目前，整个合肥港还没有一个专用存储、装卸化工品的码头，危化品公路运输具有较高的危险性，并且公路运输成本高。水运具有运量大、成本低（目前我国的内河运输成本只有公路运输成本的1/10左右，沿海运输成本只有铁路运输成本的2/5左右）、污染小的突出优势，特别适合于危化品等货种的运输。本项目建成后，将为合肥循环经济园提供便捷高效安全的化工品运输通道。</w:t>
      </w:r>
    </w:p>
    <w:p>
      <w:pPr>
        <w:ind w:firstLine="480"/>
        <w:rPr>
          <w:rFonts w:ascii="Times New Roman" w:hAnsi="Times New Roman" w:cs="Times New Roman"/>
          <w:color w:val="auto"/>
        </w:rPr>
      </w:pPr>
      <w:r>
        <w:rPr>
          <w:rFonts w:ascii="Times New Roman" w:hAnsi="Times New Roman" w:cs="Times New Roman"/>
          <w:color w:val="auto"/>
          <w:kern w:val="0"/>
          <w:szCs w:val="24"/>
        </w:rPr>
        <w:t>本</w:t>
      </w:r>
      <w:r>
        <w:rPr>
          <w:rFonts w:ascii="Times New Roman" w:hAnsi="Times New Roman" w:cs="Times New Roman"/>
          <w:color w:val="auto"/>
        </w:rPr>
        <w:t>项目供电由当地电网解决；本项目用水来自市政供水管网。因此，项目建设不会超出区域资源利用上限要求。</w:t>
      </w:r>
    </w:p>
    <w:p>
      <w:pPr>
        <w:ind w:firstLine="0" w:firstLineChars="0"/>
        <w:rPr>
          <w:rFonts w:ascii="Times New Roman" w:hAnsi="Times New Roman" w:cs="Times New Roman"/>
          <w:b/>
          <w:bCs/>
          <w:color w:val="auto"/>
          <w:szCs w:val="24"/>
        </w:rPr>
      </w:pPr>
      <w:r>
        <w:rPr>
          <w:rFonts w:ascii="Times New Roman" w:hAnsi="Times New Roman" w:cs="Times New Roman"/>
          <w:b/>
          <w:bCs/>
          <w:color w:val="auto"/>
          <w:szCs w:val="24"/>
        </w:rPr>
        <w:t>5、环境准入负面清单对照</w:t>
      </w:r>
    </w:p>
    <w:p>
      <w:pPr>
        <w:ind w:firstLine="480"/>
        <w:rPr>
          <w:rFonts w:ascii="Times New Roman" w:hAnsi="Times New Roman" w:cs="Times New Roman"/>
          <w:color w:val="auto"/>
          <w:szCs w:val="24"/>
        </w:rPr>
      </w:pPr>
      <w:r>
        <w:rPr>
          <w:rFonts w:ascii="Times New Roman" w:hAnsi="Times New Roman" w:cs="Times New Roman"/>
          <w:color w:val="auto"/>
        </w:rPr>
        <w:t>根据</w:t>
      </w:r>
      <w:r>
        <w:rPr>
          <w:rFonts w:ascii="Times New Roman" w:hAnsi="Times New Roman" w:cs="Times New Roman"/>
          <w:spacing w:val="-2"/>
        </w:rPr>
        <w:t>《合肥港总体规划（2016-2040年）环境影响报告书》</w:t>
      </w:r>
      <w:r>
        <w:rPr>
          <w:rFonts w:ascii="Times New Roman" w:hAnsi="Times New Roman" w:cs="Times New Roman"/>
          <w:color w:val="auto"/>
          <w:spacing w:val="-2"/>
        </w:rPr>
        <w:t>及审查意见、《合肥循环经济示范园总体规划（2015-2030）环境影响报告书》及审查意见</w:t>
      </w:r>
      <w:r>
        <w:rPr>
          <w:rFonts w:ascii="Times New Roman" w:hAnsi="Times New Roman" w:cs="Times New Roman"/>
          <w:color w:val="auto"/>
        </w:rPr>
        <w:t>，</w:t>
      </w:r>
      <w:r>
        <w:rPr>
          <w:rFonts w:ascii="Times New Roman" w:hAnsi="Times New Roman" w:cs="Times New Roman"/>
          <w:szCs w:val="21"/>
        </w:rPr>
        <w:t>本工程使用循环经济示范园作业区石油化工码头区港口岸线640m，拟建设7个1000吨级</w:t>
      </w:r>
      <w:r>
        <w:rPr>
          <w:rFonts w:ascii="Times New Roman" w:hAnsi="Times New Roman" w:cs="Times New Roman"/>
          <w:kern w:val="24"/>
        </w:rPr>
        <w:t>液体油品化工</w:t>
      </w:r>
      <w:r>
        <w:rPr>
          <w:rFonts w:ascii="Times New Roman" w:hAnsi="Times New Roman" w:cs="Times New Roman"/>
          <w:szCs w:val="21"/>
        </w:rPr>
        <w:t>泊位，年设计通过能力为338.9万吨，工程建设地点与规模、泊位等级和使用岸线长度均符合《合肥港总体规划（2035年）》</w:t>
      </w:r>
      <w:r>
        <w:rPr>
          <w:rFonts w:ascii="Times New Roman" w:hAnsi="Times New Roman" w:cs="Times New Roman"/>
          <w:color w:val="auto"/>
        </w:rPr>
        <w:t>。</w:t>
      </w:r>
      <w:r>
        <w:rPr>
          <w:rFonts w:ascii="Times New Roman" w:hAnsi="Times New Roman" w:cs="Times New Roman"/>
          <w:bCs/>
          <w:color w:val="auto"/>
          <w:kern w:val="0"/>
          <w:szCs w:val="24"/>
        </w:rPr>
        <w:t>合肥循环经济示范园主导产业为新材料产业、智能产业、高端装备制造业、现代物流业，积极发展机械加工产业、静脉产业、现代农业和智慧城市产业。</w:t>
      </w:r>
    </w:p>
    <w:p>
      <w:pPr>
        <w:ind w:firstLine="480"/>
        <w:rPr>
          <w:rFonts w:ascii="Times New Roman" w:hAnsi="Times New Roman" w:cs="Times New Roman"/>
          <w:color w:val="FF0000"/>
        </w:rPr>
      </w:pPr>
      <w:r>
        <w:rPr>
          <w:rFonts w:ascii="Times New Roman" w:hAnsi="Times New Roman" w:cs="Times New Roman"/>
          <w:color w:val="FF0000"/>
        </w:rPr>
        <w:t>合肥东航码头</w:t>
      </w:r>
      <w:r>
        <w:rPr>
          <w:rFonts w:hint="eastAsia" w:ascii="Times New Roman" w:hAnsi="Times New Roman" w:cs="Times New Roman"/>
          <w:color w:val="FF0000"/>
        </w:rPr>
        <w:t>位于</w:t>
      </w:r>
      <w:r>
        <w:rPr>
          <w:rFonts w:ascii="Times New Roman" w:hAnsi="Times New Roman" w:cs="Times New Roman"/>
          <w:color w:val="FF0000"/>
        </w:rPr>
        <w:t>合肥循环经济示范园</w:t>
      </w:r>
      <w:r>
        <w:rPr>
          <w:rFonts w:hint="eastAsia" w:ascii="Times New Roman" w:hAnsi="Times New Roman" w:cs="Times New Roman"/>
          <w:color w:val="FF0000"/>
        </w:rPr>
        <w:t>用地规划范围</w:t>
      </w:r>
      <w:r>
        <w:rPr>
          <w:rFonts w:ascii="Times New Roman" w:hAnsi="Times New Roman" w:cs="Times New Roman"/>
          <w:color w:val="FF0000"/>
        </w:rPr>
        <w:t>，码头的建设实现了合肥循环经济示范园</w:t>
      </w:r>
      <w:r>
        <w:rPr>
          <w:rFonts w:ascii="Times New Roman" w:hAnsi="Times New Roman" w:cs="Times New Roman"/>
          <w:color w:val="auto"/>
          <w:szCs w:val="24"/>
        </w:rPr>
        <w:t>建设铁路、水路、公路三者兼备的综合物流体系，以港口分拨、多式联运、信息服务为主要特色，建设为全面的货物集散、仓储、配送、信息、物流增值服务为一体的现代化物流基地的规划目标。</w:t>
      </w:r>
      <w:r>
        <w:rPr>
          <w:rFonts w:ascii="Times New Roman" w:hAnsi="Times New Roman" w:cs="Times New Roman"/>
          <w:color w:val="FF0000"/>
        </w:rPr>
        <w:t>为入园企业提供安全、高效、畅通的水运运输服务；与合肥循环经济示范园产业定位相符。</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另外，本项目与《长江经济带发展负面清单指南》（试行）（推动长江经济带发展领导小组办公室，第89号，2019年1月12日）的符合性分析见表2.5-2所示。</w:t>
      </w:r>
    </w:p>
    <w:p>
      <w:pPr>
        <w:ind w:firstLine="422"/>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表2.5-2  与长江经济带发展负面清单指南相符性分析</w:t>
      </w:r>
    </w:p>
    <w:tbl>
      <w:tblPr>
        <w:tblStyle w:val="62"/>
        <w:tblW w:w="928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936"/>
        <w:gridCol w:w="4252"/>
        <w:gridCol w:w="109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jc w:val="center"/>
        </w:trPr>
        <w:tc>
          <w:tcPr>
            <w:tcW w:w="3936" w:type="dxa"/>
            <w:vAlign w:val="center"/>
          </w:tcPr>
          <w:p>
            <w:pPr>
              <w:spacing w:line="240" w:lineRule="auto"/>
              <w:ind w:firstLine="0" w:firstLineChars="0"/>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负面清单要求</w:t>
            </w:r>
          </w:p>
        </w:tc>
        <w:tc>
          <w:tcPr>
            <w:tcW w:w="4252" w:type="dxa"/>
            <w:vAlign w:val="center"/>
          </w:tcPr>
          <w:p>
            <w:pPr>
              <w:spacing w:line="240" w:lineRule="auto"/>
              <w:ind w:firstLine="0" w:firstLineChars="0"/>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本项目情况</w:t>
            </w:r>
          </w:p>
        </w:tc>
        <w:tc>
          <w:tcPr>
            <w:tcW w:w="1099" w:type="dxa"/>
            <w:vAlign w:val="center"/>
          </w:tcPr>
          <w:p>
            <w:pPr>
              <w:spacing w:line="240" w:lineRule="auto"/>
              <w:ind w:firstLine="0" w:firstLineChars="0"/>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符合性判定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58" w:hRule="atLeast"/>
          <w:jc w:val="center"/>
        </w:trPr>
        <w:tc>
          <w:tcPr>
            <w:tcW w:w="393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禁止建设不符合全国和省级港口布局规划以及港口总体规划的码头项目，禁止建设不符合《长江干线过江通道布局规划》的过长江通道项目</w:t>
            </w:r>
          </w:p>
        </w:tc>
        <w:tc>
          <w:tcPr>
            <w:tcW w:w="425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本项目属于新建码头工程，码头选址符合安徽省及合肥市“十四五”交通运输规划、合肥港总体规划</w:t>
            </w:r>
          </w:p>
        </w:tc>
        <w:tc>
          <w:tcPr>
            <w:tcW w:w="109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3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禁止在自然保护区核心区、缓冲区的岸线和河段范围内投资建设旅游和生产经营项目。禁止在风景名胜区核心景区的岸线和河段范围内投资建设与风景名胜资源保护无关的项目</w:t>
            </w:r>
          </w:p>
        </w:tc>
        <w:tc>
          <w:tcPr>
            <w:tcW w:w="425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w:t>
            </w:r>
            <w:r>
              <w:rPr>
                <w:rFonts w:hint="eastAsia" w:ascii="Times New Roman" w:hAnsi="Times New Roman" w:cs="Times New Roman"/>
                <w:color w:val="auto"/>
                <w:sz w:val="18"/>
                <w:szCs w:val="18"/>
              </w:rPr>
              <w:t>用地</w:t>
            </w:r>
            <w:r>
              <w:rPr>
                <w:rFonts w:ascii="Times New Roman" w:hAnsi="Times New Roman" w:cs="Times New Roman"/>
                <w:color w:val="auto"/>
                <w:sz w:val="18"/>
                <w:szCs w:val="18"/>
              </w:rPr>
              <w:t>选址不涉及自然保护区、风景名胜区、湿地公园、生态保护红线、森林公园、种质资源保护区、饮用水源保护区等生态敏感区域</w:t>
            </w:r>
          </w:p>
        </w:tc>
        <w:tc>
          <w:tcPr>
            <w:tcW w:w="109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3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禁止在饮用水水源一级保护区的岸线和河段范围内新建、改建、扩建与供水设施和保护水源无关的项目，以及网箱养殖、旅游等可能污染饮用水水体的投资建设项目。禁止在饮用水水源二级保护区的岸线和河段范围内新建、改建、扩建排放污染物的投资建设项目</w:t>
            </w:r>
          </w:p>
        </w:tc>
        <w:tc>
          <w:tcPr>
            <w:tcW w:w="425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本项目属于新建码头工程，码头选址内不涉及饮用水源保护区</w:t>
            </w:r>
          </w:p>
        </w:tc>
        <w:tc>
          <w:tcPr>
            <w:tcW w:w="109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3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禁止在水产种质资源保护区的岸线和河段范围内新建排污口，以及围湖造田、围海造地或围填海等投资建设项目。禁止在国家湿地公园的岸线和河段范围内挖沙、采矿，以及任何不符合主体功能定位的投资建设项目</w:t>
            </w:r>
          </w:p>
        </w:tc>
        <w:tc>
          <w:tcPr>
            <w:tcW w:w="425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本项目属于新建码头工程，码头选址</w:t>
            </w:r>
            <w:r>
              <w:rPr>
                <w:rFonts w:hint="eastAsia" w:ascii="Times New Roman" w:hAnsi="Times New Roman" w:cs="Times New Roman"/>
                <w:color w:val="auto"/>
                <w:sz w:val="18"/>
                <w:szCs w:val="18"/>
              </w:rPr>
              <w:t>店埠河</w:t>
            </w:r>
            <w:r>
              <w:rPr>
                <w:rFonts w:ascii="Times New Roman" w:hAnsi="Times New Roman" w:cs="Times New Roman"/>
                <w:color w:val="auto"/>
                <w:sz w:val="18"/>
                <w:szCs w:val="18"/>
              </w:rPr>
              <w:t>不涉及水产种质资源保护区、国家湿地公园；本项目污水接入合肥循环经济示范园污水处理厂进行处理</w:t>
            </w:r>
          </w:p>
        </w:tc>
        <w:tc>
          <w:tcPr>
            <w:tcW w:w="109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3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禁止在《长江岸线保护和开发利用总体规划》划定的岸线保护区内投资建设除保障防洪安全、河势稳定、供水安全以及保护生态环境、已建重要枢纽工程以外的项目，禁止在岸线保留区内投资建设除保障防洪安全、河势稳定、供水安全、航道稳定以及保护生态环境以外的项目</w:t>
            </w:r>
          </w:p>
        </w:tc>
        <w:tc>
          <w:tcPr>
            <w:tcW w:w="425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本项目属于新建码头工程，码头选址位于店埠河，依托店埠河航道，属于《安徽省干线航道网规划(2018—2030年)》中的</w:t>
            </w:r>
            <w:r>
              <w:rPr>
                <w:rFonts w:ascii="Times New Roman" w:hAnsi="Times New Roman" w:cs="Times New Roman"/>
                <w:color w:val="auto"/>
                <w:sz w:val="18"/>
                <w:szCs w:val="18"/>
              </w:rPr>
              <w:fldChar w:fldCharType="begin"/>
            </w:r>
            <w:r>
              <w:rPr>
                <w:rFonts w:ascii="Times New Roman" w:hAnsi="Times New Roman" w:cs="Times New Roman"/>
                <w:color w:val="auto"/>
                <w:sz w:val="18"/>
                <w:szCs w:val="18"/>
              </w:rPr>
              <w:instrText xml:space="preserve"> = 3 \* ROMAN \* MERGEFORMAT </w:instrText>
            </w:r>
            <w:r>
              <w:rPr>
                <w:rFonts w:ascii="Times New Roman" w:hAnsi="Times New Roman" w:cs="Times New Roman"/>
                <w:color w:val="auto"/>
                <w:sz w:val="18"/>
                <w:szCs w:val="18"/>
              </w:rPr>
              <w:fldChar w:fldCharType="separate"/>
            </w:r>
            <w:r>
              <w:rPr>
                <w:rFonts w:ascii="Times New Roman" w:hAnsi="Times New Roman" w:cs="Times New Roman"/>
                <w:color w:val="auto"/>
                <w:sz w:val="18"/>
                <w:szCs w:val="18"/>
              </w:rPr>
              <w:t>III</w:t>
            </w:r>
            <w:r>
              <w:rPr>
                <w:rFonts w:ascii="Times New Roman" w:hAnsi="Times New Roman" w:cs="Times New Roman"/>
                <w:color w:val="auto"/>
                <w:sz w:val="18"/>
                <w:szCs w:val="18"/>
              </w:rPr>
              <w:fldChar w:fldCharType="end"/>
            </w:r>
            <w:r>
              <w:rPr>
                <w:rFonts w:ascii="Times New Roman" w:hAnsi="Times New Roman" w:cs="Times New Roman"/>
                <w:color w:val="auto"/>
                <w:sz w:val="18"/>
                <w:szCs w:val="18"/>
              </w:rPr>
              <w:t>级标准航道；码头占用岸线符合合肥港总体规划；不涉及长江岸线保护区。</w:t>
            </w:r>
          </w:p>
        </w:tc>
        <w:tc>
          <w:tcPr>
            <w:tcW w:w="109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3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禁止在生态保护红线和永久基本农田范围内投资建设除国家重大战略资源勘查项目、生态保护修复和环境治理项目、重大基础设施项目、军事国防项目以及农牧民基本生产生活等必要的民生项目以外的项目</w:t>
            </w:r>
          </w:p>
        </w:tc>
        <w:tc>
          <w:tcPr>
            <w:tcW w:w="425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本项目属于新建码头工程，选址不占用生态保护红线及永久基本农田</w:t>
            </w:r>
          </w:p>
        </w:tc>
        <w:tc>
          <w:tcPr>
            <w:tcW w:w="109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3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禁止在长江干支流1公里范围内新建、扩建化工园区和化工项目。禁止在合规园区外新建、扩建钢铁、石化、化工、焦化、建材、有色等高污染项目</w:t>
            </w:r>
          </w:p>
        </w:tc>
        <w:tc>
          <w:tcPr>
            <w:tcW w:w="425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本项目为新建港口码头类项目，不属于新建、扩建化工园区和化工项目</w:t>
            </w:r>
            <w:r>
              <w:rPr>
                <w:rFonts w:hint="eastAsia" w:ascii="Times New Roman" w:hAnsi="Times New Roman" w:cs="Times New Roman"/>
                <w:color w:val="auto"/>
                <w:sz w:val="18"/>
                <w:szCs w:val="18"/>
              </w:rPr>
              <w:t>；选址不处于</w:t>
            </w:r>
            <w:r>
              <w:rPr>
                <w:rFonts w:ascii="Times New Roman" w:hAnsi="Times New Roman" w:cs="Times New Roman"/>
                <w:color w:val="auto"/>
                <w:sz w:val="18"/>
                <w:szCs w:val="18"/>
              </w:rPr>
              <w:t>长江干支流1公里范围内</w:t>
            </w:r>
            <w:r>
              <w:rPr>
                <w:rFonts w:hint="eastAsia" w:ascii="Times New Roman" w:hAnsi="Times New Roman" w:cs="Times New Roman"/>
                <w:color w:val="auto"/>
                <w:sz w:val="18"/>
                <w:szCs w:val="18"/>
              </w:rPr>
              <w:t>。</w:t>
            </w:r>
          </w:p>
        </w:tc>
        <w:tc>
          <w:tcPr>
            <w:tcW w:w="109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3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禁止新建、扩建不符合国家石化、现代煤化工等产业布局规划的项目</w:t>
            </w:r>
          </w:p>
        </w:tc>
        <w:tc>
          <w:tcPr>
            <w:tcW w:w="425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本项目为港口码头类项目，不属于石化、现代煤化工项目</w:t>
            </w:r>
          </w:p>
        </w:tc>
        <w:tc>
          <w:tcPr>
            <w:tcW w:w="109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3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禁止新建、扩建法律法规和相关政策明令禁止的落后产能项目</w:t>
            </w:r>
          </w:p>
        </w:tc>
        <w:tc>
          <w:tcPr>
            <w:tcW w:w="425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本项目为港口码头类项目，符合国家产业政策，不属于落后产能项目</w:t>
            </w:r>
          </w:p>
        </w:tc>
        <w:tc>
          <w:tcPr>
            <w:tcW w:w="109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93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禁止新建、扩建不符合国家产能置换要求的严重过剩产能行业的项目</w:t>
            </w:r>
          </w:p>
        </w:tc>
        <w:tc>
          <w:tcPr>
            <w:tcW w:w="425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本项目为港口码头类项目，不属于严重过剩产能行业的项目</w:t>
            </w:r>
          </w:p>
        </w:tc>
        <w:tc>
          <w:tcPr>
            <w:tcW w:w="109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bl>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综上所述，本项目的建设符合“三线一单”相关要求。</w:t>
      </w:r>
    </w:p>
    <w:p>
      <w:pPr>
        <w:pStyle w:val="3"/>
        <w:widowControl w:val="0"/>
        <w:numPr>
          <w:ilvl w:val="1"/>
          <w:numId w:val="0"/>
        </w:numPr>
        <w:spacing w:before="166" w:beforeLines="50" w:after="0"/>
        <w:jc w:val="both"/>
        <w:rPr>
          <w:rFonts w:ascii="Times New Roman" w:hAnsi="Times New Roman" w:cs="Times New Roman"/>
        </w:rPr>
      </w:pPr>
      <w:bookmarkStart w:id="135" w:name="_Toc104733315"/>
      <w:bookmarkStart w:id="136" w:name="_Toc102979811"/>
      <w:r>
        <w:rPr>
          <w:rFonts w:ascii="Times New Roman" w:hAnsi="Times New Roman" w:eastAsia="黑体" w:cs="Times New Roman"/>
          <w:color w:val="auto"/>
          <w:kern w:val="2"/>
          <w:sz w:val="28"/>
        </w:rPr>
        <w:t>2.6</w:t>
      </w:r>
      <w:r>
        <w:rPr>
          <w:rFonts w:ascii="Times New Roman" w:hAnsi="Times New Roman" w:eastAsia="黑体" w:cs="Times New Roman"/>
        </w:rPr>
        <w:t>与《港口建设项目环境影响评价文件审批原则》相符性分析</w:t>
      </w:r>
      <w:bookmarkEnd w:id="135"/>
      <w:bookmarkEnd w:id="136"/>
    </w:p>
    <w:p>
      <w:pPr>
        <w:ind w:firstLine="480"/>
        <w:rPr>
          <w:rFonts w:ascii="Times New Roman" w:hAnsi="Times New Roman" w:cs="Times New Roman"/>
          <w:szCs w:val="21"/>
        </w:rPr>
      </w:pPr>
      <w:r>
        <w:rPr>
          <w:rFonts w:ascii="Times New Roman" w:hAnsi="Times New Roman" w:cs="Times New Roman"/>
          <w:szCs w:val="21"/>
          <w:lang w:bidi="ar"/>
        </w:rPr>
        <w:t>本项目与《港口建设项目环境影响评价文件审批原则》相符性分析见表2.6-1。</w:t>
      </w:r>
    </w:p>
    <w:p>
      <w:pPr>
        <w:spacing w:line="240" w:lineRule="auto"/>
        <w:ind w:firstLine="0" w:firstLineChars="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表2.6-1   与《港口建设项目环境影响评价文件审批原则》相符性分析表</w:t>
      </w:r>
    </w:p>
    <w:tbl>
      <w:tblPr>
        <w:tblStyle w:val="62"/>
        <w:tblW w:w="924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0"/>
        <w:gridCol w:w="4119"/>
        <w:gridCol w:w="3607"/>
        <w:gridCol w:w="8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序号</w:t>
            </w:r>
          </w:p>
        </w:tc>
        <w:tc>
          <w:tcPr>
            <w:tcW w:w="411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审批原则</w:t>
            </w:r>
          </w:p>
        </w:tc>
        <w:tc>
          <w:tcPr>
            <w:tcW w:w="3607"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w:t>
            </w:r>
          </w:p>
        </w:tc>
        <w:tc>
          <w:tcPr>
            <w:tcW w:w="85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411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项目符合环境保护相关法律法规和政策要求，与主体功能区规划、近岸海域环境功能区划、水环境功能区划、生态功能区划、海洋功能区划、生态环境保护规划、港口总体规划、流域规划等相协调，满足相关规划环评要求。</w:t>
            </w:r>
          </w:p>
        </w:tc>
        <w:tc>
          <w:tcPr>
            <w:tcW w:w="360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本项目建设符合</w:t>
            </w:r>
            <w:r>
              <w:rPr>
                <w:rFonts w:ascii="Times New Roman" w:hAnsi="Times New Roman" w:cs="Times New Roman"/>
                <w:spacing w:val="-2"/>
                <w:sz w:val="18"/>
                <w:szCs w:val="18"/>
              </w:rPr>
              <w:t>《合肥港总体规划（2035年）</w:t>
            </w:r>
            <w:r>
              <w:rPr>
                <w:rFonts w:ascii="Times New Roman" w:hAnsi="Times New Roman" w:cs="Times New Roman"/>
                <w:color w:val="auto"/>
                <w:sz w:val="18"/>
                <w:szCs w:val="18"/>
              </w:rPr>
              <w:t>》及其规划环评的要求</w:t>
            </w:r>
          </w:p>
        </w:tc>
        <w:tc>
          <w:tcPr>
            <w:tcW w:w="85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411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项目选址、施工布置不占用自然保护区、风景名胜区、世界文化和自然遗产地、饮用水水源保护区以及其他生态保护红线等环境敏感区中法律法规禁止占用的区域。通过优化项目主要污染源和风险源的平面布置，与居民集中区等环境敏感区的距离科学合理。</w:t>
            </w:r>
          </w:p>
        </w:tc>
        <w:tc>
          <w:tcPr>
            <w:tcW w:w="360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rPr>
            </w:pPr>
            <w:r>
              <w:rPr>
                <w:rFonts w:ascii="Times New Roman" w:hAnsi="Times New Roman" w:cs="Times New Roman"/>
                <w:sz w:val="18"/>
                <w:szCs w:val="18"/>
              </w:rPr>
              <w:t>项目选址、施工布置不占用自然保护区、风景名胜区、饮用水源保护区及生态保护后续等环境敏感区。</w:t>
            </w:r>
            <w:r>
              <w:rPr>
                <w:rFonts w:ascii="Times New Roman" w:hAnsi="Times New Roman" w:cs="Times New Roman"/>
                <w:color w:val="auto"/>
                <w:sz w:val="18"/>
                <w:szCs w:val="18"/>
              </w:rPr>
              <w:t>项目设置的环境防护距离内无居民集中区及文教区等环境敏感区。</w:t>
            </w:r>
          </w:p>
        </w:tc>
        <w:tc>
          <w:tcPr>
            <w:tcW w:w="85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411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项目对鱼类等水生生物的洄游通道及“三场”等重要生境、物种多样性及资源量产生不利影响的，提出了工程设计和施工方案优化、施工噪声及振动控制、施工期监控驱赶救助、迁地保护、增殖放流、人工鱼礁及其他生态修复措施。对湿地生态系统结构和功能、河湖生态缓冲带造成不利影响的，提出了优化工程设计、生态修复等措施。对陆域生态造成不利影响的，提出了避让环境敏感区、生态修复等对策。</w:t>
            </w:r>
          </w:p>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在采取上述措施后，对水生生物的不利影响能够得到缓解和控制，不会造成原有珍稀濒危保护或重要经济水生生物在相关河段、湖泊或海域消失，不会对区域生态系统造成重大不利影响。</w:t>
            </w:r>
          </w:p>
        </w:tc>
        <w:tc>
          <w:tcPr>
            <w:tcW w:w="360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本项目码头所在店埠河及下游南淝河不涉及鱼类等水生生物的洄游通道及“三场”等重要生境；陆域占地不涉及环境敏感区及生态保护红线。</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本次评价针对施工期的环境影响，提出了施工方案优化、施工噪声、环保疏浚的要求；采取相应的环保措施后，本项目的建设不会对区域生态系统造成重大不利影响。评价提出了增殖放流的要求。</w:t>
            </w:r>
          </w:p>
        </w:tc>
        <w:tc>
          <w:tcPr>
            <w:tcW w:w="85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411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项目布置及水工构筑物改变水文情势，造成水体交换、水污染物扩散能力降低且影响水质的，提出了工程优化调整措施。针对冲洗污水、初期雨污水、含尘废水、含油污水、洗箱（罐）废水、生活污水等，提出了收集、处置措施。</w:t>
            </w:r>
          </w:p>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在采取上述措施后，废（污）水能够得到妥善处置，排放、回用或综合利用均符合相关标准，排污口设置符合相关要求。</w:t>
            </w:r>
          </w:p>
        </w:tc>
        <w:tc>
          <w:tcPr>
            <w:tcW w:w="360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本项目泊位采用顺岸连片式布置型式，采用挖入式港池布置型式，并采用重力式结构。码头泊位不直接占用河道，结合工程洪评结论，工程布置及水工构筑物的建设造成的水文情势变化很小，不会造成水体交换、水污染物扩散能力降低且影响水质的。</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停靠船舶产生的机舱含油污水和生活污水依托港区同步建设船舶油污水接收装置和船舶生活污水接收装置进行收集处理。污水执行《船舶水污染物排放控制标准》（GB3552-2018）。码头初期雨水、地面冲洗水及陆域罐区初期雨水等经污水处理装置处理达标后，外排废水接入合肥循环经济示范园污水处理厂。</w:t>
            </w:r>
          </w:p>
        </w:tc>
        <w:tc>
          <w:tcPr>
            <w:tcW w:w="85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411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煤炭、矿石等干散货码头项目，综合考虑建设性质、运营方式、货种等特点，针对物料装卸、输送和堆场储存提出了必要可行的封闭工艺优化方案，以及防风抑尘网、喷淋湿式抑尘等措施。油气、化工等液体散货码头项目，提出了必要可行的挥发性气体控制、油气回收处理等措施。散装粮食、木材及其制品等采用熏蒸工艺的，提出了采用符合国家相关规定的工艺、药剂的要求以及控制气体挥发强度的措施。根据国家相关规划或政策规定，提出了配备岸电设施要求。</w:t>
            </w:r>
          </w:p>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在采取上述措施后，粉尘、挥发性气体等排放符合相关标准，不会对周边环境敏感目标造成重大不利影响。</w:t>
            </w:r>
          </w:p>
        </w:tc>
        <w:tc>
          <w:tcPr>
            <w:tcW w:w="360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本项目属于油品、液体化工码头项目，项目采取了油气回收处理措施对挥发性气体进行了处理及控制。</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在采取相应的污染防治措施后，本项目挥发性有机气体、酸性气体等排放符合相关标准，不会对周边环境敏感目标造成重大不利影响。</w:t>
            </w:r>
          </w:p>
        </w:tc>
        <w:tc>
          <w:tcPr>
            <w:tcW w:w="85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w:t>
            </w:r>
          </w:p>
        </w:tc>
        <w:tc>
          <w:tcPr>
            <w:tcW w:w="411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对声环境敏感目标产生不利影响的，提出了优化平面布置、选用低噪声设备、隔声减振等措施。按照国家相关规定，提出了一般固体废物、危险废物的收集、贮存、运输及处置要求。</w:t>
            </w:r>
          </w:p>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在采取上述措施后，噪声排放、固体废物处置等符合相关标准，不会对周边居民集中区等环境敏感目标造成重大不利影响。</w:t>
            </w:r>
          </w:p>
        </w:tc>
        <w:tc>
          <w:tcPr>
            <w:tcW w:w="360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本项目在设计阶段优化了总平布置，</w:t>
            </w:r>
            <w:r>
              <w:rPr>
                <w:rFonts w:hint="eastAsia" w:ascii="Times New Roman" w:hAnsi="Times New Roman" w:cs="Times New Roman"/>
                <w:color w:val="auto"/>
                <w:sz w:val="18"/>
                <w:szCs w:val="18"/>
              </w:rPr>
              <w:t>将机泵等设备布置于项目区中部</w:t>
            </w:r>
            <w:r>
              <w:rPr>
                <w:rFonts w:ascii="Times New Roman" w:hAnsi="Times New Roman" w:cs="Times New Roman"/>
                <w:color w:val="auto"/>
                <w:sz w:val="18"/>
                <w:szCs w:val="18"/>
              </w:rPr>
              <w:t>；按要求选取了低噪声设备，采取隔声减振等措施。</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港区内按规范设置危险废物暂存库，收集的危险废物委托有组织单位进行处置。</w:t>
            </w:r>
          </w:p>
        </w:tc>
        <w:tc>
          <w:tcPr>
            <w:tcW w:w="85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w:t>
            </w:r>
          </w:p>
        </w:tc>
        <w:tc>
          <w:tcPr>
            <w:tcW w:w="411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根据相关规划和政策要求，提出了船舶污水、船舶垃圾、船舶压载水及沉积物等接收处置措施。</w:t>
            </w:r>
          </w:p>
        </w:tc>
        <w:tc>
          <w:tcPr>
            <w:tcW w:w="360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本项目设置了船舶生活污水、船舶垃圾、船舶油污水等均收集设施；船舶生活污水及含油污水经港区污水处理设施处理达标后接入合肥循环经济示范园污水处理厂进行处理；船舶生活垃圾设置收集装置，委托环卫部门处理。</w:t>
            </w:r>
          </w:p>
        </w:tc>
        <w:tc>
          <w:tcPr>
            <w:tcW w:w="85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8" w:hRule="atLeast"/>
          <w:jc w:val="center"/>
        </w:trPr>
        <w:tc>
          <w:tcPr>
            <w:tcW w:w="67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w:t>
            </w:r>
          </w:p>
        </w:tc>
        <w:tc>
          <w:tcPr>
            <w:tcW w:w="411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项目施工组织方案具有环境合理性，对取、弃土（渣）场、施工场地（道路）等提出了水土流失防治和生态修复等措施。根据环境保护相关标准和要求，对施工期各类废（污）水、废气、噪声、固体废物等提出防治或处置措施。其中，涉水施工对水质造成不利影响的，提出了施工方案优化及悬浮物控制等措施；针对施工产生的疏浚物，提出了符合相关规定的处置或综合利用方案。</w:t>
            </w:r>
          </w:p>
        </w:tc>
        <w:tc>
          <w:tcPr>
            <w:tcW w:w="360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本次评价对工程施工期取、弃土（渣）场、施工场地（道路）等提出了水土流失防治和生态修复等措施要求；针对涉水施工对水质造成的不利影响，评价提出了施工方案优化及悬浮物控制等措施；针对施工产生的疏浚物，提出了符合相关规定的处置或综合利用方案。</w:t>
            </w:r>
          </w:p>
        </w:tc>
        <w:tc>
          <w:tcPr>
            <w:tcW w:w="85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w:t>
            </w:r>
          </w:p>
        </w:tc>
        <w:tc>
          <w:tcPr>
            <w:tcW w:w="411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针对码头、港区航道等存在的溢油或危险化学品泄漏等环境风险，提出了工程防控、应急资源配备、事故池、事故污水处置等风险防范措施，以及环境应急预案编制、与地方人民政府及相关部门、有关单位建立应急联动机制等要求。</w:t>
            </w:r>
          </w:p>
        </w:tc>
        <w:tc>
          <w:tcPr>
            <w:tcW w:w="360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针对码头溢油环境风险，提出相应的风险防范措施和应急物资配备；企业需按要求编制突发环境应急预案，提出与合肥港、合肥循环经济示范园建立应急联动机制的要求</w:t>
            </w:r>
          </w:p>
        </w:tc>
        <w:tc>
          <w:tcPr>
            <w:tcW w:w="85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411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改、扩建项目在全面梳理了与项目有关的现有工程</w:t>
            </w:r>
          </w:p>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环境问题基础上，提出了“以新带老”措施。</w:t>
            </w:r>
          </w:p>
        </w:tc>
        <w:tc>
          <w:tcPr>
            <w:tcW w:w="360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本项目为新建码头工程，同时为合肥大兴集危化品码头的迁建工程，评价提出了迁建过程中的相应的环境保护措施</w:t>
            </w:r>
          </w:p>
        </w:tc>
        <w:tc>
          <w:tcPr>
            <w:tcW w:w="85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411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按相关导则及规定要求，制定了水生生态、水环境、</w:t>
            </w:r>
          </w:p>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大气环境、噪声等环境监测计划，明确了监测网点、因子、频次等有关要求，提出了开展环境影响后评价、根据监测评估结果优化环境保护措施的要求。根据需要和相关规定，提出了环境保护设计、开展相关科学研究、环境管理等要求。</w:t>
            </w:r>
          </w:p>
        </w:tc>
        <w:tc>
          <w:tcPr>
            <w:tcW w:w="360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本次评价按照相关导则及规定要求，提出了本项目的水生生态、水环境、大气环境、噪声等环境监测计划，明确了监测网点、因子、频次等有关要求；并提出了开展环境影响后评价、根据监测评估结果优化环境保护措施的要求。</w:t>
            </w:r>
          </w:p>
        </w:tc>
        <w:tc>
          <w:tcPr>
            <w:tcW w:w="85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bl>
    <w:p>
      <w:pPr>
        <w:pStyle w:val="3"/>
        <w:widowControl w:val="0"/>
        <w:numPr>
          <w:ilvl w:val="1"/>
          <w:numId w:val="0"/>
        </w:numPr>
        <w:spacing w:before="166" w:beforeLines="50" w:after="0"/>
        <w:jc w:val="both"/>
        <w:rPr>
          <w:rFonts w:ascii="Times New Roman" w:hAnsi="Times New Roman" w:cs="Times New Roman"/>
        </w:rPr>
      </w:pPr>
      <w:bookmarkStart w:id="137" w:name="_Toc104733316"/>
      <w:bookmarkStart w:id="138" w:name="_Toc102979812"/>
      <w:r>
        <w:rPr>
          <w:rFonts w:ascii="Times New Roman" w:hAnsi="Times New Roman" w:eastAsia="黑体" w:cs="Times New Roman"/>
          <w:color w:val="auto"/>
          <w:kern w:val="2"/>
          <w:sz w:val="28"/>
        </w:rPr>
        <w:t>2.7</w:t>
      </w:r>
      <w:r>
        <w:rPr>
          <w:rFonts w:ascii="Times New Roman" w:hAnsi="Times New Roman" w:eastAsia="黑体" w:cs="Times New Roman"/>
        </w:rPr>
        <w:t>与《挥发性有机物治理实用手册（第二版）》、《油品储运销挥发性有机物治理实用手册》的相符性分析</w:t>
      </w:r>
      <w:bookmarkEnd w:id="137"/>
      <w:bookmarkEnd w:id="138"/>
    </w:p>
    <w:p>
      <w:pPr>
        <w:spacing w:line="240" w:lineRule="auto"/>
        <w:ind w:firstLine="0" w:firstLineChars="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表2.7-1   与《挥发性有机物治理实用手册（第二版）》的相符性分析</w:t>
      </w:r>
    </w:p>
    <w:tbl>
      <w:tblPr>
        <w:tblStyle w:val="62"/>
        <w:tblW w:w="952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0"/>
        <w:gridCol w:w="830"/>
        <w:gridCol w:w="5150"/>
        <w:gridCol w:w="2727"/>
        <w:gridCol w:w="5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序号</w:t>
            </w:r>
          </w:p>
        </w:tc>
        <w:tc>
          <w:tcPr>
            <w:tcW w:w="83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类别</w:t>
            </w:r>
          </w:p>
        </w:tc>
        <w:tc>
          <w:tcPr>
            <w:tcW w:w="515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相关控制要求</w:t>
            </w:r>
          </w:p>
        </w:tc>
        <w:tc>
          <w:tcPr>
            <w:tcW w:w="2727"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830" w:type="dxa"/>
            <w:vMerge w:val="restart"/>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hint="eastAsia" w:ascii="宋体" w:hAnsi="宋体" w:cs="宋体"/>
                <w:sz w:val="20"/>
                <w:szCs w:val="20"/>
                <w:lang w:bidi="ar"/>
              </w:rPr>
              <w:t>储油库</w:t>
            </w:r>
          </w:p>
        </w:tc>
        <w:tc>
          <w:tcPr>
            <w:tcW w:w="5150"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 xml:space="preserve">1. 控制要求 </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 xml:space="preserve">VOCs排放应满足《储油库大气污染物排放标准》（GB20590-2020）， 标准中规定，新建企业自2021年4月1日，现有储油库企业自2023年1月1日分别执行以下收油、储油、发油油气排放控制要求。 </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有更严格地方排放控制标准的，应执行地方标准。</w:t>
            </w:r>
          </w:p>
        </w:tc>
        <w:tc>
          <w:tcPr>
            <w:tcW w:w="2727"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本项目油品储罐废气执行《储油库大气污染物排放标准》（GB20590-2020）</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830"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p>
        </w:tc>
        <w:tc>
          <w:tcPr>
            <w:tcW w:w="5150"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2. 控制技术</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（1）收油油气排放控制</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通过汽车罐车收油时，应采用密闭泵送或自流式管道系统，收油时从储罐内置换出的油气应密闭回收到汽车罐车内。</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从泵站扫仓罐中产生的油气应为密闭收集，并送入油气处理装置进行回收处理。</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通过管道收油时，管道应保持密闭。</w:t>
            </w:r>
          </w:p>
        </w:tc>
        <w:tc>
          <w:tcPr>
            <w:tcW w:w="272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（1）本项目进口油品通过油船由码头密闭管道泵送至后方陆域储油罐，装卸船及入罐VOCs废气采取油气回收装置进行收集处理</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（2）油品装卸车平台采用汽柴油装车鹤管并配套油气回收臂，油品装卸车挥发性废气单独设置油气回收系统；</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（3）扫线、扫仓废气密闭管道收集送至油气处理装置</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830"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p>
        </w:tc>
        <w:tc>
          <w:tcPr>
            <w:tcW w:w="5150"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（2）储油油气排放控制</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储存真实蒸气压＜76.6 kPa 的油品时，应采用内浮顶罐、外浮顶罐或其他等效措施。</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储存真实蒸气压≥76.6 kPa 的油品时，应采用低压罐、压力罐或其他等效措施。</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内浮顶罐的浮盘与罐壁之间应采用浸液式密封、机械式鞋形密封等高效密封方式。</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外浮顶罐的浮盘与罐壁之间应采用双重密封，且一次密封采用浸液式密封、机械式鞋形密封等高效密封方式。</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浮顶罐罐体应保持完好，不应有孔洞（通气孔除外）和裂隙。</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浮盘附件的开口（孔），除采样、计量、例行检查、维护和其他正常活动外，应一直处于密闭状态；浮盘边缘密封不应有破损。</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支柱、导向装置等储罐附件穿过浮盘时，其套筒底端应插入油品中并采取密封措施。</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除储罐排空作业外，浮盘应始终漂浮于油品的表面。</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自动通气阀在浮盘处于漂浮状态时应关闭且密封良好，仅在浮盘处于支座支撑状态时可开启。</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边缘呼吸阀在浮盘处于漂浮状态时应密封良好，定压应符合设定要求。</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除自动通气阀、边缘呼吸阀外，浮盘外边缘板及所有通过浮盘的开孔接管均应浸入油品液面下。</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应在每个停工检修期对内浮顶罐的完好情况进行检查。发现有不符合运行要求的，应在该停工检修期内完成修复；若延迟修复，应将相关方案报生态环境主管部门确定。</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外浮顶罐不符合运行要求的，应在90天内完成修复或排空储罐停止使用；若延迟修复或排空储罐，应将相关方案报生态环境主管部门确定。</w:t>
            </w:r>
          </w:p>
        </w:tc>
        <w:tc>
          <w:tcPr>
            <w:tcW w:w="272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（1）汽油、航空煤油、乙醇储罐采用内浮顶罐并选用选用“全接液高效浮盘+二次密封”结构。</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（2）柴油储罐为固定顶罐，选用低泄露呼吸阀。</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（3）油品储罐同步配套建设压力监测设备。</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（4）油品储罐的建设应该按控制要求进行建设。</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830"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p>
        </w:tc>
        <w:tc>
          <w:tcPr>
            <w:tcW w:w="5150"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（3）发油油气排放控制</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 xml:space="preserve">向汽车罐车发原油时，应采用防溢流系统，应采用顶部浸没式或底部发油方式，顶部浸没式灌装鹤管出口距离罐底高度应小于 200 mm。向汽车罐车发其他油品应采用底部发油方式。发油时产生的油气应密闭收集，并送入油气处理装置回收处理。底部发油快速接头和油气回收快速接头应采用自封式快速接头。 </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向汽车罐车发油时，油气收集系统应为正压，且压力不应超过 6.0 kPa。</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向汽车罐车发油时，底部发油结束并断开快速接头时，油品滴洒量应不超过 10 mL，滴洒量取连续 3 次断开操作的平均值。</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采用管道方式发油时，管道应保持密闭。</w:t>
            </w:r>
          </w:p>
        </w:tc>
        <w:tc>
          <w:tcPr>
            <w:tcW w:w="2727"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油品装卸车平台采用汽柴油装车鹤管并配套油气回收臂，油品装卸车挥发性废气单独设置油气回收系统；底部发油快速接头和油气回收快速接头采用自封式快速接头。</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向汽车罐车发油时，油气收集系统</w:t>
            </w:r>
            <w:r>
              <w:rPr>
                <w:rFonts w:hint="eastAsia" w:ascii="Times New Roman" w:hAnsi="Times New Roman" w:cs="Times New Roman"/>
                <w:color w:val="auto"/>
                <w:sz w:val="18"/>
                <w:szCs w:val="18"/>
              </w:rPr>
              <w:t>保持</w:t>
            </w:r>
            <w:r>
              <w:rPr>
                <w:rFonts w:ascii="Times New Roman" w:hAnsi="Times New Roman" w:cs="Times New Roman"/>
                <w:color w:val="auto"/>
                <w:sz w:val="18"/>
                <w:szCs w:val="18"/>
              </w:rPr>
              <w:t>正压，且压力不应超过 6.0 kPa。</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向汽车罐车发油时，底部发油结束并断开快速接头时，严格控制油品滴洒量</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83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p>
        </w:tc>
        <w:tc>
          <w:tcPr>
            <w:tcW w:w="5150"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（4）检查维护</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 xml:space="preserve"> 企业中载有油品的设备与管线组件及油气收集系统，应按《挥发性有机物无组织排放控制标准》（GB 37822—2019）开展泄漏检测与修复工作。</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油气回收系统不得设置旁路，建有旁路的应采取彻底拆除、切断、物理隔离等方式取缔旁路。</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在油气回收装置及浮顶罐处应定期检查由于密封等条件带来的可燃气体积聚问题，并做好定期跟踪，如有问题须及时维修。</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油气处理装置排气筒高度应不低于4 m，具体高度以及与周围建筑物的距离应根据环境影响评价文件确定。</w:t>
            </w:r>
          </w:p>
        </w:tc>
        <w:tc>
          <w:tcPr>
            <w:tcW w:w="272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（1）油品的输送设备、管线组件、储罐及油气收集系统，按照《挥发性有机物无组织排放控制标准》（GB 37822-2019）及《设备泄漏挥发性有机物排放控制技术规范》（DB34/T 310007-2021）开展泄漏检测与修复工作。</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（2）本项目油气回收系统不设置旁路。</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（3）本项目在运营期针对油气回收装置及浮顶罐处定期检查由于密封等条件带来的可燃气体积聚问题，并做好定期跟踪，如有问题进行及时维修。</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（4）油气处理装置排气筒高度设置为15 m。</w:t>
            </w:r>
          </w:p>
        </w:tc>
        <w:tc>
          <w:tcPr>
            <w:tcW w:w="510" w:type="dxa"/>
            <w:tcBorders>
              <w:tl2br w:val="nil"/>
              <w:tr2bl w:val="nil"/>
            </w:tcBorders>
            <w:shd w:val="clear" w:color="auto" w:fill="auto"/>
            <w:vAlign w:val="center"/>
          </w:tcPr>
          <w:p>
            <w:pPr>
              <w:pStyle w:val="25"/>
              <w:ind w:firstLine="0" w:firstLineChars="0"/>
              <w:jc w:val="center"/>
              <w:rPr>
                <w:rFonts w:ascii="Times New Roman" w:hAnsi="Times New Roman" w:cs="Times New Roman"/>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w:t>
            </w:r>
          </w:p>
        </w:tc>
        <w:tc>
          <w:tcPr>
            <w:tcW w:w="83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p>
        </w:tc>
        <w:tc>
          <w:tcPr>
            <w:tcW w:w="5150"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3. 监测监控</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企业应按照环境监测管理规定和技术规范的要求，设计、建设、维护永久性采样口、采样测试平台和排污口标志。</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在不少于50%发油鹤管处于发油时段对油气处理装置进口和出口油气进行采样，对于包含吸附工艺的油气处理装置，采样应包括每个吸附塔的工作过程。监测采样按《固定污染源排气中颗料物测定与气态污染物采样方法》（GB/T 16157-1996）、《固定源废气监测技术规范》（HJ/T 397-2007）、《固定污染源废气 挥发性有机物的采样 气袋法》（HJ 732-2014）以及《固定污染源废气 总烃、甲烷和非甲烷总烃的测定 气相色谱法》（HJ 38-2017）的规定执行。</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油气处理装置NMHC排放浓度及处理效率应符号《储油库大气污染物排放标准》（GB 20950-2020）表1要求。</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采用氢火焰离子化检测仪（以甲烷或丙烷为校准气体）对设备与管线组件密封点进行检测；以及在发油时段，对油气收集系统密封点进行检测，其中连接油船的油气收集系统密封点应在发油时段中后期进行检测，监测采样和测定方法按《泄漏和敞开液面排放的挥发性有机物检测技术导则》（HJ 733-2014）的规定执行。</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油气收集系统密封点泄漏检测值应不超过500μmol/mol。如采用红外摄像方式检测油气收集系统密封点时，不应有油气泄漏。</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企业边界非甲烷总烃的监测采样和测定方法按《大气污染物无组织排放监测技术导则》（HJ/T 55-2000）和《环境空气 总烃、甲烷和非甲烷总烃的测定 直接进样-气相色谱法》（HJ 604-2017）的规定执行，监测采样不应在向铁路罐车收发油时进行。以非甲烷总烃计，储油库企业边界任意1小时NMHC平均浓度值不应超过4.0 mg/m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w:t>
            </w:r>
          </w:p>
        </w:tc>
        <w:tc>
          <w:tcPr>
            <w:tcW w:w="272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（1）本项目运营期按照环境监测管理规定和技术规范的要求对油气回收系统排气筒建设久性采样口、采样测试平台和排污口标志。</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（2）本项目运营期按照要求对油气回收系统进行监测采样。</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（3）本项目油气回收装置废气排放执行《储油库大气污染物排放标准》（GB 20950-2020）要求。</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（4）本项目运营期按照要求对设备与管线组件密封点进行检测进行检测。</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（5）本项目运营期按照要求在企业边界进行NMHC例行监测。</w:t>
            </w:r>
          </w:p>
        </w:tc>
        <w:tc>
          <w:tcPr>
            <w:tcW w:w="510" w:type="dxa"/>
            <w:tcBorders>
              <w:tl2br w:val="nil"/>
              <w:tr2bl w:val="nil"/>
            </w:tcBorders>
            <w:shd w:val="clear" w:color="auto" w:fill="auto"/>
            <w:vAlign w:val="center"/>
          </w:tcPr>
          <w:p>
            <w:pPr>
              <w:pStyle w:val="25"/>
              <w:ind w:firstLine="0" w:firstLineChars="0"/>
              <w:rPr>
                <w:rFonts w:ascii="Times New Roman" w:hAnsi="Times New Roman" w:cs="Times New Roman"/>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w:t>
            </w:r>
          </w:p>
        </w:tc>
        <w:tc>
          <w:tcPr>
            <w:tcW w:w="83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p>
        </w:tc>
        <w:tc>
          <w:tcPr>
            <w:tcW w:w="5150"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4. 台账记录</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储油库应按照《排污许可申请与核发技术规范 储油库、加油站》（HJ 1118—2020）中相关规定，建立环境管理台账记录，台账内容应完整齐全，记录应符合规范。记录中应包括油品储存和装载运行参数；油气收集系统及油气处理装置等污染治理设施实际运行时间与运行参数，如储罐、动静密封点、装卸的维护、保养、检查等运行管理情况；以及油气处理装置等处理装置的运维记录，如设施运行情况、出现故障原因、维护过程、检查人、检查日期等。</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应建立燃油供销台账、油气回收装置每日运行检查记录台账，如气体流量、系统压力、发油量，记录防溢流控制系统定期检测结果。后台监控应正常使用，并可调取近期装油、发油的视频。</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应记录油品种类及周转量，收发油过程中油罐车、油船等信息记录。</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应编制修复与记录台账，若出现部件损坏应立即报修。台账中应包括更换部件名称，部件使用有效期、更换原因、更换日期，更换厂家，更换人签字等信息。</w:t>
            </w:r>
          </w:p>
        </w:tc>
        <w:tc>
          <w:tcPr>
            <w:tcW w:w="272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（1）本项目油品储罐区按照《排污许可申请与核发技术规范 储油库、加油站》（HJ 1118—2020）中相关规定，建立环境管理台账记录，台账内容应完整齐全，记录应符合规范。记录中应包括油品储存和装载运行参数；油气收集系统及油气处理装置等污染治理设施实际运行时间与运行参数，如储罐、动静密封点、装卸的维护、保养、检查等运行管理情况；以及油气处理装置等处理装置的运维记录，如设施运行情况、出现故障原因、维护过程、检查人、检查日期等。</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（2）本项目运营期按照要求建立燃油供销台账、油气回收装置每日运行检查记录台账及监控系统等。</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830" w:type="dxa"/>
            <w:vMerge w:val="restart"/>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hint="eastAsia" w:ascii="宋体" w:hAnsi="宋体" w:cs="宋体"/>
                <w:sz w:val="20"/>
                <w:szCs w:val="20"/>
                <w:lang w:bidi="ar"/>
              </w:rPr>
              <w:t>油罐车</w:t>
            </w:r>
          </w:p>
        </w:tc>
        <w:tc>
          <w:tcPr>
            <w:tcW w:w="5150"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1. 控制要求</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VOCs 排放应满足《油品运输大气污染物排放标准》（GB 20951-2020）。标准中规定，铁路罐车、现有汽车罐车自 2021 年 4 月 1 日，新生产、进口、销售和注册登记的汽车罐车自 2021 年 7 月 1 日执行以下排放控制要求。</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 xml:space="preserve"> 有更严格地方排放控制标准的，应执行地方标准。</w:t>
            </w:r>
          </w:p>
        </w:tc>
        <w:tc>
          <w:tcPr>
            <w:tcW w:w="272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本项目油品罐区配套的汽车罐车VOCs 排放执行《油品运输大气污染物排放标准》（GB 20951-2020）</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830"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eastAsia="Noto Sans CJK JP Black" w:cs="Times New Roman"/>
                <w:sz w:val="20"/>
                <w:szCs w:val="20"/>
                <w:lang w:bidi="ar"/>
              </w:rPr>
            </w:pPr>
          </w:p>
        </w:tc>
        <w:tc>
          <w:tcPr>
            <w:tcW w:w="5150"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2. 控制技术</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（1）装油油气排放控制</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应采用底部装油方式，即灌装鹤管与汽车罐车底部接口密闭连接的装油方式。</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 xml:space="preserve"> 装油时，装卸油系统应保持密闭状态，不得出现油品跑冒滴漏现象。</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油气回收系统能够将汽车油罐内排出的油气密闭输入到储油库的油气处理装置中。</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（2）运输油气排放控制</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运输过程中应保证油品和油气不泄漏，不得随意排放汽车罐车油罐内的油气。油气回收耦合阀、油罐车人孔盖等油气密封点应严格密闭。</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人孔盖应正常无破损，具有倾翻防溢、防爆功能，应能够保证油罐车的运输安全。当罐内外压差过大时，其呼吸功能应使罐内外压力平衡，设有内置式呼吸阀和紧急排气装置。</w:t>
            </w:r>
          </w:p>
        </w:tc>
        <w:tc>
          <w:tcPr>
            <w:tcW w:w="2727"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（1）本项目油品汽车罐车采用底部装油方式，即灌装鹤管与汽车罐车底部接口密闭连接的装油方式。</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（2）装油时，装卸油系统保持密闭状态，不得出现油品跑冒滴漏现象。</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（3）本项目装卸车平台配套油气回收管线及油气回收系统，能够将汽车油罐内排出的油气密闭输入到配套的油气处理装置中。</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（4）运输油气排放控制</w:t>
            </w:r>
          </w:p>
          <w:p>
            <w:pPr>
              <w:spacing w:line="240" w:lineRule="auto"/>
              <w:ind w:firstLine="180" w:firstLineChars="100"/>
              <w:rPr>
                <w:rFonts w:ascii="Times New Roman" w:hAnsi="Times New Roman" w:cs="Times New Roman"/>
                <w:color w:val="auto"/>
                <w:sz w:val="18"/>
                <w:szCs w:val="18"/>
              </w:rPr>
            </w:pPr>
            <w:r>
              <w:rPr>
                <w:rFonts w:ascii="Times New Roman" w:hAnsi="Times New Roman" w:cs="Times New Roman"/>
                <w:color w:val="auto"/>
                <w:sz w:val="18"/>
                <w:szCs w:val="18"/>
              </w:rPr>
              <w:t>本项目油品罐区配套的汽车罐车在运输过程中保证油品和油气不泄漏，不得随意排放汽车罐车油罐内的油气。油气回收耦合阀、油罐车人孔盖等油气密封点严格密闭。人孔盖应正常无破损，具有倾翻防溢、防爆功能，能够保证油罐车的运输安全。当罐内外压差过大时，其呼吸功能应使罐内外压力平衡，设有内置式呼吸阀和紧急排气装置。建设单位</w:t>
            </w:r>
            <w:r>
              <w:rPr>
                <w:rFonts w:hint="eastAsia" w:ascii="Times New Roman" w:hAnsi="Times New Roman" w:cs="Times New Roman"/>
                <w:color w:val="auto"/>
                <w:sz w:val="18"/>
                <w:szCs w:val="18"/>
              </w:rPr>
              <w:t>确保</w:t>
            </w:r>
            <w:r>
              <w:rPr>
                <w:rFonts w:ascii="Times New Roman" w:hAnsi="Times New Roman" w:cs="Times New Roman"/>
                <w:color w:val="auto"/>
                <w:sz w:val="18"/>
                <w:szCs w:val="18"/>
              </w:rPr>
              <w:t>严格落实相关运输油气排放控制要求。</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830"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eastAsia="Noto Sans CJK JP Black" w:cs="Times New Roman"/>
                <w:sz w:val="20"/>
                <w:szCs w:val="20"/>
                <w:lang w:bidi="ar"/>
              </w:rPr>
            </w:pPr>
          </w:p>
        </w:tc>
        <w:tc>
          <w:tcPr>
            <w:tcW w:w="5150"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（3）检查维护</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应做到日常检查油罐车装油、运输、卸油过程中装卸油系统及各阀门、管线、泄漏点的密闭情况以及油气回收系统运行情况。</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若出现部件损坏应立即报修，并应及时记录更换部件相关信息。</w:t>
            </w:r>
          </w:p>
          <w:p>
            <w:pPr>
              <w:numPr>
                <w:ilvl w:val="0"/>
                <w:numId w:val="4"/>
              </w:numPr>
              <w:spacing w:line="240" w:lineRule="auto"/>
              <w:ind w:left="0" w:firstLine="239" w:firstLineChars="133"/>
              <w:jc w:val="left"/>
              <w:rPr>
                <w:rFonts w:ascii="Times New Roman" w:hAnsi="Times New Roman" w:cs="Times New Roman"/>
              </w:rPr>
            </w:pPr>
            <w:r>
              <w:rPr>
                <w:rFonts w:ascii="Times New Roman" w:hAnsi="Times New Roman" w:cs="Times New Roman"/>
                <w:color w:val="auto"/>
                <w:sz w:val="18"/>
                <w:szCs w:val="18"/>
              </w:rPr>
              <w:t>日常使用时，应采取有效措施减少因操作、维修和管理等方面原因造成的油品与油气泄漏。</w:t>
            </w:r>
          </w:p>
        </w:tc>
        <w:tc>
          <w:tcPr>
            <w:tcW w:w="2727"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本项目运营期针对油品罐区配套的汽车罐车落实检查维护的相关要求，加强维护，确保油气回收系统的正常运行。</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830"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eastAsia="Noto Sans CJK JP Black" w:cs="Times New Roman"/>
                <w:sz w:val="20"/>
                <w:szCs w:val="20"/>
                <w:lang w:bidi="ar"/>
              </w:rPr>
            </w:pPr>
          </w:p>
        </w:tc>
        <w:tc>
          <w:tcPr>
            <w:tcW w:w="5150"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3. 监测监控</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每年至少对汽车罐车油气回收系统密闭性、油罐车油气密封点开展2次自行监测，2次监测时间间隔大于3个月，保存原始监测记录，并依法公布监测结果。</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 xml:space="preserve"> 汽车罐车生产企业应委托具有检测资质的机构对汽车罐车油气回收系统密闭性进行检测，将检验结果向社会进行公开。汽车罐车油气回收系统密闭性应符合《油品运输大气污染物排放标准》（GB 20951-2020）表1要求。</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标准中规定采用氢火焰离子化检测仪（以甲烷或丙烷为校准气体）对油罐车油气密封点（如汽车罐车油气回收耦合阀和人孔盖处）进行检测，监测采样和测定方法按《泄漏和敞开液面排放和挥发性有机物检测技术导则》（HJ 733-2014）的规定执行。泄漏检测值不应超过 500μmol/mol。</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若采用红外摄像方式检测油罐车油气密封点时，不应有油气泄漏。</w:t>
            </w:r>
          </w:p>
        </w:tc>
        <w:tc>
          <w:tcPr>
            <w:tcW w:w="2727"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本项目运营期严格按照监测监控要求，对油品罐区配套的汽车罐车的油气回收系统密闭性、油罐车油气密封点开展相应的监测。</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830"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eastAsia="Noto Sans CJK JP Black" w:cs="Times New Roman"/>
                <w:sz w:val="20"/>
                <w:szCs w:val="20"/>
                <w:lang w:bidi="ar"/>
              </w:rPr>
            </w:pPr>
          </w:p>
        </w:tc>
        <w:tc>
          <w:tcPr>
            <w:tcW w:w="5150"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4. 台账记录</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应建立日常检查记录台账及维护检修记录台账。</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油罐车日常检查记录台账信息应完整，如油品种类及周转量的记录，装卸油及运输过程中对油气回收装置及装卸油系统运行情况记录，建议记录装油、卸油过程中储油库及加油站详细信息等。</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如对油罐车部件进行维修更换，应及时填写维护检修记录，应详细记录更换部件名称及数量，更换部件所在位置、更换部件使用有效期、更换原因、更换日期，更换厂家等。</w:t>
            </w:r>
          </w:p>
        </w:tc>
        <w:tc>
          <w:tcPr>
            <w:tcW w:w="2727"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本项目运营期</w:t>
            </w:r>
            <w:r>
              <w:rPr>
                <w:rFonts w:hint="eastAsia" w:ascii="Times New Roman" w:hAnsi="Times New Roman" w:cs="Times New Roman"/>
                <w:color w:val="auto"/>
                <w:sz w:val="18"/>
                <w:szCs w:val="18"/>
              </w:rPr>
              <w:t>按规范</w:t>
            </w:r>
            <w:r>
              <w:rPr>
                <w:rFonts w:ascii="Times New Roman" w:hAnsi="Times New Roman" w:cs="Times New Roman"/>
                <w:color w:val="auto"/>
                <w:sz w:val="18"/>
                <w:szCs w:val="18"/>
              </w:rPr>
              <w:t>建立汽车罐车的常检查记录台账及维护检修记录台账</w:t>
            </w:r>
            <w:r>
              <w:rPr>
                <w:rFonts w:hint="eastAsia" w:ascii="Times New Roman" w:hAnsi="Times New Roman" w:cs="Times New Roman"/>
                <w:color w:val="auto"/>
                <w:sz w:val="18"/>
                <w:szCs w:val="18"/>
              </w:rPr>
              <w:t>。</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830" w:type="dxa"/>
            <w:vMerge w:val="restart"/>
            <w:tcBorders>
              <w:tl2br w:val="nil"/>
              <w:tr2bl w:val="nil"/>
            </w:tcBorders>
            <w:shd w:val="clear" w:color="auto" w:fill="auto"/>
            <w:vAlign w:val="center"/>
          </w:tcPr>
          <w:p>
            <w:pPr>
              <w:spacing w:line="240" w:lineRule="auto"/>
              <w:ind w:firstLine="0" w:firstLineChars="0"/>
              <w:jc w:val="center"/>
              <w:rPr>
                <w:rFonts w:ascii="Times New Roman" w:hAnsi="Times New Roman" w:eastAsia="Noto Sans CJK JP Black" w:cs="Times New Roman"/>
                <w:sz w:val="20"/>
                <w:szCs w:val="20"/>
                <w:lang w:bidi="ar"/>
              </w:rPr>
            </w:pPr>
            <w:r>
              <w:rPr>
                <w:rFonts w:hint="eastAsia" w:ascii="宋体" w:hAnsi="宋体" w:cs="宋体"/>
                <w:sz w:val="20"/>
                <w:szCs w:val="20"/>
                <w:lang w:bidi="ar"/>
              </w:rPr>
              <w:t>油船、油码头</w:t>
            </w:r>
          </w:p>
        </w:tc>
        <w:tc>
          <w:tcPr>
            <w:tcW w:w="5150"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1. 控制要求</w:t>
            </w:r>
          </w:p>
          <w:p>
            <w:pPr>
              <w:spacing w:line="240" w:lineRule="auto"/>
              <w:ind w:firstLine="360"/>
              <w:jc w:val="left"/>
              <w:rPr>
                <w:rFonts w:ascii="Times New Roman" w:hAnsi="Times New Roman" w:cs="Times New Roman"/>
                <w:color w:val="auto"/>
                <w:sz w:val="18"/>
                <w:szCs w:val="18"/>
              </w:rPr>
            </w:pPr>
            <w:r>
              <w:rPr>
                <w:rFonts w:ascii="Times New Roman" w:hAnsi="Times New Roman" w:cs="Times New Roman"/>
                <w:color w:val="auto"/>
                <w:sz w:val="18"/>
                <w:szCs w:val="18"/>
              </w:rPr>
              <w:t>油船、油码头 VOCs排放目前应满足《储油库大气污染物排放标准》（GB 20950-2020）和《油品运输大气污染物排放标准》（GB 20951-2020）中的相关要求。标准中分别对新投入使用的油船（150总吨及以上）、现有8000总吨及以上的油船以及新建企业、现有码头对应储油库的实施时间进行了详细规定。</w:t>
            </w:r>
          </w:p>
        </w:tc>
        <w:tc>
          <w:tcPr>
            <w:tcW w:w="2727"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本项目油船、码头VOCs排放执行《储油库大气污染物排放标准》（GB 20950-2020）和《油品运输大气污染物排放标准》（GB 20951-2020）中的相关要求。</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830"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eastAsia="Noto Sans CJK JP Black" w:cs="Times New Roman"/>
                <w:sz w:val="20"/>
                <w:szCs w:val="20"/>
                <w:lang w:bidi="ar"/>
              </w:rPr>
            </w:pPr>
          </w:p>
        </w:tc>
        <w:tc>
          <w:tcPr>
            <w:tcW w:w="5150"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2. 控制技术</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（1）油船装油排放控制</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油船应设置密闭油气收集系统和惰性气体系统。</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油船油气收集系统应将向油船发油时产生的油气密闭送入油气处理装置。</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油船应在每个油仓设置独立的透气管线，每个透气管出口应安装一个压力/真空阀。</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油船运输过程中应保证油品和油气不泄漏。</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油船连接油气收集设施的每个货油舱应采用封闭式液位监测系统测量油仓液位高度、油气压力和温度。</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油船惰性气体系统应至少配备2套能在惰性环境中密闭式测量氧气含量（体积百分比）的固定式氧气传感器。</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连接油气收集设施的每个货油舱均应装设货油溢出报警系统。</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货油舱透气系统应能以1.25倍的货油最大装船体积流量向货油舱外释放油气。</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制定并落实船舶油气回收作业的船岸安全检查表。货油装船体积流量应不超过码头油气回收设施的设计最大处理能力和油船设计最大装船体积流量的最小者。</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连接船上油气收集设施的每个货油舱油气压力，应保持不高于货油舱最大设计压力。</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当货油舱与码头油气回收设施连接时，货油装载作业期间不应开舱测量和取样。</w:t>
            </w:r>
          </w:p>
        </w:tc>
        <w:tc>
          <w:tcPr>
            <w:tcW w:w="2727"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本项目对靠港船舶应要求符合控制技术要求；</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（1）本项目对油船装油时产生VOCs设置密闭的油气收集系统，并密闭送入油气处理装置。</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（2）油船运输过程中应保证油品和油气不泄漏。</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（3）连接油气收集设施的每个货油舱均应装设货油溢出报警系统。</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19"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830"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eastAsia="Noto Sans CJK JP Black" w:cs="Times New Roman"/>
                <w:sz w:val="20"/>
                <w:szCs w:val="20"/>
                <w:lang w:bidi="ar"/>
              </w:rPr>
            </w:pPr>
          </w:p>
        </w:tc>
        <w:tc>
          <w:tcPr>
            <w:tcW w:w="5150"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（2）油码头排放控制</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向油船发油应采用顶部浸没式，顶部浸没式发油管出口距离油舱底部高度应小于200 mm。</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具有万吨级及以上油品泊位的码头对应的储油库应密闭收集向《油品运输大气污染物排放标准》（GB 20951—2020）管控的油船发油时产生的油气，并送入油气处理装置回收处理。</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通过油船收油，输油臂应与油船输油管线法兰密闭连接，油船油仓保持密闭。</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油气处理装置排气筒高度不低于4 m，具体高度以及与周围建筑物的距离应根据环境影响评价文件确定。</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 xml:space="preserve"> 发油时应采用防溢流系统。</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 xml:space="preserve"> 回收油气的临时储存和后续处置不得造成二次污染。</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油气回收装置宜设置在码头后方陆域，当与罐区油气回收装置合建时，装置处理规模应满足最大处理负荷要求。</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油气回收设施的管道规格应根据水力计算确定，油气管道流速计算最大限值不宜大于20 m/s，油气管道设计压力不应低于 1.0 MPa 管路、配件的公称压力不应低于 2.0 MPa。</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 xml:space="preserve"> 回收处理工艺应将油气的特性、现场条件和经济技术比较后再确定，可采用吸收法、吸附法、冷凝法、膜法等工艺或其组合工艺，处理原油挥发气体时应根据油气品种采取脱硫等预处理措施。</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油码头企业中载有油品的设备与管线组件及油气收集系统，应按《挥发性有机物无组织排放控制标准》（GB 37822-2019）开展泄漏检测与修复工作。当泄漏点位达到2000 个以上时，应定期开展 LDAR 检测。</w:t>
            </w:r>
          </w:p>
        </w:tc>
        <w:tc>
          <w:tcPr>
            <w:tcW w:w="272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（1）本码头向油船发油应采用顶部浸没式，顶部浸没式发油管出口距离油舱底部高度应小于200 mm</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（2）本码头储油罐向油船发油是产生的油气经收集后送入油气处理装置回收处理。</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（3）本码头通过油船收油，输油臂应与油船输油管线法兰密闭连接，油船油仓保持密闭。</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（4）油气处理装置排气筒高度为15m。</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（5）本码头靠泊油船设置有防溢流系统。</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（6）本项目油气回收装置设置在码头后方陆域，处理能力满足最大处理负荷要求。</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（7）油气回收设施的管道规格符合指南要求。</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（8）本项目油气回收装置采用冷凝法+吸附法。</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（9）本码头运营期按照要求开展泄漏检测与修复工作及LDAR检测。</w:t>
            </w:r>
          </w:p>
          <w:p>
            <w:pPr>
              <w:spacing w:line="240" w:lineRule="auto"/>
              <w:ind w:firstLine="0" w:firstLineChars="0"/>
              <w:jc w:val="left"/>
              <w:rPr>
                <w:rFonts w:ascii="Times New Roman" w:hAnsi="Times New Roman" w:cs="Times New Roman"/>
                <w:color w:val="auto"/>
                <w:sz w:val="18"/>
                <w:szCs w:val="18"/>
              </w:rPr>
            </w:pP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830"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eastAsia="Noto Sans CJK JP Black" w:cs="Times New Roman"/>
                <w:sz w:val="20"/>
                <w:szCs w:val="20"/>
                <w:lang w:bidi="ar"/>
              </w:rPr>
            </w:pPr>
          </w:p>
        </w:tc>
        <w:tc>
          <w:tcPr>
            <w:tcW w:w="5150"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3. 监测监控</w:t>
            </w:r>
          </w:p>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（1）油船</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每年至少对油船油气密封点开展2次自行监测，2次监测时间间隔大于3个月，保存原始监测记录，并依法公布监测结果。</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采用氢火焰离子化检测仪（以甲烷或丙烷为校准气体）对油船油气密封点进行检测，监测采样和测定方法按《泄露和敞开液面排放的挥发性有机物检测技术导则》（HJ 733-2014）的规定执行。油船油气密封点（如油船油气回收管线法兰盲板）泄漏检测值不应超过500μmol/mol。若采用红外摄像方式检测油船油气密封点时，不应有油气泄漏。</w:t>
            </w:r>
          </w:p>
        </w:tc>
        <w:tc>
          <w:tcPr>
            <w:tcW w:w="2727"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本码头运营期靠泊油船按照要求进行油船油气密封点自行监测。</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830"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eastAsia="Noto Sans CJK JP Black" w:cs="Times New Roman"/>
                <w:sz w:val="20"/>
                <w:szCs w:val="20"/>
                <w:lang w:bidi="ar"/>
              </w:rPr>
            </w:pPr>
          </w:p>
        </w:tc>
        <w:tc>
          <w:tcPr>
            <w:tcW w:w="5150"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（2）油码头</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企业应按照环境监测管理规定和技术规范的要求，设计、建设、维护永久性采样口、采样测试平台和排污口标志。</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在不少于50%发油鹤管处于发油时段对油气处理装置进口和出口油气进行采样，其中连接油船的油气处理装置应在发油时段中后期进行采样，对于包含吸附工艺的油气处理装置，采样应包括每个吸附塔的工作过程。监测采样按《固定污染源排气中颗粒物测定与气态污染物采样方法》（GB/T 16157-1996）、《固定源废气监测技术规范》（HJ/T 397-2007）、《固定污染源废气 挥发性有机物的采样 气袋法》（HJ 732-2014）以及《固定污染源废气总烃、甲烷和非甲烷总烃的测定 气相色谱法》（HJ 38-2017）的规定执行。</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在发油时段采用氢火焰离子化检测仪（以甲烷或丙烷为校准气体）对油气收集系统密封点进行检测，其中连接油船的油气收集系统密封点应在发油时段中后期进行检测，同时应对设备与管线组件密封点进行检测，监测采样和测定方法均按《泄露和敞开液面排放的挥发性有机物检测技术导则》（HJ733-2014）的规定执行。对油码头油气收集系统密封点进行检测时，系统泄漏检测值不应超过500μmol/mol。若采用红外摄像方式检测油气收集系统密封点时，不应有油气泄漏。</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 xml:space="preserve"> 可通过检测报告检查油气处理装置 NMHC 排放浓度及处理效率，油气处理装置排放限值应符合《储油库大气污染物排放标准》（GB 20950—2020）表1要求。</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 xml:space="preserve"> 企业边界NMHC的监测采样和测定方法按《大气污染物无组织排放监测技术导则》（HJ/T 55—2000）和《环境空气 总烃、甲烷和非甲烷总烃的测定 直接进样 - 气相色谱法》（HJ 604—2017）的规定执行。企业边界任意1小时NMHC 平均浓度值不应超过 4 mg/m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w:t>
            </w:r>
          </w:p>
        </w:tc>
        <w:tc>
          <w:tcPr>
            <w:tcW w:w="2727"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（1）本项目对码头油气回收装置设计、建设、维护永久性采样口、采样测试平台和排污口标志。</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（2）运营期按照规范对油气回收装置进行监测采样。</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（3）运营期按照规范对油气收集系统密封点进行检测，同时对设备与管线组件密封点进行检测。</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（4）运营期开展油气回收装置及厂界、厂区的NMHC监测工作。</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w:t>
            </w:r>
          </w:p>
        </w:tc>
        <w:tc>
          <w:tcPr>
            <w:tcW w:w="830"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eastAsia="Noto Sans CJK JP Black" w:cs="Times New Roman"/>
                <w:sz w:val="20"/>
                <w:szCs w:val="20"/>
                <w:lang w:bidi="ar"/>
              </w:rPr>
            </w:pPr>
          </w:p>
        </w:tc>
        <w:tc>
          <w:tcPr>
            <w:tcW w:w="5150"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4. 台账记录</w:t>
            </w:r>
          </w:p>
          <w:p>
            <w:pPr>
              <w:spacing w:line="240" w:lineRule="auto"/>
              <w:ind w:firstLine="360"/>
              <w:jc w:val="left"/>
              <w:rPr>
                <w:rFonts w:ascii="Times New Roman" w:hAnsi="Times New Roman" w:cs="Times New Roman"/>
                <w:color w:val="auto"/>
                <w:sz w:val="18"/>
                <w:szCs w:val="18"/>
              </w:rPr>
            </w:pPr>
            <w:r>
              <w:rPr>
                <w:rFonts w:ascii="Times New Roman" w:hAnsi="Times New Roman" w:cs="Times New Roman"/>
                <w:color w:val="auto"/>
                <w:sz w:val="18"/>
                <w:szCs w:val="18"/>
              </w:rPr>
              <w:t>油船、油码头均应建立各环节台账记录，记录中应至少包括基本信息与油气处理设备运行参数等内容。基本信息中应记录油品种类及周转量等，装有过程中应记录船舶吨位及数量等，油气处理装置运行参数应记录气体流量、系统压力、氧含量、装船量、入口平均浓度、排气筒出口平均浓度、装置运行实际时间、收集系统和处理装置实际维修时间及维修结果、一次性吸附剂更换时间和更换量，再生型吸附剂再生周期、更换情况，废吸附剂储存、处置情况等。</w:t>
            </w:r>
          </w:p>
        </w:tc>
        <w:tc>
          <w:tcPr>
            <w:tcW w:w="272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本码头运营期对油船、油码头均建立各环节台账记录。</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w:t>
            </w:r>
          </w:p>
        </w:tc>
        <w:tc>
          <w:tcPr>
            <w:tcW w:w="830"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eastAsia="Noto Sans CJK JP Black" w:cs="Times New Roman"/>
                <w:sz w:val="20"/>
                <w:szCs w:val="20"/>
                <w:lang w:bidi="ar"/>
              </w:rPr>
            </w:pPr>
          </w:p>
        </w:tc>
        <w:tc>
          <w:tcPr>
            <w:tcW w:w="5150"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5. 旁路整治</w:t>
            </w:r>
          </w:p>
          <w:p>
            <w:pPr>
              <w:spacing w:line="240" w:lineRule="auto"/>
              <w:ind w:firstLine="360"/>
              <w:jc w:val="left"/>
              <w:rPr>
                <w:rFonts w:ascii="Times New Roman" w:hAnsi="Times New Roman" w:cs="Times New Roman"/>
                <w:color w:val="auto"/>
                <w:sz w:val="18"/>
                <w:szCs w:val="18"/>
              </w:rPr>
            </w:pPr>
            <w:r>
              <w:rPr>
                <w:rFonts w:ascii="Times New Roman" w:hAnsi="Times New Roman" w:cs="Times New Roman"/>
                <w:color w:val="auto"/>
                <w:sz w:val="18"/>
                <w:szCs w:val="18"/>
              </w:rPr>
              <w:t>码头油气回收系统安全应急旁路包括高速透气/真空阀（或压力/真空释放阀）和电动卸载阀。其中高速透气/真空阀（或压力/真空释放阀）技术应满足《码头油气回收船岸安全装置标准》（JT/T 1333-2020）要求，用于压力超标等紧急情况下气体排空，保障安全。电动卸载阀技术要求应满足《码头油气回收船岸安全装置标准》（JT/T 1333-2020）要求，用于油气氧含量超标等紧急情况下气体排空，保障安全。上述旁路应通过在线监测报警等方式避免偷排现象。</w:t>
            </w:r>
          </w:p>
          <w:p>
            <w:pPr>
              <w:spacing w:line="240" w:lineRule="auto"/>
              <w:ind w:firstLine="360"/>
              <w:jc w:val="left"/>
              <w:rPr>
                <w:rFonts w:ascii="Times New Roman" w:hAnsi="Times New Roman" w:cs="Times New Roman"/>
                <w:color w:val="auto"/>
                <w:sz w:val="18"/>
                <w:szCs w:val="18"/>
              </w:rPr>
            </w:pPr>
            <w:r>
              <w:rPr>
                <w:rFonts w:ascii="Times New Roman" w:hAnsi="Times New Roman" w:cs="Times New Roman"/>
                <w:color w:val="auto"/>
                <w:sz w:val="18"/>
                <w:szCs w:val="18"/>
              </w:rPr>
              <w:t>码头企业应将上述旁路清单报当地生态环境部门，开启后应及时向当地生态环境部门报告，做好台账记录。</w:t>
            </w:r>
          </w:p>
        </w:tc>
        <w:tc>
          <w:tcPr>
            <w:tcW w:w="2727" w:type="dxa"/>
            <w:tcBorders>
              <w:tl2br w:val="nil"/>
              <w:tr2bl w:val="nil"/>
            </w:tcBorders>
            <w:shd w:val="clear" w:color="auto" w:fill="auto"/>
            <w:vAlign w:val="center"/>
          </w:tcPr>
          <w:p>
            <w:pPr>
              <w:spacing w:line="240" w:lineRule="auto"/>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本项目码头油气回收系统安全应急旁路需报当地生态环境部门，开启后应及时向当地生态环境部门报告，做好台账记录。</w:t>
            </w:r>
          </w:p>
        </w:tc>
        <w:tc>
          <w:tcPr>
            <w:tcW w:w="510"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bl>
    <w:p>
      <w:pPr>
        <w:spacing w:line="240" w:lineRule="auto"/>
        <w:ind w:firstLine="0" w:firstLineChars="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表2.7-2  《油品储运销挥发性有机物治理实用手册》相符性分析表</w:t>
      </w:r>
    </w:p>
    <w:tbl>
      <w:tblPr>
        <w:tblStyle w:val="62"/>
        <w:tblW w:w="944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9"/>
        <w:gridCol w:w="1005"/>
        <w:gridCol w:w="4305"/>
        <w:gridCol w:w="2506"/>
        <w:gridCol w:w="8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序号</w:t>
            </w:r>
          </w:p>
        </w:tc>
        <w:tc>
          <w:tcPr>
            <w:tcW w:w="1005"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类别</w:t>
            </w:r>
          </w:p>
        </w:tc>
        <w:tc>
          <w:tcPr>
            <w:tcW w:w="4305"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控制要求</w:t>
            </w:r>
          </w:p>
        </w:tc>
        <w:tc>
          <w:tcPr>
            <w:tcW w:w="2506"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本项目</w:t>
            </w:r>
          </w:p>
        </w:tc>
        <w:tc>
          <w:tcPr>
            <w:tcW w:w="851"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005" w:type="dxa"/>
            <w:vMerge w:val="restart"/>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hint="eastAsia" w:ascii="宋体" w:hAnsi="宋体" w:cs="宋体"/>
                <w:sz w:val="18"/>
                <w:szCs w:val="18"/>
                <w:lang w:bidi="ar"/>
              </w:rPr>
              <w:t>储油库</w:t>
            </w:r>
          </w:p>
        </w:tc>
        <w:tc>
          <w:tcPr>
            <w:tcW w:w="4305"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（一）发油</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油气处理装置应开启并能正常运行，因故障停用时不得进行发油作业，应急排空口应采用压力/真空阀（P/V 阀）密封。</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应采用底部发油，上装发油鹤管应拆除，未拆除的需封闭。</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与油罐车连接的发油鹤管和回气管应紧密连接，油气、汽油不得泄漏。</w:t>
            </w:r>
          </w:p>
        </w:tc>
        <w:tc>
          <w:tcPr>
            <w:tcW w:w="2506"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（1）本码头运营期通过加强维护管理，保证油气处理装置正常运行；发生故障时不得进行发油作业。</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（2）本项目油船发油采用底部发油，不设置上装发油鹤管。</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（3）油品储罐与油罐车连接的发油鹤管和回气管应紧密连接，油气、汽油不得泄漏</w:t>
            </w:r>
          </w:p>
        </w:tc>
        <w:tc>
          <w:tcPr>
            <w:tcW w:w="851"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005"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p>
        </w:tc>
        <w:tc>
          <w:tcPr>
            <w:tcW w:w="4305"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（二）装油</w:t>
            </w:r>
          </w:p>
          <w:p>
            <w:pPr>
              <w:spacing w:line="240" w:lineRule="auto"/>
              <w:ind w:firstLine="360"/>
              <w:jc w:val="left"/>
              <w:rPr>
                <w:rFonts w:ascii="Times New Roman" w:hAnsi="Times New Roman" w:cs="Times New Roman"/>
                <w:color w:val="auto"/>
                <w:sz w:val="18"/>
                <w:szCs w:val="18"/>
              </w:rPr>
            </w:pPr>
            <w:r>
              <w:rPr>
                <w:rFonts w:ascii="Times New Roman" w:hAnsi="Times New Roman" w:cs="Times New Roman"/>
                <w:color w:val="auto"/>
                <w:sz w:val="18"/>
                <w:szCs w:val="18"/>
              </w:rPr>
              <w:t>应采用顶部浸没式或底部装油方式，顶部浸没式装油管出油口距离罐底高度应小于200 mm。</w:t>
            </w:r>
          </w:p>
        </w:tc>
        <w:tc>
          <w:tcPr>
            <w:tcW w:w="2506" w:type="dxa"/>
            <w:tcBorders>
              <w:tl2br w:val="nil"/>
              <w:tr2bl w:val="nil"/>
            </w:tcBorders>
            <w:shd w:val="clear" w:color="auto" w:fill="auto"/>
            <w:vAlign w:val="center"/>
          </w:tcPr>
          <w:p>
            <w:pPr>
              <w:spacing w:line="240" w:lineRule="auto"/>
              <w:ind w:firstLine="0" w:firstLineChars="0"/>
              <w:rPr>
                <w:rFonts w:ascii="Times New Roman" w:hAnsi="Times New Roman" w:cs="Times New Roman"/>
                <w:sz w:val="18"/>
                <w:szCs w:val="18"/>
              </w:rPr>
            </w:pPr>
            <w:r>
              <w:rPr>
                <w:rFonts w:ascii="Times New Roman" w:hAnsi="Times New Roman" w:cs="Times New Roman"/>
                <w:sz w:val="18"/>
                <w:szCs w:val="18"/>
              </w:rPr>
              <w:t>本项目油品储罐的装油</w:t>
            </w:r>
            <w:r>
              <w:rPr>
                <w:rFonts w:ascii="Times New Roman" w:hAnsi="Times New Roman" w:cs="Times New Roman"/>
                <w:color w:val="auto"/>
                <w:sz w:val="18"/>
                <w:szCs w:val="18"/>
              </w:rPr>
              <w:t>采用顶部浸没式或底部装油方式，顶部浸没式装油管出油口距离罐底高度应小于200 mm</w:t>
            </w:r>
          </w:p>
        </w:tc>
        <w:tc>
          <w:tcPr>
            <w:tcW w:w="851"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4" w:hRule="atLeast"/>
          <w:jc w:val="center"/>
        </w:trPr>
        <w:tc>
          <w:tcPr>
            <w:tcW w:w="77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005"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p>
        </w:tc>
        <w:tc>
          <w:tcPr>
            <w:tcW w:w="4305"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（三）油气储存</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储油库储存汽油应按照标准规定采用浮顶罐储油。</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新、改、扩建的内浮顶罐，浮盘与罐壁之间应采用液体镶嵌式、机械式鞋形、双封式等高效密封方式，新、改、扩建的外浮顶罐，浮盘与罐壁之间应采用双封式密封，且初级密封采用液体镶嵌式、机械式鞋形等高效密封方式。</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浮顶罐所有密封结构不应有造成漏气的破损和开口，浮盘上所有可开启设施在非需要开启时都应保持密封状态，应定期对浮盘进行检查，并记录检查过程与结果。</w:t>
            </w:r>
          </w:p>
        </w:tc>
        <w:tc>
          <w:tcPr>
            <w:tcW w:w="2506"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（1）本项目针对汽油及航空煤油</w:t>
            </w:r>
            <w:r>
              <w:rPr>
                <w:rFonts w:hint="eastAsia" w:ascii="Times New Roman" w:hAnsi="Times New Roman" w:cs="Times New Roman"/>
                <w:color w:val="auto"/>
                <w:sz w:val="18"/>
                <w:szCs w:val="18"/>
              </w:rPr>
              <w:t>、乙醇</w:t>
            </w:r>
            <w:r>
              <w:rPr>
                <w:rFonts w:ascii="Times New Roman" w:hAnsi="Times New Roman" w:cs="Times New Roman"/>
                <w:color w:val="auto"/>
                <w:sz w:val="18"/>
                <w:szCs w:val="18"/>
              </w:rPr>
              <w:t>采用内浮顶储罐。</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（2）本项目内浮顶罐选用“全接液高效浮盘+二次密封”结构。</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（3）运营期对内浮顶罐定期对浮盘进行检查，所有密封结构不得有造成漏气的破损和开口，浮盘上所有可开启设施在非需要开启时都应保持密封状态。</w:t>
            </w:r>
          </w:p>
        </w:tc>
        <w:tc>
          <w:tcPr>
            <w:tcW w:w="851"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1005" w:type="dxa"/>
            <w:vMerge w:val="continue"/>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p>
        </w:tc>
        <w:tc>
          <w:tcPr>
            <w:tcW w:w="4305"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（四）检查维护</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气回收系统与回收处理装置应进行技术评估，并具有国家主管部门审核批准的评估报告，评估工作中至少应包括调查分析技术资料、应具备的相关认证文件、检测至少连续3个月的运行情况、油气回收系统设备清单。</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油气密闭收集系统任何泄漏点排放的油气体积分数浓度不应超过0.05%，每年至少检测1次并对检测结果、过程进行记录。</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每年至少检测1次油气回收处理装置的油气排放浓度，并对检测结果、过程进行记录。</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按要求对防溢流控制系统定期进行检测，并记录检测过程及结果。</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应对进、出处理装置的气体流量计进行监测，流量计应具备连续测量和数据至少保存1年的功能，并符合安全要求。</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应建立燃油供销台账、油气回收装置每日运行检查记录台账，后台监控应正常使用，并可调取近期装油、发油的监控视频。</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储油库应建立油气收集系统和处理装置的运行规范，每天记录气体流量、系统压力、发油量，记录防溢流控制系统定期检测结果，记录油气收集系统和处理装置的维修事项与结果。应编写年度运行报告并附带上述原始记录，作为储油库环保检测报告的组成部分。</w:t>
            </w:r>
          </w:p>
        </w:tc>
        <w:tc>
          <w:tcPr>
            <w:tcW w:w="2506"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本项目运营期对储油库油气回收装置按照指南要求做好检查维护工作；</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（1）定期对泄露点及密封性、防溢流控制、气体流量计等进行检测，不符合要求的及时进行修复。</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（2）运营期建立燃油供销台账、油气回收装置每日运行检查记录台账；建立后台监控系统，并正常使用，可调取近期装油、发油的监控视频。</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3）定期进行油气回收系统的排放浓度检测，建立油气收集系统和处理装置的运行规范，每天记录气体流量、系统压力、发油量，记录防溢流控制系统定期检测结果，记录油气收集系统和处理装置的维修事项与结果。</w:t>
            </w:r>
          </w:p>
        </w:tc>
        <w:tc>
          <w:tcPr>
            <w:tcW w:w="851"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9"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1005"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hint="eastAsia" w:ascii="宋体" w:hAnsi="宋体" w:cs="宋体"/>
                <w:sz w:val="18"/>
                <w:szCs w:val="18"/>
                <w:lang w:bidi="ar"/>
              </w:rPr>
              <w:t>五、油罐车</w:t>
            </w:r>
          </w:p>
        </w:tc>
        <w:tc>
          <w:tcPr>
            <w:tcW w:w="4305" w:type="dxa"/>
            <w:tcBorders>
              <w:tl2br w:val="nil"/>
              <w:tr2bl w:val="nil"/>
            </w:tcBorders>
            <w:shd w:val="clear" w:color="auto" w:fill="auto"/>
            <w:vAlign w:val="center"/>
          </w:tcPr>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油罐汽车应具备油气回收系统。装油时能够将汽车油罐内排出的油气密闭输入储油库回收系统；往返运输过程中能够保证汽 油和油气不泄漏；卸油时能够将产生的油气回收到汽车油罐内。任何情况下不应因操作、维修和管理等方面的原因发生汽油泄漏。</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油罐汽车应具备底部装卸油系统。在装卸油时，管路应紧密连接，人孔盖严格密封，禁止油气泄漏。</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油罐汽车油气回收系统应采用DN100 mm的密封式快速接头和相应的气动底阀、无缝钢管、阀门、过滤网、弯头、胶管和帽盖等。</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罐车卸油后、道路行驶过程中，禁止人为开启人孔盖，防止油气泄漏。人孔盖为保证油罐车的运输安全、环保而设计。具有倾翻防溢、防爆功能。并且具有当罐内外压差过大时的呼吸功能达到内外压力平衡。设有内置式呼吸阀和紧急排气装置。</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油罐车密闭性：每年至少要检测1次油罐汽车油气回收系统密闭性，多仓油罐车的每个油仓都应进行检测。每年至少要检测1次油罐汽车油气回收管线气动阀门密闭性。</w:t>
            </w:r>
          </w:p>
          <w:p>
            <w:pPr>
              <w:numPr>
                <w:ilvl w:val="0"/>
                <w:numId w:val="4"/>
              </w:numPr>
              <w:spacing w:line="240" w:lineRule="auto"/>
              <w:ind w:left="0" w:firstLine="239" w:firstLineChars="133"/>
              <w:jc w:val="left"/>
              <w:rPr>
                <w:rFonts w:ascii="Times New Roman" w:hAnsi="Times New Roman" w:cs="Times New Roman"/>
                <w:color w:val="auto"/>
                <w:sz w:val="18"/>
                <w:szCs w:val="18"/>
              </w:rPr>
            </w:pPr>
            <w:r>
              <w:rPr>
                <w:rFonts w:ascii="Times New Roman" w:hAnsi="Times New Roman" w:cs="Times New Roman"/>
                <w:color w:val="auto"/>
                <w:sz w:val="18"/>
                <w:szCs w:val="18"/>
              </w:rPr>
              <w:t>检查维修记录：每天出车前至少检查1次，并填写日常记录。发现油气回收系统工作异常后，应立即报修并填写维修记录。</w:t>
            </w:r>
          </w:p>
        </w:tc>
        <w:tc>
          <w:tcPr>
            <w:tcW w:w="2506" w:type="dxa"/>
            <w:tcBorders>
              <w:tl2br w:val="nil"/>
              <w:tr2bl w:val="nil"/>
            </w:tcBorders>
            <w:shd w:val="clear" w:color="auto" w:fill="auto"/>
            <w:vAlign w:val="center"/>
          </w:tcPr>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（1）本项目港区配套油罐车及入港油罐车均应按照要求设置油气回收系统及底部装卸油系统；统一采用DN100 mm的密封式快速接头和相应的气动底阀、无缝钢管、阀门、过滤网、弯头、胶管和帽盖等。</w:t>
            </w:r>
          </w:p>
          <w:p>
            <w:pPr>
              <w:spacing w:line="240" w:lineRule="auto"/>
              <w:ind w:firstLine="0" w:firstLineChars="0"/>
              <w:rPr>
                <w:rFonts w:ascii="Times New Roman" w:hAnsi="Times New Roman" w:cs="Times New Roman"/>
                <w:color w:val="auto"/>
                <w:sz w:val="18"/>
                <w:szCs w:val="18"/>
              </w:rPr>
            </w:pPr>
            <w:r>
              <w:rPr>
                <w:rFonts w:ascii="Times New Roman" w:hAnsi="Times New Roman" w:cs="Times New Roman"/>
                <w:color w:val="auto"/>
                <w:sz w:val="18"/>
                <w:szCs w:val="18"/>
              </w:rPr>
              <w:t>（2）定期对油罐车的密闭性进行监测并建立监测维修档案。</w:t>
            </w:r>
          </w:p>
        </w:tc>
        <w:tc>
          <w:tcPr>
            <w:tcW w:w="851"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符合</w:t>
            </w:r>
          </w:p>
        </w:tc>
      </w:tr>
    </w:tbl>
    <w:p>
      <w:pPr>
        <w:ind w:firstLine="480"/>
        <w:rPr>
          <w:rFonts w:ascii="Times New Roman" w:hAnsi="Times New Roman" w:cs="Times New Roman"/>
        </w:rPr>
        <w:sectPr>
          <w:pgSz w:w="11906" w:h="16838"/>
          <w:pgMar w:top="1417" w:right="1417" w:bottom="1417" w:left="1417" w:header="850" w:footer="992" w:gutter="0"/>
          <w:cols w:space="720" w:num="1"/>
          <w:docGrid w:type="lines" w:linePitch="333" w:charSpace="0"/>
        </w:sectPr>
      </w:pPr>
    </w:p>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139" w:name="_Toc2873"/>
      <w:bookmarkStart w:id="140" w:name="_Toc102979813"/>
      <w:bookmarkStart w:id="141" w:name="_Toc32040"/>
      <w:bookmarkStart w:id="142" w:name="_Toc104733317"/>
      <w:r>
        <w:rPr>
          <w:rFonts w:ascii="Times New Roman" w:hAnsi="Times New Roman" w:eastAsia="黑体" w:cs="Times New Roman"/>
          <w:color w:val="auto"/>
          <w:kern w:val="2"/>
          <w:sz w:val="28"/>
        </w:rPr>
        <w:t>2.8主要环境保护目标</w:t>
      </w:r>
      <w:bookmarkEnd w:id="139"/>
      <w:bookmarkEnd w:id="140"/>
      <w:bookmarkEnd w:id="141"/>
      <w:bookmarkEnd w:id="142"/>
    </w:p>
    <w:p>
      <w:pPr>
        <w:ind w:firstLine="480"/>
        <w:rPr>
          <w:rFonts w:ascii="Times New Roman" w:hAnsi="Times New Roman" w:cs="Times New Roman"/>
          <w:color w:val="auto"/>
        </w:rPr>
      </w:pPr>
      <w:r>
        <w:rPr>
          <w:rFonts w:ascii="Times New Roman" w:hAnsi="Times New Roman" w:cs="Times New Roman"/>
          <w:color w:val="auto"/>
          <w:szCs w:val="24"/>
        </w:rPr>
        <w:t>合肥东航码头工程位于合肥市肥东县撮镇</w:t>
      </w:r>
      <w:r>
        <w:rPr>
          <w:rFonts w:hint="eastAsia" w:ascii="Times New Roman" w:hAnsi="Times New Roman" w:cs="Times New Roman"/>
          <w:color w:val="auto"/>
          <w:szCs w:val="24"/>
        </w:rPr>
        <w:t>店埠河左岸</w:t>
      </w:r>
      <w:r>
        <w:rPr>
          <w:rFonts w:ascii="Times New Roman" w:hAnsi="Times New Roman" w:cs="Times New Roman"/>
          <w:color w:val="auto"/>
          <w:szCs w:val="24"/>
        </w:rPr>
        <w:t>，</w:t>
      </w:r>
      <w:r>
        <w:rPr>
          <w:rFonts w:hint="eastAsia" w:ascii="Times New Roman" w:hAnsi="Times New Roman" w:cs="Times New Roman"/>
          <w:color w:val="auto"/>
          <w:szCs w:val="24"/>
        </w:rPr>
        <w:t>用地</w:t>
      </w:r>
      <w:r>
        <w:rPr>
          <w:rFonts w:ascii="Times New Roman" w:hAnsi="Times New Roman" w:cs="Times New Roman"/>
          <w:color w:val="auto"/>
          <w:szCs w:val="24"/>
        </w:rPr>
        <w:t>属于合肥循环经济园规划范围</w:t>
      </w:r>
      <w:r>
        <w:rPr>
          <w:rFonts w:ascii="Times New Roman" w:hAnsi="Times New Roman" w:cs="Times New Roman"/>
          <w:color w:val="auto"/>
        </w:rPr>
        <w:t>。经调查，项目大气、环境风险评价范围内有村庄、居住区、学校等环境敏感目标，主要环境敏感目标见表2.8-1及图2.8-1所示。</w:t>
      </w:r>
    </w:p>
    <w:p>
      <w:pPr>
        <w:pStyle w:val="25"/>
        <w:spacing w:line="240" w:lineRule="auto"/>
        <w:ind w:firstLine="0" w:firstLineChars="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表2.8-1    环境保护目标</w:t>
      </w:r>
    </w:p>
    <w:tbl>
      <w:tblPr>
        <w:tblStyle w:val="62"/>
        <w:tblW w:w="1436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53"/>
        <w:gridCol w:w="756"/>
        <w:gridCol w:w="1843"/>
        <w:gridCol w:w="709"/>
        <w:gridCol w:w="850"/>
        <w:gridCol w:w="1418"/>
        <w:gridCol w:w="1701"/>
        <w:gridCol w:w="3969"/>
        <w:gridCol w:w="1417"/>
        <w:gridCol w:w="104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653" w:type="dxa"/>
            <w:vMerge w:val="restart"/>
            <w:vAlign w:val="center"/>
          </w:tcPr>
          <w:p>
            <w:pPr>
              <w:pStyle w:val="861"/>
              <w:widowControl w:val="0"/>
              <w:rPr>
                <w:szCs w:val="18"/>
              </w:rPr>
            </w:pPr>
            <w:r>
              <w:rPr>
                <w:szCs w:val="18"/>
              </w:rPr>
              <w:t>环境要素</w:t>
            </w:r>
          </w:p>
        </w:tc>
        <w:tc>
          <w:tcPr>
            <w:tcW w:w="756" w:type="dxa"/>
            <w:vMerge w:val="restart"/>
            <w:vAlign w:val="center"/>
          </w:tcPr>
          <w:p>
            <w:pPr>
              <w:pStyle w:val="861"/>
              <w:widowControl w:val="0"/>
              <w:rPr>
                <w:szCs w:val="18"/>
              </w:rPr>
            </w:pPr>
            <w:r>
              <w:rPr>
                <w:szCs w:val="18"/>
              </w:rPr>
              <w:t>序号</w:t>
            </w:r>
          </w:p>
        </w:tc>
        <w:tc>
          <w:tcPr>
            <w:tcW w:w="1843" w:type="dxa"/>
            <w:vMerge w:val="restart"/>
            <w:vAlign w:val="center"/>
          </w:tcPr>
          <w:p>
            <w:pPr>
              <w:pStyle w:val="861"/>
              <w:widowControl w:val="0"/>
              <w:rPr>
                <w:szCs w:val="18"/>
              </w:rPr>
            </w:pPr>
            <w:r>
              <w:rPr>
                <w:szCs w:val="18"/>
              </w:rPr>
              <w:t>名称</w:t>
            </w:r>
          </w:p>
        </w:tc>
        <w:tc>
          <w:tcPr>
            <w:tcW w:w="1559" w:type="dxa"/>
            <w:gridSpan w:val="2"/>
            <w:vAlign w:val="center"/>
          </w:tcPr>
          <w:p>
            <w:pPr>
              <w:pStyle w:val="861"/>
              <w:widowControl w:val="0"/>
              <w:rPr>
                <w:szCs w:val="18"/>
              </w:rPr>
            </w:pPr>
            <w:r>
              <w:rPr>
                <w:szCs w:val="18"/>
              </w:rPr>
              <w:t>坐标</w:t>
            </w:r>
          </w:p>
        </w:tc>
        <w:tc>
          <w:tcPr>
            <w:tcW w:w="1418" w:type="dxa"/>
            <w:vMerge w:val="restart"/>
            <w:vAlign w:val="center"/>
          </w:tcPr>
          <w:p>
            <w:pPr>
              <w:pStyle w:val="861"/>
              <w:widowControl w:val="0"/>
              <w:rPr>
                <w:szCs w:val="18"/>
              </w:rPr>
            </w:pPr>
            <w:r>
              <w:rPr>
                <w:szCs w:val="18"/>
              </w:rPr>
              <w:t>保护对象</w:t>
            </w:r>
          </w:p>
        </w:tc>
        <w:tc>
          <w:tcPr>
            <w:tcW w:w="1701" w:type="dxa"/>
            <w:vMerge w:val="restart"/>
            <w:vAlign w:val="center"/>
          </w:tcPr>
          <w:p>
            <w:pPr>
              <w:pStyle w:val="861"/>
              <w:widowControl w:val="0"/>
              <w:rPr>
                <w:szCs w:val="18"/>
              </w:rPr>
            </w:pPr>
            <w:r>
              <w:rPr>
                <w:szCs w:val="18"/>
              </w:rPr>
              <w:t>保护内容</w:t>
            </w:r>
          </w:p>
        </w:tc>
        <w:tc>
          <w:tcPr>
            <w:tcW w:w="3969" w:type="dxa"/>
            <w:vMerge w:val="restart"/>
            <w:vAlign w:val="center"/>
          </w:tcPr>
          <w:p>
            <w:pPr>
              <w:pStyle w:val="861"/>
              <w:widowControl w:val="0"/>
              <w:rPr>
                <w:szCs w:val="18"/>
              </w:rPr>
            </w:pPr>
            <w:r>
              <w:rPr>
                <w:szCs w:val="18"/>
              </w:rPr>
              <w:t>环境功能区</w:t>
            </w:r>
          </w:p>
        </w:tc>
        <w:tc>
          <w:tcPr>
            <w:tcW w:w="1417" w:type="dxa"/>
            <w:vMerge w:val="restart"/>
            <w:vAlign w:val="center"/>
          </w:tcPr>
          <w:p>
            <w:pPr>
              <w:pStyle w:val="861"/>
              <w:widowControl w:val="0"/>
              <w:rPr>
                <w:szCs w:val="18"/>
              </w:rPr>
            </w:pPr>
            <w:r>
              <w:rPr>
                <w:szCs w:val="18"/>
              </w:rPr>
              <w:t>相对码头方位</w:t>
            </w:r>
          </w:p>
        </w:tc>
        <w:tc>
          <w:tcPr>
            <w:tcW w:w="1049" w:type="dxa"/>
            <w:vMerge w:val="restart"/>
            <w:vAlign w:val="center"/>
          </w:tcPr>
          <w:p>
            <w:pPr>
              <w:pStyle w:val="861"/>
              <w:widowControl w:val="0"/>
              <w:rPr>
                <w:szCs w:val="18"/>
              </w:rPr>
            </w:pPr>
            <w:r>
              <w:rPr>
                <w:szCs w:val="18"/>
              </w:rPr>
              <w:t>相对边界距离/m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4" w:hRule="atLeast"/>
          <w:jc w:val="center"/>
        </w:trPr>
        <w:tc>
          <w:tcPr>
            <w:tcW w:w="653" w:type="dxa"/>
            <w:vMerge w:val="continue"/>
            <w:vAlign w:val="center"/>
          </w:tcPr>
          <w:p>
            <w:pPr>
              <w:pStyle w:val="861"/>
              <w:widowControl w:val="0"/>
              <w:rPr>
                <w:szCs w:val="18"/>
              </w:rPr>
            </w:pPr>
          </w:p>
        </w:tc>
        <w:tc>
          <w:tcPr>
            <w:tcW w:w="756" w:type="dxa"/>
            <w:vMerge w:val="continue"/>
            <w:vAlign w:val="center"/>
          </w:tcPr>
          <w:p>
            <w:pPr>
              <w:pStyle w:val="861"/>
              <w:widowControl w:val="0"/>
              <w:rPr>
                <w:szCs w:val="18"/>
              </w:rPr>
            </w:pPr>
          </w:p>
        </w:tc>
        <w:tc>
          <w:tcPr>
            <w:tcW w:w="1843" w:type="dxa"/>
            <w:vMerge w:val="continue"/>
            <w:vAlign w:val="center"/>
          </w:tcPr>
          <w:p>
            <w:pPr>
              <w:pStyle w:val="861"/>
              <w:widowControl w:val="0"/>
              <w:rPr>
                <w:szCs w:val="18"/>
              </w:rPr>
            </w:pPr>
          </w:p>
        </w:tc>
        <w:tc>
          <w:tcPr>
            <w:tcW w:w="709" w:type="dxa"/>
            <w:vAlign w:val="center"/>
          </w:tcPr>
          <w:p>
            <w:pPr>
              <w:pStyle w:val="861"/>
              <w:widowControl w:val="0"/>
              <w:rPr>
                <w:szCs w:val="18"/>
              </w:rPr>
            </w:pPr>
            <w:r>
              <w:rPr>
                <w:szCs w:val="18"/>
              </w:rPr>
              <w:t>X</w:t>
            </w:r>
          </w:p>
        </w:tc>
        <w:tc>
          <w:tcPr>
            <w:tcW w:w="850" w:type="dxa"/>
            <w:vAlign w:val="center"/>
          </w:tcPr>
          <w:p>
            <w:pPr>
              <w:pStyle w:val="861"/>
              <w:widowControl w:val="0"/>
              <w:rPr>
                <w:szCs w:val="18"/>
              </w:rPr>
            </w:pPr>
            <w:r>
              <w:rPr>
                <w:szCs w:val="18"/>
              </w:rPr>
              <w:t>Y</w:t>
            </w:r>
          </w:p>
        </w:tc>
        <w:tc>
          <w:tcPr>
            <w:tcW w:w="1418" w:type="dxa"/>
            <w:vMerge w:val="continue"/>
            <w:vAlign w:val="center"/>
          </w:tcPr>
          <w:p>
            <w:pPr>
              <w:pStyle w:val="861"/>
              <w:widowControl w:val="0"/>
              <w:rPr>
                <w:szCs w:val="18"/>
              </w:rPr>
            </w:pPr>
          </w:p>
        </w:tc>
        <w:tc>
          <w:tcPr>
            <w:tcW w:w="1701" w:type="dxa"/>
            <w:vMerge w:val="continue"/>
            <w:vAlign w:val="center"/>
          </w:tcPr>
          <w:p>
            <w:pPr>
              <w:pStyle w:val="861"/>
              <w:widowControl w:val="0"/>
              <w:rPr>
                <w:szCs w:val="18"/>
              </w:rPr>
            </w:pPr>
          </w:p>
        </w:tc>
        <w:tc>
          <w:tcPr>
            <w:tcW w:w="3969" w:type="dxa"/>
            <w:vMerge w:val="continue"/>
            <w:vAlign w:val="center"/>
          </w:tcPr>
          <w:p>
            <w:pPr>
              <w:pStyle w:val="861"/>
              <w:widowControl w:val="0"/>
              <w:rPr>
                <w:szCs w:val="18"/>
              </w:rPr>
            </w:pPr>
          </w:p>
        </w:tc>
        <w:tc>
          <w:tcPr>
            <w:tcW w:w="1417" w:type="dxa"/>
            <w:vMerge w:val="continue"/>
            <w:vAlign w:val="center"/>
          </w:tcPr>
          <w:p>
            <w:pPr>
              <w:pStyle w:val="861"/>
              <w:widowControl w:val="0"/>
              <w:rPr>
                <w:szCs w:val="18"/>
              </w:rPr>
            </w:pPr>
          </w:p>
        </w:tc>
        <w:tc>
          <w:tcPr>
            <w:tcW w:w="1049" w:type="dxa"/>
            <w:vMerge w:val="continue"/>
            <w:vAlign w:val="center"/>
          </w:tcPr>
          <w:p>
            <w:pPr>
              <w:pStyle w:val="861"/>
              <w:widowControl w:val="0"/>
              <w:rPr>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4" w:hRule="atLeast"/>
          <w:jc w:val="center"/>
        </w:trPr>
        <w:tc>
          <w:tcPr>
            <w:tcW w:w="653" w:type="dxa"/>
            <w:vMerge w:val="restart"/>
            <w:vAlign w:val="center"/>
          </w:tcPr>
          <w:p>
            <w:pPr>
              <w:pStyle w:val="861"/>
              <w:widowControl w:val="0"/>
              <w:rPr>
                <w:szCs w:val="18"/>
              </w:rPr>
            </w:pPr>
            <w:r>
              <w:rPr>
                <w:szCs w:val="18"/>
              </w:rPr>
              <w:t>大气环境</w:t>
            </w:r>
          </w:p>
        </w:tc>
        <w:tc>
          <w:tcPr>
            <w:tcW w:w="756" w:type="dxa"/>
            <w:vAlign w:val="center"/>
          </w:tcPr>
          <w:p>
            <w:pPr>
              <w:pStyle w:val="861"/>
              <w:widowControl w:val="0"/>
              <w:rPr>
                <w:szCs w:val="18"/>
              </w:rPr>
            </w:pPr>
            <w:r>
              <w:rPr>
                <w:szCs w:val="18"/>
              </w:rPr>
              <w:t>1</w:t>
            </w:r>
          </w:p>
        </w:tc>
        <w:tc>
          <w:tcPr>
            <w:tcW w:w="1843" w:type="dxa"/>
            <w:vAlign w:val="center"/>
          </w:tcPr>
          <w:p>
            <w:pPr>
              <w:pStyle w:val="861"/>
              <w:widowControl w:val="0"/>
              <w:rPr>
                <w:szCs w:val="18"/>
              </w:rPr>
            </w:pPr>
            <w:r>
              <w:rPr>
                <w:szCs w:val="18"/>
              </w:rPr>
              <w:t>循环经济园管委会</w:t>
            </w:r>
          </w:p>
        </w:tc>
        <w:tc>
          <w:tcPr>
            <w:tcW w:w="709" w:type="dxa"/>
            <w:vAlign w:val="center"/>
          </w:tcPr>
          <w:p>
            <w:pPr>
              <w:pStyle w:val="861"/>
              <w:widowControl w:val="0"/>
              <w:rPr>
                <w:szCs w:val="18"/>
              </w:rPr>
            </w:pPr>
            <w:r>
              <w:rPr>
                <w:szCs w:val="18"/>
              </w:rPr>
              <w:t>1323</w:t>
            </w:r>
          </w:p>
        </w:tc>
        <w:tc>
          <w:tcPr>
            <w:tcW w:w="850" w:type="dxa"/>
            <w:vAlign w:val="center"/>
          </w:tcPr>
          <w:p>
            <w:pPr>
              <w:pStyle w:val="861"/>
              <w:widowControl w:val="0"/>
              <w:rPr>
                <w:szCs w:val="18"/>
              </w:rPr>
            </w:pPr>
            <w:r>
              <w:rPr>
                <w:szCs w:val="18"/>
              </w:rPr>
              <w:t>-222</w:t>
            </w:r>
          </w:p>
        </w:tc>
        <w:tc>
          <w:tcPr>
            <w:tcW w:w="1418" w:type="dxa"/>
            <w:vAlign w:val="center"/>
          </w:tcPr>
          <w:p>
            <w:pPr>
              <w:pStyle w:val="861"/>
              <w:widowControl w:val="0"/>
              <w:rPr>
                <w:szCs w:val="18"/>
              </w:rPr>
            </w:pPr>
            <w:r>
              <w:rPr>
                <w:szCs w:val="18"/>
              </w:rPr>
              <w:t>行政办公</w:t>
            </w:r>
          </w:p>
        </w:tc>
        <w:tc>
          <w:tcPr>
            <w:tcW w:w="1701" w:type="dxa"/>
            <w:vAlign w:val="center"/>
          </w:tcPr>
          <w:p>
            <w:pPr>
              <w:pStyle w:val="861"/>
              <w:widowControl w:val="0"/>
              <w:rPr>
                <w:szCs w:val="18"/>
              </w:rPr>
            </w:pPr>
            <w:r>
              <w:rPr>
                <w:szCs w:val="18"/>
              </w:rPr>
              <w:t>办公人员100人</w:t>
            </w:r>
          </w:p>
        </w:tc>
        <w:tc>
          <w:tcPr>
            <w:tcW w:w="3969" w:type="dxa"/>
            <w:vMerge w:val="restart"/>
            <w:vAlign w:val="center"/>
          </w:tcPr>
          <w:p>
            <w:pPr>
              <w:pStyle w:val="861"/>
              <w:widowControl w:val="0"/>
              <w:rPr>
                <w:bCs/>
                <w:szCs w:val="18"/>
              </w:rPr>
            </w:pPr>
            <w:r>
              <w:rPr>
                <w:bCs/>
                <w:szCs w:val="18"/>
              </w:rPr>
              <w:t>《环境空气质量标准》（GB3095-2012）</w:t>
            </w:r>
          </w:p>
          <w:p>
            <w:pPr>
              <w:pStyle w:val="861"/>
              <w:widowControl w:val="0"/>
              <w:rPr>
                <w:szCs w:val="18"/>
              </w:rPr>
            </w:pPr>
            <w:r>
              <w:rPr>
                <w:bCs/>
                <w:szCs w:val="18"/>
              </w:rPr>
              <w:t>二类区</w:t>
            </w:r>
          </w:p>
        </w:tc>
        <w:tc>
          <w:tcPr>
            <w:tcW w:w="1417" w:type="dxa"/>
            <w:vAlign w:val="center"/>
          </w:tcPr>
          <w:p>
            <w:pPr>
              <w:pStyle w:val="861"/>
              <w:widowControl w:val="0"/>
              <w:rPr>
                <w:szCs w:val="18"/>
              </w:rPr>
            </w:pPr>
            <w:r>
              <w:rPr>
                <w:szCs w:val="18"/>
                <w:lang w:bidi="ar"/>
              </w:rPr>
              <w:t>E</w:t>
            </w:r>
          </w:p>
        </w:tc>
        <w:tc>
          <w:tcPr>
            <w:tcW w:w="1049" w:type="dxa"/>
            <w:vAlign w:val="center"/>
          </w:tcPr>
          <w:p>
            <w:pPr>
              <w:pStyle w:val="861"/>
              <w:widowControl w:val="0"/>
              <w:rPr>
                <w:szCs w:val="18"/>
              </w:rPr>
            </w:pPr>
            <w:r>
              <w:rPr>
                <w:szCs w:val="18"/>
              </w:rPr>
              <w:t>685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金庵村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986</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-879</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约50户，200人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NE</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1012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3</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大窦村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-1518</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1005</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约30户，120人</w:t>
            </w:r>
          </w:p>
        </w:tc>
        <w:tc>
          <w:tcPr>
            <w:tcW w:w="3969" w:type="dxa"/>
            <w:vMerge w:val="continue"/>
            <w:vAlign w:val="center"/>
          </w:tcPr>
          <w:p>
            <w:pPr>
              <w:pStyle w:val="861"/>
              <w:widowControl w:val="0"/>
              <w:rPr>
                <w:bCs/>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E</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995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4</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东西姚村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-2377</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2405</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约20户，80人</w:t>
            </w:r>
          </w:p>
        </w:tc>
        <w:tc>
          <w:tcPr>
            <w:tcW w:w="3969" w:type="dxa"/>
            <w:vMerge w:val="continue"/>
            <w:vAlign w:val="center"/>
          </w:tcPr>
          <w:p>
            <w:pPr>
              <w:pStyle w:val="861"/>
              <w:widowControl w:val="0"/>
              <w:rPr>
                <w:bCs/>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E</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1332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邓基</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-1447</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132</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约35户，150人</w:t>
            </w:r>
          </w:p>
        </w:tc>
        <w:tc>
          <w:tcPr>
            <w:tcW w:w="3969" w:type="dxa"/>
            <w:vMerge w:val="continue"/>
            <w:vAlign w:val="center"/>
          </w:tcPr>
          <w:p>
            <w:pPr>
              <w:pStyle w:val="861"/>
              <w:widowControl w:val="0"/>
              <w:rPr>
                <w:bCs/>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1168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4"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6</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小南面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-1447</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838</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约20户，80人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1538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4"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7</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合肥医药卫生学校（三联护理学院）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1800</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5</w:t>
            </w:r>
            <w:r>
              <w:rPr>
                <w:rFonts w:ascii="Times New Roman" w:hAnsi="Times New Roman" w:cs="Times New Roman"/>
                <w:color w:val="auto"/>
                <w:sz w:val="18"/>
                <w:szCs w:val="18"/>
              </w:rPr>
              <w:t>26</w:t>
            </w:r>
          </w:p>
        </w:tc>
        <w:tc>
          <w:tcPr>
            <w:tcW w:w="1418" w:type="dxa"/>
            <w:vAlign w:val="center"/>
          </w:tcPr>
          <w:p>
            <w:pPr>
              <w:pStyle w:val="861"/>
              <w:widowControl w:val="0"/>
              <w:rPr>
                <w:szCs w:val="18"/>
              </w:rPr>
            </w:pPr>
            <w:r>
              <w:rPr>
                <w:rFonts w:hint="eastAsia"/>
                <w:szCs w:val="18"/>
              </w:rPr>
              <w:t>学校</w:t>
            </w:r>
          </w:p>
        </w:tc>
        <w:tc>
          <w:tcPr>
            <w:tcW w:w="1701" w:type="dxa"/>
            <w:vAlign w:val="center"/>
          </w:tcPr>
          <w:p>
            <w:pPr>
              <w:pStyle w:val="861"/>
              <w:widowControl w:val="0"/>
              <w:rPr>
                <w:szCs w:val="18"/>
              </w:rPr>
            </w:pPr>
            <w:r>
              <w:rPr>
                <w:rFonts w:hint="eastAsia"/>
                <w:szCs w:val="18"/>
              </w:rPr>
              <w:t>师生3</w:t>
            </w:r>
            <w:r>
              <w:rPr>
                <w:szCs w:val="18"/>
              </w:rPr>
              <w:t>000</w:t>
            </w:r>
            <w:r>
              <w:rPr>
                <w:rFonts w:hint="eastAsia"/>
                <w:szCs w:val="18"/>
              </w:rPr>
              <w:t>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1</w:t>
            </w:r>
            <w:r>
              <w:rPr>
                <w:rFonts w:ascii="Times New Roman" w:hAnsi="Times New Roman" w:cs="Times New Roman"/>
                <w:color w:val="auto"/>
                <w:kern w:val="0"/>
                <w:sz w:val="18"/>
                <w:szCs w:val="18"/>
                <w:lang w:bidi="ar"/>
              </w:rPr>
              <w:t>785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4"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8</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大南面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r>
              <w:rPr>
                <w:rFonts w:hint="eastAsia" w:ascii="Times New Roman" w:hAnsi="Times New Roman" w:cs="Times New Roman"/>
                <w:color w:val="auto"/>
                <w:sz w:val="18"/>
                <w:szCs w:val="18"/>
              </w:rPr>
              <w:t>1</w:t>
            </w:r>
            <w:r>
              <w:rPr>
                <w:rFonts w:ascii="Times New Roman" w:hAnsi="Times New Roman" w:cs="Times New Roman"/>
                <w:color w:val="auto"/>
                <w:sz w:val="18"/>
                <w:szCs w:val="18"/>
              </w:rPr>
              <w:t>282</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3</w:t>
            </w:r>
            <w:r>
              <w:rPr>
                <w:rFonts w:ascii="Times New Roman" w:hAnsi="Times New Roman" w:cs="Times New Roman"/>
                <w:color w:val="auto"/>
                <w:sz w:val="18"/>
                <w:szCs w:val="18"/>
              </w:rPr>
              <w:t>04</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约20户，80人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1</w:t>
            </w:r>
            <w:r>
              <w:rPr>
                <w:rFonts w:ascii="Times New Roman" w:hAnsi="Times New Roman" w:cs="Times New Roman"/>
                <w:color w:val="auto"/>
                <w:kern w:val="0"/>
                <w:sz w:val="18"/>
                <w:szCs w:val="18"/>
                <w:lang w:bidi="ar"/>
              </w:rPr>
              <w:t>227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4"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9</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冲陈村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r>
              <w:rPr>
                <w:rFonts w:hint="eastAsia" w:ascii="Times New Roman" w:hAnsi="Times New Roman" w:cs="Times New Roman"/>
                <w:color w:val="auto"/>
                <w:sz w:val="18"/>
                <w:szCs w:val="18"/>
              </w:rPr>
              <w:t>1</w:t>
            </w:r>
            <w:r>
              <w:rPr>
                <w:rFonts w:ascii="Times New Roman" w:hAnsi="Times New Roman" w:cs="Times New Roman"/>
                <w:color w:val="auto"/>
                <w:sz w:val="18"/>
                <w:szCs w:val="18"/>
              </w:rPr>
              <w:t>447</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192</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约30户，120人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1</w:t>
            </w:r>
            <w:r>
              <w:rPr>
                <w:rFonts w:ascii="Times New Roman" w:hAnsi="Times New Roman" w:cs="Times New Roman"/>
                <w:color w:val="auto"/>
                <w:kern w:val="0"/>
                <w:sz w:val="18"/>
                <w:szCs w:val="18"/>
                <w:lang w:bidi="ar"/>
              </w:rPr>
              <w:t>757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4"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周大小郢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-674</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1471</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约80户，320人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1197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4"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上张村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-107</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2063</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约70户，280人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N</w:t>
            </w:r>
            <w:r>
              <w:rPr>
                <w:rFonts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1353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4"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12</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大姚村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-2112</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1706</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约150户，600人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2389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4"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13</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撮镇在建安置小区</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2170</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2455</w:t>
            </w:r>
          </w:p>
        </w:tc>
        <w:tc>
          <w:tcPr>
            <w:tcW w:w="1418" w:type="dxa"/>
            <w:vAlign w:val="center"/>
          </w:tcPr>
          <w:p>
            <w:pPr>
              <w:pStyle w:val="861"/>
              <w:widowControl w:val="0"/>
              <w:rPr>
                <w:szCs w:val="18"/>
              </w:rPr>
            </w:pPr>
            <w:r>
              <w:rPr>
                <w:szCs w:val="18"/>
              </w:rPr>
              <w:t>居住区</w:t>
            </w:r>
          </w:p>
        </w:tc>
        <w:tc>
          <w:tcPr>
            <w:tcW w:w="1701" w:type="dxa"/>
            <w:vAlign w:val="center"/>
          </w:tcPr>
          <w:p>
            <w:pPr>
              <w:pStyle w:val="861"/>
              <w:widowControl w:val="0"/>
              <w:rPr>
                <w:szCs w:val="18"/>
              </w:rPr>
            </w:pPr>
            <w:r>
              <w:rPr>
                <w:szCs w:val="18"/>
              </w:rPr>
              <w:t>约800人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1381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4</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撮镇树堂小学</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-2355</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2305</w:t>
            </w:r>
          </w:p>
        </w:tc>
        <w:tc>
          <w:tcPr>
            <w:tcW w:w="1418" w:type="dxa"/>
            <w:vAlign w:val="center"/>
          </w:tcPr>
          <w:p>
            <w:pPr>
              <w:pStyle w:val="861"/>
              <w:widowControl w:val="0"/>
              <w:rPr>
                <w:szCs w:val="18"/>
              </w:rPr>
            </w:pPr>
            <w:r>
              <w:rPr>
                <w:rFonts w:hint="eastAsia"/>
                <w:szCs w:val="18"/>
              </w:rPr>
              <w:t>学校</w:t>
            </w:r>
          </w:p>
        </w:tc>
        <w:tc>
          <w:tcPr>
            <w:tcW w:w="1701" w:type="dxa"/>
            <w:vAlign w:val="center"/>
          </w:tcPr>
          <w:p>
            <w:pPr>
              <w:pStyle w:val="861"/>
              <w:widowControl w:val="0"/>
              <w:rPr>
                <w:szCs w:val="18"/>
              </w:rPr>
            </w:pPr>
            <w:r>
              <w:rPr>
                <w:rFonts w:hint="eastAsia"/>
                <w:szCs w:val="18"/>
              </w:rPr>
              <w:t>师生</w:t>
            </w:r>
            <w:r>
              <w:rPr>
                <w:szCs w:val="18"/>
              </w:rPr>
              <w:t>150</w:t>
            </w:r>
            <w:r>
              <w:rPr>
                <w:rFonts w:hint="eastAsia"/>
                <w:szCs w:val="18"/>
              </w:rPr>
              <w:t>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2453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5</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先锋小区</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1893</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2359</w:t>
            </w:r>
          </w:p>
        </w:tc>
        <w:tc>
          <w:tcPr>
            <w:tcW w:w="1418" w:type="dxa"/>
            <w:vAlign w:val="center"/>
          </w:tcPr>
          <w:p>
            <w:pPr>
              <w:pStyle w:val="861"/>
              <w:widowControl w:val="0"/>
              <w:rPr>
                <w:szCs w:val="18"/>
              </w:rPr>
            </w:pPr>
            <w:r>
              <w:rPr>
                <w:szCs w:val="18"/>
              </w:rPr>
              <w:t>居住区</w:t>
            </w:r>
          </w:p>
        </w:tc>
        <w:tc>
          <w:tcPr>
            <w:tcW w:w="1701" w:type="dxa"/>
            <w:vAlign w:val="center"/>
          </w:tcPr>
          <w:p>
            <w:pPr>
              <w:pStyle w:val="861"/>
              <w:widowControl w:val="0"/>
              <w:rPr>
                <w:szCs w:val="18"/>
              </w:rPr>
            </w:pPr>
            <w:r>
              <w:rPr>
                <w:szCs w:val="18"/>
              </w:rPr>
              <w:t>约1500人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2154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6</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官桥村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1825</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2679</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约70户，280人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2237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restart"/>
            <w:vAlign w:val="center"/>
          </w:tcPr>
          <w:p>
            <w:pPr>
              <w:pStyle w:val="861"/>
              <w:widowControl w:val="0"/>
              <w:rPr>
                <w:szCs w:val="18"/>
              </w:rPr>
            </w:pPr>
            <w:r>
              <w:rPr>
                <w:szCs w:val="18"/>
              </w:rPr>
              <w:t>地表水环境</w:t>
            </w:r>
          </w:p>
        </w:tc>
        <w:tc>
          <w:tcPr>
            <w:tcW w:w="756" w:type="dxa"/>
            <w:vAlign w:val="center"/>
          </w:tcPr>
          <w:p>
            <w:pPr>
              <w:pStyle w:val="861"/>
              <w:widowControl w:val="0"/>
              <w:rPr>
                <w:szCs w:val="18"/>
              </w:rPr>
            </w:pPr>
            <w:r>
              <w:rPr>
                <w:szCs w:val="18"/>
              </w:rPr>
              <w:t>1</w:t>
            </w:r>
          </w:p>
        </w:tc>
        <w:tc>
          <w:tcPr>
            <w:tcW w:w="1843" w:type="dxa"/>
            <w:vAlign w:val="center"/>
          </w:tcPr>
          <w:p>
            <w:pPr>
              <w:pStyle w:val="861"/>
              <w:widowControl w:val="0"/>
              <w:rPr>
                <w:szCs w:val="18"/>
              </w:rPr>
            </w:pPr>
            <w:r>
              <w:rPr>
                <w:szCs w:val="18"/>
              </w:rPr>
              <w:t>店埠河</w:t>
            </w:r>
          </w:p>
        </w:tc>
        <w:tc>
          <w:tcPr>
            <w:tcW w:w="709" w:type="dxa"/>
            <w:vAlign w:val="center"/>
          </w:tcPr>
          <w:p>
            <w:pPr>
              <w:pStyle w:val="861"/>
              <w:widowControl w:val="0"/>
              <w:rPr>
                <w:szCs w:val="18"/>
              </w:rPr>
            </w:pPr>
            <w:r>
              <w:rPr>
                <w:szCs w:val="18"/>
              </w:rPr>
              <w:t>/</w:t>
            </w:r>
          </w:p>
        </w:tc>
        <w:tc>
          <w:tcPr>
            <w:tcW w:w="850" w:type="dxa"/>
            <w:vAlign w:val="center"/>
          </w:tcPr>
          <w:p>
            <w:pPr>
              <w:pStyle w:val="861"/>
              <w:widowControl w:val="0"/>
              <w:rPr>
                <w:szCs w:val="18"/>
              </w:rPr>
            </w:pPr>
            <w:r>
              <w:rPr>
                <w:szCs w:val="18"/>
              </w:rPr>
              <w:t>/</w:t>
            </w:r>
          </w:p>
        </w:tc>
        <w:tc>
          <w:tcPr>
            <w:tcW w:w="1418" w:type="dxa"/>
            <w:vAlign w:val="center"/>
          </w:tcPr>
          <w:p>
            <w:pPr>
              <w:pStyle w:val="861"/>
              <w:widowControl w:val="0"/>
              <w:rPr>
                <w:szCs w:val="18"/>
              </w:rPr>
            </w:pPr>
            <w:r>
              <w:rPr>
                <w:szCs w:val="18"/>
              </w:rPr>
              <w:t>/</w:t>
            </w:r>
          </w:p>
        </w:tc>
        <w:tc>
          <w:tcPr>
            <w:tcW w:w="1701" w:type="dxa"/>
            <w:vAlign w:val="center"/>
          </w:tcPr>
          <w:p>
            <w:pPr>
              <w:pStyle w:val="861"/>
              <w:widowControl w:val="0"/>
              <w:rPr>
                <w:szCs w:val="18"/>
              </w:rPr>
            </w:pPr>
            <w:r>
              <w:rPr>
                <w:szCs w:val="18"/>
              </w:rPr>
              <w:t>小型</w:t>
            </w:r>
          </w:p>
        </w:tc>
        <w:tc>
          <w:tcPr>
            <w:tcW w:w="3969" w:type="dxa"/>
            <w:vMerge w:val="restart"/>
            <w:vAlign w:val="center"/>
          </w:tcPr>
          <w:p>
            <w:pPr>
              <w:pStyle w:val="861"/>
              <w:widowControl w:val="0"/>
              <w:rPr>
                <w:bCs/>
                <w:szCs w:val="18"/>
              </w:rPr>
            </w:pPr>
            <w:r>
              <w:rPr>
                <w:bCs/>
                <w:szCs w:val="18"/>
              </w:rPr>
              <w:t>《地表水环境质量标准》（GB3838-2002）</w:t>
            </w:r>
          </w:p>
          <w:p>
            <w:pPr>
              <w:pStyle w:val="861"/>
              <w:widowControl w:val="0"/>
              <w:rPr>
                <w:szCs w:val="18"/>
              </w:rPr>
            </w:pPr>
            <w:r>
              <w:rPr>
                <w:szCs w:val="18"/>
              </w:rPr>
              <w:fldChar w:fldCharType="begin"/>
            </w:r>
            <w:r>
              <w:rPr>
                <w:szCs w:val="18"/>
              </w:rPr>
              <w:instrText xml:space="preserve"> = 4 \* ROMAN </w:instrText>
            </w:r>
            <w:r>
              <w:rPr>
                <w:szCs w:val="18"/>
              </w:rPr>
              <w:fldChar w:fldCharType="separate"/>
            </w:r>
            <w:r>
              <w:rPr>
                <w:szCs w:val="18"/>
              </w:rPr>
              <w:t>IV</w:t>
            </w:r>
            <w:r>
              <w:rPr>
                <w:szCs w:val="18"/>
              </w:rPr>
              <w:fldChar w:fldCharType="end"/>
            </w:r>
            <w:r>
              <w:rPr>
                <w:bCs/>
                <w:szCs w:val="18"/>
              </w:rPr>
              <w:t>类标准</w:t>
            </w:r>
          </w:p>
        </w:tc>
        <w:tc>
          <w:tcPr>
            <w:tcW w:w="1417" w:type="dxa"/>
            <w:vAlign w:val="center"/>
          </w:tcPr>
          <w:p>
            <w:pPr>
              <w:pStyle w:val="861"/>
              <w:widowControl w:val="0"/>
              <w:rPr>
                <w:szCs w:val="18"/>
              </w:rPr>
            </w:pPr>
            <w:r>
              <w:rPr>
                <w:szCs w:val="18"/>
              </w:rPr>
              <w:t>/</w:t>
            </w:r>
          </w:p>
        </w:tc>
        <w:tc>
          <w:tcPr>
            <w:tcW w:w="1049" w:type="dxa"/>
            <w:vAlign w:val="center"/>
          </w:tcPr>
          <w:p>
            <w:pPr>
              <w:pStyle w:val="861"/>
              <w:widowControl w:val="0"/>
              <w:rPr>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pStyle w:val="861"/>
              <w:widowControl w:val="0"/>
              <w:rPr>
                <w:szCs w:val="18"/>
              </w:rPr>
            </w:pPr>
            <w:r>
              <w:rPr>
                <w:szCs w:val="18"/>
              </w:rPr>
              <w:t>2</w:t>
            </w:r>
          </w:p>
        </w:tc>
        <w:tc>
          <w:tcPr>
            <w:tcW w:w="1843" w:type="dxa"/>
            <w:vAlign w:val="center"/>
          </w:tcPr>
          <w:p>
            <w:pPr>
              <w:pStyle w:val="861"/>
              <w:widowControl w:val="0"/>
              <w:rPr>
                <w:kern w:val="2"/>
                <w:szCs w:val="18"/>
              </w:rPr>
            </w:pPr>
            <w:r>
              <w:rPr>
                <w:szCs w:val="18"/>
              </w:rPr>
              <w:t>南淝河</w:t>
            </w:r>
          </w:p>
        </w:tc>
        <w:tc>
          <w:tcPr>
            <w:tcW w:w="709" w:type="dxa"/>
            <w:vAlign w:val="center"/>
          </w:tcPr>
          <w:p>
            <w:pPr>
              <w:pStyle w:val="861"/>
              <w:widowControl w:val="0"/>
              <w:rPr>
                <w:szCs w:val="18"/>
              </w:rPr>
            </w:pPr>
            <w:r>
              <w:rPr>
                <w:szCs w:val="18"/>
              </w:rPr>
              <w:t>/</w:t>
            </w:r>
          </w:p>
        </w:tc>
        <w:tc>
          <w:tcPr>
            <w:tcW w:w="850" w:type="dxa"/>
            <w:vAlign w:val="center"/>
          </w:tcPr>
          <w:p>
            <w:pPr>
              <w:pStyle w:val="861"/>
              <w:widowControl w:val="0"/>
              <w:rPr>
                <w:szCs w:val="18"/>
              </w:rPr>
            </w:pPr>
            <w:r>
              <w:rPr>
                <w:szCs w:val="18"/>
              </w:rPr>
              <w:t>/</w:t>
            </w:r>
          </w:p>
        </w:tc>
        <w:tc>
          <w:tcPr>
            <w:tcW w:w="1418" w:type="dxa"/>
            <w:vAlign w:val="center"/>
          </w:tcPr>
          <w:p>
            <w:pPr>
              <w:pStyle w:val="861"/>
              <w:widowControl w:val="0"/>
              <w:rPr>
                <w:szCs w:val="18"/>
              </w:rPr>
            </w:pPr>
            <w:r>
              <w:rPr>
                <w:szCs w:val="18"/>
              </w:rPr>
              <w:t>/</w:t>
            </w:r>
          </w:p>
        </w:tc>
        <w:tc>
          <w:tcPr>
            <w:tcW w:w="1701" w:type="dxa"/>
            <w:vAlign w:val="center"/>
          </w:tcPr>
          <w:p>
            <w:pPr>
              <w:pStyle w:val="861"/>
              <w:widowControl w:val="0"/>
              <w:rPr>
                <w:szCs w:val="18"/>
              </w:rPr>
            </w:pPr>
            <w:r>
              <w:rPr>
                <w:szCs w:val="18"/>
              </w:rPr>
              <w:t>中型</w:t>
            </w:r>
          </w:p>
        </w:tc>
        <w:tc>
          <w:tcPr>
            <w:tcW w:w="3969" w:type="dxa"/>
            <w:vMerge w:val="continue"/>
            <w:tcBorders>
              <w:bottom w:val="single" w:color="auto" w:sz="4" w:space="0"/>
            </w:tcBorders>
            <w:vAlign w:val="center"/>
          </w:tcPr>
          <w:p>
            <w:pPr>
              <w:pStyle w:val="861"/>
              <w:widowControl w:val="0"/>
              <w:rPr>
                <w:szCs w:val="18"/>
              </w:rPr>
            </w:pPr>
          </w:p>
        </w:tc>
        <w:tc>
          <w:tcPr>
            <w:tcW w:w="1417" w:type="dxa"/>
            <w:vAlign w:val="center"/>
          </w:tcPr>
          <w:p>
            <w:pPr>
              <w:pStyle w:val="861"/>
              <w:widowControl w:val="0"/>
              <w:rPr>
                <w:szCs w:val="18"/>
              </w:rPr>
            </w:pPr>
            <w:r>
              <w:rPr>
                <w:szCs w:val="18"/>
              </w:rPr>
              <w:t>下游</w:t>
            </w:r>
          </w:p>
        </w:tc>
        <w:tc>
          <w:tcPr>
            <w:tcW w:w="1049" w:type="dxa"/>
            <w:vAlign w:val="center"/>
          </w:tcPr>
          <w:p>
            <w:pPr>
              <w:pStyle w:val="861"/>
              <w:widowControl w:val="0"/>
              <w:rPr>
                <w:szCs w:val="18"/>
              </w:rPr>
            </w:pPr>
            <w:r>
              <w:rPr>
                <w:szCs w:val="18"/>
              </w:rPr>
              <w:t>3.1km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pStyle w:val="861"/>
              <w:widowControl w:val="0"/>
              <w:rPr>
                <w:szCs w:val="18"/>
              </w:rPr>
            </w:pPr>
            <w:r>
              <w:rPr>
                <w:szCs w:val="18"/>
              </w:rPr>
              <w:t>3</w:t>
            </w:r>
          </w:p>
        </w:tc>
        <w:tc>
          <w:tcPr>
            <w:tcW w:w="1843" w:type="dxa"/>
            <w:vAlign w:val="center"/>
          </w:tcPr>
          <w:p>
            <w:pPr>
              <w:pStyle w:val="861"/>
              <w:widowControl w:val="0"/>
              <w:rPr>
                <w:kern w:val="2"/>
                <w:szCs w:val="18"/>
              </w:rPr>
            </w:pPr>
            <w:r>
              <w:rPr>
                <w:szCs w:val="18"/>
              </w:rPr>
              <w:t>巢湖</w:t>
            </w:r>
          </w:p>
        </w:tc>
        <w:tc>
          <w:tcPr>
            <w:tcW w:w="709" w:type="dxa"/>
            <w:vAlign w:val="center"/>
          </w:tcPr>
          <w:p>
            <w:pPr>
              <w:pStyle w:val="861"/>
              <w:widowControl w:val="0"/>
              <w:rPr>
                <w:szCs w:val="18"/>
              </w:rPr>
            </w:pPr>
            <w:r>
              <w:rPr>
                <w:szCs w:val="18"/>
              </w:rPr>
              <w:t>/</w:t>
            </w:r>
          </w:p>
        </w:tc>
        <w:tc>
          <w:tcPr>
            <w:tcW w:w="850" w:type="dxa"/>
            <w:vAlign w:val="center"/>
          </w:tcPr>
          <w:p>
            <w:pPr>
              <w:pStyle w:val="861"/>
              <w:widowControl w:val="0"/>
              <w:rPr>
                <w:szCs w:val="18"/>
              </w:rPr>
            </w:pPr>
            <w:r>
              <w:rPr>
                <w:szCs w:val="18"/>
              </w:rPr>
              <w:t>/</w:t>
            </w:r>
          </w:p>
        </w:tc>
        <w:tc>
          <w:tcPr>
            <w:tcW w:w="1418" w:type="dxa"/>
            <w:vAlign w:val="center"/>
          </w:tcPr>
          <w:p>
            <w:pPr>
              <w:pStyle w:val="861"/>
              <w:widowControl w:val="0"/>
              <w:rPr>
                <w:szCs w:val="18"/>
              </w:rPr>
            </w:pPr>
            <w:r>
              <w:rPr>
                <w:szCs w:val="18"/>
              </w:rPr>
              <w:t>/</w:t>
            </w:r>
          </w:p>
        </w:tc>
        <w:tc>
          <w:tcPr>
            <w:tcW w:w="1701" w:type="dxa"/>
            <w:vAlign w:val="center"/>
          </w:tcPr>
          <w:p>
            <w:pPr>
              <w:pStyle w:val="861"/>
              <w:widowControl w:val="0"/>
              <w:rPr>
                <w:szCs w:val="18"/>
              </w:rPr>
            </w:pPr>
            <w:r>
              <w:rPr>
                <w:szCs w:val="18"/>
              </w:rPr>
              <w:t>大型湖泊</w:t>
            </w:r>
          </w:p>
        </w:tc>
        <w:tc>
          <w:tcPr>
            <w:tcW w:w="3969" w:type="dxa"/>
            <w:tcBorders>
              <w:top w:val="single" w:color="auto" w:sz="4" w:space="0"/>
            </w:tcBorders>
            <w:vAlign w:val="center"/>
          </w:tcPr>
          <w:p>
            <w:pPr>
              <w:pStyle w:val="861"/>
              <w:widowControl w:val="0"/>
              <w:rPr>
                <w:szCs w:val="18"/>
              </w:rPr>
            </w:pPr>
            <w:r>
              <w:rPr>
                <w:bCs/>
                <w:szCs w:val="18"/>
              </w:rPr>
              <w:t>《地表水环境质量标准》（GB3838-2002）</w:t>
            </w:r>
            <w:r>
              <w:rPr>
                <w:szCs w:val="18"/>
              </w:rPr>
              <w:fldChar w:fldCharType="begin"/>
            </w:r>
            <w:r>
              <w:rPr>
                <w:szCs w:val="18"/>
              </w:rPr>
              <w:instrText xml:space="preserve"> = 4 \* ROMAN </w:instrText>
            </w:r>
            <w:r>
              <w:rPr>
                <w:szCs w:val="18"/>
              </w:rPr>
              <w:fldChar w:fldCharType="separate"/>
            </w:r>
            <w:r>
              <w:rPr>
                <w:szCs w:val="18"/>
              </w:rPr>
              <w:fldChar w:fldCharType="begin"/>
            </w:r>
            <w:r>
              <w:rPr>
                <w:szCs w:val="18"/>
              </w:rPr>
              <w:instrText xml:space="preserve"> = 3 \* ROMAN  \* MERGEFORMAT </w:instrText>
            </w:r>
            <w:r>
              <w:rPr>
                <w:szCs w:val="18"/>
              </w:rPr>
              <w:fldChar w:fldCharType="separate"/>
            </w:r>
            <w:r>
              <w:rPr>
                <w:szCs w:val="18"/>
              </w:rPr>
              <w:t>III</w:t>
            </w:r>
            <w:r>
              <w:rPr>
                <w:szCs w:val="18"/>
              </w:rPr>
              <w:fldChar w:fldCharType="end"/>
            </w:r>
            <w:r>
              <w:rPr>
                <w:szCs w:val="18"/>
              </w:rPr>
              <w:fldChar w:fldCharType="end"/>
            </w:r>
            <w:r>
              <w:rPr>
                <w:bCs/>
                <w:szCs w:val="18"/>
              </w:rPr>
              <w:t>类标准</w:t>
            </w:r>
          </w:p>
        </w:tc>
        <w:tc>
          <w:tcPr>
            <w:tcW w:w="1417" w:type="dxa"/>
            <w:vAlign w:val="center"/>
          </w:tcPr>
          <w:p>
            <w:pPr>
              <w:pStyle w:val="861"/>
              <w:widowControl w:val="0"/>
              <w:rPr>
                <w:szCs w:val="18"/>
              </w:rPr>
            </w:pPr>
            <w:r>
              <w:rPr>
                <w:szCs w:val="18"/>
              </w:rPr>
              <w:t>下游</w:t>
            </w:r>
          </w:p>
        </w:tc>
        <w:tc>
          <w:tcPr>
            <w:tcW w:w="1049" w:type="dxa"/>
            <w:vAlign w:val="center"/>
          </w:tcPr>
          <w:p>
            <w:pPr>
              <w:pStyle w:val="861"/>
              <w:widowControl w:val="0"/>
              <w:rPr>
                <w:szCs w:val="18"/>
              </w:rPr>
            </w:pPr>
            <w:r>
              <w:rPr>
                <w:szCs w:val="18"/>
                <w:lang w:bidi="ar"/>
              </w:rPr>
              <w:t>12.6km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Align w:val="center"/>
          </w:tcPr>
          <w:p>
            <w:pPr>
              <w:pStyle w:val="861"/>
              <w:widowControl w:val="0"/>
              <w:rPr>
                <w:szCs w:val="18"/>
              </w:rPr>
            </w:pPr>
            <w:r>
              <w:rPr>
                <w:szCs w:val="18"/>
              </w:rPr>
              <w:t>声环境</w:t>
            </w:r>
          </w:p>
        </w:tc>
        <w:tc>
          <w:tcPr>
            <w:tcW w:w="756" w:type="dxa"/>
            <w:vAlign w:val="center"/>
          </w:tcPr>
          <w:p>
            <w:pPr>
              <w:pStyle w:val="861"/>
              <w:widowControl w:val="0"/>
              <w:rPr>
                <w:szCs w:val="18"/>
              </w:rPr>
            </w:pPr>
            <w:r>
              <w:rPr>
                <w:szCs w:val="18"/>
              </w:rPr>
              <w:t>1</w:t>
            </w:r>
          </w:p>
        </w:tc>
        <w:tc>
          <w:tcPr>
            <w:tcW w:w="6521" w:type="dxa"/>
            <w:gridSpan w:val="5"/>
            <w:vAlign w:val="center"/>
          </w:tcPr>
          <w:p>
            <w:pPr>
              <w:pStyle w:val="861"/>
              <w:widowControl w:val="0"/>
              <w:rPr>
                <w:szCs w:val="18"/>
              </w:rPr>
            </w:pPr>
            <w:r>
              <w:rPr>
                <w:szCs w:val="18"/>
              </w:rPr>
              <w:t>项目周边200米范围内无声环境保护目标</w:t>
            </w:r>
          </w:p>
        </w:tc>
        <w:tc>
          <w:tcPr>
            <w:tcW w:w="3969" w:type="dxa"/>
            <w:vAlign w:val="center"/>
          </w:tcPr>
          <w:p>
            <w:pPr>
              <w:pStyle w:val="861"/>
              <w:widowControl w:val="0"/>
              <w:rPr>
                <w:szCs w:val="18"/>
              </w:rPr>
            </w:pPr>
            <w:r>
              <w:rPr>
                <w:szCs w:val="18"/>
              </w:rPr>
              <w:t>《声环境质量标准》（GB3096-2008）</w:t>
            </w:r>
          </w:p>
          <w:p>
            <w:pPr>
              <w:pStyle w:val="861"/>
              <w:widowControl w:val="0"/>
              <w:rPr>
                <w:szCs w:val="18"/>
              </w:rPr>
            </w:pPr>
            <w:r>
              <w:rPr>
                <w:szCs w:val="18"/>
              </w:rPr>
              <w:t>3类标准</w:t>
            </w:r>
          </w:p>
        </w:tc>
        <w:tc>
          <w:tcPr>
            <w:tcW w:w="1417" w:type="dxa"/>
            <w:vAlign w:val="center"/>
          </w:tcPr>
          <w:p>
            <w:pPr>
              <w:pStyle w:val="861"/>
              <w:widowControl w:val="0"/>
              <w:rPr>
                <w:szCs w:val="18"/>
              </w:rPr>
            </w:pPr>
            <w:r>
              <w:rPr>
                <w:szCs w:val="18"/>
              </w:rPr>
              <w:t>/</w:t>
            </w:r>
          </w:p>
        </w:tc>
        <w:tc>
          <w:tcPr>
            <w:tcW w:w="1049" w:type="dxa"/>
            <w:vAlign w:val="center"/>
          </w:tcPr>
          <w:p>
            <w:pPr>
              <w:pStyle w:val="861"/>
              <w:widowControl w:val="0"/>
              <w:rPr>
                <w:szCs w:val="18"/>
              </w:rPr>
            </w:pPr>
            <w:r>
              <w:rPr>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11" w:hRule="atLeast"/>
          <w:jc w:val="center"/>
        </w:trPr>
        <w:tc>
          <w:tcPr>
            <w:tcW w:w="653" w:type="dxa"/>
            <w:vAlign w:val="center"/>
          </w:tcPr>
          <w:p>
            <w:pPr>
              <w:pStyle w:val="861"/>
              <w:widowControl w:val="0"/>
              <w:rPr>
                <w:szCs w:val="18"/>
              </w:rPr>
            </w:pPr>
            <w:r>
              <w:rPr>
                <w:szCs w:val="18"/>
              </w:rPr>
              <w:t>地下水环境</w:t>
            </w:r>
          </w:p>
        </w:tc>
        <w:tc>
          <w:tcPr>
            <w:tcW w:w="756" w:type="dxa"/>
            <w:vAlign w:val="center"/>
          </w:tcPr>
          <w:p>
            <w:pPr>
              <w:pStyle w:val="861"/>
              <w:widowControl w:val="0"/>
              <w:rPr>
                <w:szCs w:val="18"/>
              </w:rPr>
            </w:pPr>
            <w:r>
              <w:rPr>
                <w:szCs w:val="18"/>
              </w:rPr>
              <w:t>1</w:t>
            </w:r>
          </w:p>
        </w:tc>
        <w:tc>
          <w:tcPr>
            <w:tcW w:w="6521" w:type="dxa"/>
            <w:gridSpan w:val="5"/>
            <w:vAlign w:val="center"/>
          </w:tcPr>
          <w:p>
            <w:pPr>
              <w:pStyle w:val="861"/>
              <w:widowControl w:val="0"/>
              <w:rPr>
                <w:szCs w:val="18"/>
              </w:rPr>
            </w:pPr>
            <w:r>
              <w:rPr>
                <w:kern w:val="2"/>
                <w:szCs w:val="18"/>
              </w:rPr>
              <w:t>项目所在地下游</w:t>
            </w:r>
            <w:r>
              <w:rPr>
                <w:szCs w:val="18"/>
              </w:rPr>
              <w:t>12.6</w:t>
            </w:r>
            <w:r>
              <w:rPr>
                <w:kern w:val="2"/>
                <w:szCs w:val="18"/>
              </w:rPr>
              <w:t>km</w:t>
            </w:r>
            <w:r>
              <w:rPr>
                <w:kern w:val="2"/>
                <w:szCs w:val="18"/>
                <w:vertAlign w:val="superscript"/>
              </w:rPr>
              <w:t>2</w:t>
            </w:r>
            <w:r>
              <w:rPr>
                <w:kern w:val="2"/>
                <w:szCs w:val="18"/>
              </w:rPr>
              <w:t>范围</w:t>
            </w:r>
          </w:p>
        </w:tc>
        <w:tc>
          <w:tcPr>
            <w:tcW w:w="3969" w:type="dxa"/>
            <w:vAlign w:val="center"/>
          </w:tcPr>
          <w:p>
            <w:pPr>
              <w:pStyle w:val="861"/>
              <w:widowControl w:val="0"/>
              <w:rPr>
                <w:szCs w:val="18"/>
              </w:rPr>
            </w:pPr>
            <w:r>
              <w:rPr>
                <w:szCs w:val="18"/>
              </w:rPr>
              <w:t>《地下水质量标准》（GB/T14848-2017）</w:t>
            </w:r>
          </w:p>
          <w:p>
            <w:pPr>
              <w:pStyle w:val="861"/>
              <w:widowControl w:val="0"/>
              <w:rPr>
                <w:szCs w:val="18"/>
              </w:rPr>
            </w:pPr>
            <w:r>
              <w:rPr>
                <w:szCs w:val="18"/>
              </w:rPr>
              <w:fldChar w:fldCharType="begin"/>
            </w:r>
            <w:r>
              <w:rPr>
                <w:szCs w:val="18"/>
              </w:rPr>
              <w:instrText xml:space="preserve"> = 3 \* ROMAN  \* MERGEFORMAT </w:instrText>
            </w:r>
            <w:r>
              <w:rPr>
                <w:szCs w:val="18"/>
              </w:rPr>
              <w:fldChar w:fldCharType="separate"/>
            </w:r>
            <w:r>
              <w:rPr>
                <w:szCs w:val="18"/>
              </w:rPr>
              <w:t>III</w:t>
            </w:r>
            <w:r>
              <w:rPr>
                <w:szCs w:val="18"/>
              </w:rPr>
              <w:fldChar w:fldCharType="end"/>
            </w:r>
            <w:r>
              <w:rPr>
                <w:szCs w:val="18"/>
              </w:rPr>
              <w:t>类标准</w:t>
            </w:r>
          </w:p>
        </w:tc>
        <w:tc>
          <w:tcPr>
            <w:tcW w:w="1417" w:type="dxa"/>
            <w:vAlign w:val="center"/>
          </w:tcPr>
          <w:p>
            <w:pPr>
              <w:pStyle w:val="861"/>
              <w:widowControl w:val="0"/>
              <w:rPr>
                <w:szCs w:val="18"/>
              </w:rPr>
            </w:pPr>
            <w:r>
              <w:rPr>
                <w:szCs w:val="18"/>
              </w:rPr>
              <w:t>/</w:t>
            </w:r>
          </w:p>
        </w:tc>
        <w:tc>
          <w:tcPr>
            <w:tcW w:w="1049" w:type="dxa"/>
            <w:vAlign w:val="center"/>
          </w:tcPr>
          <w:p>
            <w:pPr>
              <w:pStyle w:val="861"/>
              <w:widowControl w:val="0"/>
              <w:rPr>
                <w:szCs w:val="18"/>
              </w:rPr>
            </w:pPr>
            <w:r>
              <w:rPr>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4" w:hRule="atLeast"/>
          <w:jc w:val="center"/>
        </w:trPr>
        <w:tc>
          <w:tcPr>
            <w:tcW w:w="65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土壤环境</w:t>
            </w:r>
          </w:p>
        </w:tc>
        <w:tc>
          <w:tcPr>
            <w:tcW w:w="756"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6521" w:type="dxa"/>
            <w:gridSpan w:val="5"/>
            <w:vAlign w:val="center"/>
          </w:tcPr>
          <w:p>
            <w:pPr>
              <w:pStyle w:val="861"/>
              <w:widowControl w:val="0"/>
              <w:rPr>
                <w:szCs w:val="18"/>
              </w:rPr>
            </w:pPr>
            <w:r>
              <w:rPr>
                <w:szCs w:val="18"/>
              </w:rPr>
              <w:t>码头港区占地范围内及占地范围外1</w:t>
            </w:r>
            <w:r>
              <w:rPr>
                <w:rFonts w:hint="eastAsia"/>
                <w:szCs w:val="18"/>
              </w:rPr>
              <w:t>k</w:t>
            </w:r>
            <w:r>
              <w:rPr>
                <w:szCs w:val="18"/>
              </w:rPr>
              <w:t>m区域</w:t>
            </w:r>
          </w:p>
        </w:tc>
        <w:tc>
          <w:tcPr>
            <w:tcW w:w="3969" w:type="dxa"/>
            <w:vMerge w:val="restart"/>
            <w:vAlign w:val="center"/>
          </w:tcPr>
          <w:p>
            <w:pPr>
              <w:pStyle w:val="861"/>
              <w:widowControl w:val="0"/>
              <w:rPr>
                <w:szCs w:val="18"/>
              </w:rPr>
            </w:pPr>
            <w:r>
              <w:rPr>
                <w:szCs w:val="18"/>
              </w:rPr>
              <w:t>《土壤环境质量-建设用地土壤污染风险管控标准（试行）》（GB36600-2018）第二类用地要求</w:t>
            </w:r>
          </w:p>
        </w:tc>
        <w:tc>
          <w:tcPr>
            <w:tcW w:w="1417" w:type="dxa"/>
            <w:vMerge w:val="restart"/>
            <w:vAlign w:val="center"/>
          </w:tcPr>
          <w:p>
            <w:pPr>
              <w:pStyle w:val="861"/>
              <w:widowControl w:val="0"/>
              <w:rPr>
                <w:szCs w:val="18"/>
              </w:rPr>
            </w:pPr>
            <w:r>
              <w:rPr>
                <w:szCs w:val="18"/>
              </w:rPr>
              <w:t>/</w:t>
            </w:r>
          </w:p>
        </w:tc>
        <w:tc>
          <w:tcPr>
            <w:tcW w:w="1049" w:type="dxa"/>
            <w:vMerge w:val="restart"/>
            <w:vAlign w:val="center"/>
          </w:tcPr>
          <w:p>
            <w:pPr>
              <w:pStyle w:val="861"/>
              <w:widowControl w:val="0"/>
              <w:rPr>
                <w:szCs w:val="18"/>
              </w:rPr>
            </w:pPr>
            <w:r>
              <w:rPr>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8" w:hRule="atLeast"/>
          <w:jc w:val="center"/>
        </w:trPr>
        <w:tc>
          <w:tcPr>
            <w:tcW w:w="653" w:type="dxa"/>
            <w:vAlign w:val="center"/>
          </w:tcPr>
          <w:p>
            <w:pPr>
              <w:spacing w:line="240" w:lineRule="auto"/>
              <w:ind w:firstLine="0" w:firstLineChars="0"/>
              <w:jc w:val="center"/>
              <w:rPr>
                <w:rFonts w:ascii="Times New Roman" w:hAnsi="Times New Roman" w:cs="Times New Roman"/>
                <w:color w:val="FF0000"/>
                <w:sz w:val="18"/>
                <w:szCs w:val="18"/>
              </w:rPr>
            </w:pPr>
            <w:r>
              <w:rPr>
                <w:rFonts w:ascii="Times New Roman" w:hAnsi="Times New Roman" w:cs="Times New Roman"/>
                <w:color w:val="FF0000"/>
                <w:sz w:val="18"/>
                <w:szCs w:val="18"/>
              </w:rPr>
              <w:t>底泥环境</w:t>
            </w:r>
          </w:p>
        </w:tc>
        <w:tc>
          <w:tcPr>
            <w:tcW w:w="756" w:type="dxa"/>
            <w:vAlign w:val="center"/>
          </w:tcPr>
          <w:p>
            <w:pPr>
              <w:spacing w:line="240" w:lineRule="auto"/>
              <w:ind w:firstLineChars="111"/>
              <w:rPr>
                <w:rFonts w:ascii="Times New Roman" w:hAnsi="Times New Roman" w:cs="Times New Roman"/>
                <w:color w:val="FF0000"/>
                <w:sz w:val="18"/>
                <w:szCs w:val="18"/>
              </w:rPr>
            </w:pPr>
            <w:r>
              <w:rPr>
                <w:rFonts w:ascii="Times New Roman" w:hAnsi="Times New Roman" w:cs="Times New Roman"/>
                <w:color w:val="FF0000"/>
                <w:sz w:val="18"/>
                <w:szCs w:val="18"/>
              </w:rPr>
              <w:t>2</w:t>
            </w:r>
          </w:p>
        </w:tc>
        <w:tc>
          <w:tcPr>
            <w:tcW w:w="6521" w:type="dxa"/>
            <w:gridSpan w:val="5"/>
            <w:vAlign w:val="center"/>
          </w:tcPr>
          <w:p>
            <w:pPr>
              <w:pStyle w:val="861"/>
              <w:widowControl w:val="0"/>
              <w:rPr>
                <w:color w:val="FF0000"/>
                <w:szCs w:val="18"/>
              </w:rPr>
            </w:pPr>
            <w:r>
              <w:rPr>
                <w:color w:val="FF0000"/>
                <w:szCs w:val="18"/>
              </w:rPr>
              <w:t>店埠河码头处及下游南淝河</w:t>
            </w:r>
          </w:p>
        </w:tc>
        <w:tc>
          <w:tcPr>
            <w:tcW w:w="3969" w:type="dxa"/>
            <w:vMerge w:val="continue"/>
            <w:vAlign w:val="center"/>
          </w:tcPr>
          <w:p>
            <w:pPr>
              <w:pStyle w:val="861"/>
              <w:widowControl w:val="0"/>
              <w:rPr>
                <w:szCs w:val="18"/>
              </w:rPr>
            </w:pPr>
          </w:p>
        </w:tc>
        <w:tc>
          <w:tcPr>
            <w:tcW w:w="1417" w:type="dxa"/>
            <w:vMerge w:val="continue"/>
            <w:vAlign w:val="center"/>
          </w:tcPr>
          <w:p>
            <w:pPr>
              <w:pStyle w:val="861"/>
              <w:widowControl w:val="0"/>
              <w:rPr>
                <w:szCs w:val="18"/>
              </w:rPr>
            </w:pPr>
          </w:p>
        </w:tc>
        <w:tc>
          <w:tcPr>
            <w:tcW w:w="1049" w:type="dxa"/>
            <w:vMerge w:val="continue"/>
            <w:vAlign w:val="center"/>
          </w:tcPr>
          <w:p>
            <w:pPr>
              <w:pStyle w:val="861"/>
              <w:widowControl w:val="0"/>
              <w:rPr>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53" w:type="dxa"/>
            <w:vMerge w:val="restart"/>
            <w:vAlign w:val="center"/>
          </w:tcPr>
          <w:p>
            <w:pPr>
              <w:pStyle w:val="861"/>
              <w:widowControl w:val="0"/>
              <w:rPr>
                <w:szCs w:val="18"/>
              </w:rPr>
            </w:pPr>
          </w:p>
          <w:p>
            <w:pPr>
              <w:pStyle w:val="861"/>
              <w:widowControl w:val="0"/>
              <w:rPr>
                <w:szCs w:val="18"/>
              </w:rPr>
            </w:pPr>
            <w:r>
              <w:rPr>
                <w:szCs w:val="18"/>
              </w:rPr>
              <w:t>环境风险</w:t>
            </w: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843" w:type="dxa"/>
            <w:vAlign w:val="center"/>
          </w:tcPr>
          <w:p>
            <w:pPr>
              <w:spacing w:line="240" w:lineRule="auto"/>
              <w:ind w:firstLine="0" w:firstLineChars="0"/>
              <w:jc w:val="center"/>
              <w:rPr>
                <w:rFonts w:ascii="Times New Roman" w:hAnsi="Times New Roman" w:cs="Times New Roman"/>
                <w:color w:val="auto"/>
                <w:sz w:val="20"/>
                <w:szCs w:val="13"/>
              </w:rPr>
            </w:pPr>
            <w:r>
              <w:rPr>
                <w:sz w:val="20"/>
                <w:szCs w:val="13"/>
              </w:rPr>
              <w:t>循环经济园管委会</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1323</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-222</w:t>
            </w:r>
          </w:p>
        </w:tc>
        <w:tc>
          <w:tcPr>
            <w:tcW w:w="1418" w:type="dxa"/>
            <w:vAlign w:val="center"/>
          </w:tcPr>
          <w:p>
            <w:pPr>
              <w:pStyle w:val="861"/>
              <w:widowControl w:val="0"/>
              <w:rPr>
                <w:szCs w:val="18"/>
              </w:rPr>
            </w:pPr>
            <w:r>
              <w:rPr>
                <w:szCs w:val="18"/>
              </w:rPr>
              <w:t>行政办公</w:t>
            </w:r>
          </w:p>
        </w:tc>
        <w:tc>
          <w:tcPr>
            <w:tcW w:w="1701" w:type="dxa"/>
            <w:vAlign w:val="center"/>
          </w:tcPr>
          <w:p>
            <w:pPr>
              <w:pStyle w:val="861"/>
              <w:widowControl w:val="0"/>
              <w:rPr>
                <w:szCs w:val="18"/>
              </w:rPr>
            </w:pPr>
            <w:r>
              <w:rPr>
                <w:szCs w:val="18"/>
              </w:rPr>
              <w:t>办公人员100人</w:t>
            </w:r>
          </w:p>
        </w:tc>
        <w:tc>
          <w:tcPr>
            <w:tcW w:w="3969" w:type="dxa"/>
            <w:vMerge w:val="restart"/>
            <w:vAlign w:val="center"/>
          </w:tcPr>
          <w:p>
            <w:pPr>
              <w:pStyle w:val="861"/>
              <w:widowControl w:val="0"/>
              <w:rPr>
                <w:bCs/>
                <w:szCs w:val="18"/>
              </w:rPr>
            </w:pPr>
            <w:r>
              <w:rPr>
                <w:bCs/>
                <w:szCs w:val="18"/>
              </w:rPr>
              <w:t>环境空气质量标准》（GB3095-2012）</w:t>
            </w:r>
          </w:p>
          <w:p>
            <w:pPr>
              <w:pStyle w:val="861"/>
              <w:widowControl w:val="0"/>
              <w:rPr>
                <w:szCs w:val="18"/>
              </w:rPr>
            </w:pPr>
            <w:r>
              <w:rPr>
                <w:bCs/>
                <w:szCs w:val="18"/>
              </w:rPr>
              <w:t>二类区</w:t>
            </w: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E</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685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843"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rPr>
              <w:t>金庵村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986</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-879</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约50户，200人</w:t>
            </w:r>
          </w:p>
        </w:tc>
        <w:tc>
          <w:tcPr>
            <w:tcW w:w="3969" w:type="dxa"/>
            <w:vMerge w:val="continue"/>
            <w:vAlign w:val="center"/>
          </w:tcPr>
          <w:p>
            <w:pPr>
              <w:pStyle w:val="861"/>
              <w:widowControl w:val="0"/>
              <w:rPr>
                <w:bCs/>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S</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101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3</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大窦村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-1518</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1005</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约30户，120人</w:t>
            </w:r>
          </w:p>
        </w:tc>
        <w:tc>
          <w:tcPr>
            <w:tcW w:w="3969" w:type="dxa"/>
            <w:vMerge w:val="continue"/>
            <w:vAlign w:val="center"/>
          </w:tcPr>
          <w:p>
            <w:pPr>
              <w:pStyle w:val="861"/>
              <w:widowControl w:val="0"/>
              <w:rPr>
                <w:bCs/>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NE</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1012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4</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东西姚村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-2377</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2405</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约20户，80人</w:t>
            </w:r>
          </w:p>
        </w:tc>
        <w:tc>
          <w:tcPr>
            <w:tcW w:w="3969" w:type="dxa"/>
            <w:vMerge w:val="continue"/>
            <w:vAlign w:val="center"/>
          </w:tcPr>
          <w:p>
            <w:pPr>
              <w:pStyle w:val="861"/>
              <w:widowControl w:val="0"/>
              <w:rPr>
                <w:bCs/>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E</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995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邓基</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-1447</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132</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约35户，150人</w:t>
            </w:r>
          </w:p>
        </w:tc>
        <w:tc>
          <w:tcPr>
            <w:tcW w:w="3969" w:type="dxa"/>
            <w:vMerge w:val="continue"/>
            <w:vAlign w:val="center"/>
          </w:tcPr>
          <w:p>
            <w:pPr>
              <w:pStyle w:val="861"/>
              <w:widowControl w:val="0"/>
              <w:rPr>
                <w:bCs/>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E</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1332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6</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小南面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-1447</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838</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约20户，80人</w:t>
            </w:r>
          </w:p>
        </w:tc>
        <w:tc>
          <w:tcPr>
            <w:tcW w:w="3969" w:type="dxa"/>
            <w:vMerge w:val="continue"/>
            <w:vAlign w:val="center"/>
          </w:tcPr>
          <w:p>
            <w:pPr>
              <w:pStyle w:val="861"/>
              <w:widowControl w:val="0"/>
              <w:rPr>
                <w:bCs/>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1168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7</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合肥医药卫生学校（三联护理学院）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1800</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5</w:t>
            </w:r>
            <w:r>
              <w:rPr>
                <w:rFonts w:ascii="Times New Roman" w:hAnsi="Times New Roman" w:cs="Times New Roman"/>
                <w:color w:val="auto"/>
                <w:sz w:val="18"/>
                <w:szCs w:val="18"/>
              </w:rPr>
              <w:t>26</w:t>
            </w:r>
          </w:p>
        </w:tc>
        <w:tc>
          <w:tcPr>
            <w:tcW w:w="1418" w:type="dxa"/>
            <w:vAlign w:val="center"/>
          </w:tcPr>
          <w:p>
            <w:pPr>
              <w:pStyle w:val="861"/>
              <w:widowControl w:val="0"/>
              <w:rPr>
                <w:szCs w:val="18"/>
              </w:rPr>
            </w:pPr>
            <w:r>
              <w:rPr>
                <w:rFonts w:hint="eastAsia"/>
                <w:szCs w:val="18"/>
              </w:rPr>
              <w:t>学校</w:t>
            </w:r>
          </w:p>
        </w:tc>
        <w:tc>
          <w:tcPr>
            <w:tcW w:w="1701" w:type="dxa"/>
            <w:vAlign w:val="center"/>
          </w:tcPr>
          <w:p>
            <w:pPr>
              <w:pStyle w:val="861"/>
              <w:widowControl w:val="0"/>
              <w:rPr>
                <w:szCs w:val="18"/>
              </w:rPr>
            </w:pPr>
            <w:r>
              <w:rPr>
                <w:rFonts w:hint="eastAsia"/>
                <w:szCs w:val="18"/>
              </w:rPr>
              <w:t>师生3</w:t>
            </w:r>
            <w:r>
              <w:rPr>
                <w:szCs w:val="18"/>
              </w:rPr>
              <w:t>000</w:t>
            </w:r>
            <w:r>
              <w:rPr>
                <w:rFonts w:hint="eastAsia"/>
                <w:szCs w:val="18"/>
              </w:rPr>
              <w:t>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1538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8</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大南面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r>
              <w:rPr>
                <w:rFonts w:hint="eastAsia" w:ascii="Times New Roman" w:hAnsi="Times New Roman" w:cs="Times New Roman"/>
                <w:color w:val="auto"/>
                <w:sz w:val="18"/>
                <w:szCs w:val="18"/>
              </w:rPr>
              <w:t>1</w:t>
            </w:r>
            <w:r>
              <w:rPr>
                <w:rFonts w:ascii="Times New Roman" w:hAnsi="Times New Roman" w:cs="Times New Roman"/>
                <w:color w:val="auto"/>
                <w:sz w:val="18"/>
                <w:szCs w:val="18"/>
              </w:rPr>
              <w:t>282</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3</w:t>
            </w:r>
            <w:r>
              <w:rPr>
                <w:rFonts w:ascii="Times New Roman" w:hAnsi="Times New Roman" w:cs="Times New Roman"/>
                <w:color w:val="auto"/>
                <w:sz w:val="18"/>
                <w:szCs w:val="18"/>
              </w:rPr>
              <w:t>04</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约20户，80人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1</w:t>
            </w:r>
            <w:r>
              <w:rPr>
                <w:rFonts w:ascii="Times New Roman" w:hAnsi="Times New Roman" w:cs="Times New Roman"/>
                <w:color w:val="auto"/>
                <w:kern w:val="0"/>
                <w:sz w:val="18"/>
                <w:szCs w:val="18"/>
                <w:lang w:bidi="ar"/>
              </w:rPr>
              <w:t>785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9</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冲陈村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r>
              <w:rPr>
                <w:rFonts w:hint="eastAsia" w:ascii="Times New Roman" w:hAnsi="Times New Roman" w:cs="Times New Roman"/>
                <w:color w:val="auto"/>
                <w:sz w:val="18"/>
                <w:szCs w:val="18"/>
              </w:rPr>
              <w:t>1</w:t>
            </w:r>
            <w:r>
              <w:rPr>
                <w:rFonts w:ascii="Times New Roman" w:hAnsi="Times New Roman" w:cs="Times New Roman"/>
                <w:color w:val="auto"/>
                <w:sz w:val="18"/>
                <w:szCs w:val="18"/>
              </w:rPr>
              <w:t>447</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192</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约30户，120人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1</w:t>
            </w:r>
            <w:r>
              <w:rPr>
                <w:rFonts w:ascii="Times New Roman" w:hAnsi="Times New Roman" w:cs="Times New Roman"/>
                <w:color w:val="auto"/>
                <w:kern w:val="0"/>
                <w:sz w:val="18"/>
                <w:szCs w:val="18"/>
                <w:lang w:bidi="ar"/>
              </w:rPr>
              <w:t>227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周大小郢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-674</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1471</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约80户，320人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1</w:t>
            </w:r>
            <w:r>
              <w:rPr>
                <w:rFonts w:ascii="Times New Roman" w:hAnsi="Times New Roman" w:cs="Times New Roman"/>
                <w:color w:val="auto"/>
                <w:kern w:val="0"/>
                <w:sz w:val="18"/>
                <w:szCs w:val="18"/>
                <w:lang w:bidi="ar"/>
              </w:rPr>
              <w:t>757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上张村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-107</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2063</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约70户，280人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1197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12</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大姚村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-2112</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1706</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约150户，600人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1353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13</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撮镇在建安置小区</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2170</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2455</w:t>
            </w:r>
          </w:p>
        </w:tc>
        <w:tc>
          <w:tcPr>
            <w:tcW w:w="1418" w:type="dxa"/>
            <w:vAlign w:val="center"/>
          </w:tcPr>
          <w:p>
            <w:pPr>
              <w:pStyle w:val="861"/>
              <w:widowControl w:val="0"/>
              <w:rPr>
                <w:szCs w:val="18"/>
              </w:rPr>
            </w:pPr>
            <w:r>
              <w:rPr>
                <w:szCs w:val="18"/>
              </w:rPr>
              <w:t>居住区</w:t>
            </w:r>
          </w:p>
        </w:tc>
        <w:tc>
          <w:tcPr>
            <w:tcW w:w="1701" w:type="dxa"/>
            <w:vAlign w:val="center"/>
          </w:tcPr>
          <w:p>
            <w:pPr>
              <w:pStyle w:val="861"/>
              <w:widowControl w:val="0"/>
              <w:rPr>
                <w:szCs w:val="18"/>
              </w:rPr>
            </w:pPr>
            <w:r>
              <w:rPr>
                <w:szCs w:val="18"/>
              </w:rPr>
              <w:t>约800人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2389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14</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撮镇树堂小学</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-2355</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2305</w:t>
            </w:r>
          </w:p>
        </w:tc>
        <w:tc>
          <w:tcPr>
            <w:tcW w:w="1418" w:type="dxa"/>
            <w:vAlign w:val="center"/>
          </w:tcPr>
          <w:p>
            <w:pPr>
              <w:pStyle w:val="861"/>
              <w:widowControl w:val="0"/>
              <w:rPr>
                <w:szCs w:val="18"/>
              </w:rPr>
            </w:pPr>
            <w:r>
              <w:rPr>
                <w:rFonts w:hint="eastAsia"/>
                <w:szCs w:val="18"/>
              </w:rPr>
              <w:t>学校</w:t>
            </w:r>
          </w:p>
        </w:tc>
        <w:tc>
          <w:tcPr>
            <w:tcW w:w="1701" w:type="dxa"/>
            <w:vAlign w:val="center"/>
          </w:tcPr>
          <w:p>
            <w:pPr>
              <w:pStyle w:val="861"/>
              <w:widowControl w:val="0"/>
              <w:rPr>
                <w:szCs w:val="18"/>
              </w:rPr>
            </w:pPr>
            <w:r>
              <w:rPr>
                <w:rFonts w:hint="eastAsia"/>
                <w:szCs w:val="18"/>
              </w:rPr>
              <w:t>师生</w:t>
            </w:r>
            <w:r>
              <w:rPr>
                <w:szCs w:val="18"/>
              </w:rPr>
              <w:t>150</w:t>
            </w:r>
            <w:r>
              <w:rPr>
                <w:rFonts w:hint="eastAsia"/>
                <w:szCs w:val="18"/>
              </w:rPr>
              <w:t>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NE</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1381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先锋小区</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1893</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2359</w:t>
            </w:r>
          </w:p>
        </w:tc>
        <w:tc>
          <w:tcPr>
            <w:tcW w:w="1418" w:type="dxa"/>
            <w:vAlign w:val="center"/>
          </w:tcPr>
          <w:p>
            <w:pPr>
              <w:pStyle w:val="861"/>
              <w:widowControl w:val="0"/>
              <w:rPr>
                <w:szCs w:val="18"/>
              </w:rPr>
            </w:pPr>
            <w:r>
              <w:rPr>
                <w:szCs w:val="18"/>
              </w:rPr>
              <w:t>居住区</w:t>
            </w:r>
          </w:p>
        </w:tc>
        <w:tc>
          <w:tcPr>
            <w:tcW w:w="1701" w:type="dxa"/>
            <w:vAlign w:val="center"/>
          </w:tcPr>
          <w:p>
            <w:pPr>
              <w:pStyle w:val="861"/>
              <w:widowControl w:val="0"/>
              <w:rPr>
                <w:szCs w:val="18"/>
              </w:rPr>
            </w:pPr>
            <w:r>
              <w:rPr>
                <w:szCs w:val="18"/>
              </w:rPr>
              <w:t>约1500人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2650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16</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官桥村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1825</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2679</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约70户，280人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2</w:t>
            </w:r>
            <w:r>
              <w:rPr>
                <w:rFonts w:ascii="Times New Roman" w:hAnsi="Times New Roman" w:cs="Times New Roman"/>
                <w:color w:val="auto"/>
                <w:kern w:val="0"/>
                <w:sz w:val="18"/>
                <w:szCs w:val="18"/>
                <w:lang w:bidi="ar"/>
              </w:rPr>
              <w:t>715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17</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董郢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-2808</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-253</w:t>
            </w:r>
          </w:p>
        </w:tc>
        <w:tc>
          <w:tcPr>
            <w:tcW w:w="1418" w:type="dxa"/>
            <w:vAlign w:val="center"/>
          </w:tcPr>
          <w:p>
            <w:pPr>
              <w:pStyle w:val="861"/>
              <w:widowControl w:val="0"/>
              <w:rPr>
                <w:szCs w:val="18"/>
              </w:rPr>
            </w:pPr>
            <w:r>
              <w:rPr>
                <w:rFonts w:hint="eastAsia"/>
                <w:szCs w:val="18"/>
              </w:rPr>
              <w:t>学校</w:t>
            </w:r>
          </w:p>
        </w:tc>
        <w:tc>
          <w:tcPr>
            <w:tcW w:w="1701" w:type="dxa"/>
            <w:vAlign w:val="center"/>
          </w:tcPr>
          <w:p>
            <w:pPr>
              <w:pStyle w:val="861"/>
              <w:widowControl w:val="0"/>
              <w:rPr>
                <w:szCs w:val="18"/>
              </w:rPr>
            </w:pPr>
            <w:r>
              <w:rPr>
                <w:rFonts w:hint="eastAsia"/>
                <w:szCs w:val="18"/>
              </w:rPr>
              <w:t>师生</w:t>
            </w:r>
            <w:r>
              <w:rPr>
                <w:szCs w:val="18"/>
              </w:rPr>
              <w:t>200</w:t>
            </w:r>
            <w:r>
              <w:rPr>
                <w:rFonts w:hint="eastAsia"/>
                <w:szCs w:val="18"/>
              </w:rPr>
              <w:t>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2</w:t>
            </w:r>
            <w:r>
              <w:rPr>
                <w:rFonts w:ascii="Times New Roman" w:hAnsi="Times New Roman" w:cs="Times New Roman"/>
                <w:color w:val="auto"/>
                <w:kern w:val="0"/>
                <w:sz w:val="18"/>
                <w:szCs w:val="18"/>
                <w:lang w:bidi="ar"/>
              </w:rPr>
              <w:t>678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18</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张王村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r>
              <w:rPr>
                <w:rFonts w:hint="eastAsia" w:ascii="Times New Roman" w:hAnsi="Times New Roman" w:cs="Times New Roman"/>
                <w:color w:val="auto"/>
                <w:sz w:val="18"/>
                <w:szCs w:val="18"/>
              </w:rPr>
              <w:t>2</w:t>
            </w:r>
            <w:r>
              <w:rPr>
                <w:rFonts w:ascii="Times New Roman" w:hAnsi="Times New Roman" w:cs="Times New Roman"/>
                <w:color w:val="auto"/>
                <w:sz w:val="18"/>
                <w:szCs w:val="18"/>
              </w:rPr>
              <w:t>523</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2</w:t>
            </w:r>
            <w:r>
              <w:rPr>
                <w:rFonts w:ascii="Times New Roman" w:hAnsi="Times New Roman" w:cs="Times New Roman"/>
                <w:color w:val="auto"/>
                <w:sz w:val="18"/>
                <w:szCs w:val="18"/>
              </w:rPr>
              <w:t>096</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约50户，200人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3</w:t>
            </w:r>
            <w:r>
              <w:rPr>
                <w:rFonts w:ascii="Times New Roman" w:hAnsi="Times New Roman" w:cs="Times New Roman"/>
                <w:color w:val="auto"/>
                <w:kern w:val="0"/>
                <w:sz w:val="18"/>
                <w:szCs w:val="18"/>
                <w:lang w:bidi="ar"/>
              </w:rPr>
              <w:t>102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19</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药刘圩</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-2</w:t>
            </w:r>
            <w:r>
              <w:rPr>
                <w:rFonts w:ascii="Times New Roman" w:hAnsi="Times New Roman" w:cs="Times New Roman"/>
                <w:color w:val="auto"/>
                <w:sz w:val="18"/>
                <w:szCs w:val="18"/>
              </w:rPr>
              <w:t>836</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796</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约50户，200人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3</w:t>
            </w:r>
            <w:r>
              <w:rPr>
                <w:rFonts w:ascii="Times New Roman" w:hAnsi="Times New Roman" w:cs="Times New Roman"/>
                <w:color w:val="auto"/>
                <w:kern w:val="0"/>
                <w:sz w:val="18"/>
                <w:szCs w:val="18"/>
                <w:lang w:bidi="ar"/>
              </w:rPr>
              <w:t>162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瑶河家园</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-575</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3592</w:t>
            </w:r>
          </w:p>
        </w:tc>
        <w:tc>
          <w:tcPr>
            <w:tcW w:w="1418" w:type="dxa"/>
            <w:vAlign w:val="center"/>
          </w:tcPr>
          <w:p>
            <w:pPr>
              <w:pStyle w:val="861"/>
              <w:widowControl w:val="0"/>
              <w:rPr>
                <w:szCs w:val="18"/>
              </w:rPr>
            </w:pPr>
            <w:r>
              <w:rPr>
                <w:szCs w:val="18"/>
              </w:rPr>
              <w:t>居住区</w:t>
            </w:r>
          </w:p>
        </w:tc>
        <w:tc>
          <w:tcPr>
            <w:tcW w:w="1701" w:type="dxa"/>
            <w:vAlign w:val="center"/>
          </w:tcPr>
          <w:p>
            <w:pPr>
              <w:pStyle w:val="861"/>
              <w:widowControl w:val="0"/>
              <w:rPr>
                <w:szCs w:val="18"/>
              </w:rPr>
            </w:pPr>
            <w:r>
              <w:rPr>
                <w:szCs w:val="18"/>
              </w:rPr>
              <w:t>约1000人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3109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21</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瑶河家园</w:t>
            </w:r>
            <w:r>
              <w:rPr>
                <w:rFonts w:hint="eastAsia" w:ascii="Times New Roman" w:hAnsi="Times New Roman" w:cs="Times New Roman"/>
                <w:color w:val="auto"/>
                <w:sz w:val="18"/>
                <w:szCs w:val="18"/>
              </w:rPr>
              <w:t>三期</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856</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2</w:t>
            </w:r>
            <w:r>
              <w:rPr>
                <w:rFonts w:ascii="Times New Roman" w:hAnsi="Times New Roman" w:cs="Times New Roman"/>
                <w:color w:val="auto"/>
                <w:sz w:val="18"/>
                <w:szCs w:val="18"/>
              </w:rPr>
              <w:t>755</w:t>
            </w:r>
          </w:p>
        </w:tc>
        <w:tc>
          <w:tcPr>
            <w:tcW w:w="1418" w:type="dxa"/>
            <w:vAlign w:val="center"/>
          </w:tcPr>
          <w:p>
            <w:pPr>
              <w:pStyle w:val="861"/>
              <w:widowControl w:val="0"/>
              <w:rPr>
                <w:szCs w:val="18"/>
              </w:rPr>
            </w:pPr>
            <w:r>
              <w:rPr>
                <w:szCs w:val="18"/>
              </w:rPr>
              <w:t>居住区</w:t>
            </w:r>
          </w:p>
        </w:tc>
        <w:tc>
          <w:tcPr>
            <w:tcW w:w="1701" w:type="dxa"/>
            <w:vAlign w:val="center"/>
          </w:tcPr>
          <w:p>
            <w:pPr>
              <w:pStyle w:val="861"/>
              <w:widowControl w:val="0"/>
              <w:rPr>
                <w:szCs w:val="18"/>
              </w:rPr>
            </w:pPr>
            <w:r>
              <w:rPr>
                <w:szCs w:val="18"/>
              </w:rPr>
              <w:t>约1000人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2</w:t>
            </w:r>
            <w:r>
              <w:rPr>
                <w:rFonts w:ascii="Times New Roman" w:hAnsi="Times New Roman" w:cs="Times New Roman"/>
                <w:color w:val="auto"/>
                <w:kern w:val="0"/>
                <w:sz w:val="18"/>
                <w:szCs w:val="18"/>
                <w:lang w:bidi="ar"/>
              </w:rPr>
              <w:t>600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22</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合肥艺术中学</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-797</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4011</w:t>
            </w:r>
          </w:p>
        </w:tc>
        <w:tc>
          <w:tcPr>
            <w:tcW w:w="1418" w:type="dxa"/>
            <w:vAlign w:val="center"/>
          </w:tcPr>
          <w:p>
            <w:pPr>
              <w:pStyle w:val="861"/>
              <w:widowControl w:val="0"/>
              <w:rPr>
                <w:szCs w:val="18"/>
              </w:rPr>
            </w:pPr>
            <w:r>
              <w:rPr>
                <w:szCs w:val="18"/>
              </w:rPr>
              <w:t>学校</w:t>
            </w:r>
          </w:p>
        </w:tc>
        <w:tc>
          <w:tcPr>
            <w:tcW w:w="1701" w:type="dxa"/>
            <w:vAlign w:val="center"/>
          </w:tcPr>
          <w:p>
            <w:pPr>
              <w:pStyle w:val="861"/>
              <w:widowControl w:val="0"/>
              <w:rPr>
                <w:szCs w:val="18"/>
              </w:rPr>
            </w:pPr>
            <w:r>
              <w:rPr>
                <w:szCs w:val="18"/>
              </w:rPr>
              <w:t>师生1200人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3585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新安小区</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-2006</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3970</w:t>
            </w:r>
          </w:p>
        </w:tc>
        <w:tc>
          <w:tcPr>
            <w:tcW w:w="1418" w:type="dxa"/>
            <w:vAlign w:val="center"/>
          </w:tcPr>
          <w:p>
            <w:pPr>
              <w:pStyle w:val="861"/>
              <w:widowControl w:val="0"/>
              <w:rPr>
                <w:szCs w:val="18"/>
              </w:rPr>
            </w:pPr>
            <w:r>
              <w:rPr>
                <w:szCs w:val="18"/>
              </w:rPr>
              <w:t>居住区</w:t>
            </w:r>
          </w:p>
        </w:tc>
        <w:tc>
          <w:tcPr>
            <w:tcW w:w="1701" w:type="dxa"/>
            <w:vAlign w:val="center"/>
          </w:tcPr>
          <w:p>
            <w:pPr>
              <w:pStyle w:val="861"/>
              <w:widowControl w:val="0"/>
              <w:rPr>
                <w:szCs w:val="18"/>
              </w:rPr>
            </w:pPr>
            <w:r>
              <w:rPr>
                <w:szCs w:val="18"/>
              </w:rPr>
              <w:t>约1500人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4250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新安小区东区</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-1989</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3904</w:t>
            </w:r>
          </w:p>
        </w:tc>
        <w:tc>
          <w:tcPr>
            <w:tcW w:w="1418" w:type="dxa"/>
            <w:vAlign w:val="center"/>
          </w:tcPr>
          <w:p>
            <w:pPr>
              <w:pStyle w:val="861"/>
              <w:widowControl w:val="0"/>
              <w:rPr>
                <w:szCs w:val="18"/>
              </w:rPr>
            </w:pPr>
            <w:r>
              <w:rPr>
                <w:szCs w:val="18"/>
              </w:rPr>
              <w:t>居住区</w:t>
            </w:r>
          </w:p>
        </w:tc>
        <w:tc>
          <w:tcPr>
            <w:tcW w:w="1701" w:type="dxa"/>
            <w:vAlign w:val="center"/>
          </w:tcPr>
          <w:p>
            <w:pPr>
              <w:pStyle w:val="861"/>
              <w:widowControl w:val="0"/>
              <w:rPr>
                <w:szCs w:val="18"/>
              </w:rPr>
            </w:pPr>
            <w:r>
              <w:rPr>
                <w:szCs w:val="18"/>
              </w:rPr>
              <w:t>约1500人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4010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和谐家园</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953</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3058</w:t>
            </w:r>
          </w:p>
        </w:tc>
        <w:tc>
          <w:tcPr>
            <w:tcW w:w="1418" w:type="dxa"/>
            <w:vAlign w:val="center"/>
          </w:tcPr>
          <w:p>
            <w:pPr>
              <w:pStyle w:val="861"/>
              <w:widowControl w:val="0"/>
              <w:rPr>
                <w:szCs w:val="18"/>
              </w:rPr>
            </w:pPr>
            <w:r>
              <w:rPr>
                <w:szCs w:val="18"/>
              </w:rPr>
              <w:t>居住区</w:t>
            </w:r>
          </w:p>
        </w:tc>
        <w:tc>
          <w:tcPr>
            <w:tcW w:w="1701" w:type="dxa"/>
            <w:vAlign w:val="center"/>
          </w:tcPr>
          <w:p>
            <w:pPr>
              <w:pStyle w:val="861"/>
              <w:widowControl w:val="0"/>
              <w:rPr>
                <w:szCs w:val="18"/>
              </w:rPr>
            </w:pPr>
            <w:r>
              <w:rPr>
                <w:szCs w:val="18"/>
              </w:rPr>
              <w:t>约800人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2453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水利职业技术学院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-2753</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4373</w:t>
            </w:r>
          </w:p>
        </w:tc>
        <w:tc>
          <w:tcPr>
            <w:tcW w:w="1418" w:type="dxa"/>
            <w:vAlign w:val="center"/>
          </w:tcPr>
          <w:p>
            <w:pPr>
              <w:pStyle w:val="861"/>
              <w:widowControl w:val="0"/>
              <w:rPr>
                <w:szCs w:val="18"/>
              </w:rPr>
            </w:pPr>
            <w:r>
              <w:rPr>
                <w:szCs w:val="18"/>
              </w:rPr>
              <w:t>学校</w:t>
            </w:r>
          </w:p>
        </w:tc>
        <w:tc>
          <w:tcPr>
            <w:tcW w:w="1701" w:type="dxa"/>
            <w:vAlign w:val="center"/>
          </w:tcPr>
          <w:p>
            <w:pPr>
              <w:pStyle w:val="861"/>
              <w:widowControl w:val="0"/>
              <w:rPr>
                <w:szCs w:val="18"/>
              </w:rPr>
            </w:pPr>
            <w:r>
              <w:rPr>
                <w:szCs w:val="18"/>
              </w:rPr>
              <w:t>师生15000人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4555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27</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撮镇中学</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1192</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3518</w:t>
            </w:r>
          </w:p>
        </w:tc>
        <w:tc>
          <w:tcPr>
            <w:tcW w:w="1418" w:type="dxa"/>
            <w:vAlign w:val="center"/>
          </w:tcPr>
          <w:p>
            <w:pPr>
              <w:pStyle w:val="861"/>
              <w:widowControl w:val="0"/>
              <w:rPr>
                <w:szCs w:val="18"/>
              </w:rPr>
            </w:pPr>
            <w:r>
              <w:rPr>
                <w:szCs w:val="18"/>
              </w:rPr>
              <w:t>学校</w:t>
            </w:r>
          </w:p>
        </w:tc>
        <w:tc>
          <w:tcPr>
            <w:tcW w:w="1701" w:type="dxa"/>
            <w:vAlign w:val="center"/>
          </w:tcPr>
          <w:p>
            <w:pPr>
              <w:pStyle w:val="861"/>
              <w:widowControl w:val="0"/>
              <w:rPr>
                <w:szCs w:val="18"/>
              </w:rPr>
            </w:pPr>
            <w:r>
              <w:rPr>
                <w:szCs w:val="18"/>
              </w:rPr>
              <w:t>师生3000人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2940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2</w:t>
            </w:r>
            <w:r>
              <w:rPr>
                <w:rFonts w:ascii="Times New Roman" w:hAnsi="Times New Roman" w:cs="Times New Roman"/>
                <w:color w:val="auto"/>
                <w:sz w:val="18"/>
                <w:szCs w:val="18"/>
              </w:rPr>
              <w:t>8</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先锋小区</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1893</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2359</w:t>
            </w:r>
          </w:p>
        </w:tc>
        <w:tc>
          <w:tcPr>
            <w:tcW w:w="1418" w:type="dxa"/>
            <w:vAlign w:val="center"/>
          </w:tcPr>
          <w:p>
            <w:pPr>
              <w:pStyle w:val="861"/>
              <w:widowControl w:val="0"/>
              <w:rPr>
                <w:szCs w:val="18"/>
              </w:rPr>
            </w:pPr>
            <w:r>
              <w:rPr>
                <w:szCs w:val="18"/>
              </w:rPr>
              <w:t>居住区</w:t>
            </w:r>
          </w:p>
        </w:tc>
        <w:tc>
          <w:tcPr>
            <w:tcW w:w="1701" w:type="dxa"/>
            <w:vAlign w:val="center"/>
          </w:tcPr>
          <w:p>
            <w:pPr>
              <w:pStyle w:val="861"/>
              <w:widowControl w:val="0"/>
              <w:rPr>
                <w:szCs w:val="18"/>
              </w:rPr>
            </w:pPr>
            <w:r>
              <w:rPr>
                <w:szCs w:val="18"/>
              </w:rPr>
              <w:t>约1500人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2154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2</w:t>
            </w:r>
            <w:r>
              <w:rPr>
                <w:rFonts w:ascii="Times New Roman" w:hAnsi="Times New Roman" w:cs="Times New Roman"/>
                <w:color w:val="auto"/>
                <w:sz w:val="18"/>
                <w:szCs w:val="18"/>
              </w:rPr>
              <w:t>9</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官桥村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1825</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2679</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约70户，280人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2237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3</w:t>
            </w:r>
            <w:r>
              <w:rPr>
                <w:rFonts w:ascii="Times New Roman" w:hAnsi="Times New Roman" w:cs="Times New Roman"/>
                <w:color w:val="auto"/>
                <w:sz w:val="18"/>
                <w:szCs w:val="18"/>
              </w:rPr>
              <w:t>0</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袁大郢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3674</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1956</w:t>
            </w:r>
          </w:p>
        </w:tc>
        <w:tc>
          <w:tcPr>
            <w:tcW w:w="1418" w:type="dxa"/>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约50户，200人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NE</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3067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3</w:t>
            </w:r>
            <w:r>
              <w:rPr>
                <w:rFonts w:ascii="Times New Roman" w:hAnsi="Times New Roman" w:cs="Times New Roman"/>
                <w:color w:val="auto"/>
                <w:sz w:val="18"/>
                <w:szCs w:val="18"/>
              </w:rPr>
              <w:t>1</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袁小郢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3794</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1856</w:t>
            </w:r>
          </w:p>
        </w:tc>
        <w:tc>
          <w:tcPr>
            <w:tcW w:w="1418" w:type="dxa"/>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约50户，200人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NE</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3</w:t>
            </w:r>
            <w:r>
              <w:rPr>
                <w:rFonts w:ascii="Times New Roman" w:hAnsi="Times New Roman" w:cs="Times New Roman"/>
                <w:color w:val="auto"/>
                <w:kern w:val="0"/>
                <w:sz w:val="18"/>
                <w:szCs w:val="18"/>
                <w:lang w:bidi="ar"/>
              </w:rPr>
              <w:t>448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3</w:t>
            </w:r>
            <w:r>
              <w:rPr>
                <w:rFonts w:ascii="Times New Roman" w:hAnsi="Times New Roman" w:cs="Times New Roman"/>
                <w:color w:val="auto"/>
                <w:sz w:val="18"/>
                <w:szCs w:val="18"/>
              </w:rPr>
              <w:t>3</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方大小郢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4</w:t>
            </w:r>
            <w:r>
              <w:rPr>
                <w:rFonts w:ascii="Times New Roman" w:hAnsi="Times New Roman" w:cs="Times New Roman"/>
                <w:color w:val="auto"/>
                <w:sz w:val="18"/>
                <w:szCs w:val="18"/>
              </w:rPr>
              <w:t>255</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950</w:t>
            </w:r>
          </w:p>
        </w:tc>
        <w:tc>
          <w:tcPr>
            <w:tcW w:w="1418" w:type="dxa"/>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约60户，250人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N</w:t>
            </w:r>
            <w:r>
              <w:rPr>
                <w:rFonts w:ascii="Times New Roman" w:hAnsi="Times New Roman" w:cs="Times New Roman"/>
                <w:color w:val="auto"/>
                <w:kern w:val="0"/>
                <w:sz w:val="18"/>
                <w:szCs w:val="18"/>
                <w:lang w:bidi="ar"/>
              </w:rPr>
              <w:t>E</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3</w:t>
            </w:r>
            <w:r>
              <w:rPr>
                <w:rFonts w:ascii="Times New Roman" w:hAnsi="Times New Roman" w:cs="Times New Roman"/>
                <w:color w:val="auto"/>
                <w:kern w:val="0"/>
                <w:sz w:val="18"/>
                <w:szCs w:val="18"/>
                <w:lang w:bidi="ar"/>
              </w:rPr>
              <w:t>809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3</w:t>
            </w:r>
            <w:r>
              <w:rPr>
                <w:rFonts w:ascii="Times New Roman" w:hAnsi="Times New Roman" w:cs="Times New Roman"/>
                <w:color w:val="auto"/>
                <w:sz w:val="18"/>
                <w:szCs w:val="18"/>
              </w:rPr>
              <w:t>3</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义和家园</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3107</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3049</w:t>
            </w:r>
          </w:p>
        </w:tc>
        <w:tc>
          <w:tcPr>
            <w:tcW w:w="1418" w:type="dxa"/>
          </w:tcPr>
          <w:p>
            <w:pPr>
              <w:pStyle w:val="861"/>
              <w:widowControl w:val="0"/>
              <w:rPr>
                <w:szCs w:val="18"/>
              </w:rPr>
            </w:pPr>
            <w:r>
              <w:rPr>
                <w:szCs w:val="18"/>
              </w:rPr>
              <w:t>居住区</w:t>
            </w:r>
          </w:p>
        </w:tc>
        <w:tc>
          <w:tcPr>
            <w:tcW w:w="1701" w:type="dxa"/>
            <w:vAlign w:val="center"/>
          </w:tcPr>
          <w:p>
            <w:pPr>
              <w:pStyle w:val="861"/>
              <w:widowControl w:val="0"/>
              <w:rPr>
                <w:szCs w:val="18"/>
              </w:rPr>
            </w:pPr>
            <w:r>
              <w:rPr>
                <w:szCs w:val="18"/>
              </w:rPr>
              <w:t>约1200人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3367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3</w:t>
            </w:r>
            <w:r>
              <w:rPr>
                <w:rFonts w:ascii="Times New Roman" w:hAnsi="Times New Roman" w:cs="Times New Roman"/>
                <w:color w:val="auto"/>
                <w:sz w:val="18"/>
                <w:szCs w:val="18"/>
              </w:rPr>
              <w:t>4</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撮镇镇区</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1208</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3096</w:t>
            </w:r>
          </w:p>
        </w:tc>
        <w:tc>
          <w:tcPr>
            <w:tcW w:w="1418" w:type="dxa"/>
          </w:tcPr>
          <w:p>
            <w:pPr>
              <w:pStyle w:val="861"/>
              <w:widowControl w:val="0"/>
              <w:rPr>
                <w:szCs w:val="18"/>
              </w:rPr>
            </w:pPr>
            <w:r>
              <w:rPr>
                <w:szCs w:val="18"/>
              </w:rPr>
              <w:t>集中镇区</w:t>
            </w:r>
          </w:p>
        </w:tc>
        <w:tc>
          <w:tcPr>
            <w:tcW w:w="1701" w:type="dxa"/>
            <w:vAlign w:val="center"/>
          </w:tcPr>
          <w:p>
            <w:pPr>
              <w:pStyle w:val="861"/>
              <w:widowControl w:val="0"/>
              <w:rPr>
                <w:szCs w:val="18"/>
              </w:rPr>
            </w:pPr>
            <w:r>
              <w:rPr>
                <w:szCs w:val="18"/>
              </w:rPr>
              <w:t>约30000人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3017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3</w:t>
            </w:r>
            <w:r>
              <w:rPr>
                <w:rFonts w:ascii="Times New Roman" w:hAnsi="Times New Roman" w:cs="Times New Roman"/>
                <w:color w:val="auto"/>
                <w:sz w:val="18"/>
                <w:szCs w:val="18"/>
              </w:rPr>
              <w:t>5</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田庵村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584</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-2688</w:t>
            </w:r>
          </w:p>
        </w:tc>
        <w:tc>
          <w:tcPr>
            <w:tcW w:w="1418" w:type="dxa"/>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约60户，250人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S</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2362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3</w:t>
            </w:r>
            <w:r>
              <w:rPr>
                <w:rFonts w:ascii="Times New Roman" w:hAnsi="Times New Roman" w:cs="Times New Roman"/>
                <w:color w:val="auto"/>
                <w:sz w:val="18"/>
                <w:szCs w:val="18"/>
              </w:rPr>
              <w:t>6</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张油坊</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1373</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-3427</w:t>
            </w:r>
          </w:p>
        </w:tc>
        <w:tc>
          <w:tcPr>
            <w:tcW w:w="1418" w:type="dxa"/>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约20户，80人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S</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3349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3</w:t>
            </w:r>
            <w:r>
              <w:rPr>
                <w:rFonts w:ascii="Times New Roman" w:hAnsi="Times New Roman" w:cs="Times New Roman"/>
                <w:color w:val="auto"/>
                <w:sz w:val="18"/>
                <w:szCs w:val="18"/>
              </w:rPr>
              <w:t>7</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贾小郢</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3181</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2433</w:t>
            </w:r>
          </w:p>
        </w:tc>
        <w:tc>
          <w:tcPr>
            <w:tcW w:w="1418" w:type="dxa"/>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约20户，80人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N</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3132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3</w:t>
            </w:r>
            <w:r>
              <w:rPr>
                <w:rFonts w:ascii="Times New Roman" w:hAnsi="Times New Roman" w:cs="Times New Roman"/>
                <w:color w:val="auto"/>
                <w:sz w:val="18"/>
                <w:szCs w:val="18"/>
              </w:rPr>
              <w:t>8</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长乐乡</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1348</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-3976</w:t>
            </w:r>
          </w:p>
        </w:tc>
        <w:tc>
          <w:tcPr>
            <w:tcW w:w="1418" w:type="dxa"/>
          </w:tcPr>
          <w:p>
            <w:pPr>
              <w:pStyle w:val="861"/>
              <w:widowControl w:val="0"/>
              <w:rPr>
                <w:szCs w:val="18"/>
              </w:rPr>
            </w:pPr>
            <w:r>
              <w:rPr>
                <w:szCs w:val="18"/>
              </w:rPr>
              <w:t>集中镇区</w:t>
            </w:r>
          </w:p>
        </w:tc>
        <w:tc>
          <w:tcPr>
            <w:tcW w:w="1701" w:type="dxa"/>
            <w:vAlign w:val="center"/>
          </w:tcPr>
          <w:p>
            <w:pPr>
              <w:pStyle w:val="861"/>
              <w:widowControl w:val="0"/>
              <w:rPr>
                <w:szCs w:val="18"/>
              </w:rPr>
            </w:pPr>
            <w:r>
              <w:rPr>
                <w:szCs w:val="18"/>
              </w:rPr>
              <w:t>约3000人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S</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3888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3</w:t>
            </w:r>
            <w:r>
              <w:rPr>
                <w:rFonts w:ascii="Times New Roman" w:hAnsi="Times New Roman" w:cs="Times New Roman"/>
                <w:color w:val="auto"/>
                <w:sz w:val="18"/>
                <w:szCs w:val="18"/>
              </w:rPr>
              <w:t>9</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竹西村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388</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4055</w:t>
            </w:r>
          </w:p>
        </w:tc>
        <w:tc>
          <w:tcPr>
            <w:tcW w:w="1418" w:type="dxa"/>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约60户，250人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S</w:t>
            </w:r>
            <w:r>
              <w:rPr>
                <w:rFonts w:ascii="Times New Roman" w:hAnsi="Times New Roman" w:cs="Times New Roman"/>
                <w:color w:val="auto"/>
                <w:kern w:val="0"/>
                <w:sz w:val="18"/>
                <w:szCs w:val="18"/>
                <w:lang w:bidi="ar"/>
              </w:rPr>
              <w:t>E</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3</w:t>
            </w:r>
            <w:r>
              <w:rPr>
                <w:rFonts w:ascii="Times New Roman" w:hAnsi="Times New Roman" w:cs="Times New Roman"/>
                <w:color w:val="auto"/>
                <w:kern w:val="0"/>
                <w:sz w:val="18"/>
                <w:szCs w:val="18"/>
                <w:lang w:bidi="ar"/>
              </w:rPr>
              <w:t>484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40</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李六村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5</w:t>
            </w:r>
            <w:r>
              <w:rPr>
                <w:rFonts w:ascii="Times New Roman" w:hAnsi="Times New Roman" w:cs="Times New Roman"/>
                <w:color w:val="auto"/>
                <w:sz w:val="18"/>
                <w:szCs w:val="18"/>
              </w:rPr>
              <w:t>8</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3912</w:t>
            </w:r>
          </w:p>
        </w:tc>
        <w:tc>
          <w:tcPr>
            <w:tcW w:w="1418" w:type="dxa"/>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约10户，35人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S</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3</w:t>
            </w:r>
            <w:r>
              <w:rPr>
                <w:rFonts w:ascii="Times New Roman" w:hAnsi="Times New Roman" w:cs="Times New Roman"/>
                <w:color w:val="auto"/>
                <w:kern w:val="0"/>
                <w:sz w:val="18"/>
                <w:szCs w:val="18"/>
                <w:lang w:bidi="ar"/>
              </w:rPr>
              <w:t>675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41</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李小墩</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122</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3400</w:t>
            </w:r>
          </w:p>
        </w:tc>
        <w:tc>
          <w:tcPr>
            <w:tcW w:w="1418" w:type="dxa"/>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约10户，35人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S</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3</w:t>
            </w:r>
            <w:r>
              <w:rPr>
                <w:rFonts w:ascii="Times New Roman" w:hAnsi="Times New Roman" w:cs="Times New Roman"/>
                <w:color w:val="auto"/>
                <w:kern w:val="0"/>
                <w:sz w:val="18"/>
                <w:szCs w:val="18"/>
                <w:lang w:bidi="ar"/>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42</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余墩村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3004</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2355</w:t>
            </w:r>
          </w:p>
        </w:tc>
        <w:tc>
          <w:tcPr>
            <w:tcW w:w="1418" w:type="dxa"/>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约10户，35人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S</w:t>
            </w:r>
            <w:r>
              <w:rPr>
                <w:rFonts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3074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43</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慈云村</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2886</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2555</w:t>
            </w:r>
          </w:p>
        </w:tc>
        <w:tc>
          <w:tcPr>
            <w:tcW w:w="1418" w:type="dxa"/>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约10户，35人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S</w:t>
            </w:r>
            <w:r>
              <w:rPr>
                <w:rFonts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3</w:t>
            </w:r>
            <w:r>
              <w:rPr>
                <w:rFonts w:ascii="Times New Roman" w:hAnsi="Times New Roman" w:cs="Times New Roman"/>
                <w:color w:val="auto"/>
                <w:kern w:val="0"/>
                <w:sz w:val="18"/>
                <w:szCs w:val="18"/>
                <w:lang w:bidi="ar"/>
              </w:rPr>
              <w:t>387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44</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大圩镇老年活动中心</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3511</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136</w:t>
            </w:r>
          </w:p>
        </w:tc>
        <w:tc>
          <w:tcPr>
            <w:tcW w:w="1418" w:type="dxa"/>
          </w:tcPr>
          <w:p>
            <w:pPr>
              <w:pStyle w:val="861"/>
              <w:widowControl w:val="0"/>
              <w:rPr>
                <w:szCs w:val="18"/>
              </w:rPr>
            </w:pPr>
            <w:r>
              <w:rPr>
                <w:rFonts w:hint="eastAsia"/>
                <w:szCs w:val="18"/>
              </w:rPr>
              <w:t>行政区</w:t>
            </w:r>
          </w:p>
        </w:tc>
        <w:tc>
          <w:tcPr>
            <w:tcW w:w="1701" w:type="dxa"/>
            <w:vAlign w:val="center"/>
          </w:tcPr>
          <w:p>
            <w:pPr>
              <w:pStyle w:val="861"/>
              <w:widowControl w:val="0"/>
              <w:rPr>
                <w:szCs w:val="18"/>
              </w:rPr>
            </w:pPr>
            <w:r>
              <w:rPr>
                <w:rFonts w:hint="eastAsia"/>
                <w:szCs w:val="18"/>
              </w:rPr>
              <w:t>1</w:t>
            </w:r>
            <w:r>
              <w:rPr>
                <w:szCs w:val="18"/>
              </w:rPr>
              <w:t>00</w:t>
            </w:r>
            <w:r>
              <w:rPr>
                <w:rFonts w:hint="eastAsia"/>
                <w:szCs w:val="18"/>
              </w:rPr>
              <w:t>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3</w:t>
            </w:r>
            <w:r>
              <w:rPr>
                <w:rFonts w:ascii="Times New Roman" w:hAnsi="Times New Roman" w:cs="Times New Roman"/>
                <w:color w:val="auto"/>
                <w:kern w:val="0"/>
                <w:sz w:val="18"/>
                <w:szCs w:val="18"/>
                <w:lang w:bidi="ar"/>
              </w:rPr>
              <w:t>225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45</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孙马圩</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r>
              <w:rPr>
                <w:rFonts w:hint="eastAsia" w:ascii="Times New Roman" w:hAnsi="Times New Roman" w:cs="Times New Roman"/>
                <w:color w:val="auto"/>
                <w:sz w:val="18"/>
                <w:szCs w:val="18"/>
              </w:rPr>
              <w:t>4</w:t>
            </w:r>
            <w:r>
              <w:rPr>
                <w:rFonts w:ascii="Times New Roman" w:hAnsi="Times New Roman" w:cs="Times New Roman"/>
                <w:color w:val="auto"/>
                <w:sz w:val="18"/>
                <w:szCs w:val="18"/>
              </w:rPr>
              <w:t>258</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2</w:t>
            </w:r>
            <w:r>
              <w:rPr>
                <w:rFonts w:ascii="Times New Roman" w:hAnsi="Times New Roman" w:cs="Times New Roman"/>
                <w:color w:val="auto"/>
                <w:sz w:val="18"/>
                <w:szCs w:val="18"/>
              </w:rPr>
              <w:t>063</w:t>
            </w:r>
          </w:p>
        </w:tc>
        <w:tc>
          <w:tcPr>
            <w:tcW w:w="1418" w:type="dxa"/>
            <w:vAlign w:val="center"/>
          </w:tcPr>
          <w:p>
            <w:pPr>
              <w:pStyle w:val="861"/>
              <w:widowControl w:val="0"/>
              <w:rPr>
                <w:szCs w:val="18"/>
              </w:rPr>
            </w:pPr>
            <w:r>
              <w:rPr>
                <w:szCs w:val="18"/>
              </w:rPr>
              <w:t>村庄</w:t>
            </w:r>
          </w:p>
        </w:tc>
        <w:tc>
          <w:tcPr>
            <w:tcW w:w="1701" w:type="dxa"/>
            <w:vAlign w:val="center"/>
          </w:tcPr>
          <w:p>
            <w:pPr>
              <w:pStyle w:val="861"/>
              <w:widowControl w:val="0"/>
              <w:rPr>
                <w:szCs w:val="18"/>
              </w:rPr>
            </w:pPr>
            <w:r>
              <w:rPr>
                <w:szCs w:val="18"/>
              </w:rPr>
              <w:t>约35户，150人</w:t>
            </w:r>
          </w:p>
        </w:tc>
        <w:tc>
          <w:tcPr>
            <w:tcW w:w="3969" w:type="dxa"/>
            <w:vMerge w:val="continue"/>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W</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4</w:t>
            </w:r>
            <w:r>
              <w:rPr>
                <w:rFonts w:ascii="Times New Roman" w:hAnsi="Times New Roman" w:cs="Times New Roman"/>
                <w:color w:val="auto"/>
                <w:kern w:val="0"/>
                <w:sz w:val="18"/>
                <w:szCs w:val="18"/>
                <w:lang w:bidi="ar"/>
              </w:rPr>
              <w:t>626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1"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店埠河</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418" w:type="dxa"/>
            <w:vAlign w:val="center"/>
          </w:tcPr>
          <w:p>
            <w:pPr>
              <w:pStyle w:val="861"/>
              <w:widowControl w:val="0"/>
              <w:rPr>
                <w:szCs w:val="18"/>
              </w:rPr>
            </w:pPr>
            <w:r>
              <w:rPr>
                <w:szCs w:val="18"/>
              </w:rPr>
              <w:t>/</w:t>
            </w:r>
          </w:p>
        </w:tc>
        <w:tc>
          <w:tcPr>
            <w:tcW w:w="1701" w:type="dxa"/>
            <w:vAlign w:val="center"/>
          </w:tcPr>
          <w:p>
            <w:pPr>
              <w:pStyle w:val="861"/>
              <w:widowControl w:val="0"/>
              <w:rPr>
                <w:szCs w:val="18"/>
              </w:rPr>
            </w:pPr>
            <w:r>
              <w:rPr>
                <w:szCs w:val="18"/>
              </w:rPr>
              <w:t>小型</w:t>
            </w:r>
          </w:p>
        </w:tc>
        <w:tc>
          <w:tcPr>
            <w:tcW w:w="3969" w:type="dxa"/>
            <w:vMerge w:val="restart"/>
            <w:vAlign w:val="center"/>
          </w:tcPr>
          <w:p>
            <w:pPr>
              <w:pStyle w:val="861"/>
              <w:widowControl w:val="0"/>
              <w:rPr>
                <w:bCs/>
                <w:szCs w:val="18"/>
              </w:rPr>
            </w:pPr>
            <w:r>
              <w:rPr>
                <w:bCs/>
                <w:szCs w:val="18"/>
              </w:rPr>
              <w:t>《地表水环境质量标准》（GB3838-2002）</w:t>
            </w:r>
          </w:p>
          <w:p>
            <w:pPr>
              <w:pStyle w:val="861"/>
              <w:widowControl w:val="0"/>
              <w:rPr>
                <w:szCs w:val="18"/>
              </w:rPr>
            </w:pPr>
            <w:r>
              <w:rPr>
                <w:szCs w:val="18"/>
              </w:rPr>
              <w:fldChar w:fldCharType="begin"/>
            </w:r>
            <w:r>
              <w:rPr>
                <w:szCs w:val="18"/>
              </w:rPr>
              <w:instrText xml:space="preserve"> = 4 \* ROMAN </w:instrText>
            </w:r>
            <w:r>
              <w:rPr>
                <w:szCs w:val="18"/>
              </w:rPr>
              <w:fldChar w:fldCharType="separate"/>
            </w:r>
            <w:r>
              <w:rPr>
                <w:szCs w:val="18"/>
              </w:rPr>
              <w:t>IV</w:t>
            </w:r>
            <w:r>
              <w:rPr>
                <w:szCs w:val="18"/>
              </w:rPr>
              <w:fldChar w:fldCharType="end"/>
            </w:r>
            <w:r>
              <w:rPr>
                <w:bCs/>
                <w:szCs w:val="18"/>
              </w:rPr>
              <w:t>类标准</w:t>
            </w: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南淝河</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418" w:type="dxa"/>
            <w:vAlign w:val="center"/>
          </w:tcPr>
          <w:p>
            <w:pPr>
              <w:pStyle w:val="861"/>
              <w:widowControl w:val="0"/>
              <w:rPr>
                <w:szCs w:val="18"/>
              </w:rPr>
            </w:pPr>
            <w:r>
              <w:rPr>
                <w:szCs w:val="18"/>
              </w:rPr>
              <w:t>/</w:t>
            </w:r>
          </w:p>
        </w:tc>
        <w:tc>
          <w:tcPr>
            <w:tcW w:w="1701" w:type="dxa"/>
            <w:vAlign w:val="center"/>
          </w:tcPr>
          <w:p>
            <w:pPr>
              <w:pStyle w:val="861"/>
              <w:widowControl w:val="0"/>
              <w:rPr>
                <w:szCs w:val="18"/>
              </w:rPr>
            </w:pPr>
            <w:r>
              <w:rPr>
                <w:szCs w:val="18"/>
              </w:rPr>
              <w:t>中型</w:t>
            </w:r>
          </w:p>
        </w:tc>
        <w:tc>
          <w:tcPr>
            <w:tcW w:w="3969" w:type="dxa"/>
            <w:vMerge w:val="continue"/>
            <w:tcBorders>
              <w:bottom w:val="single" w:color="auto" w:sz="4" w:space="0"/>
            </w:tcBorders>
            <w:vAlign w:val="center"/>
          </w:tcPr>
          <w:p>
            <w:pPr>
              <w:pStyle w:val="861"/>
              <w:widowControl w:val="0"/>
              <w:rPr>
                <w:szCs w:val="18"/>
              </w:rPr>
            </w:pP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水力路径下游</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3.2km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4" w:hRule="atLeast"/>
          <w:jc w:val="center"/>
        </w:trPr>
        <w:tc>
          <w:tcPr>
            <w:tcW w:w="653" w:type="dxa"/>
            <w:vMerge w:val="continue"/>
            <w:vAlign w:val="center"/>
          </w:tcPr>
          <w:p>
            <w:pPr>
              <w:pStyle w:val="861"/>
              <w:widowControl w:val="0"/>
              <w:rPr>
                <w:szCs w:val="18"/>
              </w:rPr>
            </w:pPr>
          </w:p>
        </w:tc>
        <w:tc>
          <w:tcPr>
            <w:tcW w:w="756" w:type="dxa"/>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84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巢湖</w:t>
            </w:r>
          </w:p>
        </w:tc>
        <w:tc>
          <w:tcPr>
            <w:tcW w:w="70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85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418" w:type="dxa"/>
            <w:vAlign w:val="center"/>
          </w:tcPr>
          <w:p>
            <w:pPr>
              <w:pStyle w:val="861"/>
              <w:widowControl w:val="0"/>
              <w:rPr>
                <w:szCs w:val="18"/>
              </w:rPr>
            </w:pPr>
            <w:r>
              <w:rPr>
                <w:szCs w:val="18"/>
              </w:rPr>
              <w:t>/</w:t>
            </w:r>
          </w:p>
        </w:tc>
        <w:tc>
          <w:tcPr>
            <w:tcW w:w="1701" w:type="dxa"/>
            <w:vAlign w:val="center"/>
          </w:tcPr>
          <w:p>
            <w:pPr>
              <w:pStyle w:val="861"/>
              <w:widowControl w:val="0"/>
              <w:rPr>
                <w:szCs w:val="18"/>
              </w:rPr>
            </w:pPr>
            <w:r>
              <w:rPr>
                <w:szCs w:val="18"/>
              </w:rPr>
              <w:t>大型湖泊中型</w:t>
            </w:r>
          </w:p>
        </w:tc>
        <w:tc>
          <w:tcPr>
            <w:tcW w:w="3969" w:type="dxa"/>
            <w:tcBorders>
              <w:top w:val="single" w:color="auto" w:sz="4" w:space="0"/>
            </w:tcBorders>
            <w:vAlign w:val="center"/>
          </w:tcPr>
          <w:p>
            <w:pPr>
              <w:pStyle w:val="861"/>
              <w:widowControl w:val="0"/>
              <w:rPr>
                <w:bCs/>
                <w:szCs w:val="18"/>
              </w:rPr>
            </w:pPr>
            <w:r>
              <w:rPr>
                <w:bCs/>
                <w:szCs w:val="18"/>
              </w:rPr>
              <w:t>《地表水环境质量标准》（GB3838-2002）</w:t>
            </w:r>
          </w:p>
          <w:p>
            <w:pPr>
              <w:pStyle w:val="861"/>
              <w:widowControl w:val="0"/>
              <w:rPr>
                <w:szCs w:val="18"/>
              </w:rPr>
            </w:pPr>
            <w:r>
              <w:rPr>
                <w:szCs w:val="18"/>
              </w:rPr>
              <w:fldChar w:fldCharType="begin"/>
            </w:r>
            <w:r>
              <w:rPr>
                <w:szCs w:val="18"/>
              </w:rPr>
              <w:instrText xml:space="preserve"> = 4 \* ROMAN </w:instrText>
            </w:r>
            <w:r>
              <w:rPr>
                <w:szCs w:val="18"/>
              </w:rPr>
              <w:fldChar w:fldCharType="separate"/>
            </w:r>
            <w:r>
              <w:rPr>
                <w:szCs w:val="18"/>
              </w:rPr>
              <w:fldChar w:fldCharType="begin"/>
            </w:r>
            <w:r>
              <w:rPr>
                <w:szCs w:val="18"/>
              </w:rPr>
              <w:instrText xml:space="preserve"> = 3 \* ROMAN  \* MERGEFORMAT </w:instrText>
            </w:r>
            <w:r>
              <w:rPr>
                <w:szCs w:val="18"/>
              </w:rPr>
              <w:fldChar w:fldCharType="separate"/>
            </w:r>
            <w:r>
              <w:rPr>
                <w:szCs w:val="18"/>
              </w:rPr>
              <w:t>III</w:t>
            </w:r>
            <w:r>
              <w:rPr>
                <w:szCs w:val="18"/>
              </w:rPr>
              <w:fldChar w:fldCharType="end"/>
            </w:r>
            <w:r>
              <w:rPr>
                <w:szCs w:val="18"/>
              </w:rPr>
              <w:fldChar w:fldCharType="end"/>
            </w:r>
            <w:r>
              <w:rPr>
                <w:bCs/>
                <w:szCs w:val="18"/>
              </w:rPr>
              <w:t>类标准</w:t>
            </w:r>
          </w:p>
        </w:tc>
        <w:tc>
          <w:tcPr>
            <w:tcW w:w="1417"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水力路径下游</w:t>
            </w:r>
          </w:p>
        </w:tc>
        <w:tc>
          <w:tcPr>
            <w:tcW w:w="1049"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12.6km</w:t>
            </w:r>
          </w:p>
        </w:tc>
      </w:tr>
    </w:tbl>
    <w:p>
      <w:pPr>
        <w:pStyle w:val="98"/>
        <w:spacing w:line="240" w:lineRule="auto"/>
        <w:ind w:firstLine="421" w:firstLineChars="200"/>
        <w:rPr>
          <w:rFonts w:ascii="Times New Roman" w:hAnsi="Times New Roman" w:cs="Times New Roman"/>
          <w:b/>
          <w:bCs/>
          <w:sz w:val="21"/>
          <w:szCs w:val="21"/>
        </w:rPr>
      </w:pPr>
      <w:r>
        <w:rPr>
          <w:rFonts w:ascii="Times New Roman" w:hAnsi="Times New Roman" w:cs="Times New Roman"/>
          <w:b/>
          <w:bCs/>
          <w:sz w:val="21"/>
          <w:szCs w:val="21"/>
        </w:rPr>
        <w:t>备注：本项目南侧正在建设的有多金城国际企业总部中心（</w:t>
      </w:r>
      <w:r>
        <w:rPr>
          <w:rFonts w:hint="eastAsia" w:ascii="Times New Roman" w:hAnsi="Times New Roman" w:cs="Times New Roman"/>
          <w:b/>
          <w:bCs/>
          <w:sz w:val="21"/>
          <w:szCs w:val="21"/>
        </w:rPr>
        <w:t>边界</w:t>
      </w:r>
      <w:r>
        <w:rPr>
          <w:rFonts w:ascii="Times New Roman" w:hAnsi="Times New Roman" w:cs="Times New Roman"/>
          <w:b/>
          <w:bCs/>
          <w:sz w:val="21"/>
          <w:szCs w:val="21"/>
        </w:rPr>
        <w:t>距离本项目南侧边界101m，最近的硫酸储罐280m，最近的柴油储罐385m，最近的汽油储罐450m），该项目土地用地性质为工业用地，规划1000亩，其中一期163亩，建筑面积约14万m</w:t>
      </w:r>
      <w:r>
        <w:rPr>
          <w:rFonts w:ascii="Times New Roman" w:hAnsi="Times New Roman" w:cs="Times New Roman"/>
          <w:b/>
          <w:bCs/>
          <w:sz w:val="21"/>
          <w:szCs w:val="21"/>
          <w:vertAlign w:val="superscript"/>
        </w:rPr>
        <w:t>2</w:t>
      </w:r>
      <w:r>
        <w:rPr>
          <w:rFonts w:ascii="Times New Roman" w:hAnsi="Times New Roman" w:cs="Times New Roman"/>
          <w:b/>
          <w:bCs/>
          <w:sz w:val="21"/>
          <w:szCs w:val="21"/>
        </w:rPr>
        <w:t>。项目定位为高水准的工业综合体，主要建设制造业集聚平台，其功能为标准化厂房及工业研发。不属于居民区、学校、行政办公区，本次评价不列入大气环境保护</w:t>
      </w:r>
      <w:r>
        <w:rPr>
          <w:rFonts w:hint="eastAsia" w:ascii="Times New Roman" w:hAnsi="Times New Roman" w:cs="Times New Roman"/>
          <w:b/>
          <w:bCs/>
          <w:sz w:val="21"/>
          <w:szCs w:val="21"/>
        </w:rPr>
        <w:t>及声环境保护</w:t>
      </w:r>
      <w:r>
        <w:rPr>
          <w:rFonts w:ascii="Times New Roman" w:hAnsi="Times New Roman" w:cs="Times New Roman"/>
          <w:b/>
          <w:bCs/>
          <w:sz w:val="21"/>
          <w:szCs w:val="21"/>
        </w:rPr>
        <w:t>目标（环境风险保护其人员安全，进行保护人数统计）。</w:t>
      </w:r>
    </w:p>
    <w:p>
      <w:pPr>
        <w:ind w:firstLine="480"/>
        <w:rPr>
          <w:rFonts w:ascii="Times New Roman" w:hAnsi="Times New Roman" w:cs="Times New Roman"/>
          <w:color w:val="auto"/>
        </w:rPr>
        <w:sectPr>
          <w:pgSz w:w="16840" w:h="11907" w:orient="landscape"/>
          <w:pgMar w:top="1418" w:right="1418" w:bottom="1418" w:left="1418" w:header="851" w:footer="992" w:gutter="0"/>
          <w:cols w:space="720" w:num="1"/>
          <w:docGrid w:type="lines" w:linePitch="333" w:charSpace="0"/>
        </w:sectPr>
      </w:pPr>
    </w:p>
    <w:p>
      <w:pPr>
        <w:spacing w:line="240" w:lineRule="auto"/>
        <w:ind w:firstLine="0" w:firstLineChars="0"/>
        <w:jc w:val="center"/>
        <w:rPr>
          <w:rFonts w:ascii="Times New Roman" w:hAnsi="Times New Roman" w:cs="Times New Roman"/>
          <w:color w:val="auto"/>
        </w:rPr>
        <w:sectPr>
          <w:pgSz w:w="23808" w:h="16840" w:orient="landscape"/>
          <w:pgMar w:top="1418" w:right="1418" w:bottom="1418" w:left="1418" w:header="851" w:footer="992" w:gutter="0"/>
          <w:cols w:space="720" w:num="1"/>
          <w:docGrid w:type="linesAndChars" w:linePitch="333" w:charSpace="0"/>
        </w:sectPr>
      </w:pPr>
      <w:r>
        <w:rPr>
          <w:rFonts w:ascii="Times New Roman" w:hAnsi="Times New Roman" w:cs="Times New Roman"/>
          <w:color w:val="auto"/>
        </w:rPr>
        <mc:AlternateContent>
          <mc:Choice Requires="wps">
            <w:drawing>
              <wp:anchor distT="0" distB="0" distL="114300" distR="114300" simplePos="0" relativeHeight="251736064" behindDoc="0" locked="0" layoutInCell="1" allowOverlap="1">
                <wp:simplePos x="0" y="0"/>
                <wp:positionH relativeFrom="column">
                  <wp:posOffset>6148070</wp:posOffset>
                </wp:positionH>
                <wp:positionV relativeFrom="paragraph">
                  <wp:posOffset>4290695</wp:posOffset>
                </wp:positionV>
                <wp:extent cx="638175" cy="333375"/>
                <wp:effectExtent l="0" t="0" r="0" b="0"/>
                <wp:wrapNone/>
                <wp:docPr id="186" name="矩形 186"/>
                <wp:cNvGraphicFramePr/>
                <a:graphic xmlns:a="http://schemas.openxmlformats.org/drawingml/2006/main">
                  <a:graphicData uri="http://schemas.microsoft.com/office/word/2010/wordprocessingShape">
                    <wps:wsp>
                      <wps:cNvSpPr/>
                      <wps:spPr>
                        <a:xfrm>
                          <a:off x="0" y="0"/>
                          <a:ext cx="638175" cy="333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rPr>
                                <w:color w:val="0070C0"/>
                                <w:sz w:val="21"/>
                                <w:szCs w:val="20"/>
                              </w:rPr>
                            </w:pPr>
                            <w:r>
                              <w:rPr>
                                <w:rFonts w:hint="eastAsia"/>
                                <w:color w:val="0070C0"/>
                                <w:sz w:val="21"/>
                                <w:szCs w:val="20"/>
                                <w:highlight w:val="red"/>
                              </w:rPr>
                              <w:t>本项目</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84.1pt;margin-top:337.85pt;height:26.25pt;width:50.25pt;z-index:251736064;v-text-anchor:middle;mso-width-relative:page;mso-height-relative:page;" filled="f" stroked="f" coordsize="21600,21600" o:gfxdata="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5A+1V9gAAAAMAQAADwAAAAAAAAABACAAAAA4AAAAZHJzL2Rvd25yZXYueG1sUEsBAhQAFAAA&#10;AAgAh07iQKJLsf1LAgAAcQQAAA4AAAAAAAAAAQAgAAAAPQEAAGRycy9lMm9Eb2MueG1sUEsFBgAA&#10;AAAGAAYAWQEAAPoFAAAAAA==&#10;">
                <v:fill on="f" focussize="0,0"/>
                <v:stroke on="f" weight="1pt" miterlimit="8" joinstyle="miter"/>
                <v:imagedata o:title=""/>
                <o:lock v:ext="edit" aspectratio="f"/>
                <v:textbox>
                  <w:txbxContent>
                    <w:p>
                      <w:pPr>
                        <w:spacing w:line="240" w:lineRule="auto"/>
                        <w:ind w:firstLine="0" w:firstLineChars="0"/>
                        <w:rPr>
                          <w:color w:val="0070C0"/>
                          <w:sz w:val="21"/>
                          <w:szCs w:val="20"/>
                        </w:rPr>
                      </w:pPr>
                      <w:r>
                        <w:rPr>
                          <w:rFonts w:hint="eastAsia"/>
                          <w:color w:val="0070C0"/>
                          <w:sz w:val="21"/>
                          <w:szCs w:val="20"/>
                          <w:highlight w:val="red"/>
                        </w:rPr>
                        <w:t>本项目</w:t>
                      </w:r>
                    </w:p>
                  </w:txbxContent>
                </v:textbox>
              </v:rect>
            </w:pict>
          </mc:Fallback>
        </mc:AlternateContent>
      </w:r>
      <w:r>
        <w:rPr>
          <w:rFonts w:ascii="Times New Roman" w:hAnsi="Times New Roman" w:cs="Times New Roman"/>
          <w:color w:val="auto"/>
        </w:rPr>
        <mc:AlternateContent>
          <mc:Choice Requires="wps">
            <w:drawing>
              <wp:anchor distT="0" distB="0" distL="114300" distR="114300" simplePos="0" relativeHeight="251600896" behindDoc="0" locked="0" layoutInCell="1" allowOverlap="1">
                <wp:simplePos x="0" y="0"/>
                <wp:positionH relativeFrom="column">
                  <wp:posOffset>3947795</wp:posOffset>
                </wp:positionH>
                <wp:positionV relativeFrom="paragraph">
                  <wp:posOffset>1785620</wp:posOffset>
                </wp:positionV>
                <wp:extent cx="4829175" cy="5086350"/>
                <wp:effectExtent l="19050" t="19050" r="28575" b="19050"/>
                <wp:wrapNone/>
                <wp:docPr id="1932" name="矩形 25"/>
                <wp:cNvGraphicFramePr/>
                <a:graphic xmlns:a="http://schemas.openxmlformats.org/drawingml/2006/main">
                  <a:graphicData uri="http://schemas.microsoft.com/office/word/2010/wordprocessingShape">
                    <wps:wsp>
                      <wps:cNvSpPr>
                        <a:spLocks noChangeArrowheads="true"/>
                      </wps:cNvSpPr>
                      <wps:spPr bwMode="auto">
                        <a:xfrm>
                          <a:off x="0" y="0"/>
                          <a:ext cx="4829175" cy="5086350"/>
                        </a:xfrm>
                        <a:prstGeom prst="rect">
                          <a:avLst/>
                        </a:prstGeom>
                        <a:noFill/>
                        <a:ln w="28575">
                          <a:solidFill>
                            <a:srgbClr val="FF0000"/>
                          </a:solidFill>
                          <a:round/>
                        </a:ln>
                      </wps:spPr>
                      <wps:bodyPr rot="0" vert="horz" wrap="square" lIns="91440" tIns="45720" rIns="91440" bIns="45720" anchor="ctr" anchorCtr="false" upright="true">
                        <a:noAutofit/>
                      </wps:bodyPr>
                    </wps:wsp>
                  </a:graphicData>
                </a:graphic>
              </wp:anchor>
            </w:drawing>
          </mc:Choice>
          <mc:Fallback>
            <w:pict>
              <v:rect id="矩形 25" o:spid="_x0000_s1026" o:spt="1" style="position:absolute;left:0pt;margin-left:310.85pt;margin-top:140.6pt;height:400.5pt;width:380.25pt;z-index:251600896;v-text-anchor:middle;mso-width-relative:page;mso-height-relative:page;" filled="f" stroked="t" coordsize="21600,21600" o:gfxdata="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FgAAAGRycy9QSwEC&#10;FAAUAAAACACHTuJASgRtotgAAAANAQAADwAAAAAAAAABACAAAAA4AAAAZHJzL2Rvd25yZXYueG1s&#10;UEsBAhQAFAAAAAgAh07iQHYhuKEbAgAA/QMAAA4AAAAAAAAAAQAgAAAAPQEAAGRycy9lMm9Eb2Mu&#10;eG1sUEsFBgAAAAAGAAYAWQEAAMoFAAAAAA==&#10;">
                <v:fill on="f" focussize="0,0"/>
                <v:stroke weight="2.25pt" color="#FF0000" joinstyle="round"/>
                <v:imagedata o:title=""/>
                <o:lock v:ext="edit" aspectratio="f"/>
              </v:rect>
            </w:pict>
          </mc:Fallback>
        </mc:AlternateContent>
      </w:r>
      <w:r>
        <w:rPr>
          <w:rFonts w:ascii="Times New Roman" w:hAnsi="Times New Roman" w:cs="Times New Roman"/>
        </w:rPr>
        <mc:AlternateContent>
          <mc:Choice Requires="wps">
            <w:drawing>
              <wp:anchor distT="0" distB="0" distL="114300" distR="114300" simplePos="0" relativeHeight="251599872" behindDoc="0" locked="0" layoutInCell="1" allowOverlap="1">
                <wp:simplePos x="0" y="0"/>
                <wp:positionH relativeFrom="column">
                  <wp:posOffset>1271270</wp:posOffset>
                </wp:positionH>
                <wp:positionV relativeFrom="paragraph">
                  <wp:posOffset>-62230</wp:posOffset>
                </wp:positionV>
                <wp:extent cx="9878695" cy="8982710"/>
                <wp:effectExtent l="0" t="0" r="27305" b="27940"/>
                <wp:wrapNone/>
                <wp:docPr id="1933" name="Oval 1663"/>
                <wp:cNvGraphicFramePr/>
                <a:graphic xmlns:a="http://schemas.openxmlformats.org/drawingml/2006/main">
                  <a:graphicData uri="http://schemas.microsoft.com/office/word/2010/wordprocessingShape">
                    <wps:wsp>
                      <wps:cNvSpPr>
                        <a:spLocks noChangeArrowheads="true"/>
                      </wps:cNvSpPr>
                      <wps:spPr bwMode="auto">
                        <a:xfrm>
                          <a:off x="0" y="0"/>
                          <a:ext cx="9878695" cy="8982710"/>
                        </a:xfrm>
                        <a:prstGeom prst="ellipse">
                          <a:avLst/>
                        </a:prstGeom>
                        <a:noFill/>
                        <a:ln w="9525">
                          <a:solidFill>
                            <a:srgbClr val="FF0000"/>
                          </a:solidFill>
                          <a:round/>
                        </a:ln>
                      </wps:spPr>
                      <wps:bodyPr rot="0" vert="horz" wrap="square" lIns="91440" tIns="45720" rIns="91440" bIns="45720" anchor="t" anchorCtr="false" upright="true">
                        <a:noAutofit/>
                      </wps:bodyPr>
                    </wps:wsp>
                  </a:graphicData>
                </a:graphic>
              </wp:anchor>
            </w:drawing>
          </mc:Choice>
          <mc:Fallback>
            <w:pict>
              <v:shape id="Oval 1663" o:spid="_x0000_s1026" o:spt="3" type="#_x0000_t3" style="position:absolute;left:0pt;margin-left:100.1pt;margin-top:-4.9pt;height:707.3pt;width:777.85pt;z-index:251599872;mso-width-relative:page;mso-height-relative:page;" filled="f" stroked="t" coordsize="21600,21600" o:gfxdata="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BYAAABkcnMvUEsBAhQAFAAAAAgA&#10;h07iQImIC3LbAAAADAEAAA8AAAAAAAAAAQAgAAAAOAAAAGRycy9kb3ducmV2LnhtbFBLAQIUABQA&#10;AAAIAIdO4kA6W4aREAIAAP0DAAAOAAAAAAAAAAEAIAAAAEABAABkcnMvZTJvRG9jLnhtbFBLBQYA&#10;AAAABgAGAFkBAADCBQAAAAA=&#10;">
                <v:fill on="f" focussize="0,0"/>
                <v:stroke color="#FF0000" joinstyle="round"/>
                <v:imagedata o:title=""/>
                <o:lock v:ext="edit" aspectratio="f"/>
              </v:shape>
            </w:pict>
          </mc:Fallback>
        </mc:AlternateContent>
      </w:r>
      <w:r>
        <w:rPr>
          <w:rFonts w:ascii="Times New Roman" w:hAnsi="Times New Roman" w:cs="Times New Roman"/>
          <w:color w:val="auto"/>
        </w:rPr>
        <mc:AlternateContent>
          <mc:Choice Requires="wps">
            <w:drawing>
              <wp:anchor distT="0" distB="0" distL="114300" distR="114300" simplePos="0" relativeHeight="251604992" behindDoc="0" locked="0" layoutInCell="1" allowOverlap="1">
                <wp:simplePos x="0" y="0"/>
                <wp:positionH relativeFrom="column">
                  <wp:posOffset>5117465</wp:posOffset>
                </wp:positionH>
                <wp:positionV relativeFrom="paragraph">
                  <wp:posOffset>8986520</wp:posOffset>
                </wp:positionV>
                <wp:extent cx="3209925" cy="276225"/>
                <wp:effectExtent l="0" t="0" r="1905" b="0"/>
                <wp:wrapNone/>
                <wp:docPr id="1928" name="Rectangle 772"/>
                <wp:cNvGraphicFramePr/>
                <a:graphic xmlns:a="http://schemas.openxmlformats.org/drawingml/2006/main">
                  <a:graphicData uri="http://schemas.microsoft.com/office/word/2010/wordprocessingShape">
                    <wps:wsp>
                      <wps:cNvSpPr>
                        <a:spLocks noChangeArrowheads="true"/>
                      </wps:cNvSpPr>
                      <wps:spPr bwMode="auto">
                        <a:xfrm>
                          <a:off x="0" y="0"/>
                          <a:ext cx="3209925" cy="276225"/>
                        </a:xfrm>
                        <a:prstGeom prst="rect">
                          <a:avLst/>
                        </a:prstGeom>
                        <a:solidFill>
                          <a:srgbClr val="FFFFFF"/>
                        </a:solidFill>
                        <a:ln>
                          <a:noFill/>
                        </a:ln>
                      </wps:spPr>
                      <wps:txbx>
                        <w:txbxContent>
                          <w:p>
                            <w:pPr>
                              <w:ind w:firstLine="422"/>
                              <w:rPr>
                                <w:rFonts w:ascii="Times New Roman" w:hAnsi="Times New Roman" w:cs="Times New Roman"/>
                              </w:rPr>
                            </w:pPr>
                            <w:r>
                              <w:rPr>
                                <w:rFonts w:ascii="Times New Roman" w:hAnsi="Times New Roman" w:cs="Times New Roman"/>
                                <w:b/>
                                <w:sz w:val="21"/>
                                <w:szCs w:val="21"/>
                              </w:rPr>
                              <w:t>图2.8-1   本项目</w:t>
                            </w:r>
                            <w:r>
                              <w:rPr>
                                <w:rFonts w:hint="eastAsia" w:ascii="Times New Roman" w:hAnsi="Times New Roman" w:cs="Times New Roman"/>
                                <w:b/>
                                <w:sz w:val="21"/>
                                <w:szCs w:val="21"/>
                              </w:rPr>
                              <w:t>环境保护</w:t>
                            </w:r>
                            <w:r>
                              <w:rPr>
                                <w:rFonts w:ascii="Times New Roman" w:hAnsi="Times New Roman" w:cs="Times New Roman"/>
                                <w:b/>
                                <w:sz w:val="21"/>
                                <w:szCs w:val="21"/>
                              </w:rPr>
                              <w:t>目标分布图</w:t>
                            </w:r>
                          </w:p>
                        </w:txbxContent>
                      </wps:txbx>
                      <wps:bodyPr rot="0" vert="horz" wrap="square" lIns="91440" tIns="45720" rIns="91440" bIns="45720" anchor="t" anchorCtr="false" upright="true">
                        <a:noAutofit/>
                      </wps:bodyPr>
                    </wps:wsp>
                  </a:graphicData>
                </a:graphic>
              </wp:anchor>
            </w:drawing>
          </mc:Choice>
          <mc:Fallback>
            <w:pict>
              <v:rect id="Rectangle 772" o:spid="_x0000_s1026" o:spt="1" style="position:absolute;left:0pt;margin-left:402.95pt;margin-top:707.6pt;height:21.75pt;width:252.75pt;z-index:251604992;mso-width-relative:page;mso-height-relative:page;" fillcolor="#FFFFFF" filled="t" stroked="f" coordsize="21600,21600" o:gfxdata="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BYAAABkcnMvUEsBAhQAFAAAAAgAh07iQLXxwBTaAAAADgEA&#10;AA8AAAAAAAAAAQAgAAAAOAAAAGRycy9kb3ducmV2LnhtbFBLAQIUABQAAAAIAIdO4kCTWcmGAgIA&#10;APUDAAAOAAAAAAAAAAEAIAAAAD8BAABkcnMvZTJvRG9jLnhtbFBLBQYAAAAABgAGAFkBAACzBQAA&#10;AAA=&#10;">
                <v:fill on="t" focussize="0,0"/>
                <v:stroke on="f"/>
                <v:imagedata o:title=""/>
                <o:lock v:ext="edit" aspectratio="f"/>
                <v:textbox>
                  <w:txbxContent>
                    <w:p>
                      <w:pPr>
                        <w:ind w:firstLine="422"/>
                        <w:rPr>
                          <w:rFonts w:ascii="Times New Roman" w:hAnsi="Times New Roman" w:cs="Times New Roman"/>
                        </w:rPr>
                      </w:pPr>
                      <w:r>
                        <w:rPr>
                          <w:rFonts w:ascii="Times New Roman" w:hAnsi="Times New Roman" w:cs="Times New Roman"/>
                          <w:b/>
                          <w:sz w:val="21"/>
                          <w:szCs w:val="21"/>
                        </w:rPr>
                        <w:t>图2.8-1   本项目</w:t>
                      </w:r>
                      <w:r>
                        <w:rPr>
                          <w:rFonts w:hint="eastAsia" w:ascii="Times New Roman" w:hAnsi="Times New Roman" w:cs="Times New Roman"/>
                          <w:b/>
                          <w:sz w:val="21"/>
                          <w:szCs w:val="21"/>
                        </w:rPr>
                        <w:t>环境保护</w:t>
                      </w:r>
                      <w:r>
                        <w:rPr>
                          <w:rFonts w:ascii="Times New Roman" w:hAnsi="Times New Roman" w:cs="Times New Roman"/>
                          <w:b/>
                          <w:sz w:val="21"/>
                          <w:szCs w:val="21"/>
                        </w:rPr>
                        <w:t>目标分布图</w:t>
                      </w:r>
                    </w:p>
                  </w:txbxContent>
                </v:textbox>
              </v:rect>
            </w:pict>
          </mc:Fallback>
        </mc:AlternateContent>
      </w:r>
      <w:r>
        <w:t xml:space="preserve"> </w:t>
      </w:r>
      <w:r>
        <w:drawing>
          <wp:inline distT="0" distB="0" distL="0" distR="0">
            <wp:extent cx="12542520" cy="8892540"/>
            <wp:effectExtent l="0" t="0" r="0" b="3810"/>
            <wp:docPr id="167" name="图片 1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true"/>
                    </pic:cNvPicPr>
                  </pic:nvPicPr>
                  <pic:blipFill>
                    <a:blip r:embed="rId50"/>
                    <a:stretch>
                      <a:fillRect/>
                    </a:stretch>
                  </pic:blipFill>
                  <pic:spPr>
                    <a:xfrm>
                      <a:off x="0" y="0"/>
                      <a:ext cx="12542520" cy="8892540"/>
                    </a:xfrm>
                    <a:prstGeom prst="rect">
                      <a:avLst/>
                    </a:prstGeom>
                  </pic:spPr>
                </pic:pic>
              </a:graphicData>
            </a:graphic>
          </wp:inline>
        </w:drawing>
      </w:r>
    </w:p>
    <w:p>
      <w:pPr>
        <w:ind w:firstLine="480"/>
        <w:jc w:val="left"/>
        <w:rPr>
          <w:rFonts w:ascii="Times New Roman" w:hAnsi="Times New Roman" w:cs="Times New Roman"/>
        </w:rPr>
      </w:pPr>
      <w:bookmarkStart w:id="143" w:name="_Toc102979814"/>
      <w:bookmarkStart w:id="144" w:name="_Toc498509995"/>
      <w:r>
        <w:rPr>
          <w:rFonts w:ascii="Times New Roman" w:hAnsi="Times New Roman" w:cs="Times New Roman"/>
          <w:color w:val="auto"/>
          <w:szCs w:val="24"/>
        </w:rPr>
        <mc:AlternateContent>
          <mc:Choice Requires="wps">
            <w:drawing>
              <wp:anchor distT="0" distB="0" distL="114300" distR="114300" simplePos="0" relativeHeight="251614208" behindDoc="0" locked="0" layoutInCell="1" allowOverlap="1">
                <wp:simplePos x="0" y="0"/>
                <wp:positionH relativeFrom="column">
                  <wp:posOffset>1424305</wp:posOffset>
                </wp:positionH>
                <wp:positionV relativeFrom="paragraph">
                  <wp:posOffset>1500505</wp:posOffset>
                </wp:positionV>
                <wp:extent cx="3543300" cy="3505200"/>
                <wp:effectExtent l="9525" t="9525" r="9525" b="9525"/>
                <wp:wrapNone/>
                <wp:docPr id="255" name="Oval 2986"/>
                <wp:cNvGraphicFramePr/>
                <a:graphic xmlns:a="http://schemas.openxmlformats.org/drawingml/2006/main">
                  <a:graphicData uri="http://schemas.microsoft.com/office/word/2010/wordprocessingShape">
                    <wps:wsp>
                      <wps:cNvSpPr>
                        <a:spLocks noChangeArrowheads="true"/>
                      </wps:cNvSpPr>
                      <wps:spPr bwMode="auto">
                        <a:xfrm>
                          <a:off x="0" y="0"/>
                          <a:ext cx="3543300" cy="3505200"/>
                        </a:xfrm>
                        <a:prstGeom prst="ellipse">
                          <a:avLst/>
                        </a:prstGeom>
                        <a:noFill/>
                        <a:ln w="19050">
                          <a:solidFill>
                            <a:srgbClr val="FF0000"/>
                          </a:solidFill>
                          <a:round/>
                        </a:ln>
                      </wps:spPr>
                      <wps:bodyPr rot="0" vert="horz" wrap="square" lIns="91440" tIns="45720" rIns="91440" bIns="45720" anchor="t" anchorCtr="false" upright="true">
                        <a:noAutofit/>
                      </wps:bodyPr>
                    </wps:wsp>
                  </a:graphicData>
                </a:graphic>
              </wp:anchor>
            </w:drawing>
          </mc:Choice>
          <mc:Fallback>
            <w:pict>
              <v:shape id="Oval 2986" o:spid="_x0000_s1026" o:spt="3" type="#_x0000_t3" style="position:absolute;left:0pt;margin-left:112.15pt;margin-top:118.15pt;height:276pt;width:279pt;z-index:251614208;mso-width-relative:page;mso-height-relative:page;" filled="f" stroked="t" coordsize="21600,21600" o:gfxdata="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gtL0DdgAAAALAQAADwAAAAAAAAABACAAAAA4AAAAZHJzL2Rvd25yZXYueG1sUEsBAhQAFAAAAAgA&#10;h07iQBocmS0PAgAA/QMAAA4AAAAAAAAAAQAgAAAAPQEAAGRycy9lMm9Eb2MueG1sUEsFBgAAAAAG&#10;AAYAWQEAAL4FAAAAAA==&#10;">
                <v:fill on="f" focussize="0,0"/>
                <v:stroke weight="1.5pt" color="#FF0000" joinstyle="round"/>
                <v:imagedata o:title=""/>
                <o:lock v:ext="edit" aspectratio="f"/>
              </v:shape>
            </w:pict>
          </mc:Fallback>
        </mc:AlternateContent>
      </w:r>
      <w:r>
        <w:rPr>
          <w:rFonts w:ascii="Times New Roman" w:hAnsi="Times New Roman" w:cs="Times New Roman"/>
          <w:color w:val="auto"/>
          <w:szCs w:val="24"/>
        </w:rPr>
        <mc:AlternateContent>
          <mc:Choice Requires="wps">
            <w:drawing>
              <wp:anchor distT="0" distB="0" distL="114300" distR="114300" simplePos="0" relativeHeight="251615232" behindDoc="0" locked="0" layoutInCell="1" allowOverlap="1">
                <wp:simplePos x="0" y="0"/>
                <wp:positionH relativeFrom="column">
                  <wp:posOffset>2032635</wp:posOffset>
                </wp:positionH>
                <wp:positionV relativeFrom="paragraph">
                  <wp:posOffset>2681605</wp:posOffset>
                </wp:positionV>
                <wp:extent cx="914400" cy="276225"/>
                <wp:effectExtent l="8255" t="9525" r="410845" b="295275"/>
                <wp:wrapNone/>
                <wp:docPr id="254" name="AutoShape 2987"/>
                <wp:cNvGraphicFramePr/>
                <a:graphic xmlns:a="http://schemas.openxmlformats.org/drawingml/2006/main">
                  <a:graphicData uri="http://schemas.microsoft.com/office/word/2010/wordprocessingShape">
                    <wps:wsp>
                      <wps:cNvSpPr>
                        <a:spLocks noChangeArrowheads="true"/>
                      </wps:cNvSpPr>
                      <wps:spPr bwMode="auto">
                        <a:xfrm>
                          <a:off x="0" y="0"/>
                          <a:ext cx="914400" cy="276225"/>
                        </a:xfrm>
                        <a:prstGeom prst="wedgeRoundRectCallout">
                          <a:avLst>
                            <a:gd name="adj1" fmla="val 86736"/>
                            <a:gd name="adj2" fmla="val 143102"/>
                            <a:gd name="adj3" fmla="val 16667"/>
                          </a:avLst>
                        </a:prstGeom>
                        <a:noFill/>
                        <a:ln w="9525">
                          <a:solidFill>
                            <a:srgbClr val="FFFF00"/>
                          </a:solidFill>
                          <a:miter lim="800000"/>
                        </a:ln>
                      </wps:spPr>
                      <wps:txbx>
                        <w:txbxContent>
                          <w:p>
                            <w:pPr>
                              <w:ind w:firstLine="0" w:firstLineChars="0"/>
                              <w:jc w:val="center"/>
                              <w:rPr>
                                <w:color w:val="FF0000"/>
                              </w:rPr>
                            </w:pPr>
                            <w:r>
                              <w:rPr>
                                <w:rFonts w:hint="eastAsia"/>
                                <w:color w:val="FF0000"/>
                                <w:highlight w:val="yellow"/>
                              </w:rPr>
                              <w:t>本项目</w:t>
                            </w:r>
                          </w:p>
                        </w:txbxContent>
                      </wps:txbx>
                      <wps:bodyPr rot="0" vert="horz" wrap="square" lIns="91440" tIns="45720" rIns="91440" bIns="45720" anchor="t" anchorCtr="false" upright="true">
                        <a:noAutofit/>
                      </wps:bodyPr>
                    </wps:wsp>
                  </a:graphicData>
                </a:graphic>
              </wp:anchor>
            </w:drawing>
          </mc:Choice>
          <mc:Fallback>
            <w:pict>
              <v:shape id="AutoShape 2987" o:spid="_x0000_s1026" o:spt="62" type="#_x0000_t62" style="position:absolute;left:0pt;margin-left:160.05pt;margin-top:211.15pt;height:21.75pt;width:72pt;z-index:251615232;mso-width-relative:page;mso-height-relative:page;" filled="f" stroked="t" coordsize="21600,21600" o:gfxdata="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FIlfvfXAAAACwEAAA8AAAAAAAAAAQAgAAAAOAAAAGRycy9kb3ducmV2LnhtbFBLAQIU&#10;ABQAAAAIAIdO4kDYNteEUAIAAJsEAAAOAAAAAAAAAAEAIAAAADwBAABkcnMvZTJvRG9jLnhtbFBL&#10;BQYAAAAABgAGAFkBAAD+BQAAAAA=&#10;" adj="29535,41710,14400">
                <v:fill on="f" focussize="0,0"/>
                <v:stroke color="#FFFF00" miterlimit="8" joinstyle="miter"/>
                <v:imagedata o:title=""/>
                <o:lock v:ext="edit" aspectratio="f"/>
                <v:textbox>
                  <w:txbxContent>
                    <w:p>
                      <w:pPr>
                        <w:ind w:firstLine="0" w:firstLineChars="0"/>
                        <w:jc w:val="center"/>
                        <w:rPr>
                          <w:color w:val="FF0000"/>
                        </w:rPr>
                      </w:pPr>
                      <w:r>
                        <w:rPr>
                          <w:rFonts w:hint="eastAsia"/>
                          <w:color w:val="FF0000"/>
                          <w:highlight w:val="yellow"/>
                        </w:rPr>
                        <w:t>本项目</w:t>
                      </w:r>
                    </w:p>
                  </w:txbxContent>
                </v:textbox>
              </v:shape>
            </w:pict>
          </mc:Fallback>
        </mc:AlternateContent>
      </w:r>
      <w:r>
        <w:rPr>
          <w:rFonts w:ascii="Times New Roman" w:hAnsi="Times New Roman" w:cs="Times New Roman"/>
          <w:color w:val="auto"/>
          <w:szCs w:val="24"/>
        </w:rPr>
        <mc:AlternateContent>
          <mc:Choice Requires="wps">
            <w:drawing>
              <wp:anchor distT="0" distB="0" distL="114300" distR="114300" simplePos="0" relativeHeight="251616256" behindDoc="0" locked="0" layoutInCell="1" allowOverlap="1">
                <wp:simplePos x="0" y="0"/>
                <wp:positionH relativeFrom="column">
                  <wp:posOffset>3134995</wp:posOffset>
                </wp:positionH>
                <wp:positionV relativeFrom="paragraph">
                  <wp:posOffset>3098165</wp:posOffset>
                </wp:positionV>
                <wp:extent cx="276225" cy="234315"/>
                <wp:effectExtent l="43815" t="35560" r="41910" b="34925"/>
                <wp:wrapNone/>
                <wp:docPr id="253" name="AutoShape 2988"/>
                <wp:cNvGraphicFramePr/>
                <a:graphic xmlns:a="http://schemas.openxmlformats.org/drawingml/2006/main">
                  <a:graphicData uri="http://schemas.microsoft.com/office/word/2010/wordprocessingShape">
                    <wps:wsp>
                      <wps:cNvSpPr>
                        <a:spLocks noChangeArrowheads="true"/>
                      </wps:cNvSpPr>
                      <wps:spPr bwMode="auto">
                        <a:xfrm>
                          <a:off x="0" y="0"/>
                          <a:ext cx="276225" cy="234315"/>
                        </a:xfrm>
                        <a:prstGeom prst="star5">
                          <a:avLst/>
                        </a:prstGeom>
                        <a:solidFill>
                          <a:srgbClr val="FF0000"/>
                        </a:solidFill>
                        <a:ln w="15875">
                          <a:solidFill>
                            <a:srgbClr val="FFFF00"/>
                          </a:solidFill>
                          <a:miter lim="800000"/>
                        </a:ln>
                      </wps:spPr>
                      <wps:bodyPr rot="0" vert="horz" wrap="square" lIns="91440" tIns="45720" rIns="91440" bIns="45720" anchor="t" anchorCtr="false" upright="true">
                        <a:noAutofit/>
                      </wps:bodyPr>
                    </wps:wsp>
                  </a:graphicData>
                </a:graphic>
              </wp:anchor>
            </w:drawing>
          </mc:Choice>
          <mc:Fallback>
            <w:pict>
              <v:shape id="AutoShape 2988" o:spid="_x0000_s1026" style="position:absolute;left:0pt;margin-left:246.85pt;margin-top:243.95pt;height:18.45pt;width:21.75pt;z-index:251616256;mso-width-relative:page;mso-height-relative:page;" fillcolor="#FF0000" filled="t" stroked="t" coordsize="276225,234315" o:gfxdata="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WAAAAZHJzL1BLAQIUABQA&#10;AAAIAIdO4kCYme+22AAAAAsBAAAPAAAAAAAAAAEAIAAAADgAAABkcnMvZG93bnJldi54bWxQSwEC&#10;FAAUAAAACACHTuJAs/UIVxcCAAA0BAAADgAAAAAAAAABACAAAAA9AQAAZHJzL2Uyb0RvYy54bWxQ&#10;SwUGAAAAAAYABgBZAQAAxgUAAAAA&#10;" path="m0,89500l105509,89500,138112,0,170715,89500,276224,89500,190865,144814,223470,234314,138112,178999,52754,234314,85359,144814xe">
                <v:path o:connectlocs="138112,0;0,89500;52754,234314;223470,234314;276224,89500" o:connectangles="247,164,82,82,0"/>
                <v:fill on="t" focussize="0,0"/>
                <v:stroke weight="1.25pt" color="#FFFF00" miterlimit="8" joinstyle="miter"/>
                <v:imagedata o:title=""/>
                <o:lock v:ext="edit" aspectratio="f"/>
              </v:shape>
            </w:pict>
          </mc:Fallback>
        </mc:AlternateContent>
      </w:r>
      <w:r>
        <w:rPr>
          <w:rFonts w:ascii="Times New Roman" w:hAnsi="Times New Roman" w:cs="Times New Roman"/>
          <w:color w:val="auto"/>
          <w:szCs w:val="24"/>
        </w:rPr>
        <w:t>根据《肥东县撮镇镇总体规划（2009-2030年）》（2017年修改），本项目5km范围内周边用地规划情</w:t>
      </w:r>
      <w:r>
        <w:rPr>
          <w:rFonts w:ascii="Times New Roman" w:hAnsi="Times New Roman" w:cs="Times New Roman"/>
          <w:color w:val="auto"/>
        </w:rPr>
        <w:t>况如图2.6-2所示。</w:t>
      </w:r>
      <w:r>
        <w:rPr>
          <w:rFonts w:ascii="Times New Roman" w:hAnsi="Times New Roman" w:cs="Times New Roman"/>
        </w:rPr>
        <w:drawing>
          <wp:inline distT="0" distB="0" distL="0" distR="0">
            <wp:extent cx="5762625" cy="6602730"/>
            <wp:effectExtent l="0" t="0" r="0" b="0"/>
            <wp:docPr id="20"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true" noChangeArrowheads="true"/>
                    </pic:cNvPicPr>
                  </pic:nvPicPr>
                  <pic:blipFill>
                    <a:blip r:embed="rId51"/>
                    <a:srcRect/>
                    <a:stretch>
                      <a:fillRect/>
                    </a:stretch>
                  </pic:blipFill>
                  <pic:spPr>
                    <a:xfrm>
                      <a:off x="0" y="0"/>
                      <a:ext cx="5762625" cy="6602730"/>
                    </a:xfrm>
                    <a:prstGeom prst="rect">
                      <a:avLst/>
                    </a:prstGeom>
                    <a:noFill/>
                    <a:ln>
                      <a:noFill/>
                    </a:ln>
                  </pic:spPr>
                </pic:pic>
              </a:graphicData>
            </a:graphic>
          </wp:inline>
        </w:drawing>
      </w:r>
    </w:p>
    <w:p>
      <w:pPr>
        <w:ind w:firstLine="442"/>
        <w:jc w:val="center"/>
        <w:rPr>
          <w:rFonts w:ascii="Times New Roman" w:hAnsi="Times New Roman" w:cs="Times New Roman"/>
          <w:b/>
          <w:bCs/>
          <w:sz w:val="22"/>
          <w:szCs w:val="21"/>
        </w:rPr>
      </w:pPr>
      <w:r>
        <w:rPr>
          <w:rFonts w:ascii="Times New Roman" w:hAnsi="Times New Roman" w:cs="Times New Roman"/>
          <w:b/>
          <w:bCs/>
          <w:sz w:val="22"/>
          <w:szCs w:val="21"/>
        </w:rPr>
        <w:t>图2.8-2   本项目5km范围周边用地规划图</w:t>
      </w:r>
    </w:p>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145" w:name="_Toc104733318"/>
      <w:r>
        <w:rPr>
          <w:rFonts w:ascii="Times New Roman" w:hAnsi="Times New Roman" w:eastAsia="黑体" w:cs="Times New Roman"/>
          <w:color w:val="auto"/>
          <w:kern w:val="2"/>
          <w:sz w:val="28"/>
        </w:rPr>
        <w:t>2.9重要生态环境保护目标</w:t>
      </w:r>
      <w:bookmarkEnd w:id="143"/>
      <w:bookmarkEnd w:id="144"/>
      <w:bookmarkEnd w:id="145"/>
    </w:p>
    <w:p>
      <w:pPr>
        <w:ind w:firstLine="480"/>
        <w:rPr>
          <w:rFonts w:ascii="Times New Roman" w:hAnsi="Times New Roman" w:cs="Times New Roman"/>
          <w:color w:val="auto"/>
        </w:rPr>
      </w:pPr>
      <w:r>
        <w:rPr>
          <w:rFonts w:ascii="Times New Roman" w:hAnsi="Times New Roman" w:cs="Times New Roman"/>
          <w:color w:val="auto"/>
        </w:rPr>
        <w:t>1、重要生态环境保护目标</w:t>
      </w:r>
    </w:p>
    <w:p>
      <w:pPr>
        <w:pStyle w:val="16"/>
        <w:spacing w:line="360" w:lineRule="auto"/>
        <w:ind w:firstLine="480"/>
        <w:rPr>
          <w:color w:val="auto"/>
        </w:rPr>
      </w:pPr>
      <w:r>
        <w:rPr>
          <w:color w:val="auto"/>
          <w:sz w:val="24"/>
        </w:rPr>
        <w:t>通过对项目区的现场踏勘及资料收集，确定本项目涉及的具有水力联系的区域主要特殊环境保护目标如表2.9-1所示</w:t>
      </w:r>
      <w:r>
        <w:rPr>
          <w:color w:val="auto"/>
        </w:rPr>
        <w:t>。</w:t>
      </w:r>
    </w:p>
    <w:p>
      <w:pPr>
        <w:tabs>
          <w:tab w:val="left" w:pos="8790"/>
        </w:tabs>
        <w:spacing w:line="240" w:lineRule="auto"/>
        <w:ind w:firstLine="422"/>
        <w:jc w:val="center"/>
        <w:rPr>
          <w:rFonts w:ascii="Times New Roman" w:hAnsi="Times New Roman" w:cs="Times New Roman"/>
          <w:b/>
          <w:color w:val="auto"/>
          <w:sz w:val="21"/>
          <w:szCs w:val="21"/>
        </w:rPr>
      </w:pPr>
      <w:r>
        <w:rPr>
          <w:rFonts w:ascii="Times New Roman" w:hAnsi="Times New Roman" w:cs="Times New Roman"/>
          <w:b/>
          <w:color w:val="auto"/>
          <w:sz w:val="21"/>
          <w:szCs w:val="21"/>
        </w:rPr>
        <w:t>表2.9-1   本项目所在区域生态环境保护目标</w:t>
      </w:r>
    </w:p>
    <w:tbl>
      <w:tblPr>
        <w:tblStyle w:val="62"/>
        <w:tblW w:w="955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67"/>
        <w:gridCol w:w="1276"/>
        <w:gridCol w:w="2835"/>
        <w:gridCol w:w="1559"/>
        <w:gridCol w:w="1843"/>
        <w:gridCol w:w="147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04" w:hRule="atLeast"/>
          <w:jc w:val="center"/>
        </w:trPr>
        <w:tc>
          <w:tcPr>
            <w:tcW w:w="567" w:type="dxa"/>
            <w:vAlign w:val="center"/>
          </w:tcPr>
          <w:p>
            <w:pPr>
              <w:pStyle w:val="861"/>
              <w:widowControl w:val="0"/>
              <w:rPr>
                <w:kern w:val="2"/>
                <w:szCs w:val="18"/>
              </w:rPr>
            </w:pPr>
            <w:r>
              <w:rPr>
                <w:kern w:val="2"/>
                <w:szCs w:val="18"/>
              </w:rPr>
              <w:t>类别</w:t>
            </w:r>
          </w:p>
        </w:tc>
        <w:tc>
          <w:tcPr>
            <w:tcW w:w="1276" w:type="dxa"/>
            <w:vAlign w:val="center"/>
          </w:tcPr>
          <w:p>
            <w:pPr>
              <w:pStyle w:val="861"/>
              <w:widowControl w:val="0"/>
              <w:rPr>
                <w:kern w:val="2"/>
                <w:szCs w:val="18"/>
              </w:rPr>
            </w:pPr>
            <w:r>
              <w:rPr>
                <w:kern w:val="2"/>
                <w:szCs w:val="18"/>
              </w:rPr>
              <w:t>名称</w:t>
            </w:r>
          </w:p>
        </w:tc>
        <w:tc>
          <w:tcPr>
            <w:tcW w:w="2835" w:type="dxa"/>
            <w:vAlign w:val="center"/>
          </w:tcPr>
          <w:p>
            <w:pPr>
              <w:pStyle w:val="861"/>
              <w:widowControl w:val="0"/>
              <w:rPr>
                <w:kern w:val="2"/>
                <w:szCs w:val="18"/>
              </w:rPr>
            </w:pPr>
            <w:r>
              <w:rPr>
                <w:kern w:val="2"/>
                <w:szCs w:val="18"/>
              </w:rPr>
              <w:t>生态环境保护目标概况</w:t>
            </w:r>
          </w:p>
        </w:tc>
        <w:tc>
          <w:tcPr>
            <w:tcW w:w="1559" w:type="dxa"/>
            <w:vAlign w:val="center"/>
          </w:tcPr>
          <w:p>
            <w:pPr>
              <w:pStyle w:val="861"/>
              <w:widowControl w:val="0"/>
              <w:rPr>
                <w:kern w:val="2"/>
                <w:szCs w:val="18"/>
              </w:rPr>
            </w:pPr>
            <w:r>
              <w:rPr>
                <w:kern w:val="2"/>
                <w:szCs w:val="18"/>
              </w:rPr>
              <w:t>本项目与之位置关系</w:t>
            </w:r>
          </w:p>
        </w:tc>
        <w:tc>
          <w:tcPr>
            <w:tcW w:w="1843" w:type="dxa"/>
            <w:vAlign w:val="center"/>
          </w:tcPr>
          <w:p>
            <w:pPr>
              <w:pStyle w:val="861"/>
              <w:widowControl w:val="0"/>
              <w:rPr>
                <w:kern w:val="2"/>
                <w:szCs w:val="18"/>
              </w:rPr>
            </w:pPr>
            <w:r>
              <w:rPr>
                <w:rFonts w:hint="eastAsia"/>
                <w:kern w:val="2"/>
                <w:szCs w:val="18"/>
              </w:rPr>
              <w:t>地理直线距离</w:t>
            </w:r>
          </w:p>
        </w:tc>
        <w:tc>
          <w:tcPr>
            <w:tcW w:w="1474" w:type="dxa"/>
            <w:vAlign w:val="center"/>
          </w:tcPr>
          <w:p>
            <w:pPr>
              <w:pStyle w:val="861"/>
              <w:widowControl w:val="0"/>
              <w:rPr>
                <w:kern w:val="2"/>
                <w:szCs w:val="18"/>
              </w:rPr>
            </w:pPr>
            <w:r>
              <w:rPr>
                <w:kern w:val="2"/>
                <w:szCs w:val="18"/>
              </w:rPr>
              <w:t>本项目与之水力联系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870" w:hRule="atLeast"/>
          <w:jc w:val="center"/>
        </w:trPr>
        <w:tc>
          <w:tcPr>
            <w:tcW w:w="567" w:type="dxa"/>
            <w:vAlign w:val="center"/>
          </w:tcPr>
          <w:p>
            <w:pPr>
              <w:pStyle w:val="861"/>
              <w:widowControl w:val="0"/>
              <w:rPr>
                <w:kern w:val="2"/>
                <w:szCs w:val="18"/>
              </w:rPr>
            </w:pPr>
            <w:r>
              <w:rPr>
                <w:kern w:val="2"/>
                <w:szCs w:val="18"/>
              </w:rPr>
              <w:t>风景名胜区</w:t>
            </w:r>
          </w:p>
        </w:tc>
        <w:tc>
          <w:tcPr>
            <w:tcW w:w="1276" w:type="dxa"/>
            <w:vAlign w:val="center"/>
          </w:tcPr>
          <w:p>
            <w:pPr>
              <w:pStyle w:val="861"/>
              <w:widowControl w:val="0"/>
              <w:rPr>
                <w:kern w:val="2"/>
                <w:szCs w:val="18"/>
              </w:rPr>
            </w:pPr>
            <w:r>
              <w:rPr>
                <w:kern w:val="2"/>
                <w:szCs w:val="18"/>
              </w:rPr>
              <w:t>巢湖风景名胜区</w:t>
            </w:r>
          </w:p>
        </w:tc>
        <w:tc>
          <w:tcPr>
            <w:tcW w:w="2835" w:type="dxa"/>
            <w:vAlign w:val="center"/>
          </w:tcPr>
          <w:p>
            <w:pPr>
              <w:pStyle w:val="861"/>
              <w:widowControl w:val="0"/>
              <w:rPr>
                <w:kern w:val="2"/>
                <w:szCs w:val="18"/>
              </w:rPr>
            </w:pPr>
            <w:r>
              <w:t>总面积1299.64km</w:t>
            </w:r>
            <w:r>
              <w:rPr>
                <w:vertAlign w:val="superscript"/>
              </w:rPr>
              <w:t>2</w:t>
            </w:r>
          </w:p>
        </w:tc>
        <w:tc>
          <w:tcPr>
            <w:tcW w:w="1559" w:type="dxa"/>
            <w:vAlign w:val="center"/>
          </w:tcPr>
          <w:p>
            <w:pPr>
              <w:pStyle w:val="861"/>
              <w:widowControl w:val="0"/>
              <w:rPr>
                <w:kern w:val="2"/>
                <w:szCs w:val="18"/>
              </w:rPr>
            </w:pPr>
            <w:r>
              <w:rPr>
                <w:kern w:val="2"/>
                <w:szCs w:val="18"/>
              </w:rPr>
              <w:t>项目</w:t>
            </w:r>
            <w:r>
              <w:rPr>
                <w:rFonts w:hint="eastAsia"/>
                <w:kern w:val="2"/>
                <w:szCs w:val="18"/>
              </w:rPr>
              <w:t>选址用地</w:t>
            </w:r>
            <w:r>
              <w:rPr>
                <w:kern w:val="2"/>
                <w:szCs w:val="18"/>
              </w:rPr>
              <w:t>不涉及其一、二</w:t>
            </w:r>
            <w:r>
              <w:rPr>
                <w:rFonts w:hint="eastAsia"/>
                <w:kern w:val="2"/>
                <w:szCs w:val="18"/>
              </w:rPr>
              <w:t>、</w:t>
            </w:r>
            <w:r>
              <w:rPr>
                <w:kern w:val="2"/>
                <w:szCs w:val="18"/>
              </w:rPr>
              <w:t>三级保护区及外围保护地带</w:t>
            </w:r>
          </w:p>
        </w:tc>
        <w:tc>
          <w:tcPr>
            <w:tcW w:w="1843" w:type="dxa"/>
            <w:vAlign w:val="center"/>
          </w:tcPr>
          <w:p>
            <w:pPr>
              <w:pStyle w:val="861"/>
              <w:widowControl w:val="0"/>
              <w:rPr>
                <w:kern w:val="2"/>
                <w:szCs w:val="18"/>
              </w:rPr>
            </w:pPr>
            <w:r>
              <w:rPr>
                <w:rFonts w:hint="eastAsia"/>
                <w:kern w:val="2"/>
                <w:szCs w:val="18"/>
              </w:rPr>
              <w:t>外围保护地带3km</w:t>
            </w:r>
          </w:p>
          <w:p>
            <w:pPr>
              <w:pStyle w:val="861"/>
              <w:widowControl w:val="0"/>
              <w:rPr>
                <w:kern w:val="2"/>
                <w:szCs w:val="18"/>
              </w:rPr>
            </w:pPr>
            <w:r>
              <w:rPr>
                <w:rFonts w:hint="eastAsia"/>
                <w:kern w:val="2"/>
                <w:szCs w:val="18"/>
              </w:rPr>
              <w:t>三级保护区4km</w:t>
            </w:r>
          </w:p>
          <w:p>
            <w:pPr>
              <w:pStyle w:val="861"/>
              <w:widowControl w:val="0"/>
              <w:rPr>
                <w:kern w:val="2"/>
                <w:szCs w:val="18"/>
              </w:rPr>
            </w:pPr>
            <w:r>
              <w:rPr>
                <w:rFonts w:hint="eastAsia"/>
                <w:kern w:val="2"/>
                <w:szCs w:val="18"/>
              </w:rPr>
              <w:t>二级保护区9</w:t>
            </w:r>
            <w:r>
              <w:rPr>
                <w:kern w:val="2"/>
                <w:szCs w:val="18"/>
              </w:rPr>
              <w:t>.5</w:t>
            </w:r>
            <w:r>
              <w:rPr>
                <w:rFonts w:hint="eastAsia"/>
                <w:kern w:val="2"/>
                <w:szCs w:val="18"/>
              </w:rPr>
              <w:t>km</w:t>
            </w:r>
          </w:p>
          <w:p>
            <w:pPr>
              <w:pStyle w:val="861"/>
              <w:widowControl w:val="0"/>
              <w:rPr>
                <w:kern w:val="2"/>
                <w:szCs w:val="18"/>
              </w:rPr>
            </w:pPr>
            <w:r>
              <w:rPr>
                <w:rFonts w:hint="eastAsia"/>
                <w:kern w:val="2"/>
                <w:szCs w:val="18"/>
              </w:rPr>
              <w:t>一级保护区1</w:t>
            </w:r>
            <w:r>
              <w:rPr>
                <w:kern w:val="2"/>
                <w:szCs w:val="18"/>
              </w:rPr>
              <w:t>0.1</w:t>
            </w:r>
            <w:r>
              <w:rPr>
                <w:rFonts w:hint="eastAsia"/>
                <w:kern w:val="2"/>
                <w:szCs w:val="18"/>
              </w:rPr>
              <w:t xml:space="preserve"> km</w:t>
            </w:r>
          </w:p>
        </w:tc>
        <w:tc>
          <w:tcPr>
            <w:tcW w:w="1474" w:type="dxa"/>
            <w:vAlign w:val="center"/>
          </w:tcPr>
          <w:p>
            <w:pPr>
              <w:pStyle w:val="861"/>
              <w:widowControl w:val="0"/>
              <w:rPr>
                <w:kern w:val="2"/>
                <w:szCs w:val="18"/>
              </w:rPr>
            </w:pPr>
            <w:r>
              <w:rPr>
                <w:rFonts w:hint="eastAsia"/>
                <w:kern w:val="2"/>
                <w:szCs w:val="18"/>
              </w:rPr>
              <w:t>水力路径</w:t>
            </w:r>
            <w:r>
              <w:rPr>
                <w:kern w:val="2"/>
                <w:szCs w:val="18"/>
              </w:rPr>
              <w:t>下游</w:t>
            </w:r>
          </w:p>
          <w:p>
            <w:pPr>
              <w:pStyle w:val="861"/>
              <w:widowControl w:val="0"/>
              <w:rPr>
                <w:kern w:val="2"/>
                <w:szCs w:val="18"/>
              </w:rPr>
            </w:pPr>
            <w:r>
              <w:rPr>
                <w:rFonts w:hint="eastAsia"/>
                <w:kern w:val="2"/>
                <w:szCs w:val="18"/>
              </w:rPr>
              <w:t>外围保护地带3</w:t>
            </w:r>
            <w:r>
              <w:rPr>
                <w:kern w:val="2"/>
                <w:szCs w:val="18"/>
              </w:rPr>
              <w:t>.2</w:t>
            </w:r>
            <w:r>
              <w:rPr>
                <w:rFonts w:hint="eastAsia"/>
                <w:kern w:val="2"/>
                <w:szCs w:val="18"/>
              </w:rPr>
              <w:t>km</w:t>
            </w:r>
          </w:p>
          <w:p>
            <w:pPr>
              <w:pStyle w:val="861"/>
              <w:widowControl w:val="0"/>
              <w:rPr>
                <w:kern w:val="2"/>
                <w:szCs w:val="18"/>
              </w:rPr>
            </w:pPr>
            <w:r>
              <w:rPr>
                <w:rFonts w:hint="eastAsia"/>
                <w:kern w:val="2"/>
                <w:szCs w:val="18"/>
              </w:rPr>
              <w:t>三级保护区4</w:t>
            </w:r>
            <w:r>
              <w:rPr>
                <w:kern w:val="2"/>
                <w:szCs w:val="18"/>
              </w:rPr>
              <w:t>.2</w:t>
            </w:r>
            <w:r>
              <w:rPr>
                <w:rFonts w:hint="eastAsia"/>
                <w:kern w:val="2"/>
                <w:szCs w:val="18"/>
              </w:rPr>
              <w:t>km</w:t>
            </w:r>
          </w:p>
          <w:p>
            <w:pPr>
              <w:pStyle w:val="861"/>
              <w:widowControl w:val="0"/>
              <w:rPr>
                <w:kern w:val="2"/>
                <w:szCs w:val="18"/>
              </w:rPr>
            </w:pPr>
            <w:r>
              <w:rPr>
                <w:rFonts w:hint="eastAsia"/>
                <w:kern w:val="2"/>
                <w:szCs w:val="18"/>
              </w:rPr>
              <w:t>二级保护区9</w:t>
            </w:r>
            <w:r>
              <w:rPr>
                <w:kern w:val="2"/>
                <w:szCs w:val="18"/>
              </w:rPr>
              <w:t>.8</w:t>
            </w:r>
            <w:r>
              <w:rPr>
                <w:rFonts w:hint="eastAsia"/>
                <w:kern w:val="2"/>
                <w:szCs w:val="18"/>
              </w:rPr>
              <w:t>km</w:t>
            </w:r>
          </w:p>
          <w:p>
            <w:pPr>
              <w:pStyle w:val="861"/>
              <w:widowControl w:val="0"/>
              <w:rPr>
                <w:kern w:val="2"/>
                <w:szCs w:val="18"/>
              </w:rPr>
            </w:pPr>
            <w:r>
              <w:rPr>
                <w:rFonts w:hint="eastAsia"/>
                <w:kern w:val="2"/>
                <w:szCs w:val="18"/>
              </w:rPr>
              <w:t>一级保护区</w:t>
            </w:r>
          </w:p>
          <w:p>
            <w:pPr>
              <w:pStyle w:val="861"/>
              <w:widowControl w:val="0"/>
              <w:rPr>
                <w:kern w:val="2"/>
                <w:szCs w:val="18"/>
              </w:rPr>
            </w:pPr>
            <w:r>
              <w:rPr>
                <w:rFonts w:hint="eastAsia"/>
                <w:kern w:val="2"/>
                <w:szCs w:val="18"/>
              </w:rPr>
              <w:t>1</w:t>
            </w:r>
            <w:r>
              <w:rPr>
                <w:kern w:val="2"/>
                <w:szCs w:val="18"/>
              </w:rPr>
              <w:t>2.1</w:t>
            </w:r>
            <w:r>
              <w:rPr>
                <w:rFonts w:hint="eastAsia"/>
                <w:kern w:val="2"/>
                <w:szCs w:val="18"/>
              </w:rPr>
              <w:t xml:space="preserve"> 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04" w:hRule="atLeast"/>
          <w:jc w:val="center"/>
        </w:trPr>
        <w:tc>
          <w:tcPr>
            <w:tcW w:w="567" w:type="dxa"/>
            <w:vMerge w:val="restart"/>
            <w:vAlign w:val="center"/>
          </w:tcPr>
          <w:p>
            <w:pPr>
              <w:pStyle w:val="861"/>
              <w:widowControl w:val="0"/>
              <w:rPr>
                <w:kern w:val="2"/>
                <w:szCs w:val="18"/>
              </w:rPr>
            </w:pPr>
            <w:r>
              <w:rPr>
                <w:kern w:val="2"/>
                <w:szCs w:val="18"/>
              </w:rPr>
              <w:t>重要湿地</w:t>
            </w:r>
          </w:p>
        </w:tc>
        <w:tc>
          <w:tcPr>
            <w:tcW w:w="1276" w:type="dxa"/>
            <w:vAlign w:val="center"/>
          </w:tcPr>
          <w:p>
            <w:pPr>
              <w:pStyle w:val="861"/>
              <w:widowControl w:val="0"/>
              <w:rPr>
                <w:kern w:val="2"/>
                <w:szCs w:val="18"/>
              </w:rPr>
            </w:pPr>
            <w:r>
              <w:rPr>
                <w:kern w:val="2"/>
                <w:szCs w:val="18"/>
              </w:rPr>
              <w:t>巢湖</w:t>
            </w:r>
            <w:r>
              <w:rPr>
                <w:rFonts w:hint="eastAsia"/>
                <w:kern w:val="2"/>
                <w:szCs w:val="18"/>
              </w:rPr>
              <w:t>国家重要</w:t>
            </w:r>
            <w:r>
              <w:rPr>
                <w:kern w:val="2"/>
                <w:szCs w:val="18"/>
              </w:rPr>
              <w:t>湿地</w:t>
            </w:r>
          </w:p>
        </w:tc>
        <w:tc>
          <w:tcPr>
            <w:tcW w:w="2835" w:type="dxa"/>
            <w:vAlign w:val="center"/>
          </w:tcPr>
          <w:p>
            <w:pPr>
              <w:pStyle w:val="861"/>
              <w:rPr>
                <w:snapToGrid w:val="0"/>
              </w:rPr>
            </w:pPr>
            <w:r>
              <w:rPr>
                <w:rFonts w:hint="eastAsia"/>
                <w:snapToGrid w:val="0"/>
              </w:rPr>
              <w:t>巢湖是中国重要湿地，与洞庭湖、鄱阳湖、太湖、洪泽湖并称为中国“五大淡水湖”。</w:t>
            </w:r>
          </w:p>
          <w:p>
            <w:pPr>
              <w:pStyle w:val="861"/>
              <w:rPr>
                <w:snapToGrid w:val="0"/>
              </w:rPr>
            </w:pPr>
            <w:r>
              <w:rPr>
                <w:rFonts w:hint="eastAsia"/>
                <w:snapToGrid w:val="0"/>
              </w:rPr>
              <w:t>根据《安徽省全国第二次湿地资源调查》，巢湖湿地面积788km</w:t>
            </w:r>
            <w:r>
              <w:rPr>
                <w:rFonts w:hint="eastAsia"/>
                <w:snapToGrid w:val="0"/>
                <w:vertAlign w:val="superscript"/>
              </w:rPr>
              <w:t>2</w:t>
            </w:r>
            <w:r>
              <w:rPr>
                <w:rFonts w:hint="eastAsia"/>
                <w:snapToGrid w:val="0"/>
              </w:rPr>
              <w:t>。巢湖湖水主要靠地</w:t>
            </w:r>
          </w:p>
          <w:p>
            <w:pPr>
              <w:pStyle w:val="861"/>
              <w:rPr>
                <w:kern w:val="2"/>
                <w:szCs w:val="18"/>
              </w:rPr>
            </w:pPr>
            <w:r>
              <w:rPr>
                <w:rFonts w:hint="eastAsia"/>
                <w:snapToGrid w:val="0"/>
              </w:rPr>
              <w:t>面径流补给，集水范围包括合肥市，巢湖市、肥东县，肥西县，庐江县，舒城县、无为县等两市五县，总集水面积为 13486km</w:t>
            </w:r>
            <w:r>
              <w:rPr>
                <w:rFonts w:hint="eastAsia"/>
                <w:snapToGrid w:val="0"/>
                <w:vertAlign w:val="superscript"/>
              </w:rPr>
              <w:t>2</w:t>
            </w:r>
            <w:r>
              <w:rPr>
                <w:rFonts w:hint="eastAsia"/>
                <w:snapToGrid w:val="0"/>
              </w:rPr>
              <w:t>。巢湖湖区分为西半湖和东半湖，湿地植物存在较大差异，西半湖植物较东半湖湿地植物丰富。</w:t>
            </w:r>
          </w:p>
        </w:tc>
        <w:tc>
          <w:tcPr>
            <w:tcW w:w="1559" w:type="dxa"/>
            <w:vAlign w:val="center"/>
          </w:tcPr>
          <w:p>
            <w:pPr>
              <w:pStyle w:val="861"/>
              <w:widowControl w:val="0"/>
              <w:rPr>
                <w:kern w:val="2"/>
                <w:szCs w:val="18"/>
              </w:rPr>
            </w:pPr>
            <w:r>
              <w:rPr>
                <w:kern w:val="2"/>
                <w:szCs w:val="18"/>
              </w:rPr>
              <w:t>项目</w:t>
            </w:r>
            <w:r>
              <w:rPr>
                <w:rFonts w:hint="eastAsia"/>
                <w:kern w:val="2"/>
                <w:szCs w:val="18"/>
              </w:rPr>
              <w:t>选址用地</w:t>
            </w:r>
            <w:r>
              <w:rPr>
                <w:kern w:val="2"/>
                <w:szCs w:val="18"/>
              </w:rPr>
              <w:t>不涉及其湿地保护区</w:t>
            </w:r>
          </w:p>
        </w:tc>
        <w:tc>
          <w:tcPr>
            <w:tcW w:w="1843" w:type="dxa"/>
            <w:vAlign w:val="center"/>
          </w:tcPr>
          <w:p>
            <w:pPr>
              <w:pStyle w:val="861"/>
              <w:widowControl w:val="0"/>
              <w:rPr>
                <w:kern w:val="2"/>
                <w:szCs w:val="18"/>
              </w:rPr>
            </w:pPr>
            <w:r>
              <w:rPr>
                <w:rFonts w:hint="eastAsia"/>
                <w:kern w:val="2"/>
                <w:szCs w:val="18"/>
              </w:rPr>
              <w:t>1</w:t>
            </w:r>
            <w:r>
              <w:rPr>
                <w:kern w:val="2"/>
                <w:szCs w:val="18"/>
              </w:rPr>
              <w:t>0.1</w:t>
            </w:r>
            <w:r>
              <w:rPr>
                <w:rFonts w:hint="eastAsia"/>
                <w:kern w:val="2"/>
                <w:szCs w:val="18"/>
              </w:rPr>
              <w:t xml:space="preserve"> km</w:t>
            </w:r>
          </w:p>
        </w:tc>
        <w:tc>
          <w:tcPr>
            <w:tcW w:w="1474" w:type="dxa"/>
            <w:vAlign w:val="center"/>
          </w:tcPr>
          <w:p>
            <w:pPr>
              <w:pStyle w:val="861"/>
              <w:widowControl w:val="0"/>
              <w:rPr>
                <w:kern w:val="2"/>
                <w:szCs w:val="18"/>
              </w:rPr>
            </w:pPr>
            <w:r>
              <w:rPr>
                <w:rFonts w:hint="eastAsia"/>
                <w:kern w:val="2"/>
                <w:szCs w:val="18"/>
              </w:rPr>
              <w:t>水力路径</w:t>
            </w:r>
            <w:r>
              <w:rPr>
                <w:kern w:val="2"/>
                <w:szCs w:val="18"/>
              </w:rPr>
              <w:t>下游</w:t>
            </w:r>
          </w:p>
          <w:p>
            <w:pPr>
              <w:pStyle w:val="861"/>
              <w:widowControl w:val="0"/>
              <w:rPr>
                <w:kern w:val="2"/>
                <w:szCs w:val="18"/>
              </w:rPr>
            </w:pPr>
            <w:r>
              <w:rPr>
                <w:rFonts w:hint="eastAsia"/>
                <w:kern w:val="2"/>
                <w:szCs w:val="18"/>
              </w:rPr>
              <w:t>1</w:t>
            </w:r>
            <w:r>
              <w:rPr>
                <w:kern w:val="2"/>
                <w:szCs w:val="18"/>
              </w:rPr>
              <w:t>2.1</w:t>
            </w:r>
            <w:r>
              <w:rPr>
                <w:rFonts w:hint="eastAsia"/>
                <w:kern w:val="2"/>
                <w:szCs w:val="18"/>
              </w:rPr>
              <w:t xml:space="preserve"> 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04" w:hRule="atLeast"/>
          <w:jc w:val="center"/>
        </w:trPr>
        <w:tc>
          <w:tcPr>
            <w:tcW w:w="567" w:type="dxa"/>
            <w:vMerge w:val="continue"/>
            <w:vAlign w:val="center"/>
          </w:tcPr>
          <w:p>
            <w:pPr>
              <w:pStyle w:val="861"/>
              <w:widowControl w:val="0"/>
              <w:rPr>
                <w:kern w:val="2"/>
                <w:szCs w:val="18"/>
              </w:rPr>
            </w:pPr>
          </w:p>
        </w:tc>
        <w:tc>
          <w:tcPr>
            <w:tcW w:w="1276" w:type="dxa"/>
            <w:vAlign w:val="center"/>
          </w:tcPr>
          <w:p>
            <w:pPr>
              <w:pStyle w:val="861"/>
              <w:widowControl w:val="0"/>
              <w:rPr>
                <w:kern w:val="2"/>
                <w:szCs w:val="18"/>
              </w:rPr>
            </w:pPr>
            <w:r>
              <w:rPr>
                <w:rFonts w:hint="eastAsia"/>
                <w:kern w:val="2"/>
                <w:szCs w:val="18"/>
              </w:rPr>
              <w:t>安徽合肥巢湖湖滨国家湿地公园</w:t>
            </w:r>
          </w:p>
        </w:tc>
        <w:tc>
          <w:tcPr>
            <w:tcW w:w="2835" w:type="dxa"/>
            <w:vAlign w:val="center"/>
          </w:tcPr>
          <w:p>
            <w:pPr>
              <w:pStyle w:val="861"/>
              <w:widowControl w:val="0"/>
              <w:rPr>
                <w:snapToGrid w:val="0"/>
              </w:rPr>
            </w:pPr>
            <w:r>
              <w:rPr>
                <w:rFonts w:hint="eastAsia"/>
                <w:kern w:val="2"/>
                <w:szCs w:val="18"/>
              </w:rPr>
              <w:t>位于安徽省合肥市包河区巢湖北岸，合肥滨湖新区南侧，总面积1535.31公顷，湿地面积1317.77公顷，湿地率超过85%，东起南淝河河口，沿着巢湖河岸西至派河河口。园区湿地资源类型多样、动植物丰富，周边为合肥滨湖国家森林公园、牛角大圩、万达文旅城等景区环绕。功能分区为湿地保育区、恢复重建区、宣教展示区、合理利用区、管理服务区。</w:t>
            </w:r>
          </w:p>
        </w:tc>
        <w:tc>
          <w:tcPr>
            <w:tcW w:w="1559" w:type="dxa"/>
            <w:vAlign w:val="center"/>
          </w:tcPr>
          <w:p>
            <w:pPr>
              <w:pStyle w:val="861"/>
              <w:widowControl w:val="0"/>
              <w:rPr>
                <w:kern w:val="2"/>
                <w:szCs w:val="18"/>
              </w:rPr>
            </w:pPr>
            <w:r>
              <w:rPr>
                <w:kern w:val="2"/>
                <w:szCs w:val="18"/>
              </w:rPr>
              <w:t>项目</w:t>
            </w:r>
            <w:r>
              <w:rPr>
                <w:rFonts w:hint="eastAsia"/>
                <w:kern w:val="2"/>
                <w:szCs w:val="18"/>
              </w:rPr>
              <w:t>选址用地</w:t>
            </w:r>
            <w:r>
              <w:rPr>
                <w:kern w:val="2"/>
                <w:szCs w:val="18"/>
              </w:rPr>
              <w:t>不涉及其湿地保护区</w:t>
            </w:r>
          </w:p>
        </w:tc>
        <w:tc>
          <w:tcPr>
            <w:tcW w:w="1843" w:type="dxa"/>
            <w:vAlign w:val="center"/>
          </w:tcPr>
          <w:p>
            <w:pPr>
              <w:pStyle w:val="861"/>
              <w:widowControl w:val="0"/>
              <w:rPr>
                <w:kern w:val="2"/>
                <w:szCs w:val="18"/>
              </w:rPr>
            </w:pPr>
            <w:r>
              <w:rPr>
                <w:rFonts w:hint="eastAsia"/>
                <w:kern w:val="2"/>
                <w:szCs w:val="18"/>
              </w:rPr>
              <w:t>1</w:t>
            </w:r>
            <w:r>
              <w:rPr>
                <w:kern w:val="2"/>
                <w:szCs w:val="18"/>
              </w:rPr>
              <w:t>0.1</w:t>
            </w:r>
            <w:r>
              <w:rPr>
                <w:rFonts w:hint="eastAsia"/>
                <w:kern w:val="2"/>
                <w:szCs w:val="18"/>
              </w:rPr>
              <w:t xml:space="preserve"> km</w:t>
            </w:r>
          </w:p>
        </w:tc>
        <w:tc>
          <w:tcPr>
            <w:tcW w:w="1474" w:type="dxa"/>
            <w:vAlign w:val="center"/>
          </w:tcPr>
          <w:p>
            <w:pPr>
              <w:pStyle w:val="861"/>
              <w:widowControl w:val="0"/>
              <w:rPr>
                <w:kern w:val="2"/>
                <w:szCs w:val="18"/>
              </w:rPr>
            </w:pPr>
            <w:r>
              <w:rPr>
                <w:rFonts w:hint="eastAsia"/>
                <w:kern w:val="2"/>
                <w:szCs w:val="18"/>
              </w:rPr>
              <w:t>水力路径</w:t>
            </w:r>
            <w:r>
              <w:rPr>
                <w:kern w:val="2"/>
                <w:szCs w:val="18"/>
              </w:rPr>
              <w:t>下游</w:t>
            </w:r>
          </w:p>
          <w:p>
            <w:pPr>
              <w:pStyle w:val="861"/>
              <w:widowControl w:val="0"/>
              <w:rPr>
                <w:kern w:val="2"/>
                <w:szCs w:val="18"/>
              </w:rPr>
            </w:pPr>
            <w:r>
              <w:rPr>
                <w:rFonts w:hint="eastAsia"/>
                <w:kern w:val="2"/>
                <w:szCs w:val="18"/>
              </w:rPr>
              <w:t>1</w:t>
            </w:r>
            <w:r>
              <w:rPr>
                <w:kern w:val="2"/>
                <w:szCs w:val="18"/>
              </w:rPr>
              <w:t>2.1</w:t>
            </w:r>
            <w:r>
              <w:rPr>
                <w:rFonts w:hint="eastAsia"/>
                <w:kern w:val="2"/>
                <w:szCs w:val="18"/>
              </w:rPr>
              <w:t xml:space="preserve"> 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04" w:hRule="atLeast"/>
          <w:jc w:val="center"/>
        </w:trPr>
        <w:tc>
          <w:tcPr>
            <w:tcW w:w="567" w:type="dxa"/>
            <w:vMerge w:val="continue"/>
            <w:vAlign w:val="center"/>
          </w:tcPr>
          <w:p>
            <w:pPr>
              <w:pStyle w:val="861"/>
              <w:widowControl w:val="0"/>
              <w:rPr>
                <w:kern w:val="2"/>
                <w:szCs w:val="18"/>
              </w:rPr>
            </w:pPr>
          </w:p>
        </w:tc>
        <w:tc>
          <w:tcPr>
            <w:tcW w:w="1276" w:type="dxa"/>
            <w:vAlign w:val="center"/>
          </w:tcPr>
          <w:p>
            <w:pPr>
              <w:pStyle w:val="861"/>
              <w:rPr>
                <w:kern w:val="2"/>
                <w:szCs w:val="18"/>
              </w:rPr>
            </w:pPr>
            <w:r>
              <w:rPr>
                <w:rFonts w:hint="eastAsia"/>
                <w:kern w:val="2"/>
                <w:szCs w:val="18"/>
              </w:rPr>
              <w:t>合肥滨湖湿地森林公园</w:t>
            </w:r>
            <w:r>
              <w:rPr>
                <w:kern w:val="2"/>
                <w:szCs w:val="18"/>
              </w:rPr>
              <w:t xml:space="preserve">   </w:t>
            </w:r>
          </w:p>
          <w:p>
            <w:pPr>
              <w:pStyle w:val="861"/>
              <w:widowControl w:val="0"/>
              <w:rPr>
                <w:kern w:val="2"/>
                <w:szCs w:val="18"/>
              </w:rPr>
            </w:pPr>
          </w:p>
        </w:tc>
        <w:tc>
          <w:tcPr>
            <w:tcW w:w="2835" w:type="dxa"/>
            <w:vAlign w:val="center"/>
          </w:tcPr>
          <w:p>
            <w:pPr>
              <w:pStyle w:val="861"/>
              <w:rPr>
                <w:snapToGrid w:val="0"/>
              </w:rPr>
            </w:pPr>
            <w:r>
              <w:rPr>
                <w:rFonts w:hint="eastAsia"/>
                <w:kern w:val="2"/>
                <w:szCs w:val="18"/>
              </w:rPr>
              <w:t>位于安徽省合肥市包河区东南、巢湖北岸，紧临南淝河、十五里河入湖口。面积</w:t>
            </w:r>
            <w:r>
              <w:rPr>
                <w:kern w:val="2"/>
                <w:szCs w:val="18"/>
              </w:rPr>
              <w:t>1072</w:t>
            </w:r>
            <w:r>
              <w:rPr>
                <w:rFonts w:hint="eastAsia"/>
                <w:kern w:val="2"/>
                <w:szCs w:val="18"/>
              </w:rPr>
              <w:t>公顷，其中森林面积</w:t>
            </w:r>
            <w:r>
              <w:rPr>
                <w:kern w:val="2"/>
                <w:szCs w:val="18"/>
              </w:rPr>
              <w:t>799</w:t>
            </w:r>
            <w:r>
              <w:rPr>
                <w:rFonts w:hint="eastAsia"/>
                <w:kern w:val="2"/>
                <w:szCs w:val="18"/>
              </w:rPr>
              <w:t>公顷，水域面积</w:t>
            </w:r>
            <w:r>
              <w:rPr>
                <w:kern w:val="2"/>
                <w:szCs w:val="18"/>
              </w:rPr>
              <w:t>263</w:t>
            </w:r>
            <w:r>
              <w:rPr>
                <w:rFonts w:hint="eastAsia"/>
                <w:kern w:val="2"/>
                <w:szCs w:val="18"/>
              </w:rPr>
              <w:t>公顷。园内有植物</w:t>
            </w:r>
            <w:r>
              <w:rPr>
                <w:kern w:val="2"/>
                <w:szCs w:val="18"/>
              </w:rPr>
              <w:t>280</w:t>
            </w:r>
            <w:r>
              <w:rPr>
                <w:rFonts w:hint="eastAsia"/>
                <w:kern w:val="2"/>
                <w:szCs w:val="18"/>
              </w:rPr>
              <w:t>多种。合肥滨湖国家森林公园是中国第一个由退耕还林的人工林经过生态修复而建成的国家级森林公园</w:t>
            </w:r>
          </w:p>
        </w:tc>
        <w:tc>
          <w:tcPr>
            <w:tcW w:w="1559" w:type="dxa"/>
            <w:vAlign w:val="center"/>
          </w:tcPr>
          <w:p>
            <w:pPr>
              <w:pStyle w:val="861"/>
              <w:widowControl w:val="0"/>
              <w:rPr>
                <w:kern w:val="2"/>
                <w:szCs w:val="18"/>
              </w:rPr>
            </w:pPr>
            <w:r>
              <w:rPr>
                <w:kern w:val="2"/>
                <w:szCs w:val="18"/>
              </w:rPr>
              <w:t>项目</w:t>
            </w:r>
            <w:r>
              <w:rPr>
                <w:rFonts w:hint="eastAsia"/>
                <w:kern w:val="2"/>
                <w:szCs w:val="18"/>
              </w:rPr>
              <w:t>选址用地</w:t>
            </w:r>
            <w:r>
              <w:rPr>
                <w:kern w:val="2"/>
                <w:szCs w:val="18"/>
              </w:rPr>
              <w:t>不涉及其湿地保护区</w:t>
            </w:r>
          </w:p>
        </w:tc>
        <w:tc>
          <w:tcPr>
            <w:tcW w:w="1843" w:type="dxa"/>
            <w:vAlign w:val="center"/>
          </w:tcPr>
          <w:p>
            <w:pPr>
              <w:pStyle w:val="861"/>
              <w:widowControl w:val="0"/>
              <w:rPr>
                <w:kern w:val="2"/>
                <w:szCs w:val="18"/>
              </w:rPr>
            </w:pPr>
            <w:r>
              <w:rPr>
                <w:kern w:val="2"/>
                <w:szCs w:val="18"/>
              </w:rPr>
              <w:t>9.2</w:t>
            </w:r>
            <w:r>
              <w:rPr>
                <w:rFonts w:hint="eastAsia"/>
                <w:kern w:val="2"/>
                <w:szCs w:val="18"/>
              </w:rPr>
              <w:t xml:space="preserve"> km</w:t>
            </w:r>
          </w:p>
        </w:tc>
        <w:tc>
          <w:tcPr>
            <w:tcW w:w="1474" w:type="dxa"/>
            <w:vAlign w:val="center"/>
          </w:tcPr>
          <w:p>
            <w:pPr>
              <w:pStyle w:val="861"/>
              <w:widowControl w:val="0"/>
              <w:rPr>
                <w:kern w:val="2"/>
                <w:szCs w:val="18"/>
              </w:rPr>
            </w:pPr>
            <w:r>
              <w:rPr>
                <w:rFonts w:hint="eastAsia"/>
                <w:kern w:val="2"/>
                <w:szCs w:val="18"/>
              </w:rPr>
              <w:t>水力路径</w:t>
            </w:r>
            <w:r>
              <w:rPr>
                <w:kern w:val="2"/>
                <w:szCs w:val="18"/>
              </w:rPr>
              <w:t>下游</w:t>
            </w:r>
          </w:p>
          <w:p>
            <w:pPr>
              <w:pStyle w:val="861"/>
              <w:widowControl w:val="0"/>
              <w:rPr>
                <w:kern w:val="2"/>
                <w:szCs w:val="18"/>
              </w:rPr>
            </w:pPr>
            <w:r>
              <w:rPr>
                <w:kern w:val="2"/>
                <w:szCs w:val="18"/>
              </w:rPr>
              <w:t>9.6</w:t>
            </w:r>
            <w:r>
              <w:rPr>
                <w:rFonts w:hint="eastAsia"/>
                <w:kern w:val="2"/>
                <w:szCs w:val="18"/>
              </w:rPr>
              <w:t xml:space="preserve"> 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04" w:hRule="atLeast"/>
          <w:jc w:val="center"/>
        </w:trPr>
        <w:tc>
          <w:tcPr>
            <w:tcW w:w="567" w:type="dxa"/>
            <w:vMerge w:val="continue"/>
            <w:vAlign w:val="center"/>
          </w:tcPr>
          <w:p>
            <w:pPr>
              <w:pStyle w:val="861"/>
              <w:widowControl w:val="0"/>
              <w:rPr>
                <w:kern w:val="2"/>
                <w:szCs w:val="18"/>
              </w:rPr>
            </w:pPr>
          </w:p>
        </w:tc>
        <w:tc>
          <w:tcPr>
            <w:tcW w:w="1276" w:type="dxa"/>
            <w:vAlign w:val="center"/>
          </w:tcPr>
          <w:p>
            <w:pPr>
              <w:pStyle w:val="861"/>
              <w:rPr>
                <w:kern w:val="2"/>
                <w:szCs w:val="18"/>
              </w:rPr>
            </w:pPr>
            <w:r>
              <w:rPr>
                <w:rFonts w:hint="eastAsia"/>
                <w:kern w:val="2"/>
                <w:szCs w:val="18"/>
              </w:rPr>
              <w:t>肥东临河省级湿地公园</w:t>
            </w:r>
          </w:p>
        </w:tc>
        <w:tc>
          <w:tcPr>
            <w:tcW w:w="2835" w:type="dxa"/>
            <w:vAlign w:val="center"/>
          </w:tcPr>
          <w:p>
            <w:pPr>
              <w:pStyle w:val="861"/>
              <w:rPr>
                <w:kern w:val="2"/>
                <w:szCs w:val="18"/>
              </w:rPr>
            </w:pPr>
            <w:r>
              <w:rPr>
                <w:rFonts w:hint="eastAsia"/>
                <w:kern w:val="2"/>
                <w:szCs w:val="18"/>
              </w:rPr>
              <w:t>总占地面积</w:t>
            </w:r>
            <w:r>
              <w:rPr>
                <w:kern w:val="2"/>
                <w:szCs w:val="18"/>
              </w:rPr>
              <w:t>2331.17</w:t>
            </w:r>
            <w:r>
              <w:rPr>
                <w:rFonts w:hint="eastAsia"/>
                <w:kern w:val="2"/>
                <w:szCs w:val="18"/>
              </w:rPr>
              <w:t>公顷，湿地面积为1</w:t>
            </w:r>
            <w:r>
              <w:rPr>
                <w:kern w:val="2"/>
                <w:szCs w:val="18"/>
              </w:rPr>
              <w:t>041.14</w:t>
            </w:r>
            <w:r>
              <w:rPr>
                <w:rFonts w:hint="eastAsia"/>
                <w:kern w:val="2"/>
                <w:szCs w:val="18"/>
              </w:rPr>
              <w:t>公顷；东至回龙庵东侧；南至巢湖岸边常水位线8</w:t>
            </w:r>
            <w:r>
              <w:rPr>
                <w:kern w:val="2"/>
                <w:szCs w:val="18"/>
              </w:rPr>
              <w:t>.5</w:t>
            </w:r>
            <w:r>
              <w:rPr>
                <w:rFonts w:hint="eastAsia"/>
                <w:kern w:val="2"/>
                <w:szCs w:val="18"/>
              </w:rPr>
              <w:t>m；西至南淝河主河道岸西侧；北至南淝河与长乐河交汇处</w:t>
            </w:r>
          </w:p>
        </w:tc>
        <w:tc>
          <w:tcPr>
            <w:tcW w:w="1559" w:type="dxa"/>
            <w:vAlign w:val="center"/>
          </w:tcPr>
          <w:p>
            <w:pPr>
              <w:pStyle w:val="861"/>
              <w:widowControl w:val="0"/>
              <w:rPr>
                <w:kern w:val="2"/>
                <w:szCs w:val="18"/>
              </w:rPr>
            </w:pPr>
            <w:r>
              <w:rPr>
                <w:kern w:val="2"/>
                <w:szCs w:val="18"/>
              </w:rPr>
              <w:t>项目</w:t>
            </w:r>
            <w:r>
              <w:rPr>
                <w:rFonts w:hint="eastAsia"/>
                <w:kern w:val="2"/>
                <w:szCs w:val="18"/>
              </w:rPr>
              <w:t>选址用地</w:t>
            </w:r>
            <w:r>
              <w:rPr>
                <w:kern w:val="2"/>
                <w:szCs w:val="18"/>
              </w:rPr>
              <w:t>不涉及其湿地保护区</w:t>
            </w:r>
          </w:p>
        </w:tc>
        <w:tc>
          <w:tcPr>
            <w:tcW w:w="1843" w:type="dxa"/>
            <w:vAlign w:val="center"/>
          </w:tcPr>
          <w:p>
            <w:pPr>
              <w:pStyle w:val="861"/>
              <w:widowControl w:val="0"/>
              <w:rPr>
                <w:kern w:val="2"/>
                <w:szCs w:val="18"/>
              </w:rPr>
            </w:pPr>
            <w:r>
              <w:rPr>
                <w:rFonts w:hint="eastAsia"/>
                <w:kern w:val="2"/>
                <w:szCs w:val="18"/>
              </w:rPr>
              <w:t>3</w:t>
            </w:r>
            <w:r>
              <w:rPr>
                <w:kern w:val="2"/>
                <w:szCs w:val="18"/>
              </w:rPr>
              <w:t>.75</w:t>
            </w:r>
            <w:r>
              <w:rPr>
                <w:rFonts w:hint="eastAsia"/>
                <w:kern w:val="2"/>
                <w:szCs w:val="18"/>
              </w:rPr>
              <w:t xml:space="preserve"> km</w:t>
            </w:r>
          </w:p>
        </w:tc>
        <w:tc>
          <w:tcPr>
            <w:tcW w:w="1474" w:type="dxa"/>
            <w:vAlign w:val="center"/>
          </w:tcPr>
          <w:p>
            <w:pPr>
              <w:pStyle w:val="861"/>
              <w:widowControl w:val="0"/>
              <w:rPr>
                <w:kern w:val="2"/>
                <w:szCs w:val="18"/>
              </w:rPr>
            </w:pPr>
            <w:r>
              <w:rPr>
                <w:rFonts w:hint="eastAsia"/>
                <w:kern w:val="2"/>
                <w:szCs w:val="18"/>
              </w:rPr>
              <w:t>水力路径</w:t>
            </w:r>
            <w:r>
              <w:rPr>
                <w:kern w:val="2"/>
                <w:szCs w:val="18"/>
              </w:rPr>
              <w:t>下游</w:t>
            </w:r>
          </w:p>
          <w:p>
            <w:pPr>
              <w:pStyle w:val="861"/>
              <w:widowControl w:val="0"/>
              <w:rPr>
                <w:kern w:val="2"/>
                <w:szCs w:val="18"/>
              </w:rPr>
            </w:pPr>
            <w:r>
              <w:rPr>
                <w:kern w:val="2"/>
                <w:szCs w:val="18"/>
              </w:rPr>
              <w:t>4.0</w:t>
            </w:r>
            <w:r>
              <w:rPr>
                <w:rFonts w:hint="eastAsia"/>
                <w:kern w:val="2"/>
                <w:szCs w:val="18"/>
              </w:rPr>
              <w:t>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04" w:hRule="atLeast"/>
          <w:jc w:val="center"/>
        </w:trPr>
        <w:tc>
          <w:tcPr>
            <w:tcW w:w="567" w:type="dxa"/>
            <w:vAlign w:val="center"/>
          </w:tcPr>
          <w:p>
            <w:pPr>
              <w:pStyle w:val="861"/>
              <w:widowControl w:val="0"/>
              <w:rPr>
                <w:kern w:val="2"/>
                <w:szCs w:val="18"/>
              </w:rPr>
            </w:pPr>
            <w:r>
              <w:rPr>
                <w:kern w:val="2"/>
                <w:szCs w:val="18"/>
              </w:rPr>
              <w:t>生态保护红线</w:t>
            </w:r>
          </w:p>
        </w:tc>
        <w:tc>
          <w:tcPr>
            <w:tcW w:w="1276" w:type="dxa"/>
            <w:vAlign w:val="center"/>
          </w:tcPr>
          <w:p>
            <w:pPr>
              <w:pStyle w:val="861"/>
              <w:rPr>
                <w:kern w:val="2"/>
                <w:szCs w:val="18"/>
              </w:rPr>
            </w:pPr>
            <w:r>
              <w:rPr>
                <w:kern w:val="2"/>
                <w:szCs w:val="18"/>
              </w:rPr>
              <w:t>Ⅲ-3 巢湖盆地生物多样性维护生态保护红线</w:t>
            </w:r>
          </w:p>
        </w:tc>
        <w:tc>
          <w:tcPr>
            <w:tcW w:w="2835" w:type="dxa"/>
            <w:vAlign w:val="center"/>
          </w:tcPr>
          <w:p>
            <w:pPr>
              <w:pStyle w:val="861"/>
              <w:rPr>
                <w:snapToGrid w:val="0"/>
              </w:rPr>
            </w:pPr>
            <w:r>
              <w:rPr>
                <w:snapToGrid w:val="0"/>
              </w:rPr>
              <w:t>生态系统特征：该区东、西、北三面为低山丘岗环绕，边缘有过渡型丘岗分布，岗冲交错起伏，沿巢湖一带为滨湖平原区。我国五大淡水湖之一的巢湖，在水生动植物和鸟类的生物多样性维护、区域气候调节、水文调节和水源供给等方面有着极高的生态价值，并提供了鱼虾等丰富的生态产品。</w:t>
            </w:r>
          </w:p>
        </w:tc>
        <w:tc>
          <w:tcPr>
            <w:tcW w:w="1559" w:type="dxa"/>
            <w:vAlign w:val="center"/>
          </w:tcPr>
          <w:p>
            <w:pPr>
              <w:pStyle w:val="861"/>
              <w:widowControl w:val="0"/>
              <w:rPr>
                <w:kern w:val="2"/>
                <w:szCs w:val="18"/>
              </w:rPr>
            </w:pPr>
            <w:r>
              <w:rPr>
                <w:kern w:val="2"/>
                <w:szCs w:val="18"/>
              </w:rPr>
              <w:t>该生态保护红线与本项目最近地点位于南淝河，本项目不涉及该生态保护红线；</w:t>
            </w:r>
          </w:p>
          <w:p>
            <w:pPr>
              <w:pStyle w:val="861"/>
              <w:widowControl w:val="0"/>
              <w:rPr>
                <w:kern w:val="2"/>
                <w:szCs w:val="18"/>
              </w:rPr>
            </w:pPr>
            <w:r>
              <w:rPr>
                <w:kern w:val="2"/>
                <w:szCs w:val="18"/>
              </w:rPr>
              <w:t>位于本码头下游直线距离3km，水力路径3.2km</w:t>
            </w:r>
          </w:p>
        </w:tc>
        <w:tc>
          <w:tcPr>
            <w:tcW w:w="1843" w:type="dxa"/>
            <w:vAlign w:val="center"/>
          </w:tcPr>
          <w:p>
            <w:pPr>
              <w:pStyle w:val="861"/>
              <w:widowControl w:val="0"/>
              <w:rPr>
                <w:kern w:val="2"/>
                <w:szCs w:val="18"/>
              </w:rPr>
            </w:pPr>
            <w:r>
              <w:rPr>
                <w:rFonts w:hint="eastAsia"/>
                <w:kern w:val="2"/>
                <w:szCs w:val="18"/>
              </w:rPr>
              <w:t>3km</w:t>
            </w:r>
          </w:p>
        </w:tc>
        <w:tc>
          <w:tcPr>
            <w:tcW w:w="1474" w:type="dxa"/>
            <w:vAlign w:val="center"/>
          </w:tcPr>
          <w:p>
            <w:pPr>
              <w:pStyle w:val="861"/>
              <w:widowControl w:val="0"/>
              <w:rPr>
                <w:kern w:val="2"/>
                <w:szCs w:val="18"/>
              </w:rPr>
            </w:pPr>
            <w:r>
              <w:rPr>
                <w:kern w:val="2"/>
                <w:szCs w:val="18"/>
              </w:rPr>
              <w:t>位于本项目下游3.2km（水力路径）</w:t>
            </w:r>
          </w:p>
        </w:tc>
      </w:tr>
    </w:tbl>
    <w:p>
      <w:pPr>
        <w:tabs>
          <w:tab w:val="left" w:pos="8790"/>
        </w:tabs>
        <w:spacing w:before="166" w:beforeLines="50" w:after="166" w:afterLines="50" w:line="276" w:lineRule="auto"/>
        <w:ind w:firstLine="482"/>
        <w:rPr>
          <w:rFonts w:ascii="Times New Roman" w:hAnsi="Times New Roman" w:cs="Times New Roman"/>
          <w:b/>
          <w:color w:val="auto"/>
        </w:rPr>
      </w:pPr>
      <w:r>
        <w:rPr>
          <w:rFonts w:ascii="Times New Roman" w:hAnsi="Times New Roman" w:cs="Times New Roman"/>
          <w:b/>
          <w:color w:val="auto"/>
        </w:rPr>
        <w:t>2、饮用水源保护区</w:t>
      </w:r>
      <w:bookmarkEnd w:id="109"/>
      <w:bookmarkStart w:id="146" w:name="_Toc43"/>
      <w:bookmarkStart w:id="147" w:name="_Toc496013378"/>
      <w:bookmarkStart w:id="148" w:name="_Toc473965508"/>
      <w:bookmarkStart w:id="149" w:name="_Toc504407339"/>
      <w:bookmarkStart w:id="150" w:name="_Toc475344756"/>
    </w:p>
    <w:p>
      <w:pPr>
        <w:pStyle w:val="98"/>
        <w:ind w:firstLine="480" w:firstLineChars="200"/>
        <w:rPr>
          <w:rFonts w:ascii="Times New Roman" w:hAnsi="Times New Roman" w:cs="Times New Roman"/>
        </w:rPr>
      </w:pPr>
      <w:r>
        <w:rPr>
          <w:rFonts w:ascii="Times New Roman" w:hAnsi="Times New Roman" w:cs="Times New Roman"/>
        </w:rPr>
        <w:t>本工程所处</w:t>
      </w:r>
      <w:r>
        <w:rPr>
          <w:rFonts w:hint="eastAsia" w:ascii="Times New Roman" w:hAnsi="Times New Roman" w:cs="Times New Roman"/>
        </w:rPr>
        <w:t>店埠河及下游南淝河，涉及的</w:t>
      </w:r>
      <w:r>
        <w:rPr>
          <w:rFonts w:ascii="Times New Roman" w:hAnsi="Times New Roman" w:cs="Times New Roman"/>
        </w:rPr>
        <w:t>肥东</w:t>
      </w:r>
      <w:r>
        <w:rPr>
          <w:rFonts w:hint="eastAsia" w:ascii="Times New Roman" w:hAnsi="Times New Roman" w:cs="Times New Roman"/>
        </w:rPr>
        <w:t>县撮镇</w:t>
      </w:r>
      <w:r>
        <w:rPr>
          <w:rFonts w:ascii="Times New Roman" w:hAnsi="Times New Roman" w:cs="Times New Roman"/>
        </w:rPr>
        <w:t>镇</w:t>
      </w:r>
      <w:r>
        <w:rPr>
          <w:rFonts w:hint="eastAsia" w:ascii="Times New Roman" w:hAnsi="Times New Roman" w:cs="Times New Roman"/>
        </w:rPr>
        <w:t>及长临河镇均由</w:t>
      </w:r>
      <w:r>
        <w:rPr>
          <w:rFonts w:ascii="Times New Roman" w:hAnsi="Times New Roman" w:cs="Times New Roman"/>
        </w:rPr>
        <w:t>肥东</w:t>
      </w:r>
      <w:r>
        <w:rPr>
          <w:rFonts w:hint="eastAsia" w:ascii="Times New Roman" w:hAnsi="Times New Roman" w:cs="Times New Roman"/>
        </w:rPr>
        <w:t>县</w:t>
      </w:r>
      <w:r>
        <w:rPr>
          <w:rFonts w:ascii="Times New Roman" w:hAnsi="Times New Roman" w:cs="Times New Roman"/>
        </w:rPr>
        <w:t>自来水厂对地区进行供水，肥东县自来水厂饮用水水源取自众兴水库</w:t>
      </w:r>
      <w:r>
        <w:rPr>
          <w:rFonts w:hint="eastAsia" w:ascii="Times New Roman" w:hAnsi="Times New Roman" w:cs="Times New Roman"/>
        </w:rPr>
        <w:t>；下游南淝河涉及的包河区大圩镇由大圩镇自来水厂进行供水，其</w:t>
      </w:r>
      <w:r>
        <w:rPr>
          <w:rFonts w:ascii="Times New Roman" w:hAnsi="Times New Roman" w:cs="Times New Roman"/>
        </w:rPr>
        <w:t>饮用水水源取自</w:t>
      </w:r>
      <w:r>
        <w:rPr>
          <w:rFonts w:hint="eastAsia" w:ascii="Times New Roman" w:hAnsi="Times New Roman" w:cs="Times New Roman"/>
        </w:rPr>
        <w:t>董铺水库。</w:t>
      </w:r>
    </w:p>
    <w:p>
      <w:pPr>
        <w:pStyle w:val="98"/>
        <w:ind w:firstLine="481" w:firstLineChars="200"/>
        <w:rPr>
          <w:rFonts w:ascii="Times New Roman" w:hAnsi="Times New Roman" w:cs="Times New Roman"/>
        </w:rPr>
      </w:pPr>
      <w:r>
        <w:rPr>
          <w:rFonts w:hint="eastAsia" w:ascii="Times New Roman" w:hAnsi="Times New Roman" w:cs="Times New Roman"/>
          <w:b/>
          <w:bCs/>
        </w:rPr>
        <w:t>根据调查，</w:t>
      </w:r>
      <w:r>
        <w:rPr>
          <w:rFonts w:ascii="Times New Roman" w:hAnsi="Times New Roman" w:cs="Times New Roman"/>
          <w:b/>
          <w:bCs/>
        </w:rPr>
        <w:t>本工程所在店埠河及下游南淝河、巢湖西半湖无饮用水水源取水口</w:t>
      </w:r>
      <w:r>
        <w:rPr>
          <w:rFonts w:ascii="Times New Roman" w:hAnsi="Times New Roman" w:cs="Times New Roman"/>
        </w:rPr>
        <w:t>。</w:t>
      </w:r>
    </w:p>
    <w:p>
      <w:pPr>
        <w:pStyle w:val="98"/>
        <w:ind w:firstLine="480" w:firstLineChars="200"/>
        <w:rPr>
          <w:rFonts w:ascii="Times New Roman" w:hAnsi="Times New Roman" w:cs="Times New Roman"/>
        </w:rPr>
      </w:pPr>
    </w:p>
    <w:p>
      <w:pPr>
        <w:pStyle w:val="98"/>
        <w:rPr>
          <w:rFonts w:ascii="Times New Roman" w:hAnsi="Times New Roman" w:cs="Times New Roman"/>
        </w:rPr>
      </w:pPr>
      <w:r>
        <w:drawing>
          <wp:inline distT="0" distB="0" distL="0" distR="0">
            <wp:extent cx="5760720" cy="4157980"/>
            <wp:effectExtent l="0" t="0" r="0" b="0"/>
            <wp:docPr id="1965" name="图片 196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65" name="图片 1965"/>
                    <pic:cNvPicPr>
                      <a:picLocks noChangeAspect="true"/>
                    </pic:cNvPicPr>
                  </pic:nvPicPr>
                  <pic:blipFill>
                    <a:blip r:embed="rId52"/>
                    <a:stretch>
                      <a:fillRect/>
                    </a:stretch>
                  </pic:blipFill>
                  <pic:spPr>
                    <a:xfrm>
                      <a:off x="0" y="0"/>
                      <a:ext cx="5760720" cy="4157980"/>
                    </a:xfrm>
                    <a:prstGeom prst="rect">
                      <a:avLst/>
                    </a:prstGeom>
                  </pic:spPr>
                </pic:pic>
              </a:graphicData>
            </a:graphic>
          </wp:inline>
        </w:drawing>
      </w:r>
    </w:p>
    <w:p>
      <w:pPr>
        <w:pStyle w:val="98"/>
        <w:ind w:firstLine="421" w:firstLineChars="200"/>
        <w:jc w:val="center"/>
        <w:rPr>
          <w:rFonts w:ascii="Times New Roman" w:hAnsi="Times New Roman" w:cs="Times New Roman"/>
        </w:rPr>
      </w:pPr>
      <w:r>
        <w:rPr>
          <w:rFonts w:ascii="Times New Roman" w:hAnsi="Times New Roman" w:cs="Times New Roman"/>
          <w:b/>
          <w:bCs/>
          <w:sz w:val="21"/>
          <w:szCs w:val="20"/>
        </w:rPr>
        <w:t>图2.9-1  本项目选址与周边生态保护红线的位置关系图</w:t>
      </w:r>
    </w:p>
    <w:p>
      <w:pPr>
        <w:pStyle w:val="98"/>
        <w:ind w:firstLine="480" w:firstLineChars="200"/>
        <w:rPr>
          <w:rFonts w:ascii="Times New Roman" w:hAnsi="Times New Roman" w:cs="Times New Roman"/>
        </w:rPr>
      </w:pPr>
    </w:p>
    <w:p>
      <w:pPr>
        <w:pStyle w:val="98"/>
        <w:ind w:firstLine="480" w:firstLineChars="200"/>
        <w:rPr>
          <w:rFonts w:ascii="Times New Roman" w:hAnsi="Times New Roman" w:cs="Times New Roman"/>
        </w:rPr>
      </w:pPr>
    </w:p>
    <w:p>
      <w:pPr>
        <w:pStyle w:val="98"/>
        <w:ind w:firstLine="480" w:firstLineChars="200"/>
        <w:rPr>
          <w:rFonts w:ascii="Times New Roman" w:hAnsi="Times New Roman" w:cs="Times New Roman"/>
        </w:rPr>
        <w:sectPr>
          <w:headerReference r:id="rId16" w:type="default"/>
          <w:pgSz w:w="11906" w:h="16838"/>
          <w:pgMar w:top="1417" w:right="1417" w:bottom="1417" w:left="1417" w:header="850" w:footer="992" w:gutter="0"/>
          <w:cols w:space="720" w:num="1"/>
          <w:docGrid w:type="lines" w:linePitch="333" w:charSpace="0"/>
        </w:sectPr>
      </w:pPr>
    </w:p>
    <w:p>
      <w:pPr>
        <w:pStyle w:val="98"/>
        <w:jc w:val="center"/>
        <w:rPr>
          <w:rFonts w:ascii="Times New Roman" w:hAnsi="Times New Roman" w:cs="Times New Roman"/>
        </w:rPr>
      </w:pPr>
      <w:r>
        <w:drawing>
          <wp:inline distT="0" distB="0" distL="0" distR="0">
            <wp:extent cx="7888605" cy="5422900"/>
            <wp:effectExtent l="0" t="0" r="0" b="6350"/>
            <wp:docPr id="282" name="图片 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2" name="图片 43"/>
                    <pic:cNvPicPr>
                      <a:picLocks noChangeAspect="true"/>
                    </pic:cNvPicPr>
                  </pic:nvPicPr>
                  <pic:blipFill>
                    <a:blip r:embed="rId53"/>
                    <a:stretch>
                      <a:fillRect/>
                    </a:stretch>
                  </pic:blipFill>
                  <pic:spPr>
                    <a:xfrm>
                      <a:off x="0" y="0"/>
                      <a:ext cx="7888605" cy="5422900"/>
                    </a:xfrm>
                    <a:prstGeom prst="rect">
                      <a:avLst/>
                    </a:prstGeom>
                    <a:noFill/>
                    <a:ln w="9525">
                      <a:noFill/>
                    </a:ln>
                  </pic:spPr>
                </pic:pic>
              </a:graphicData>
            </a:graphic>
          </wp:inline>
        </w:drawing>
      </w:r>
      <w:r>
        <w:rPr>
          <w:rFonts w:ascii="Times New Roman" w:hAnsi="Times New Roman" w:cs="Times New Roman"/>
        </w:rPr>
        <w:t xml:space="preserve"> </w:t>
      </w:r>
    </w:p>
    <w:p>
      <w:pPr>
        <w:pStyle w:val="98"/>
        <w:jc w:val="center"/>
        <w:rPr>
          <w:rFonts w:ascii="Times New Roman" w:hAnsi="Times New Roman" w:cs="Times New Roman"/>
        </w:rPr>
      </w:pPr>
      <w:r>
        <w:rPr>
          <w:rFonts w:ascii="Times New Roman" w:hAnsi="Times New Roman" w:cs="Times New Roman"/>
          <w:b/>
          <w:bCs/>
          <w:sz w:val="21"/>
          <w:szCs w:val="20"/>
        </w:rPr>
        <w:t xml:space="preserve">图2.9-2   </w:t>
      </w:r>
      <w:r>
        <w:rPr>
          <w:rFonts w:hint="eastAsia" w:ascii="Times New Roman" w:hAnsi="Times New Roman" w:cs="Times New Roman"/>
          <w:b/>
          <w:bCs/>
          <w:sz w:val="21"/>
          <w:szCs w:val="20"/>
        </w:rPr>
        <w:t>巢湖重要湿地规划图</w:t>
      </w:r>
    </w:p>
    <w:p>
      <w:pPr>
        <w:pStyle w:val="98"/>
        <w:jc w:val="center"/>
        <w:rPr>
          <w:rFonts w:ascii="Times New Roman" w:hAnsi="Times New Roman" w:cs="Times New Roman"/>
        </w:rPr>
      </w:pPr>
      <w:r>
        <w:drawing>
          <wp:inline distT="0" distB="0" distL="0" distR="0">
            <wp:extent cx="7417435" cy="5238750"/>
            <wp:effectExtent l="0" t="0" r="0" b="0"/>
            <wp:docPr id="1971" name="图片 197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71" name="图片 1971"/>
                    <pic:cNvPicPr>
                      <a:picLocks noChangeAspect="true" noChangeArrowheads="true"/>
                    </pic:cNvPicPr>
                  </pic:nvPicPr>
                  <pic:blipFill>
                    <a:blip r:embed="rId54">
                      <a:extLst>
                        <a:ext uri="{28A0092B-C50C-407E-A947-70E740481C1C}">
                          <a14:useLocalDpi xmlns:a14="http://schemas.microsoft.com/office/drawing/2010/main" val="false"/>
                        </a:ext>
                      </a:extLst>
                    </a:blip>
                    <a:srcRect/>
                    <a:stretch>
                      <a:fillRect/>
                    </a:stretch>
                  </pic:blipFill>
                  <pic:spPr>
                    <a:xfrm>
                      <a:off x="0" y="0"/>
                      <a:ext cx="7421659" cy="5241547"/>
                    </a:xfrm>
                    <a:prstGeom prst="rect">
                      <a:avLst/>
                    </a:prstGeom>
                    <a:noFill/>
                    <a:ln>
                      <a:noFill/>
                    </a:ln>
                  </pic:spPr>
                </pic:pic>
              </a:graphicData>
            </a:graphic>
          </wp:inline>
        </w:drawing>
      </w:r>
      <w:r>
        <w:rPr>
          <w:rFonts w:ascii="Times New Roman" w:hAnsi="Times New Roman" w:cs="Times New Roman"/>
        </w:rPr>
        <w:t xml:space="preserve"> </w:t>
      </w:r>
    </w:p>
    <w:p>
      <w:pPr>
        <w:pStyle w:val="98"/>
        <w:jc w:val="center"/>
        <w:rPr>
          <w:rFonts w:ascii="Times New Roman" w:hAnsi="Times New Roman" w:cs="Times New Roman"/>
        </w:rPr>
      </w:pPr>
      <w:r>
        <w:rPr>
          <w:rFonts w:ascii="Times New Roman" w:hAnsi="Times New Roman" w:cs="Times New Roman"/>
          <w:b/>
          <w:bCs/>
          <w:sz w:val="21"/>
          <w:szCs w:val="20"/>
        </w:rPr>
        <w:t xml:space="preserve">图2.9-3      </w:t>
      </w:r>
      <w:r>
        <w:rPr>
          <w:rFonts w:hint="eastAsia" w:ascii="Times New Roman" w:hAnsi="Times New Roman" w:cs="Times New Roman"/>
          <w:b/>
          <w:bCs/>
          <w:sz w:val="21"/>
          <w:szCs w:val="20"/>
        </w:rPr>
        <w:t>安徽合肥巢湖湖滨国家湿地公园规划图</w:t>
      </w:r>
    </w:p>
    <w:p>
      <w:pPr>
        <w:pStyle w:val="98"/>
        <w:jc w:val="center"/>
        <w:rPr>
          <w:rFonts w:ascii="Times New Roman" w:hAnsi="Times New Roman" w:cs="Times New Roman"/>
        </w:rPr>
      </w:pPr>
      <w:r>
        <w:drawing>
          <wp:inline distT="0" distB="0" distL="0" distR="0">
            <wp:extent cx="8887460" cy="4536440"/>
            <wp:effectExtent l="0" t="0" r="8890" b="0"/>
            <wp:docPr id="284" name="图片 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4" name="图片 45"/>
                    <pic:cNvPicPr>
                      <a:picLocks noChangeAspect="true"/>
                    </pic:cNvPicPr>
                  </pic:nvPicPr>
                  <pic:blipFill>
                    <a:blip r:embed="rId55"/>
                    <a:stretch>
                      <a:fillRect/>
                    </a:stretch>
                  </pic:blipFill>
                  <pic:spPr>
                    <a:xfrm>
                      <a:off x="0" y="0"/>
                      <a:ext cx="8887460" cy="4536440"/>
                    </a:xfrm>
                    <a:prstGeom prst="rect">
                      <a:avLst/>
                    </a:prstGeom>
                    <a:noFill/>
                    <a:ln w="9525">
                      <a:noFill/>
                    </a:ln>
                  </pic:spPr>
                </pic:pic>
              </a:graphicData>
            </a:graphic>
          </wp:inline>
        </w:drawing>
      </w:r>
      <w:r>
        <w:rPr>
          <w:rFonts w:ascii="Times New Roman" w:hAnsi="Times New Roman" w:cs="Times New Roman"/>
        </w:rPr>
        <w:t xml:space="preserve"> </w:t>
      </w:r>
    </w:p>
    <w:p>
      <w:pPr>
        <w:pStyle w:val="98"/>
        <w:jc w:val="center"/>
        <w:rPr>
          <w:rFonts w:ascii="Times New Roman" w:hAnsi="Times New Roman" w:cs="Times New Roman"/>
        </w:rPr>
      </w:pPr>
      <w:r>
        <w:rPr>
          <w:rFonts w:ascii="Times New Roman" w:hAnsi="Times New Roman" w:cs="Times New Roman"/>
          <w:b/>
          <w:bCs/>
          <w:sz w:val="21"/>
          <w:szCs w:val="20"/>
        </w:rPr>
        <w:t xml:space="preserve">图2.9-4     </w:t>
      </w:r>
      <w:r>
        <w:rPr>
          <w:rFonts w:hint="eastAsia" w:ascii="Times New Roman" w:hAnsi="Times New Roman" w:cs="Times New Roman"/>
          <w:b/>
          <w:bCs/>
          <w:sz w:val="21"/>
          <w:szCs w:val="20"/>
        </w:rPr>
        <w:t>合肥滨湖湿地森林公园规划图</w:t>
      </w:r>
    </w:p>
    <w:p>
      <w:pPr>
        <w:pStyle w:val="98"/>
        <w:jc w:val="center"/>
        <w:rPr>
          <w:rFonts w:ascii="Times New Roman" w:hAnsi="Times New Roman" w:cs="Times New Roman"/>
        </w:rPr>
      </w:pPr>
    </w:p>
    <w:p>
      <w:pPr>
        <w:pStyle w:val="98"/>
        <w:jc w:val="center"/>
        <w:rPr>
          <w:rFonts w:ascii="Times New Roman" w:hAnsi="Times New Roman" w:cs="Times New Roman"/>
        </w:rPr>
      </w:pPr>
      <w:r>
        <w:rPr>
          <w:rFonts w:ascii="Times New Roman" w:hAnsi="Times New Roman" w:cs="Times New Roman"/>
          <w:b/>
          <w:bCs/>
          <w:sz w:val="21"/>
          <w:szCs w:val="21"/>
        </w:rPr>
        <w:drawing>
          <wp:inline distT="0" distB="0" distL="0" distR="0">
            <wp:extent cx="7366635" cy="5200650"/>
            <wp:effectExtent l="0" t="0" r="5715" b="0"/>
            <wp:docPr id="1970" name="图片 197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70" name="图片 1970"/>
                    <pic:cNvPicPr>
                      <a:picLocks noChangeAspect="true" noChangeArrowheads="true"/>
                    </pic:cNvPicPr>
                  </pic:nvPicPr>
                  <pic:blipFill>
                    <a:blip r:embed="rId56" cstate="hqprint"/>
                    <a:srcRect/>
                    <a:stretch>
                      <a:fillRect/>
                    </a:stretch>
                  </pic:blipFill>
                  <pic:spPr>
                    <a:xfrm>
                      <a:off x="0" y="0"/>
                      <a:ext cx="7373072" cy="5204994"/>
                    </a:xfrm>
                    <a:prstGeom prst="rect">
                      <a:avLst/>
                    </a:prstGeom>
                    <a:noFill/>
                    <a:ln>
                      <a:noFill/>
                    </a:ln>
                  </pic:spPr>
                </pic:pic>
              </a:graphicData>
            </a:graphic>
          </wp:inline>
        </w:drawing>
      </w:r>
      <w:r>
        <w:rPr>
          <w:rFonts w:ascii="Times New Roman" w:hAnsi="Times New Roman" w:cs="Times New Roman"/>
        </w:rPr>
        <w:t xml:space="preserve"> </w:t>
      </w:r>
    </w:p>
    <w:p>
      <w:pPr>
        <w:pStyle w:val="98"/>
        <w:jc w:val="center"/>
        <w:rPr>
          <w:rFonts w:ascii="Times New Roman" w:hAnsi="Times New Roman" w:cs="Times New Roman"/>
        </w:rPr>
      </w:pPr>
      <w:r>
        <w:rPr>
          <w:rFonts w:ascii="Times New Roman" w:hAnsi="Times New Roman" w:cs="Times New Roman"/>
          <w:b/>
          <w:bCs/>
          <w:sz w:val="21"/>
          <w:szCs w:val="20"/>
        </w:rPr>
        <w:t xml:space="preserve">图2.9-5     </w:t>
      </w:r>
      <w:r>
        <w:rPr>
          <w:rFonts w:hint="eastAsia" w:ascii="Times New Roman" w:hAnsi="Times New Roman" w:cs="Times New Roman"/>
          <w:b/>
          <w:bCs/>
          <w:sz w:val="21"/>
          <w:szCs w:val="20"/>
        </w:rPr>
        <w:t>肥东临河省级湿地公园规划图</w:t>
      </w:r>
    </w:p>
    <w:p>
      <w:pPr>
        <w:pStyle w:val="98"/>
        <w:jc w:val="center"/>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719680" behindDoc="0" locked="0" layoutInCell="1" allowOverlap="1">
                <wp:simplePos x="0" y="0"/>
                <wp:positionH relativeFrom="column">
                  <wp:posOffset>1947545</wp:posOffset>
                </wp:positionH>
                <wp:positionV relativeFrom="paragraph">
                  <wp:posOffset>1109345</wp:posOffset>
                </wp:positionV>
                <wp:extent cx="1409700" cy="295275"/>
                <wp:effectExtent l="0" t="0" r="0" b="0"/>
                <wp:wrapNone/>
                <wp:docPr id="1973" name="AutoShape 1805"/>
                <wp:cNvGraphicFramePr/>
                <a:graphic xmlns:a="http://schemas.openxmlformats.org/drawingml/2006/main">
                  <a:graphicData uri="http://schemas.microsoft.com/office/word/2010/wordprocessingShape">
                    <wps:wsp>
                      <wps:cNvSpPr>
                        <a:spLocks noChangeArrowheads="true"/>
                      </wps:cNvSpPr>
                      <wps:spPr bwMode="auto">
                        <a:xfrm>
                          <a:off x="0" y="0"/>
                          <a:ext cx="1409700" cy="295275"/>
                        </a:xfrm>
                        <a:prstGeom prst="wedgeRoundRectCallout">
                          <a:avLst>
                            <a:gd name="adj1" fmla="val 140771"/>
                            <a:gd name="adj2" fmla="val 139034"/>
                            <a:gd name="adj3" fmla="val 16667"/>
                          </a:avLst>
                        </a:prstGeom>
                        <a:noFill/>
                        <a:ln w="9525">
                          <a:noFill/>
                          <a:miter lim="800000"/>
                        </a:ln>
                      </wps:spPr>
                      <wps:txbx>
                        <w:txbxContent>
                          <w:p>
                            <w:pPr>
                              <w:ind w:firstLine="0" w:firstLineChars="0"/>
                              <w:rPr>
                                <w:b/>
                                <w:bCs/>
                                <w:color w:val="FF0000"/>
                              </w:rPr>
                            </w:pPr>
                            <w:r>
                              <w:rPr>
                                <w:rFonts w:hint="eastAsia"/>
                                <w:b/>
                                <w:bCs/>
                                <w:color w:val="004D86"/>
                                <w:sz w:val="18"/>
                                <w:szCs w:val="11"/>
                              </w:rPr>
                              <w:t>合肥滨湖湿地森林公园</w:t>
                            </w:r>
                            <w:r>
                              <w:rPr>
                                <w:szCs w:val="18"/>
                              </w:rPr>
                              <w:t> </w:t>
                            </w:r>
                          </w:p>
                        </w:txbxContent>
                      </wps:txbx>
                      <wps:bodyPr rot="0" vert="horz" wrap="square" lIns="91440" tIns="45720" rIns="91440" bIns="45720" anchor="t" anchorCtr="false" upright="true">
                        <a:noAutofit/>
                      </wps:bodyPr>
                    </wps:wsp>
                  </a:graphicData>
                </a:graphic>
              </wp:anchor>
            </w:drawing>
          </mc:Choice>
          <mc:Fallback>
            <w:pict>
              <v:shape id="AutoShape 1805" o:spid="_x0000_s1026" o:spt="62" type="#_x0000_t62" style="position:absolute;left:0pt;margin-left:153.35pt;margin-top:87.35pt;height:23.25pt;width:111pt;z-index:251719680;mso-width-relative:page;mso-height-relative:page;" filled="f" stroked="f" coordsize="21600,21600" o:gfxdata="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BYAAABkcnMvUEsBAhQAFAAAAAgAh07iQMcb6erWAAAACwEAAA8A&#10;AAAAAAAAAQAgAAAAOAAAAGRycy9kb3ducmV2LnhtbFBLAQIUABQAAAAIAIdO4kCrx0HbPAIAAHUE&#10;AAAOAAAAAAAAAAEAIAAAADsBAABkcnMvZTJvRG9jLnhtbFBLBQYAAAAABgAGAFkBAADpBQAAAAA=&#10;" adj="41207,40831,14400">
                <v:fill on="f" focussize="0,0"/>
                <v:stroke on="f" miterlimit="8" joinstyle="miter"/>
                <v:imagedata o:title=""/>
                <o:lock v:ext="edit" aspectratio="f"/>
                <v:textbox>
                  <w:txbxContent>
                    <w:p>
                      <w:pPr>
                        <w:ind w:firstLine="0" w:firstLineChars="0"/>
                        <w:rPr>
                          <w:b/>
                          <w:bCs/>
                          <w:color w:val="FF0000"/>
                        </w:rPr>
                      </w:pPr>
                      <w:r>
                        <w:rPr>
                          <w:rFonts w:hint="eastAsia"/>
                          <w:b/>
                          <w:bCs/>
                          <w:color w:val="004D86"/>
                          <w:sz w:val="18"/>
                          <w:szCs w:val="11"/>
                        </w:rPr>
                        <w:t>合肥滨湖湿地森林公园</w:t>
                      </w:r>
                      <w:r>
                        <w:rPr>
                          <w:szCs w:val="18"/>
                        </w:rPr>
                        <w:t> </w:t>
                      </w:r>
                    </w:p>
                  </w:txbxContent>
                </v:textbox>
              </v:shape>
            </w:pict>
          </mc:Fallback>
        </mc:AlternateContent>
      </w:r>
      <w:r>
        <mc:AlternateContent>
          <mc:Choice Requires="wps">
            <w:drawing>
              <wp:anchor distT="0" distB="0" distL="114300" distR="114300" simplePos="0" relativeHeight="251718656" behindDoc="0" locked="0" layoutInCell="1" allowOverlap="1">
                <wp:simplePos x="0" y="0"/>
                <wp:positionH relativeFrom="column">
                  <wp:posOffset>2909570</wp:posOffset>
                </wp:positionH>
                <wp:positionV relativeFrom="paragraph">
                  <wp:posOffset>1328420</wp:posOffset>
                </wp:positionV>
                <wp:extent cx="304800" cy="228600"/>
                <wp:effectExtent l="19050" t="38100" r="0" b="38100"/>
                <wp:wrapNone/>
                <wp:docPr id="3" name="任意多边形: 形状 3"/>
                <wp:cNvGraphicFramePr/>
                <a:graphic xmlns:a="http://schemas.openxmlformats.org/drawingml/2006/main">
                  <a:graphicData uri="http://schemas.microsoft.com/office/word/2010/wordprocessingShape">
                    <wps:wsp>
                      <wps:cNvSpPr/>
                      <wps:spPr>
                        <a:xfrm rot="395845">
                          <a:off x="0" y="0"/>
                          <a:ext cx="304800" cy="228600"/>
                        </a:xfrm>
                        <a:custGeom>
                          <a:avLst/>
                          <a:gdLst>
                            <a:gd name="connsiteX0" fmla="*/ 0 w 1990725"/>
                            <a:gd name="connsiteY0" fmla="*/ 361950 h 1590675"/>
                            <a:gd name="connsiteX1" fmla="*/ 114300 w 1990725"/>
                            <a:gd name="connsiteY1" fmla="*/ 238125 h 1590675"/>
                            <a:gd name="connsiteX2" fmla="*/ 219075 w 1990725"/>
                            <a:gd name="connsiteY2" fmla="*/ 180975 h 1590675"/>
                            <a:gd name="connsiteX3" fmla="*/ 238125 w 1990725"/>
                            <a:gd name="connsiteY3" fmla="*/ 104775 h 1590675"/>
                            <a:gd name="connsiteX4" fmla="*/ 323850 w 1990725"/>
                            <a:gd name="connsiteY4" fmla="*/ 0 h 1590675"/>
                            <a:gd name="connsiteX5" fmla="*/ 428625 w 1990725"/>
                            <a:gd name="connsiteY5" fmla="*/ 0 h 1590675"/>
                            <a:gd name="connsiteX6" fmla="*/ 609600 w 1990725"/>
                            <a:gd name="connsiteY6" fmla="*/ 95250 h 1590675"/>
                            <a:gd name="connsiteX7" fmla="*/ 695325 w 1990725"/>
                            <a:gd name="connsiteY7" fmla="*/ 19050 h 1590675"/>
                            <a:gd name="connsiteX8" fmla="*/ 762000 w 1990725"/>
                            <a:gd name="connsiteY8" fmla="*/ 9525 h 1590675"/>
                            <a:gd name="connsiteX9" fmla="*/ 819150 w 1990725"/>
                            <a:gd name="connsiteY9" fmla="*/ 95250 h 1590675"/>
                            <a:gd name="connsiteX10" fmla="*/ 885825 w 1990725"/>
                            <a:gd name="connsiteY10" fmla="*/ 152400 h 1590675"/>
                            <a:gd name="connsiteX11" fmla="*/ 1009650 w 1990725"/>
                            <a:gd name="connsiteY11" fmla="*/ 219075 h 1590675"/>
                            <a:gd name="connsiteX12" fmla="*/ 1095375 w 1990725"/>
                            <a:gd name="connsiteY12" fmla="*/ 276225 h 1590675"/>
                            <a:gd name="connsiteX13" fmla="*/ 1162050 w 1990725"/>
                            <a:gd name="connsiteY13" fmla="*/ 323850 h 1590675"/>
                            <a:gd name="connsiteX14" fmla="*/ 1209675 w 1990725"/>
                            <a:gd name="connsiteY14" fmla="*/ 381000 h 1590675"/>
                            <a:gd name="connsiteX15" fmla="*/ 1266825 w 1990725"/>
                            <a:gd name="connsiteY15" fmla="*/ 571500 h 1590675"/>
                            <a:gd name="connsiteX16" fmla="*/ 1323975 w 1990725"/>
                            <a:gd name="connsiteY16" fmla="*/ 714375 h 1590675"/>
                            <a:gd name="connsiteX17" fmla="*/ 1438275 w 1990725"/>
                            <a:gd name="connsiteY17" fmla="*/ 800100 h 1590675"/>
                            <a:gd name="connsiteX18" fmla="*/ 1495425 w 1990725"/>
                            <a:gd name="connsiteY18" fmla="*/ 990600 h 1590675"/>
                            <a:gd name="connsiteX19" fmla="*/ 1819275 w 1990725"/>
                            <a:gd name="connsiteY19" fmla="*/ 1228725 h 1590675"/>
                            <a:gd name="connsiteX20" fmla="*/ 1990725 w 1990725"/>
                            <a:gd name="connsiteY20" fmla="*/ 1524000 h 1590675"/>
                            <a:gd name="connsiteX21" fmla="*/ 1962150 w 1990725"/>
                            <a:gd name="connsiteY21" fmla="*/ 1590675 h 1590675"/>
                            <a:gd name="connsiteX22" fmla="*/ 1695450 w 1990725"/>
                            <a:gd name="connsiteY22" fmla="*/ 1504950 h 1590675"/>
                            <a:gd name="connsiteX23" fmla="*/ 1504950 w 1990725"/>
                            <a:gd name="connsiteY23" fmla="*/ 1428750 h 1590675"/>
                            <a:gd name="connsiteX24" fmla="*/ 1209675 w 1990725"/>
                            <a:gd name="connsiteY24" fmla="*/ 1381125 h 1590675"/>
                            <a:gd name="connsiteX25" fmla="*/ 952500 w 1990725"/>
                            <a:gd name="connsiteY25" fmla="*/ 1276350 h 1590675"/>
                            <a:gd name="connsiteX26" fmla="*/ 676275 w 1990725"/>
                            <a:gd name="connsiteY26" fmla="*/ 1200150 h 1590675"/>
                            <a:gd name="connsiteX27" fmla="*/ 542925 w 1990725"/>
                            <a:gd name="connsiteY27" fmla="*/ 1171575 h 1590675"/>
                            <a:gd name="connsiteX28" fmla="*/ 323850 w 1990725"/>
                            <a:gd name="connsiteY28" fmla="*/ 1095375 h 1590675"/>
                            <a:gd name="connsiteX29" fmla="*/ 381000 w 1990725"/>
                            <a:gd name="connsiteY29" fmla="*/ 895350 h 1590675"/>
                            <a:gd name="connsiteX30" fmla="*/ 361950 w 1990725"/>
                            <a:gd name="connsiteY30" fmla="*/ 742950 h 1590675"/>
                            <a:gd name="connsiteX31" fmla="*/ 228600 w 1990725"/>
                            <a:gd name="connsiteY31" fmla="*/ 676275 h 1590675"/>
                            <a:gd name="connsiteX32" fmla="*/ 0 w 1990725"/>
                            <a:gd name="connsiteY32" fmla="*/ 361950 h 1590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1990725" h="1590675">
                              <a:moveTo>
                                <a:pt x="0" y="361950"/>
                              </a:moveTo>
                              <a:lnTo>
                                <a:pt x="114300" y="238125"/>
                              </a:lnTo>
                              <a:lnTo>
                                <a:pt x="219075" y="180975"/>
                              </a:lnTo>
                              <a:lnTo>
                                <a:pt x="238125" y="104775"/>
                              </a:lnTo>
                              <a:lnTo>
                                <a:pt x="323850" y="0"/>
                              </a:lnTo>
                              <a:lnTo>
                                <a:pt x="428625" y="0"/>
                              </a:lnTo>
                              <a:lnTo>
                                <a:pt x="609600" y="95250"/>
                              </a:lnTo>
                              <a:lnTo>
                                <a:pt x="695325" y="19050"/>
                              </a:lnTo>
                              <a:lnTo>
                                <a:pt x="762000" y="9525"/>
                              </a:lnTo>
                              <a:lnTo>
                                <a:pt x="819150" y="95250"/>
                              </a:lnTo>
                              <a:lnTo>
                                <a:pt x="885825" y="152400"/>
                              </a:lnTo>
                              <a:lnTo>
                                <a:pt x="1009650" y="219075"/>
                              </a:lnTo>
                              <a:lnTo>
                                <a:pt x="1095375" y="276225"/>
                              </a:lnTo>
                              <a:lnTo>
                                <a:pt x="1162050" y="323850"/>
                              </a:lnTo>
                              <a:lnTo>
                                <a:pt x="1209675" y="381000"/>
                              </a:lnTo>
                              <a:lnTo>
                                <a:pt x="1266825" y="571500"/>
                              </a:lnTo>
                              <a:lnTo>
                                <a:pt x="1323975" y="714375"/>
                              </a:lnTo>
                              <a:lnTo>
                                <a:pt x="1438275" y="800100"/>
                              </a:lnTo>
                              <a:lnTo>
                                <a:pt x="1495425" y="990600"/>
                              </a:lnTo>
                              <a:lnTo>
                                <a:pt x="1819275" y="1228725"/>
                              </a:lnTo>
                              <a:lnTo>
                                <a:pt x="1990725" y="1524000"/>
                              </a:lnTo>
                              <a:lnTo>
                                <a:pt x="1962150" y="1590675"/>
                              </a:lnTo>
                              <a:lnTo>
                                <a:pt x="1695450" y="1504950"/>
                              </a:lnTo>
                              <a:lnTo>
                                <a:pt x="1504950" y="1428750"/>
                              </a:lnTo>
                              <a:lnTo>
                                <a:pt x="1209675" y="1381125"/>
                              </a:lnTo>
                              <a:lnTo>
                                <a:pt x="952500" y="1276350"/>
                              </a:lnTo>
                              <a:lnTo>
                                <a:pt x="676275" y="1200150"/>
                              </a:lnTo>
                              <a:lnTo>
                                <a:pt x="542925" y="1171575"/>
                              </a:lnTo>
                              <a:lnTo>
                                <a:pt x="323850" y="1095375"/>
                              </a:lnTo>
                              <a:lnTo>
                                <a:pt x="381000" y="895350"/>
                              </a:lnTo>
                              <a:lnTo>
                                <a:pt x="361950" y="742950"/>
                              </a:lnTo>
                              <a:lnTo>
                                <a:pt x="228600" y="676275"/>
                              </a:lnTo>
                              <a:lnTo>
                                <a:pt x="0" y="361950"/>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任意多边形: 形状 3" o:spid="_x0000_s1026" o:spt="100" style="position:absolute;left:0pt;margin-left:229.1pt;margin-top:104.6pt;height:18pt;width:24pt;rotation:432368f;z-index:251718656;v-text-anchor:middle;mso-width-relative:page;mso-height-relative:page;" fillcolor="#4472C4 [3204]" filled="t" stroked="t" coordsize="1990725,1590675" o:gfxdata="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" path="m0,361950l114300,238125,219075,180975,238125,104775,323850,0,428625,0,609600,95250,695325,19050,762000,9525,819150,95250,885825,152400,1009650,219075,1095375,276225,1162050,323850,1209675,381000,1266825,571500,1323975,714375,1438275,800100,1495425,990600,1819275,1228725,1990725,1524000,1962150,1590675,1695450,1504950,1504950,1428750,1209675,1381125,952500,1276350,676275,1200150,542925,1171575,323850,1095375,381000,895350,361950,742950,228600,676275,0,361950xe">
                <v:path o:connectlocs="0,52016;17500,34221;33542,26008;36459,15057;49584,0;65626,0;93335,13688;106461,2737;116669,1368;125420,13688;135628,21901;154587,31483;167712,39697;177921,46541;185213,54754;193963,82131;202713,102664;220214,114984;228964,142361;278549,176583;304800,219017;300424,228600;259590,216280;230422,205329;185213,198485;145837,183427;103544,172476;83127,168370;49584,157419;58334,128673;55418,106771;35000,97189;0,52016" o:connectangles="0,0,0,0,0,0,0,0,0,0,0,0,0,0,0,0,0,0,0,0,0,0,0,0,0,0,0,0,0,0,0,0,0"/>
                <v:fill on="t" focussize="0,0"/>
                <v:stroke weight="1pt" color="#2F528F [3204]" miterlimit="8" joinstyle="miter"/>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716608" behindDoc="0" locked="0" layoutInCell="1" allowOverlap="1">
                <wp:simplePos x="0" y="0"/>
                <wp:positionH relativeFrom="column">
                  <wp:posOffset>3860165</wp:posOffset>
                </wp:positionH>
                <wp:positionV relativeFrom="paragraph">
                  <wp:posOffset>142240</wp:posOffset>
                </wp:positionV>
                <wp:extent cx="742950" cy="295275"/>
                <wp:effectExtent l="161925" t="9525" r="9525" b="390525"/>
                <wp:wrapNone/>
                <wp:docPr id="1967" name="AutoShape 1805"/>
                <wp:cNvGraphicFramePr/>
                <a:graphic xmlns:a="http://schemas.openxmlformats.org/drawingml/2006/main">
                  <a:graphicData uri="http://schemas.microsoft.com/office/word/2010/wordprocessingShape">
                    <wps:wsp>
                      <wps:cNvSpPr>
                        <a:spLocks noChangeArrowheads="true"/>
                      </wps:cNvSpPr>
                      <wps:spPr bwMode="auto">
                        <a:xfrm>
                          <a:off x="0" y="0"/>
                          <a:ext cx="742950" cy="295275"/>
                        </a:xfrm>
                        <a:prstGeom prst="wedgeRoundRectCallout">
                          <a:avLst>
                            <a:gd name="adj1" fmla="val -66921"/>
                            <a:gd name="adj2" fmla="val 171292"/>
                            <a:gd name="adj3" fmla="val 16667"/>
                          </a:avLst>
                        </a:prstGeom>
                        <a:noFill/>
                        <a:ln w="9525">
                          <a:solidFill>
                            <a:srgbClr val="FF0000"/>
                          </a:solidFill>
                          <a:miter lim="800000"/>
                        </a:ln>
                      </wps:spPr>
                      <wps:txbx>
                        <w:txbxContent>
                          <w:p>
                            <w:pPr>
                              <w:ind w:firstLine="0" w:firstLineChars="0"/>
                              <w:rPr>
                                <w:b/>
                                <w:bCs/>
                                <w:color w:val="FF0000"/>
                              </w:rPr>
                            </w:pPr>
                            <w:r>
                              <w:rPr>
                                <w:rFonts w:hint="eastAsia"/>
                                <w:b/>
                                <w:bCs/>
                                <w:color w:val="FF0000"/>
                              </w:rPr>
                              <w:t>本项目</w:t>
                            </w:r>
                          </w:p>
                        </w:txbxContent>
                      </wps:txbx>
                      <wps:bodyPr rot="0" vert="horz" wrap="square" lIns="91440" tIns="45720" rIns="91440" bIns="45720" anchor="t" anchorCtr="false" upright="true">
                        <a:noAutofit/>
                      </wps:bodyPr>
                    </wps:wsp>
                  </a:graphicData>
                </a:graphic>
              </wp:anchor>
            </w:drawing>
          </mc:Choice>
          <mc:Fallback>
            <w:pict>
              <v:shape id="AutoShape 1805" o:spid="_x0000_s1026" o:spt="62" type="#_x0000_t62" style="position:absolute;left:0pt;margin-left:303.95pt;margin-top:11.2pt;height:23.25pt;width:58.5pt;z-index:251716608;mso-width-relative:page;mso-height-relative:page;" filled="f" stroked="t" coordsize="21600,21600" o:gfxdata="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H9q7TfWAAAACQEAAA8AAAAAAAAAAQAgAAAAOAAAAGRycy9kb3ducmV2LnhtbFBLAQIU&#10;ABQAAAAIAIdO4kClWHeoUQIAAJ0EAAAOAAAAAAAAAAEAIAAAADsBAABkcnMvZTJvRG9jLnhtbFBL&#10;BQYAAAAABgAGAFkBAAD+BQAAAAA=&#10;" adj="0,47799,14400">
                <v:fill on="f" focussize="0,0"/>
                <v:stroke color="#FF0000" miterlimit="8" joinstyle="miter"/>
                <v:imagedata o:title=""/>
                <o:lock v:ext="edit" aspectratio="f"/>
                <v:textbox>
                  <w:txbxContent>
                    <w:p>
                      <w:pPr>
                        <w:ind w:firstLine="0" w:firstLineChars="0"/>
                        <w:rPr>
                          <w:b/>
                          <w:bCs/>
                          <w:color w:val="FF0000"/>
                        </w:rPr>
                      </w:pPr>
                      <w:r>
                        <w:rPr>
                          <w:rFonts w:hint="eastAsia"/>
                          <w:b/>
                          <w:bCs/>
                          <w:color w:val="FF0000"/>
                        </w:rPr>
                        <w:t>本项目</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17632" behindDoc="0" locked="0" layoutInCell="1" allowOverlap="1">
                <wp:simplePos x="0" y="0"/>
                <wp:positionH relativeFrom="column">
                  <wp:posOffset>3657600</wp:posOffset>
                </wp:positionH>
                <wp:positionV relativeFrom="paragraph">
                  <wp:posOffset>753745</wp:posOffset>
                </wp:positionV>
                <wp:extent cx="123825" cy="114300"/>
                <wp:effectExtent l="0" t="0" r="9525" b="0"/>
                <wp:wrapNone/>
                <wp:docPr id="1968" name="椭圆 198"/>
                <wp:cNvGraphicFramePr/>
                <a:graphic xmlns:a="http://schemas.openxmlformats.org/drawingml/2006/main">
                  <a:graphicData uri="http://schemas.microsoft.com/office/word/2010/wordprocessingShape">
                    <wps:wsp>
                      <wps:cNvSpPr>
                        <a:spLocks noChangeArrowheads="true"/>
                      </wps:cNvSpPr>
                      <wps:spPr bwMode="auto">
                        <a:xfrm>
                          <a:off x="0" y="0"/>
                          <a:ext cx="123825" cy="114300"/>
                        </a:xfrm>
                        <a:prstGeom prst="ellipse">
                          <a:avLst/>
                        </a:prstGeom>
                        <a:solidFill>
                          <a:srgbClr val="FF0000"/>
                        </a:solidFill>
                        <a:ln>
                          <a:noFill/>
                        </a:ln>
                      </wps:spPr>
                      <wps:bodyPr rot="0" vert="horz" wrap="square" lIns="91440" tIns="45720" rIns="91440" bIns="45720" anchor="ctr" anchorCtr="false" upright="true">
                        <a:noAutofit/>
                      </wps:bodyPr>
                    </wps:wsp>
                  </a:graphicData>
                </a:graphic>
              </wp:anchor>
            </w:drawing>
          </mc:Choice>
          <mc:Fallback>
            <w:pict>
              <v:shape id="椭圆 198" o:spid="_x0000_s1026" o:spt="3" type="#_x0000_t3" style="position:absolute;left:0pt;margin-left:288pt;margin-top:59.35pt;height:9pt;width:9.75pt;z-index:251717632;v-text-anchor:middle;mso-width-relative:page;mso-height-relative:page;" fillcolor="#FF0000" filled="t" stroked="f" coordsize="21600,21600" o:gfxdata="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Kb/6b9gAAAALAQAADwAAAAAAAAABACAAAAA4AAAAZHJzL2Rvd25yZXYueG1sUEsBAhQAFAAAAAgA&#10;h07iQPIuxHAPAgAA6wMAAA4AAAAAAAAAAQAgAAAAPQEAAGRycy9lMm9Eb2MueG1sUEsFBgAAAAAG&#10;AAYAWQEAAL4FAAAAAA==&#10;">
                <v:fill on="t" focussize="0,0"/>
                <v:stroke on="f"/>
                <v:imagedata o:title=""/>
                <o:lock v:ext="edit" aspectratio="f"/>
              </v:shape>
            </w:pict>
          </mc:Fallback>
        </mc:AlternateContent>
      </w:r>
      <w:r>
        <w:rPr>
          <w:rFonts w:ascii="Times New Roman" w:hAnsi="Times New Roman" w:cs="Times New Roman"/>
        </w:rPr>
        <w:drawing>
          <wp:inline distT="0" distB="0" distL="0" distR="0">
            <wp:extent cx="6865620" cy="5295900"/>
            <wp:effectExtent l="0" t="0" r="0" b="0"/>
            <wp:docPr id="1966" name="图片 19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66" name="图片 1966"/>
                    <pic:cNvPicPr>
                      <a:picLocks noChangeAspect="true" noChangeArrowheads="true"/>
                    </pic:cNvPicPr>
                  </pic:nvPicPr>
                  <pic:blipFill>
                    <a:blip r:embed="rId57">
                      <a:extLst>
                        <a:ext uri="{28A0092B-C50C-407E-A947-70E740481C1C}">
                          <a14:useLocalDpi xmlns:a14="http://schemas.microsoft.com/office/drawing/2010/main" val="false"/>
                        </a:ext>
                      </a:extLst>
                    </a:blip>
                    <a:srcRect/>
                    <a:stretch>
                      <a:fillRect/>
                    </a:stretch>
                  </pic:blipFill>
                  <pic:spPr>
                    <a:xfrm>
                      <a:off x="0" y="0"/>
                      <a:ext cx="6872416" cy="5300861"/>
                    </a:xfrm>
                    <a:prstGeom prst="rect">
                      <a:avLst/>
                    </a:prstGeom>
                    <a:noFill/>
                    <a:ln>
                      <a:noFill/>
                    </a:ln>
                  </pic:spPr>
                </pic:pic>
              </a:graphicData>
            </a:graphic>
          </wp:inline>
        </w:drawing>
      </w:r>
    </w:p>
    <w:p>
      <w:pPr>
        <w:pStyle w:val="98"/>
        <w:ind w:firstLine="420" w:firstLineChars="200"/>
        <w:jc w:val="center"/>
        <w:rPr>
          <w:rFonts w:ascii="Times New Roman" w:hAnsi="Times New Roman" w:cs="Times New Roman"/>
        </w:rPr>
      </w:pPr>
      <w:r>
        <w:rPr>
          <w:rFonts w:hint="eastAsia" w:ascii="Times New Roman" w:hAnsi="Times New Roman" w:cs="Times New Roman"/>
          <w:b/>
          <w:bCs/>
          <w:sz w:val="21"/>
          <w:szCs w:val="21"/>
        </w:rPr>
        <w:t>图2</w:t>
      </w:r>
      <w:r>
        <w:rPr>
          <w:rFonts w:ascii="Times New Roman" w:hAnsi="Times New Roman" w:cs="Times New Roman"/>
          <w:b/>
          <w:bCs/>
          <w:sz w:val="21"/>
          <w:szCs w:val="21"/>
        </w:rPr>
        <w:t xml:space="preserve">.9-6    </w:t>
      </w:r>
      <w:r>
        <w:rPr>
          <w:rFonts w:hint="eastAsia" w:ascii="Times New Roman" w:hAnsi="Times New Roman" w:cs="Times New Roman"/>
          <w:b/>
          <w:bCs/>
          <w:sz w:val="21"/>
          <w:szCs w:val="21"/>
        </w:rPr>
        <w:t xml:space="preserve"> </w:t>
      </w:r>
      <w:r>
        <w:rPr>
          <w:rFonts w:ascii="Times New Roman" w:hAnsi="Times New Roman" w:cs="Times New Roman"/>
          <w:b/>
          <w:bCs/>
          <w:sz w:val="21"/>
          <w:szCs w:val="21"/>
        </w:rPr>
        <w:t xml:space="preserve"> </w:t>
      </w:r>
      <w:r>
        <w:rPr>
          <w:rFonts w:hint="eastAsia" w:ascii="Times New Roman" w:hAnsi="Times New Roman" w:cs="Times New Roman"/>
          <w:b/>
          <w:bCs/>
          <w:sz w:val="21"/>
          <w:szCs w:val="21"/>
        </w:rPr>
        <w:t>本项目位置与环巢湖湿地、森林公园位置关系图</w:t>
      </w:r>
    </w:p>
    <w:p>
      <w:pPr>
        <w:pStyle w:val="98"/>
        <w:ind w:firstLine="480" w:firstLineChars="200"/>
        <w:rPr>
          <w:rFonts w:ascii="Times New Roman" w:hAnsi="Times New Roman" w:cs="Times New Roman"/>
        </w:rPr>
        <w:sectPr>
          <w:pgSz w:w="16838" w:h="11906" w:orient="landscape"/>
          <w:pgMar w:top="1418" w:right="1418" w:bottom="1418" w:left="1418" w:header="851" w:footer="992" w:gutter="0"/>
          <w:cols w:space="720" w:num="1"/>
          <w:docGrid w:type="linesAndChars" w:linePitch="333" w:charSpace="0"/>
        </w:sectPr>
      </w:pPr>
    </w:p>
    <w:bookmarkEnd w:id="146"/>
    <w:p>
      <w:pPr>
        <w:pStyle w:val="467"/>
        <w:spacing w:before="0" w:after="0"/>
        <w:jc w:val="center"/>
        <w:rPr>
          <w:rFonts w:ascii="Times New Roman" w:hAnsi="Times New Roman" w:cs="Times New Roman"/>
          <w:color w:val="auto"/>
        </w:rPr>
      </w:pPr>
      <w:bookmarkStart w:id="151" w:name="_Toc104733319"/>
      <w:bookmarkStart w:id="152" w:name="_Toc102979815"/>
      <w:bookmarkStart w:id="153" w:name="_Toc18032"/>
      <w:r>
        <w:rPr>
          <w:rFonts w:ascii="Times New Roman" w:hAnsi="Times New Roman" w:eastAsia="宋体" w:cs="Times New Roman"/>
          <w:b/>
          <w:bCs/>
          <w:color w:val="auto"/>
          <w:sz w:val="36"/>
          <w:szCs w:val="36"/>
        </w:rPr>
        <w:t>3 工程分析</w:t>
      </w:r>
      <w:bookmarkEnd w:id="151"/>
      <w:bookmarkEnd w:id="152"/>
    </w:p>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154" w:name="_Toc102979816"/>
      <w:bookmarkStart w:id="155" w:name="_Toc104733320"/>
      <w:r>
        <w:rPr>
          <w:rFonts w:ascii="Times New Roman" w:hAnsi="Times New Roman" w:eastAsia="黑体" w:cs="Times New Roman"/>
          <w:color w:val="auto"/>
          <w:kern w:val="2"/>
          <w:sz w:val="28"/>
        </w:rPr>
        <w:t>3.1项目概述</w:t>
      </w:r>
      <w:bookmarkEnd w:id="154"/>
      <w:bookmarkEnd w:id="155"/>
    </w:p>
    <w:p>
      <w:pPr>
        <w:pStyle w:val="4"/>
        <w:numPr>
          <w:ilvl w:val="2"/>
          <w:numId w:val="0"/>
        </w:numPr>
        <w:jc w:val="both"/>
        <w:rPr>
          <w:rFonts w:ascii="Times New Roman" w:hAnsi="Times New Roman" w:cs="Times New Roman"/>
          <w:color w:val="auto"/>
        </w:rPr>
      </w:pPr>
      <w:bookmarkStart w:id="156" w:name="_Toc102984285"/>
      <w:bookmarkStart w:id="157" w:name="_Toc104733321"/>
      <w:r>
        <w:rPr>
          <w:rFonts w:ascii="Times New Roman" w:hAnsi="Times New Roman" w:cs="Times New Roman"/>
          <w:color w:val="auto"/>
        </w:rPr>
        <w:t>3.1.1项目概况</w:t>
      </w:r>
      <w:bookmarkEnd w:id="156"/>
      <w:bookmarkEnd w:id="157"/>
    </w:p>
    <w:p>
      <w:pPr>
        <w:ind w:firstLine="360" w:firstLineChars="150"/>
        <w:rPr>
          <w:rFonts w:ascii="Times New Roman" w:hAnsi="Times New Roman" w:cs="Times New Roman"/>
          <w:color w:val="auto"/>
          <w:szCs w:val="24"/>
        </w:rPr>
      </w:pPr>
      <w:bookmarkStart w:id="158" w:name="_Hlk104730137"/>
      <w:bookmarkStart w:id="159" w:name="_Hlk104729117"/>
      <w:r>
        <w:rPr>
          <w:rFonts w:ascii="Times New Roman" w:hAnsi="Times New Roman" w:cs="Times New Roman"/>
          <w:color w:val="auto"/>
          <w:szCs w:val="24"/>
        </w:rPr>
        <w:t>（1）项目名称：合肥东航码头工程</w:t>
      </w:r>
    </w:p>
    <w:p>
      <w:pPr>
        <w:ind w:firstLine="360" w:firstLineChars="150"/>
        <w:rPr>
          <w:rFonts w:ascii="Times New Roman" w:hAnsi="Times New Roman" w:cs="Times New Roman"/>
          <w:color w:val="auto"/>
          <w:szCs w:val="24"/>
        </w:rPr>
      </w:pPr>
      <w:r>
        <w:rPr>
          <w:rFonts w:ascii="Times New Roman" w:hAnsi="Times New Roman" w:cs="Times New Roman"/>
          <w:color w:val="auto"/>
          <w:szCs w:val="24"/>
        </w:rPr>
        <w:t>（2）建设单位：安徽港航物流有限公司</w:t>
      </w:r>
    </w:p>
    <w:p>
      <w:pPr>
        <w:ind w:firstLine="360" w:firstLineChars="150"/>
        <w:rPr>
          <w:rFonts w:ascii="Times New Roman" w:hAnsi="Times New Roman" w:cs="Times New Roman"/>
          <w:color w:val="auto"/>
          <w:szCs w:val="24"/>
        </w:rPr>
      </w:pPr>
      <w:r>
        <w:rPr>
          <w:rFonts w:ascii="Times New Roman" w:hAnsi="Times New Roman" w:cs="Times New Roman"/>
          <w:color w:val="auto"/>
          <w:szCs w:val="24"/>
        </w:rPr>
        <w:t>（3）工程总投资：6.8亿元</w:t>
      </w:r>
    </w:p>
    <w:p>
      <w:pPr>
        <w:ind w:firstLine="360" w:firstLineChars="150"/>
        <w:rPr>
          <w:rFonts w:ascii="Times New Roman" w:hAnsi="Times New Roman" w:cs="Times New Roman"/>
          <w:color w:val="auto"/>
          <w:szCs w:val="24"/>
        </w:rPr>
      </w:pPr>
      <w:r>
        <w:rPr>
          <w:rFonts w:ascii="Times New Roman" w:hAnsi="Times New Roman" w:cs="Times New Roman"/>
          <w:color w:val="auto"/>
          <w:szCs w:val="24"/>
        </w:rPr>
        <w:t>（4）建设性质：新建</w:t>
      </w:r>
    </w:p>
    <w:p>
      <w:pPr>
        <w:ind w:firstLine="360" w:firstLineChars="150"/>
        <w:rPr>
          <w:rFonts w:ascii="Times New Roman" w:hAnsi="Times New Roman" w:cs="Times New Roman"/>
          <w:color w:val="auto"/>
          <w:szCs w:val="24"/>
        </w:rPr>
      </w:pPr>
      <w:r>
        <w:rPr>
          <w:rFonts w:ascii="Times New Roman" w:hAnsi="Times New Roman" w:cs="Times New Roman"/>
          <w:color w:val="auto"/>
          <w:szCs w:val="24"/>
        </w:rPr>
        <w:t>（5）</w:t>
      </w:r>
      <w:r>
        <w:rPr>
          <w:rFonts w:hint="eastAsia" w:ascii="Times New Roman" w:hAnsi="Times New Roman" w:cs="Times New Roman"/>
          <w:color w:val="auto"/>
          <w:szCs w:val="24"/>
        </w:rPr>
        <w:t>建设地点</w:t>
      </w:r>
      <w:r>
        <w:rPr>
          <w:rFonts w:ascii="Times New Roman" w:hAnsi="Times New Roman" w:cs="Times New Roman"/>
          <w:color w:val="auto"/>
          <w:szCs w:val="24"/>
        </w:rPr>
        <w:t>：</w:t>
      </w:r>
      <w:r>
        <w:rPr>
          <w:rFonts w:hint="eastAsia" w:ascii="Times New Roman" w:hAnsi="Times New Roman" w:cs="Times New Roman"/>
          <w:color w:val="auto"/>
          <w:szCs w:val="24"/>
        </w:rPr>
        <w:t>合肥市肥东县撮镇镇店埠河左岸，合肥循环经济示范园规划用地范围内（中心点坐标：东经117.46006966，北纬31.78786478）</w:t>
      </w:r>
    </w:p>
    <w:p>
      <w:pPr>
        <w:ind w:firstLine="360" w:firstLineChars="150"/>
        <w:rPr>
          <w:rFonts w:ascii="Times New Roman" w:hAnsi="Times New Roman" w:cs="Times New Roman"/>
          <w:color w:val="auto"/>
          <w:szCs w:val="24"/>
        </w:rPr>
      </w:pPr>
      <w:r>
        <w:rPr>
          <w:rFonts w:ascii="Times New Roman" w:hAnsi="Times New Roman" w:cs="Times New Roman"/>
          <w:color w:val="auto"/>
          <w:szCs w:val="24"/>
        </w:rPr>
        <w:t>（</w:t>
      </w:r>
      <w:r>
        <w:rPr>
          <w:rFonts w:hint="eastAsia" w:ascii="Times New Roman" w:hAnsi="Times New Roman" w:cs="Times New Roman"/>
          <w:color w:val="auto"/>
          <w:szCs w:val="24"/>
        </w:rPr>
        <w:t>6</w:t>
      </w:r>
      <w:r>
        <w:rPr>
          <w:rFonts w:ascii="Times New Roman" w:hAnsi="Times New Roman" w:cs="Times New Roman"/>
          <w:color w:val="auto"/>
          <w:szCs w:val="24"/>
        </w:rPr>
        <w:t>）占地面积：270亩。</w:t>
      </w:r>
    </w:p>
    <w:p>
      <w:pPr>
        <w:ind w:firstLine="360" w:firstLineChars="150"/>
        <w:rPr>
          <w:rFonts w:ascii="Times New Roman" w:hAnsi="Times New Roman" w:cs="Times New Roman"/>
          <w:color w:val="auto"/>
          <w:szCs w:val="21"/>
        </w:rPr>
      </w:pPr>
      <w:r>
        <w:rPr>
          <w:rFonts w:ascii="Times New Roman" w:hAnsi="Times New Roman" w:cs="Times New Roman"/>
          <w:color w:val="auto"/>
          <w:szCs w:val="24"/>
        </w:rPr>
        <w:t>（7）建设规模：</w:t>
      </w:r>
    </w:p>
    <w:p>
      <w:pPr>
        <w:ind w:firstLine="480"/>
        <w:rPr>
          <w:rFonts w:ascii="Times New Roman" w:hAnsi="Times New Roman" w:cs="Times New Roman"/>
          <w:color w:val="FF0000"/>
        </w:rPr>
      </w:pPr>
      <w:r>
        <w:rPr>
          <w:rFonts w:ascii="Times New Roman" w:hAnsi="Times New Roman" w:cs="Times New Roman"/>
          <w:color w:val="auto"/>
          <w:szCs w:val="21"/>
        </w:rPr>
        <w:fldChar w:fldCharType="begin"/>
      </w:r>
      <w:r>
        <w:rPr>
          <w:rFonts w:ascii="Times New Roman" w:hAnsi="Times New Roman" w:cs="Times New Roman"/>
          <w:color w:val="auto"/>
          <w:szCs w:val="21"/>
        </w:rPr>
        <w:instrText xml:space="preserve"> = 1 \* GB3 </w:instrText>
      </w:r>
      <w:r>
        <w:rPr>
          <w:rFonts w:ascii="Times New Roman" w:hAnsi="Times New Roman" w:cs="Times New Roman"/>
          <w:color w:val="auto"/>
          <w:szCs w:val="21"/>
        </w:rPr>
        <w:fldChar w:fldCharType="separate"/>
      </w:r>
      <w:r>
        <w:rPr>
          <w:rFonts w:hint="eastAsia" w:ascii="宋体" w:hAnsi="宋体" w:cs="宋体"/>
          <w:color w:val="auto"/>
          <w:szCs w:val="21"/>
        </w:rPr>
        <w:t>①</w:t>
      </w:r>
      <w:r>
        <w:rPr>
          <w:rFonts w:ascii="Times New Roman" w:hAnsi="Times New Roman" w:cs="Times New Roman"/>
          <w:color w:val="auto"/>
          <w:szCs w:val="21"/>
        </w:rPr>
        <w:fldChar w:fldCharType="end"/>
      </w:r>
      <w:r>
        <w:rPr>
          <w:rFonts w:ascii="Times New Roman" w:hAnsi="Times New Roman" w:cs="Times New Roman"/>
          <w:color w:val="auto"/>
          <w:szCs w:val="21"/>
        </w:rPr>
        <w:t>码头规模：占用岸线泊位总长度640m。码头转折处下游侧（1#~5#泊位）采用顺岸连片式布置型式，泊位长度460m；上游侧（6#~7#泊位）采用挖入式港池布置型式，泊位长度180m根据货种类别、年运量要求以及后方罐区布置情况，码头泊位自下游侧至上游侧依次布置4个1000吨级酸碱泊位（1#~4#泊位），3个1000吨级液体油品泊位（5#~7#泊位）。码头前沿线退堤约39m，距设计航道中心线为101m。码头前沿装卸设备采用装卸臂和软管。码头前沿采用折线布置，码头平台总长度与泊位长度一致为 640m，码头前沿作业地带宽25m，码头顶面高程14.0m，前方护轮坎顶高程14.5m，设计港池底高程4.50m，原状防汛通道从大堤退堤后顺八字口堤顶道路进入港区内部道路再连接规划进港道路出港，同时港内道路均已形成环状循环道路联通，码头前方通过内部道路与后方罐区相连。前方港区占地约29.76亩。</w:t>
      </w:r>
    </w:p>
    <w:p>
      <w:pPr>
        <w:pStyle w:val="25"/>
        <w:spacing w:line="360" w:lineRule="auto"/>
        <w:ind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cs="宋体"/>
        </w:rPr>
        <w:t>②</w:t>
      </w:r>
      <w:r>
        <w:rPr>
          <w:rFonts w:ascii="Times New Roman" w:hAnsi="Times New Roman" w:cs="Times New Roman"/>
        </w:rPr>
        <w:fldChar w:fldCharType="end"/>
      </w:r>
      <w:r>
        <w:rPr>
          <w:rFonts w:ascii="Times New Roman" w:hAnsi="Times New Roman" w:cs="Times New Roman"/>
        </w:rPr>
        <w:t>陆域布置（罐区）</w:t>
      </w:r>
    </w:p>
    <w:p>
      <w:pPr>
        <w:adjustRightInd/>
        <w:ind w:firstLine="480"/>
        <w:rPr>
          <w:rFonts w:ascii="Times New Roman" w:hAnsi="Times New Roman" w:cs="Times New Roman"/>
          <w:color w:val="auto"/>
          <w:szCs w:val="21"/>
        </w:rPr>
      </w:pPr>
      <w:r>
        <w:rPr>
          <w:rFonts w:ascii="Times New Roman" w:hAnsi="Times New Roman" w:cs="Times New Roman"/>
          <w:color w:val="auto"/>
          <w:szCs w:val="21"/>
        </w:rPr>
        <w:t>后方陆域分设五个功能区：储罐区、公路装车区、公路卸车区、停车区、行政管理及辅助作业区。</w:t>
      </w:r>
    </w:p>
    <w:p>
      <w:pPr>
        <w:adjustRightInd/>
        <w:ind w:firstLine="480"/>
        <w:rPr>
          <w:rFonts w:ascii="Times New Roman" w:hAnsi="Times New Roman" w:cs="Times New Roman"/>
          <w:color w:val="auto"/>
          <w:szCs w:val="21"/>
        </w:rPr>
      </w:pPr>
      <w:r>
        <w:rPr>
          <w:rFonts w:ascii="Times New Roman" w:hAnsi="Times New Roman" w:cs="Times New Roman"/>
          <w:color w:val="auto"/>
          <w:szCs w:val="21"/>
        </w:rPr>
        <w:t>1）储罐区布置在用地北侧，包括三个储罐组，从北向南依次平行布置。1#罐组内包括13座3000m³汽油罐、1座1000m³和2座500m³乙醇罐，罐组周围设环形消防道路，罐组防火堤外西侧为1#泵棚和配电间、码头油气回收装置。2#罐组内包括13座5000m³柴油罐、3座5000m³柴油/航煤罐，罐组周围设环形消防道路，罐组防火堤外西侧为2#泵棚和配电间。3#罐组内包括4座5000m³硫酸罐、9座5000m³氢氧化钠罐、1座5000m³氢氧化钾罐、2座5000m³氯化钙罐。罐组周围设环形消防道路，罐组防火堤外西侧为3#泵棚和配电间、油气回收装置。</w:t>
      </w:r>
    </w:p>
    <w:p>
      <w:pPr>
        <w:adjustRightInd/>
        <w:ind w:firstLine="480"/>
        <w:rPr>
          <w:rFonts w:ascii="Times New Roman" w:hAnsi="Times New Roman" w:cs="Times New Roman"/>
          <w:color w:val="auto"/>
          <w:szCs w:val="21"/>
        </w:rPr>
      </w:pPr>
      <w:r>
        <w:rPr>
          <w:rFonts w:ascii="Times New Roman" w:hAnsi="Times New Roman" w:cs="Times New Roman"/>
          <w:color w:val="auto"/>
          <w:szCs w:val="21"/>
        </w:rPr>
        <w:t>配套设置汽车装卸区，汽车装卸区分为酸碱装卸与油品装卸，酸碱装卸在左边，右边为油品装卸。采用下装鹤管卸车装车，配合输送管线及后方码头设施完成完整的装卸任务。</w:t>
      </w:r>
    </w:p>
    <w:p>
      <w:pPr>
        <w:adjustRightInd/>
        <w:ind w:firstLine="480"/>
        <w:rPr>
          <w:rFonts w:ascii="Times New Roman" w:hAnsi="Times New Roman" w:cs="Times New Roman"/>
          <w:color w:val="auto"/>
          <w:szCs w:val="21"/>
        </w:rPr>
      </w:pPr>
      <w:r>
        <w:rPr>
          <w:rFonts w:ascii="Times New Roman" w:hAnsi="Times New Roman" w:cs="Times New Roman"/>
          <w:color w:val="auto"/>
          <w:szCs w:val="21"/>
        </w:rPr>
        <w:t>2）公路装车区</w:t>
      </w:r>
    </w:p>
    <w:p>
      <w:pPr>
        <w:adjustRightInd/>
        <w:ind w:firstLine="480"/>
        <w:rPr>
          <w:rFonts w:ascii="Times New Roman" w:hAnsi="Times New Roman" w:cs="Times New Roman"/>
          <w:color w:val="auto"/>
          <w:szCs w:val="21"/>
        </w:rPr>
      </w:pPr>
      <w:r>
        <w:rPr>
          <w:rFonts w:ascii="Times New Roman" w:hAnsi="Times New Roman" w:cs="Times New Roman"/>
          <w:color w:val="auto"/>
          <w:szCs w:val="21"/>
        </w:rPr>
        <w:t>公路装车区布置在用地南侧中部，紧邻工业园区道路，新建2座公路装车棚，1#公路装车棚下设10个岛，用于汽柴油装车，2#公路装车棚下设8个岛，用于化工品装车。出入口位置建设营业室和门卫、地衡。装卸区属于外来人员较多的区域，出于安全管理考虑，装卸区用铁艺围墙及实体围墙与其他区域分隔，单独成区。</w:t>
      </w:r>
    </w:p>
    <w:p>
      <w:pPr>
        <w:adjustRightInd/>
        <w:ind w:firstLine="480"/>
        <w:rPr>
          <w:rFonts w:ascii="Times New Roman" w:hAnsi="Times New Roman" w:cs="Times New Roman"/>
          <w:color w:val="auto"/>
          <w:szCs w:val="21"/>
        </w:rPr>
      </w:pPr>
      <w:r>
        <w:rPr>
          <w:rFonts w:ascii="Times New Roman" w:hAnsi="Times New Roman" w:cs="Times New Roman"/>
          <w:color w:val="auto"/>
          <w:szCs w:val="21"/>
        </w:rPr>
        <w:t>3）公路卸车区</w:t>
      </w:r>
    </w:p>
    <w:p>
      <w:pPr>
        <w:adjustRightInd/>
        <w:ind w:firstLine="480"/>
        <w:rPr>
          <w:rFonts w:ascii="Times New Roman" w:hAnsi="Times New Roman" w:cs="Times New Roman"/>
          <w:color w:val="auto"/>
          <w:szCs w:val="21"/>
        </w:rPr>
      </w:pPr>
      <w:r>
        <w:rPr>
          <w:rFonts w:ascii="Times New Roman" w:hAnsi="Times New Roman" w:cs="Times New Roman"/>
          <w:color w:val="auto"/>
          <w:szCs w:val="21"/>
        </w:rPr>
        <w:t>公路装卸区布置在用地东侧中部，新建公路卸油泵棚，设置6个卸车位。入口处设置门卫和地衡。同时本区内设置一座撬装加油装置，用作内部油槽车加油使用。该区独立成区，采用铁艺围墙与其他区域分隔。</w:t>
      </w:r>
    </w:p>
    <w:p>
      <w:pPr>
        <w:adjustRightInd/>
        <w:ind w:firstLine="480"/>
        <w:rPr>
          <w:rFonts w:ascii="Times New Roman" w:hAnsi="Times New Roman" w:cs="Times New Roman"/>
          <w:color w:val="auto"/>
          <w:szCs w:val="21"/>
        </w:rPr>
      </w:pPr>
      <w:r>
        <w:rPr>
          <w:rFonts w:ascii="Times New Roman" w:hAnsi="Times New Roman" w:cs="Times New Roman"/>
          <w:color w:val="auto"/>
          <w:szCs w:val="21"/>
        </w:rPr>
        <w:t>4）停车场</w:t>
      </w:r>
    </w:p>
    <w:p>
      <w:pPr>
        <w:adjustRightInd/>
        <w:ind w:firstLine="480"/>
        <w:rPr>
          <w:rFonts w:ascii="Times New Roman" w:hAnsi="Times New Roman" w:cs="Times New Roman"/>
          <w:color w:val="auto"/>
          <w:szCs w:val="21"/>
        </w:rPr>
      </w:pPr>
      <w:r>
        <w:rPr>
          <w:rFonts w:ascii="Times New Roman" w:hAnsi="Times New Roman" w:cs="Times New Roman"/>
          <w:color w:val="auto"/>
          <w:szCs w:val="21"/>
        </w:rPr>
        <w:t>停车场布置在用地西南，可供100辆油槽车临时停车。垂直停车，停车组之间设置消防道路。</w:t>
      </w:r>
    </w:p>
    <w:p>
      <w:pPr>
        <w:adjustRightInd/>
        <w:ind w:firstLine="480"/>
        <w:rPr>
          <w:rFonts w:ascii="Times New Roman" w:hAnsi="Times New Roman" w:cs="Times New Roman"/>
          <w:color w:val="auto"/>
          <w:szCs w:val="21"/>
        </w:rPr>
      </w:pPr>
      <w:r>
        <w:rPr>
          <w:rFonts w:ascii="Times New Roman" w:hAnsi="Times New Roman" w:cs="Times New Roman"/>
          <w:color w:val="auto"/>
          <w:szCs w:val="21"/>
        </w:rPr>
        <w:t>5）行政管理及辅助作业区</w:t>
      </w:r>
    </w:p>
    <w:p>
      <w:pPr>
        <w:adjustRightInd/>
        <w:ind w:firstLine="480"/>
        <w:rPr>
          <w:rFonts w:ascii="Times New Roman" w:hAnsi="Times New Roman" w:cs="Times New Roman"/>
          <w:color w:val="auto"/>
          <w:szCs w:val="21"/>
        </w:rPr>
      </w:pPr>
      <w:r>
        <w:rPr>
          <w:rFonts w:ascii="Times New Roman" w:hAnsi="Times New Roman" w:cs="Times New Roman"/>
          <w:color w:val="auto"/>
          <w:szCs w:val="21"/>
        </w:rPr>
        <w:t>行政管理及辅助作业区主要位于用地东南，包括综合楼、化验室、消防泵房及变配电间、制氮机间和两座消防水罐。该区独立成区，采用实体围墙与其他区域分隔，入口处设置门卫。部分单体位于储罐区西侧，分别为危废暂存间、辅助用房和应急物资库房。库外北侧和西侧分别设置候工房。</w:t>
      </w:r>
    </w:p>
    <w:p>
      <w:pPr>
        <w:adjustRightInd/>
        <w:ind w:firstLine="480"/>
        <w:rPr>
          <w:rFonts w:ascii="Times New Roman" w:hAnsi="Times New Roman" w:cs="Times New Roman"/>
          <w:color w:val="auto"/>
          <w:szCs w:val="24"/>
        </w:rPr>
      </w:pPr>
      <w:r>
        <w:rPr>
          <w:rFonts w:ascii="Times New Roman" w:hAnsi="Times New Roman" w:cs="Times New Roman"/>
          <w:color w:val="auto"/>
          <w:szCs w:val="21"/>
        </w:rPr>
        <w:t>后方陆域总占地约为240亩。</w:t>
      </w:r>
    </w:p>
    <w:p>
      <w:pPr>
        <w:adjustRightInd/>
        <w:ind w:firstLine="240" w:firstLineChars="100"/>
        <w:rPr>
          <w:rFonts w:ascii="Times New Roman" w:hAnsi="Times New Roman" w:cs="Times New Roman"/>
          <w:color w:val="auto"/>
          <w:szCs w:val="24"/>
        </w:rPr>
      </w:pPr>
      <w:r>
        <w:rPr>
          <w:rFonts w:ascii="Times New Roman" w:hAnsi="Times New Roman" w:cs="Times New Roman"/>
          <w:color w:val="auto"/>
          <w:szCs w:val="24"/>
        </w:rPr>
        <w:t>（8）设计代表船型：1000吨级化学品船和1000m</w:t>
      </w:r>
      <w:r>
        <w:rPr>
          <w:rFonts w:ascii="Times New Roman" w:hAnsi="Times New Roman" w:cs="Times New Roman"/>
          <w:color w:val="auto"/>
          <w:szCs w:val="24"/>
          <w:vertAlign w:val="superscript"/>
        </w:rPr>
        <w:t>3</w:t>
      </w:r>
      <w:r>
        <w:rPr>
          <w:rFonts w:ascii="Times New Roman" w:hAnsi="Times New Roman" w:cs="Times New Roman"/>
          <w:color w:val="auto"/>
          <w:szCs w:val="24"/>
        </w:rPr>
        <w:t>内河液化石油气船（以上船型兼顾2000吨级）。</w:t>
      </w:r>
    </w:p>
    <w:p>
      <w:pPr>
        <w:pStyle w:val="25"/>
        <w:spacing w:line="360" w:lineRule="auto"/>
        <w:ind w:firstLine="240" w:firstLineChars="100"/>
        <w:rPr>
          <w:rFonts w:ascii="Times New Roman" w:hAnsi="Times New Roman" w:cs="Times New Roman"/>
          <w:color w:val="auto"/>
        </w:rPr>
      </w:pPr>
      <w:r>
        <w:rPr>
          <w:rFonts w:ascii="Times New Roman" w:hAnsi="Times New Roman" w:cs="Times New Roman"/>
        </w:rPr>
        <w:t>（9）装卸货种：</w:t>
      </w:r>
      <w:r>
        <w:rPr>
          <w:rFonts w:ascii="Times New Roman" w:hAnsi="Times New Roman" w:cs="Times New Roman"/>
          <w:color w:val="auto"/>
        </w:rPr>
        <w:t>柴油、汽油、液碱、硫酸、氯化钙、氢氧化钾、燃料乙醇、乙二醇、植物油等。（本项目植物油、乙二醇不进行储存）</w:t>
      </w:r>
    </w:p>
    <w:p>
      <w:pPr>
        <w:adjustRightInd/>
        <w:ind w:firstLine="240" w:firstLineChars="100"/>
        <w:jc w:val="left"/>
        <w:rPr>
          <w:rFonts w:ascii="Times New Roman" w:hAnsi="Times New Roman" w:cs="Times New Roman"/>
          <w:color w:val="auto"/>
          <w:kern w:val="24"/>
          <w:szCs w:val="20"/>
        </w:rPr>
      </w:pPr>
      <w:r>
        <w:rPr>
          <w:rFonts w:ascii="Times New Roman" w:hAnsi="Times New Roman" w:cs="Times New Roman"/>
          <w:color w:val="auto"/>
          <w:kern w:val="24"/>
          <w:szCs w:val="20"/>
        </w:rPr>
        <w:t>（10）吞吐量及营运制度：本项目2030年吞吐量为300万吨；码头年运营330天；储罐年营运天数：350天。采取日3班</w:t>
      </w:r>
      <w:r>
        <w:rPr>
          <w:rFonts w:hint="eastAsia" w:ascii="Times New Roman" w:hAnsi="Times New Roman" w:cs="Times New Roman"/>
          <w:color w:val="auto"/>
          <w:kern w:val="24"/>
          <w:szCs w:val="20"/>
        </w:rPr>
        <w:t>2</w:t>
      </w:r>
      <w:r>
        <w:rPr>
          <w:rFonts w:ascii="Times New Roman" w:hAnsi="Times New Roman" w:cs="Times New Roman"/>
          <w:color w:val="auto"/>
          <w:kern w:val="24"/>
          <w:szCs w:val="20"/>
        </w:rPr>
        <w:t>4</w:t>
      </w:r>
      <w:r>
        <w:rPr>
          <w:rFonts w:hint="eastAsia" w:ascii="Times New Roman" w:hAnsi="Times New Roman" w:cs="Times New Roman"/>
          <w:color w:val="auto"/>
          <w:kern w:val="24"/>
          <w:szCs w:val="20"/>
        </w:rPr>
        <w:t>小时工作</w:t>
      </w:r>
      <w:r>
        <w:rPr>
          <w:rFonts w:ascii="Times New Roman" w:hAnsi="Times New Roman" w:cs="Times New Roman"/>
          <w:color w:val="auto"/>
          <w:kern w:val="24"/>
          <w:szCs w:val="20"/>
        </w:rPr>
        <w:t>制。</w:t>
      </w:r>
      <w:bookmarkEnd w:id="158"/>
      <w:bookmarkStart w:id="160" w:name="_Toc102984286"/>
    </w:p>
    <w:bookmarkEnd w:id="159"/>
    <w:p>
      <w:pPr>
        <w:pStyle w:val="4"/>
        <w:numPr>
          <w:ilvl w:val="2"/>
          <w:numId w:val="0"/>
        </w:numPr>
        <w:jc w:val="both"/>
        <w:rPr>
          <w:rFonts w:ascii="Times New Roman" w:hAnsi="Times New Roman" w:cs="Times New Roman"/>
          <w:color w:val="auto"/>
        </w:rPr>
      </w:pPr>
      <w:bookmarkStart w:id="161" w:name="_Toc104733322"/>
      <w:r>
        <w:rPr>
          <w:rFonts w:ascii="Times New Roman" w:hAnsi="Times New Roman" w:cs="Times New Roman"/>
          <w:color w:val="auto"/>
        </w:rPr>
        <w:t>3.1.2工程内容</w:t>
      </w:r>
      <w:bookmarkEnd w:id="160"/>
      <w:bookmarkEnd w:id="161"/>
    </w:p>
    <w:p>
      <w:pPr>
        <w:ind w:firstLine="480"/>
        <w:rPr>
          <w:rFonts w:ascii="Times New Roman" w:hAnsi="Times New Roman" w:cs="Times New Roman"/>
          <w:color w:val="auto"/>
        </w:rPr>
        <w:sectPr>
          <w:headerReference r:id="rId17" w:type="default"/>
          <w:pgSz w:w="11906" w:h="16838"/>
          <w:pgMar w:top="1417" w:right="1417" w:bottom="1417" w:left="1417" w:header="850" w:footer="992" w:gutter="0"/>
          <w:cols w:space="720" w:num="1"/>
          <w:docGrid w:type="lines" w:linePitch="333" w:charSpace="0"/>
        </w:sectPr>
      </w:pPr>
    </w:p>
    <w:p>
      <w:pPr>
        <w:ind w:firstLine="442"/>
        <w:jc w:val="center"/>
        <w:rPr>
          <w:rFonts w:ascii="Times New Roman" w:hAnsi="Times New Roman" w:eastAsia="黑体" w:cs="Times New Roman"/>
          <w:b/>
          <w:bCs/>
          <w:color w:val="auto"/>
          <w:sz w:val="22"/>
        </w:rPr>
      </w:pPr>
      <w:bookmarkStart w:id="162" w:name="_Toc102979817"/>
      <w:r>
        <w:rPr>
          <w:rFonts w:ascii="Times New Roman" w:hAnsi="Times New Roman" w:eastAsia="黑体" w:cs="Times New Roman"/>
          <w:b/>
          <w:bCs/>
          <w:color w:val="auto"/>
          <w:sz w:val="22"/>
        </w:rPr>
        <w:t>表3.1-1  项目工程内容一览表</w:t>
      </w:r>
      <w:bookmarkEnd w:id="162"/>
    </w:p>
    <w:tbl>
      <w:tblPr>
        <w:tblStyle w:val="62"/>
        <w:tblW w:w="1426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3"/>
        <w:gridCol w:w="851"/>
        <w:gridCol w:w="1080"/>
        <w:gridCol w:w="115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63" w:type="dxa"/>
            <w:tcBorders>
              <w:tl2br w:val="nil"/>
              <w:tr2bl w:val="nil"/>
            </w:tcBorders>
            <w:vAlign w:val="center"/>
          </w:tcPr>
          <w:p>
            <w:pPr>
              <w:pStyle w:val="861"/>
              <w:widowControl w:val="0"/>
              <w:rPr>
                <w:b/>
                <w:bCs/>
                <w:sz w:val="20"/>
              </w:rPr>
            </w:pPr>
            <w:r>
              <w:rPr>
                <w:b/>
                <w:bCs/>
                <w:sz w:val="20"/>
              </w:rPr>
              <w:t>工程类别</w:t>
            </w:r>
          </w:p>
        </w:tc>
        <w:tc>
          <w:tcPr>
            <w:tcW w:w="1931" w:type="dxa"/>
            <w:gridSpan w:val="2"/>
            <w:tcBorders>
              <w:tl2br w:val="nil"/>
              <w:tr2bl w:val="nil"/>
            </w:tcBorders>
            <w:vAlign w:val="center"/>
          </w:tcPr>
          <w:p>
            <w:pPr>
              <w:pStyle w:val="861"/>
              <w:widowControl w:val="0"/>
              <w:rPr>
                <w:b/>
                <w:bCs/>
                <w:sz w:val="20"/>
              </w:rPr>
            </w:pPr>
            <w:r>
              <w:rPr>
                <w:b/>
                <w:bCs/>
                <w:sz w:val="20"/>
              </w:rPr>
              <w:t>工程名称</w:t>
            </w:r>
          </w:p>
        </w:tc>
        <w:tc>
          <w:tcPr>
            <w:tcW w:w="11569" w:type="dxa"/>
            <w:tcBorders>
              <w:tl2br w:val="nil"/>
              <w:tr2bl w:val="nil"/>
            </w:tcBorders>
            <w:vAlign w:val="center"/>
          </w:tcPr>
          <w:p>
            <w:pPr>
              <w:pStyle w:val="861"/>
              <w:widowControl w:val="0"/>
              <w:rPr>
                <w:b/>
                <w:bCs/>
                <w:sz w:val="20"/>
              </w:rPr>
            </w:pPr>
            <w:r>
              <w:rPr>
                <w:b/>
                <w:bCs/>
                <w:sz w:val="20"/>
              </w:rPr>
              <w:t>建设内容及规模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restart"/>
            <w:tcBorders>
              <w:tl2br w:val="nil"/>
              <w:tr2bl w:val="nil"/>
            </w:tcBorders>
            <w:vAlign w:val="center"/>
          </w:tcPr>
          <w:p>
            <w:pPr>
              <w:pStyle w:val="861"/>
              <w:widowControl w:val="0"/>
              <w:rPr>
                <w:szCs w:val="18"/>
              </w:rPr>
            </w:pPr>
            <w:r>
              <w:rPr>
                <w:szCs w:val="18"/>
              </w:rPr>
              <w:t>主体工程</w:t>
            </w:r>
          </w:p>
        </w:tc>
        <w:tc>
          <w:tcPr>
            <w:tcW w:w="851" w:type="dxa"/>
            <w:vMerge w:val="restart"/>
            <w:tcBorders>
              <w:tl2br w:val="nil"/>
              <w:tr2bl w:val="nil"/>
            </w:tcBorders>
            <w:vAlign w:val="center"/>
          </w:tcPr>
          <w:p>
            <w:pPr>
              <w:pStyle w:val="861"/>
              <w:widowControl w:val="0"/>
              <w:rPr>
                <w:szCs w:val="18"/>
              </w:rPr>
            </w:pPr>
            <w:r>
              <w:rPr>
                <w:szCs w:val="18"/>
              </w:rPr>
              <w:t>码头</w:t>
            </w:r>
          </w:p>
        </w:tc>
        <w:tc>
          <w:tcPr>
            <w:tcW w:w="1080" w:type="dxa"/>
            <w:tcBorders>
              <w:tl2br w:val="nil"/>
              <w:tr2bl w:val="nil"/>
            </w:tcBorders>
            <w:vAlign w:val="center"/>
          </w:tcPr>
          <w:p>
            <w:pPr>
              <w:pStyle w:val="861"/>
              <w:widowControl w:val="0"/>
              <w:rPr>
                <w:szCs w:val="18"/>
              </w:rPr>
            </w:pPr>
            <w:r>
              <w:rPr>
                <w:szCs w:val="18"/>
              </w:rPr>
              <w:t>平面布置</w:t>
            </w:r>
          </w:p>
        </w:tc>
        <w:tc>
          <w:tcPr>
            <w:tcW w:w="11569" w:type="dxa"/>
            <w:tcBorders>
              <w:tl2br w:val="nil"/>
              <w:tr2bl w:val="nil"/>
            </w:tcBorders>
            <w:vAlign w:val="center"/>
          </w:tcPr>
          <w:p>
            <w:pPr>
              <w:pStyle w:val="861"/>
              <w:widowControl w:val="0"/>
              <w:ind w:firstLine="360" w:firstLineChars="200"/>
              <w:jc w:val="left"/>
              <w:rPr>
                <w:szCs w:val="18"/>
              </w:rPr>
            </w:pPr>
            <w:r>
              <w:rPr>
                <w:szCs w:val="18"/>
              </w:rPr>
              <w:t>码头岸线及泊位长度460m；码头转折处下游侧（1#~5#泊位）采用顺岸连片式布置型式，上游侧（6#~7#泊位）采用挖入式港池布置型式，泊位长度180m。根据货种类别、年货运量要求以及后方罐区布置，码头泊位自下游侧至上游侧依次布置4个1000吨级液体化学品泊位（1#~4#泊位），3个1000吨级液体油品泊位（5#~7#泊位）。码头前沿线退堤约55m，距设计航道中心线为101m。码头前沿装卸设备采用装卸臂和软管。码头前沿采用折线布置，码头平台总长度与泊位长度一致为640m，码头前沿作业地带宽25m，码头顶面高程14.0m，前方护轮坎顶高程14.5m，设计港池底高程4.50m，原状防汛通道从大堤退堤后顺八字口堤顶道路进入港区内部道路再连接规划进港道路出港，同时港内道路均已形成环状循环道路联通，码头前方通过内部道路与后方罐区相连。</w:t>
            </w:r>
          </w:p>
          <w:p>
            <w:pPr>
              <w:pStyle w:val="861"/>
              <w:widowControl w:val="0"/>
              <w:ind w:firstLine="360" w:firstLineChars="200"/>
              <w:jc w:val="left"/>
              <w:rPr>
                <w:szCs w:val="18"/>
              </w:rPr>
            </w:pPr>
            <w:r>
              <w:rPr>
                <w:szCs w:val="18"/>
              </w:rPr>
              <w:t>本项目依托店埠河航道，根据《安徽省干线航道网规划（2018-2030年）》，店埠河航道合裕公路桥至三汊河口段规划等级为Ⅲ级，目前已按Ⅲ级标准完成航道整治工作，设计航道底宽为45m，设计水深为3.2m，最小弯曲半径为420m，原航道长度为8.4km，经升级改造后航道全长7.65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水工结构设计</w:t>
            </w:r>
          </w:p>
        </w:tc>
        <w:tc>
          <w:tcPr>
            <w:tcW w:w="11569" w:type="dxa"/>
            <w:tcBorders>
              <w:tl2br w:val="nil"/>
              <w:tr2bl w:val="nil"/>
            </w:tcBorders>
            <w:vAlign w:val="center"/>
          </w:tcPr>
          <w:p>
            <w:pPr>
              <w:pStyle w:val="861"/>
              <w:widowControl w:val="0"/>
              <w:ind w:firstLine="360" w:firstLineChars="200"/>
              <w:jc w:val="left"/>
              <w:rPr>
                <w:szCs w:val="18"/>
              </w:rPr>
            </w:pPr>
            <w:r>
              <w:rPr>
                <w:szCs w:val="18"/>
              </w:rPr>
              <w:t>水工建筑物主体部分采用重力式码头结构；码头顶面高程</w:t>
            </w:r>
            <w:r>
              <w:rPr>
                <w:rFonts w:hint="eastAsia" w:ascii="宋体" w:hAnsi="宋体" w:cs="宋体"/>
                <w:szCs w:val="18"/>
              </w:rPr>
              <w:t>▽</w:t>
            </w:r>
            <w:r>
              <w:rPr>
                <w:szCs w:val="18"/>
              </w:rPr>
              <w:t>14.0m，港池设计河底高程</w:t>
            </w:r>
            <w:r>
              <w:rPr>
                <w:rFonts w:hint="eastAsia" w:ascii="宋体" w:hAnsi="宋体" w:cs="宋体"/>
                <w:szCs w:val="18"/>
              </w:rPr>
              <w:t>▽</w:t>
            </w:r>
            <w:r>
              <w:rPr>
                <w:szCs w:val="18"/>
              </w:rPr>
              <w:t>4.5m。墙身高9.5m，底板厚1.0m。结构顶部采用C30钢筋砼压顶，压顶尺寸为1.0×0.9（m），压顶上部设置高度为0.5m护轮坎（兼做防浪墙）。墙身采用C25夹石砼结构（夹石量≤15%），底部为宽度8.8m的C25砼底板，墙身间隔10m设置一道2cm结构缝，结构缝填充聚乙烯板材料，墙背结构缝处通长粘贴宽100cm的300g/m2的土工布带以防漏土。墙身设上下三层排水管，间距1.5m交错布置，横向排水为φ75mmPVC管，在墙后孔口处纵向设φ100mm 软式管与φ80mm软式排水管相连，并用碎石与土工布包裹。码头前沿设置2个SA-A300H×2500L型橡胶护舷。</w:t>
            </w:r>
          </w:p>
          <w:p>
            <w:pPr>
              <w:pStyle w:val="861"/>
              <w:widowControl w:val="0"/>
              <w:ind w:firstLine="360" w:firstLineChars="200"/>
              <w:jc w:val="left"/>
              <w:rPr>
                <w:szCs w:val="18"/>
              </w:rPr>
            </w:pPr>
            <w:r>
              <w:rPr>
                <w:szCs w:val="18"/>
              </w:rPr>
              <w:t>根据地质资料，底板以下位置存在较厚的淤泥层，采用水泥搅拌桩进行地基处理，桩径50cm，间距100cm，正三角形布置，桩顶设置10cm厚水泥砂浆和30cm厚碎石垫层。港池通过疏浚形成，底高程为4.5m，边坡坡度按1：2.5控制，表面设有砼预制块护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装卸工艺</w:t>
            </w:r>
          </w:p>
        </w:tc>
        <w:tc>
          <w:tcPr>
            <w:tcW w:w="11569" w:type="dxa"/>
            <w:tcBorders>
              <w:tl2br w:val="nil"/>
              <w:tr2bl w:val="nil"/>
            </w:tcBorders>
            <w:vAlign w:val="center"/>
          </w:tcPr>
          <w:p>
            <w:pPr>
              <w:pStyle w:val="861"/>
              <w:widowControl w:val="0"/>
              <w:ind w:firstLine="360" w:firstLineChars="200"/>
              <w:jc w:val="left"/>
              <w:rPr>
                <w:szCs w:val="18"/>
              </w:rPr>
            </w:pPr>
            <w:r>
              <w:rPr>
                <w:szCs w:val="18"/>
              </w:rPr>
              <w:t>本工程共布置有7个1000吨级泊位，主要用于各液体散货的装卸作业。其中1#～4#泊位为液体化学品泊位，主要装卸液碱、硫酸、氯化钙、氢氧化钾、乙醇等化学品，1#~3#泊位采用金属软管进行装卸作业，每个货种1根，每个泊位辅助配备1台1.5t-12m软管吊进行金属软管吊装作业；4#泊位采用2台6”装卸臂进行装卸作业；5#～7#泊位为液体油品泊位，每个泊位码头前沿配备2台6”装卸臂进行装卸作业。装卸臂工艺生产操作以液动为主，手动为辅。</w:t>
            </w:r>
          </w:p>
          <w:p>
            <w:pPr>
              <w:pStyle w:val="861"/>
              <w:widowControl w:val="0"/>
              <w:ind w:firstLine="360" w:firstLineChars="200"/>
              <w:jc w:val="left"/>
              <w:rPr>
                <w:szCs w:val="18"/>
              </w:rPr>
            </w:pPr>
            <w:r>
              <w:rPr>
                <w:szCs w:val="18"/>
              </w:rPr>
              <w:t>1#泊位配备5根DN150液体散货专用干管、5根DN150金属软管、1台1.5t软管吊；2#泊位配备4根DN150液体散货专用干管、4根DN150金属软管、1台1.5t软管吊；3#泊位配备5根DN150液体散货专用干管、5根DN150金属软管、1台1.5t软管吊；4#～7#泊位每个泊位各配备4根DN150液体散货专用干管、2台6”装卸臂（汽油柴油各1台）。</w:t>
            </w:r>
          </w:p>
          <w:p>
            <w:pPr>
              <w:pStyle w:val="861"/>
              <w:widowControl w:val="0"/>
              <w:ind w:firstLine="360" w:firstLineChars="200"/>
              <w:jc w:val="left"/>
              <w:rPr>
                <w:szCs w:val="18"/>
              </w:rPr>
            </w:pPr>
            <w:r>
              <w:rPr>
                <w:szCs w:val="18"/>
              </w:rPr>
              <w:t>码头前沿合计共配置8台6”装卸臂，14根金属软管，3台1.5t软管吊，30根散货专用干管。</w:t>
            </w:r>
          </w:p>
          <w:p>
            <w:pPr>
              <w:pStyle w:val="861"/>
              <w:widowControl w:val="0"/>
              <w:ind w:firstLine="360" w:firstLineChars="200"/>
              <w:jc w:val="left"/>
              <w:rPr>
                <w:szCs w:val="18"/>
              </w:rPr>
            </w:pPr>
            <w:r>
              <w:rPr>
                <w:szCs w:val="18"/>
              </w:rPr>
              <w:t>工艺主管廊由后方储罐区接至码头前沿横向管廊，再根据每个泊位的装卸货种需要将管线接至码头装卸区明装敷设，结合码头平面布置及物料种类等因素，采用双层管架结构，管架占宽定位6m。本工程管道大多数选用20号普通碳钢热轧无缝钢管，硫酸管道应采用钢衬四氟管道，管道外压力等级为1.6MPa；</w:t>
            </w:r>
          </w:p>
          <w:p>
            <w:pPr>
              <w:pStyle w:val="861"/>
              <w:widowControl w:val="0"/>
              <w:ind w:firstLine="360" w:firstLineChars="200"/>
              <w:jc w:val="left"/>
              <w:rPr>
                <w:szCs w:val="18"/>
              </w:rPr>
            </w:pPr>
            <w:r>
              <w:rPr>
                <w:szCs w:val="18"/>
              </w:rPr>
              <w:t>码头每个装卸区设废气回收管线，废气回收至后方罐区油气回收装置处理；</w:t>
            </w:r>
          </w:p>
          <w:p>
            <w:pPr>
              <w:pStyle w:val="861"/>
              <w:widowControl w:val="0"/>
              <w:ind w:firstLine="360" w:firstLineChars="200"/>
              <w:jc w:val="left"/>
              <w:rPr>
                <w:szCs w:val="18"/>
              </w:rPr>
            </w:pPr>
            <w:r>
              <w:rPr>
                <w:szCs w:val="18"/>
              </w:rPr>
              <w:t>各工艺管线在罐区围墙与码头管线交接点处设紧急切断阀，紧急切断阀为气动，并带手轮，具备自动、遥控、手动等功能。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管廊设计</w:t>
            </w:r>
          </w:p>
        </w:tc>
        <w:tc>
          <w:tcPr>
            <w:tcW w:w="11569" w:type="dxa"/>
            <w:tcBorders>
              <w:tl2br w:val="nil"/>
              <w:tr2bl w:val="nil"/>
            </w:tcBorders>
            <w:vAlign w:val="center"/>
          </w:tcPr>
          <w:p>
            <w:pPr>
              <w:pStyle w:val="861"/>
              <w:widowControl w:val="0"/>
              <w:ind w:firstLine="360" w:firstLineChars="200"/>
              <w:jc w:val="left"/>
              <w:rPr>
                <w:szCs w:val="18"/>
              </w:rPr>
            </w:pPr>
            <w:r>
              <w:rPr>
                <w:szCs w:val="18"/>
              </w:rPr>
              <w:t>本项目新建管廊管架（两层），上层为电气仪表层，下层为工艺管道层和公用工程管道。将水管、消防管道、污水管、泡沫消防管道、氮气、压缩空气等外管接至各使用点。动力电缆、仪表电缆通过外管廊接至各储罐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管道扫线</w:t>
            </w:r>
          </w:p>
        </w:tc>
        <w:tc>
          <w:tcPr>
            <w:tcW w:w="11569" w:type="dxa"/>
            <w:tcBorders>
              <w:tl2br w:val="nil"/>
              <w:tr2bl w:val="nil"/>
            </w:tcBorders>
            <w:vAlign w:val="center"/>
          </w:tcPr>
          <w:p>
            <w:pPr>
              <w:pStyle w:val="861"/>
              <w:widowControl w:val="0"/>
              <w:ind w:firstLine="360" w:firstLineChars="200"/>
              <w:jc w:val="left"/>
              <w:rPr>
                <w:szCs w:val="18"/>
              </w:rPr>
            </w:pPr>
            <w:r>
              <w:rPr>
                <w:szCs w:val="18"/>
              </w:rPr>
              <w:t>根据码头管道物料特性，采用氮气作为清扫介质（由后方罐区提供）。扫线方向为：码头装卸臂及软管内的化工物料扫向船舶；管廊管线及码头管线内的油品及化工物料残液扫向后方罐区。装卸臂、软管利用氮气进行吹扫，干管扫线可采用氮气+扫线球扫线。</w:t>
            </w:r>
          </w:p>
          <w:p>
            <w:pPr>
              <w:pStyle w:val="861"/>
              <w:widowControl w:val="0"/>
              <w:ind w:firstLine="360" w:firstLineChars="200"/>
              <w:jc w:val="left"/>
              <w:rPr>
                <w:szCs w:val="18"/>
              </w:rPr>
            </w:pPr>
            <w:r>
              <w:rPr>
                <w:szCs w:val="18"/>
              </w:rPr>
              <w:t>对于工艺管线本着专管专用的原则，工艺管道通常不扫线，当管道检修或更换货种时，用氮气驱动清管球将管内物料扫入后方储罐，氮气由后方陆域制氮机提供。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restart"/>
            <w:tcBorders>
              <w:tl2br w:val="nil"/>
              <w:tr2bl w:val="nil"/>
            </w:tcBorders>
            <w:vAlign w:val="center"/>
          </w:tcPr>
          <w:p>
            <w:pPr>
              <w:pStyle w:val="861"/>
              <w:widowControl w:val="0"/>
              <w:rPr>
                <w:szCs w:val="18"/>
              </w:rPr>
            </w:pPr>
            <w:r>
              <w:rPr>
                <w:szCs w:val="18"/>
              </w:rPr>
              <w:t>陆域设置</w:t>
            </w:r>
          </w:p>
        </w:tc>
        <w:tc>
          <w:tcPr>
            <w:tcW w:w="1080" w:type="dxa"/>
            <w:tcBorders>
              <w:tl2br w:val="nil"/>
              <w:tr2bl w:val="nil"/>
            </w:tcBorders>
            <w:vAlign w:val="center"/>
          </w:tcPr>
          <w:p>
            <w:pPr>
              <w:pStyle w:val="861"/>
              <w:widowControl w:val="0"/>
              <w:rPr>
                <w:szCs w:val="18"/>
              </w:rPr>
            </w:pPr>
            <w:r>
              <w:rPr>
                <w:szCs w:val="18"/>
              </w:rPr>
              <w:t>平面布置</w:t>
            </w:r>
          </w:p>
        </w:tc>
        <w:tc>
          <w:tcPr>
            <w:tcW w:w="11569" w:type="dxa"/>
            <w:tcBorders>
              <w:tl2br w:val="nil"/>
              <w:tr2bl w:val="nil"/>
            </w:tcBorders>
            <w:vAlign w:val="center"/>
          </w:tcPr>
          <w:p>
            <w:pPr>
              <w:pStyle w:val="861"/>
              <w:widowControl w:val="0"/>
              <w:ind w:firstLine="360" w:firstLineChars="200"/>
              <w:jc w:val="left"/>
              <w:rPr>
                <w:szCs w:val="18"/>
              </w:rPr>
            </w:pPr>
            <w:r>
              <w:rPr>
                <w:szCs w:val="18"/>
              </w:rPr>
              <w:t>陆域部分按其不同的使用功能，分设五个功能区：储罐区、公路装车区、公路卸车区、停车区、行政管理及辅助作业区。行政管理区有综合办公楼（含中央控制室、食堂、宿舍）；辅助作业区有变电所、化验室、氮气储罐站、空压站、消防水罐、消防泵房、维修间等。后方陆域总占地约为240亩。</w:t>
            </w:r>
          </w:p>
          <w:p>
            <w:pPr>
              <w:pStyle w:val="861"/>
              <w:widowControl w:val="0"/>
              <w:ind w:firstLine="360" w:firstLineChars="200"/>
              <w:jc w:val="left"/>
              <w:rPr>
                <w:szCs w:val="18"/>
              </w:rPr>
            </w:pPr>
            <w:r>
              <w:rPr>
                <w:szCs w:val="18"/>
              </w:rPr>
              <w:t>陆域储罐区库容为20.1万m</w:t>
            </w:r>
            <w:r>
              <w:rPr>
                <w:szCs w:val="18"/>
                <w:vertAlign w:val="superscript"/>
              </w:rPr>
              <w:t>3</w:t>
            </w:r>
            <w:r>
              <w:rPr>
                <w:szCs w:val="18"/>
              </w:rPr>
              <w:t>，其中汽油3.9万m</w:t>
            </w:r>
            <w:r>
              <w:rPr>
                <w:szCs w:val="18"/>
                <w:vertAlign w:val="superscript"/>
              </w:rPr>
              <w:t>3</w:t>
            </w:r>
            <w:r>
              <w:rPr>
                <w:szCs w:val="18"/>
              </w:rPr>
              <w:t>；柴油6.5万m</w:t>
            </w:r>
            <w:r>
              <w:rPr>
                <w:szCs w:val="18"/>
                <w:vertAlign w:val="superscript"/>
              </w:rPr>
              <w:t>3</w:t>
            </w:r>
            <w:r>
              <w:rPr>
                <w:szCs w:val="18"/>
              </w:rPr>
              <w:t>，乙醇0.2万m</w:t>
            </w:r>
            <w:r>
              <w:rPr>
                <w:szCs w:val="18"/>
                <w:vertAlign w:val="superscript"/>
              </w:rPr>
              <w:t>3</w:t>
            </w:r>
            <w:r>
              <w:rPr>
                <w:szCs w:val="18"/>
              </w:rPr>
              <w:t>，航煤1.5万m</w:t>
            </w:r>
            <w:r>
              <w:rPr>
                <w:szCs w:val="18"/>
                <w:vertAlign w:val="superscript"/>
              </w:rPr>
              <w:t>3</w:t>
            </w:r>
            <w:r>
              <w:rPr>
                <w:szCs w:val="18"/>
              </w:rPr>
              <w:t>，化工品8万m</w:t>
            </w:r>
            <w:r>
              <w:rPr>
                <w:szCs w:val="18"/>
                <w:vertAlign w:val="superscript"/>
              </w:rPr>
              <w:t>3</w:t>
            </w:r>
            <w:r>
              <w:rPr>
                <w:szCs w:val="18"/>
              </w:rPr>
              <w:t>，计算库容为8.85万m</w:t>
            </w:r>
            <w:r>
              <w:rPr>
                <w:szCs w:val="18"/>
                <w:vertAlign w:val="superscript"/>
              </w:rPr>
              <w:t>3</w:t>
            </w:r>
            <w:r>
              <w:rPr>
                <w:szCs w:val="18"/>
              </w:rPr>
              <w:t>为二级油库。</w:t>
            </w:r>
          </w:p>
          <w:p>
            <w:pPr>
              <w:pStyle w:val="861"/>
              <w:widowControl w:val="0"/>
              <w:ind w:firstLine="360" w:firstLineChars="200"/>
              <w:jc w:val="left"/>
              <w:rPr>
                <w:szCs w:val="18"/>
              </w:rPr>
            </w:pPr>
            <w:r>
              <w:rPr>
                <w:szCs w:val="18"/>
              </w:rPr>
              <w:t>设置汽车装卸区，汽车装卸区分为酸碱装卸与油品装卸，酸碱装卸在左侧，右侧为油品装卸。采用鹤管卸车装车，配合输送管线及后方码头设施完成完整的装卸任务。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储罐区</w:t>
            </w:r>
          </w:p>
        </w:tc>
        <w:tc>
          <w:tcPr>
            <w:tcW w:w="11569" w:type="dxa"/>
            <w:tcBorders>
              <w:tl2br w:val="nil"/>
              <w:tr2bl w:val="nil"/>
            </w:tcBorders>
            <w:vAlign w:val="center"/>
          </w:tcPr>
          <w:p>
            <w:pPr>
              <w:pStyle w:val="861"/>
              <w:widowControl w:val="0"/>
              <w:ind w:firstLine="360" w:firstLineChars="200"/>
              <w:jc w:val="left"/>
              <w:rPr>
                <w:szCs w:val="18"/>
              </w:rPr>
            </w:pPr>
            <w:r>
              <w:rPr>
                <w:szCs w:val="18"/>
              </w:rPr>
              <w:t>储罐区布置在用地北侧，包括三个储罐组，从北向南依次平行布置。</w:t>
            </w:r>
          </w:p>
          <w:p>
            <w:pPr>
              <w:pStyle w:val="861"/>
              <w:widowControl w:val="0"/>
              <w:ind w:firstLine="360" w:firstLineChars="200"/>
              <w:jc w:val="left"/>
              <w:rPr>
                <w:szCs w:val="18"/>
              </w:rPr>
            </w:pPr>
            <w:r>
              <w:rPr>
                <w:szCs w:val="18"/>
              </w:rPr>
              <w:t>1#罐组内包括13座3000m³汽油罐、1座1000m³和2座500m³乙醇罐，罐组周围设环形消防道路，罐组防火堤外西侧为1#泵棚和配电间、码头油气回收装置。</w:t>
            </w:r>
          </w:p>
          <w:p>
            <w:pPr>
              <w:pStyle w:val="861"/>
              <w:widowControl w:val="0"/>
              <w:ind w:firstLine="360" w:firstLineChars="200"/>
              <w:jc w:val="left"/>
              <w:rPr>
                <w:szCs w:val="18"/>
              </w:rPr>
            </w:pPr>
            <w:r>
              <w:rPr>
                <w:szCs w:val="18"/>
              </w:rPr>
              <w:t>2#罐组内包括13座5000m³柴油罐、3座5000m³柴油/航煤罐，罐组周围设环形消防道路，罐组防火堤外西侧为2#泵棚和配电间。</w:t>
            </w:r>
          </w:p>
          <w:p>
            <w:pPr>
              <w:pStyle w:val="861"/>
              <w:widowControl w:val="0"/>
              <w:ind w:firstLine="360" w:firstLineChars="200"/>
              <w:jc w:val="left"/>
              <w:rPr>
                <w:szCs w:val="18"/>
              </w:rPr>
            </w:pPr>
            <w:r>
              <w:rPr>
                <w:szCs w:val="18"/>
              </w:rPr>
              <w:t>3#罐组内包括4座5000m³硫酸罐、9座5000m³氢氧化钠罐、1座5000m³氢氧化钾罐、2座5000m³氯化钙罐。罐组周围设环形消防道路，罐组防火堤外西侧为3#泵棚和配电间、油气回收装置。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公路装车区</w:t>
            </w:r>
          </w:p>
        </w:tc>
        <w:tc>
          <w:tcPr>
            <w:tcW w:w="11569" w:type="dxa"/>
            <w:tcBorders>
              <w:tl2br w:val="nil"/>
              <w:tr2bl w:val="nil"/>
            </w:tcBorders>
            <w:vAlign w:val="center"/>
          </w:tcPr>
          <w:p>
            <w:pPr>
              <w:pStyle w:val="861"/>
              <w:widowControl w:val="0"/>
              <w:ind w:firstLine="360" w:firstLineChars="200"/>
              <w:jc w:val="left"/>
              <w:rPr>
                <w:szCs w:val="18"/>
              </w:rPr>
            </w:pPr>
            <w:r>
              <w:rPr>
                <w:szCs w:val="18"/>
              </w:rPr>
              <w:t>公路装车区布置在用地南侧中部，紧邻工业园区道路，新建2座公路装车棚，1#公路装车棚下设10个岛，用于汽柴油装车，2#公路装车棚下设8个岛，用于化工品装车。</w:t>
            </w:r>
          </w:p>
          <w:p>
            <w:pPr>
              <w:pStyle w:val="861"/>
              <w:widowControl w:val="0"/>
              <w:ind w:firstLine="360" w:firstLineChars="200"/>
              <w:jc w:val="left"/>
              <w:rPr>
                <w:szCs w:val="18"/>
              </w:rPr>
            </w:pPr>
            <w:r>
              <w:rPr>
                <w:szCs w:val="18"/>
              </w:rPr>
              <w:t>1#公路装车棚：建筑面积为1001.00m²，高度为7.00m。结构形式采用钢结构，开敞建筑。</w:t>
            </w:r>
          </w:p>
          <w:p>
            <w:pPr>
              <w:pStyle w:val="861"/>
              <w:widowControl w:val="0"/>
              <w:ind w:firstLine="360" w:firstLineChars="200"/>
              <w:jc w:val="left"/>
              <w:rPr>
                <w:szCs w:val="18"/>
              </w:rPr>
            </w:pPr>
            <w:r>
              <w:rPr>
                <w:szCs w:val="18"/>
              </w:rPr>
              <w:t>2#公路装车棚：建筑面积为11034.00m²，高度为7.00m。结构形式采用钢结构，开敞建筑。</w:t>
            </w:r>
          </w:p>
          <w:p>
            <w:pPr>
              <w:pStyle w:val="861"/>
              <w:widowControl w:val="0"/>
              <w:ind w:firstLine="360" w:firstLineChars="200"/>
              <w:jc w:val="left"/>
              <w:rPr>
                <w:szCs w:val="18"/>
              </w:rPr>
            </w:pPr>
            <w:r>
              <w:rPr>
                <w:szCs w:val="18"/>
              </w:rPr>
              <w:t>出入口位置建设营业室和门卫、地衡。装卸区属于外来人员较多的区域，出于安全管理考虑，装卸区用铁艺围墙及实体围墙与其他区域分隔，单独成区。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公路卸车区</w:t>
            </w:r>
          </w:p>
        </w:tc>
        <w:tc>
          <w:tcPr>
            <w:tcW w:w="11569" w:type="dxa"/>
            <w:tcBorders>
              <w:tl2br w:val="nil"/>
              <w:tr2bl w:val="nil"/>
            </w:tcBorders>
            <w:vAlign w:val="center"/>
          </w:tcPr>
          <w:p>
            <w:pPr>
              <w:pStyle w:val="861"/>
              <w:widowControl w:val="0"/>
              <w:ind w:firstLine="360" w:firstLineChars="200"/>
              <w:jc w:val="left"/>
              <w:rPr>
                <w:szCs w:val="18"/>
              </w:rPr>
            </w:pPr>
            <w:r>
              <w:rPr>
                <w:szCs w:val="18"/>
              </w:rPr>
              <w:t>公路装卸区布置在用地东侧中部，新建公路卸油泵棚，设置6个卸车位。入口处设置门卫和地衡。同时本区内设置一座撬装加油装置，用作内部油槽车加油使用。该区独立成区，采用铁艺围墙与其他区域分隔。</w:t>
            </w:r>
          </w:p>
          <w:p>
            <w:pPr>
              <w:pStyle w:val="861"/>
              <w:widowControl w:val="0"/>
              <w:ind w:firstLine="360" w:firstLineChars="200"/>
              <w:jc w:val="left"/>
              <w:rPr>
                <w:szCs w:val="18"/>
              </w:rPr>
            </w:pPr>
            <w:r>
              <w:rPr>
                <w:rFonts w:hint="eastAsia"/>
                <w:szCs w:val="18"/>
              </w:rPr>
              <w:t>公路卸车区</w:t>
            </w:r>
            <w:r>
              <w:rPr>
                <w:szCs w:val="18"/>
              </w:rPr>
              <w:t>投影面积为252.00m²，建筑面积为126.00m²，檐口高度为7.00m。结构形式采用钢结构，开敞建筑。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停车区</w:t>
            </w:r>
          </w:p>
        </w:tc>
        <w:tc>
          <w:tcPr>
            <w:tcW w:w="11569" w:type="dxa"/>
            <w:tcBorders>
              <w:tl2br w:val="nil"/>
              <w:tr2bl w:val="nil"/>
            </w:tcBorders>
            <w:vAlign w:val="center"/>
          </w:tcPr>
          <w:p>
            <w:pPr>
              <w:pStyle w:val="861"/>
              <w:widowControl w:val="0"/>
              <w:ind w:firstLine="360" w:firstLineChars="200"/>
              <w:jc w:val="left"/>
              <w:rPr>
                <w:szCs w:val="18"/>
              </w:rPr>
            </w:pPr>
            <w:r>
              <w:rPr>
                <w:szCs w:val="18"/>
              </w:rPr>
              <w:t>停车场布置在用地西南，可供100辆油槽车临时停车。垂直停车，停车组之间设置消防道路。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行政管理及辅助作业区</w:t>
            </w:r>
          </w:p>
        </w:tc>
        <w:tc>
          <w:tcPr>
            <w:tcW w:w="11569" w:type="dxa"/>
            <w:tcBorders>
              <w:tl2br w:val="nil"/>
              <w:tr2bl w:val="nil"/>
            </w:tcBorders>
            <w:vAlign w:val="center"/>
          </w:tcPr>
          <w:p>
            <w:pPr>
              <w:pStyle w:val="861"/>
              <w:widowControl w:val="0"/>
              <w:ind w:firstLine="360" w:firstLineChars="200"/>
              <w:jc w:val="left"/>
              <w:rPr>
                <w:szCs w:val="18"/>
              </w:rPr>
            </w:pPr>
            <w:r>
              <w:rPr>
                <w:szCs w:val="18"/>
              </w:rPr>
              <w:t>行政管理及辅助作业区主要位于用地东南，包括综合楼、化验室、消防泵房及变配电间、制氮机间和两座消防水罐。该区独立成区，采用实体围墙与其他区域分隔，入口处设置门卫。</w:t>
            </w:r>
          </w:p>
          <w:p>
            <w:pPr>
              <w:pStyle w:val="861"/>
              <w:widowControl w:val="0"/>
              <w:ind w:firstLine="360" w:firstLineChars="200"/>
              <w:jc w:val="left"/>
              <w:rPr>
                <w:szCs w:val="18"/>
              </w:rPr>
            </w:pPr>
            <w:r>
              <w:rPr>
                <w:szCs w:val="18"/>
              </w:rPr>
              <w:t>部分单体位于储罐区西侧，分别为危废暂存间、辅助用房和应急物资库房。库外北侧和西侧分别设置候工房。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763" w:type="dxa"/>
            <w:vMerge w:val="restart"/>
            <w:tcBorders>
              <w:tl2br w:val="nil"/>
              <w:tr2bl w:val="nil"/>
            </w:tcBorders>
            <w:vAlign w:val="center"/>
          </w:tcPr>
          <w:p>
            <w:pPr>
              <w:pStyle w:val="861"/>
              <w:widowControl w:val="0"/>
              <w:rPr>
                <w:szCs w:val="18"/>
              </w:rPr>
            </w:pPr>
            <w:r>
              <w:rPr>
                <w:szCs w:val="18"/>
              </w:rPr>
              <w:t>用工程</w:t>
            </w:r>
          </w:p>
        </w:tc>
        <w:tc>
          <w:tcPr>
            <w:tcW w:w="1931" w:type="dxa"/>
            <w:gridSpan w:val="2"/>
            <w:vMerge w:val="restart"/>
            <w:tcBorders>
              <w:tl2br w:val="nil"/>
              <w:tr2bl w:val="nil"/>
            </w:tcBorders>
            <w:vAlign w:val="center"/>
          </w:tcPr>
          <w:p>
            <w:pPr>
              <w:pStyle w:val="861"/>
              <w:widowControl w:val="0"/>
              <w:rPr>
                <w:szCs w:val="18"/>
              </w:rPr>
            </w:pPr>
            <w:r>
              <w:rPr>
                <w:szCs w:val="18"/>
              </w:rPr>
              <w:t>给水工程</w:t>
            </w:r>
          </w:p>
        </w:tc>
        <w:tc>
          <w:tcPr>
            <w:tcW w:w="11569" w:type="dxa"/>
            <w:vMerge w:val="restart"/>
            <w:tcBorders>
              <w:tl2br w:val="nil"/>
              <w:tr2bl w:val="nil"/>
            </w:tcBorders>
            <w:vAlign w:val="center"/>
          </w:tcPr>
          <w:p>
            <w:pPr>
              <w:pStyle w:val="861"/>
              <w:widowControl w:val="0"/>
              <w:ind w:right="-156" w:rightChars="-65" w:firstLine="360" w:firstLineChars="200"/>
              <w:jc w:val="left"/>
              <w:rPr>
                <w:szCs w:val="18"/>
              </w:rPr>
            </w:pPr>
            <w:r>
              <w:rPr>
                <w:szCs w:val="18"/>
              </w:rPr>
              <w:t>码头的生产、生活给水从后方罐区供给，后方罐区给水水源接入循环产业园园区市政管网，给水水源管径均为DN150，水压力为</w:t>
            </w:r>
            <w:r>
              <w:rPr>
                <w:rFonts w:hint="eastAsia"/>
                <w:szCs w:val="18"/>
              </w:rPr>
              <w:t>0</w:t>
            </w:r>
            <w:r>
              <w:rPr>
                <w:szCs w:val="18"/>
              </w:rPr>
              <w:t>.3Mpa。</w:t>
            </w:r>
          </w:p>
          <w:p>
            <w:pPr>
              <w:pStyle w:val="861"/>
              <w:widowControl w:val="0"/>
              <w:ind w:right="-156" w:rightChars="-65" w:firstLine="360" w:firstLineChars="200"/>
              <w:jc w:val="left"/>
              <w:rPr>
                <w:szCs w:val="18"/>
              </w:rPr>
            </w:pPr>
            <w:r>
              <w:rPr>
                <w:szCs w:val="18"/>
              </w:rPr>
              <w:t>港区管道采用支状布置，生活生产管网管径DN150，消防管网与生活生产管网分开布置。码头面布置给水栓、消火栓、消防炮等供水、灭火设备。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763" w:type="dxa"/>
            <w:vMerge w:val="continue"/>
            <w:tcBorders>
              <w:tl2br w:val="nil"/>
              <w:tr2bl w:val="nil"/>
            </w:tcBorders>
            <w:vAlign w:val="center"/>
          </w:tcPr>
          <w:p>
            <w:pPr>
              <w:pStyle w:val="861"/>
              <w:widowControl w:val="0"/>
              <w:rPr>
                <w:szCs w:val="18"/>
              </w:rPr>
            </w:pPr>
          </w:p>
        </w:tc>
        <w:tc>
          <w:tcPr>
            <w:tcW w:w="1931" w:type="dxa"/>
            <w:gridSpan w:val="2"/>
            <w:vMerge w:val="continue"/>
            <w:tcBorders>
              <w:tl2br w:val="nil"/>
              <w:tr2bl w:val="nil"/>
            </w:tcBorders>
            <w:vAlign w:val="center"/>
          </w:tcPr>
          <w:p>
            <w:pPr>
              <w:pStyle w:val="861"/>
              <w:widowControl w:val="0"/>
              <w:rPr>
                <w:szCs w:val="18"/>
              </w:rPr>
            </w:pPr>
          </w:p>
        </w:tc>
        <w:tc>
          <w:tcPr>
            <w:tcW w:w="11569" w:type="dxa"/>
            <w:vMerge w:val="continue"/>
            <w:tcBorders>
              <w:tl2br w:val="nil"/>
              <w:tr2bl w:val="nil"/>
            </w:tcBorders>
            <w:vAlign w:val="center"/>
          </w:tcPr>
          <w:p>
            <w:pPr>
              <w:pStyle w:val="861"/>
              <w:widowControl w:val="0"/>
              <w:jc w:val="left"/>
              <w:rPr>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供电工程</w:t>
            </w:r>
          </w:p>
        </w:tc>
        <w:tc>
          <w:tcPr>
            <w:tcW w:w="11569" w:type="dxa"/>
            <w:tcBorders>
              <w:tl2br w:val="nil"/>
              <w:tr2bl w:val="nil"/>
            </w:tcBorders>
            <w:vAlign w:val="center"/>
          </w:tcPr>
          <w:p>
            <w:pPr>
              <w:spacing w:line="240" w:lineRule="auto"/>
              <w:ind w:firstLine="360"/>
              <w:rPr>
                <w:rFonts w:ascii="Times New Roman" w:hAnsi="Times New Roman" w:cs="Times New Roman"/>
                <w:color w:val="auto"/>
                <w:kern w:val="0"/>
                <w:sz w:val="18"/>
                <w:szCs w:val="18"/>
              </w:rPr>
            </w:pPr>
            <w:r>
              <w:rPr>
                <w:rFonts w:ascii="Times New Roman" w:hAnsi="Times New Roman" w:cs="Times New Roman"/>
                <w:color w:val="auto"/>
                <w:kern w:val="0"/>
                <w:sz w:val="18"/>
                <w:szCs w:val="18"/>
              </w:rPr>
              <w:t>本工程总供电电源拟从循环经济园化工园变电站接入罐区总变配电所。罐区外电源引入两路电源线路，供电电压采用10KV，其容量满足油库供电需求。罐区设置一座总变配电所，下设一座分变配电所，两座分配电间，一座箱式变电站。</w:t>
            </w:r>
          </w:p>
          <w:p>
            <w:pPr>
              <w:spacing w:line="240" w:lineRule="auto"/>
              <w:ind w:firstLine="360"/>
              <w:rPr>
                <w:rFonts w:ascii="Times New Roman" w:hAnsi="Times New Roman" w:cs="Times New Roman"/>
                <w:color w:val="auto"/>
                <w:kern w:val="0"/>
                <w:sz w:val="18"/>
                <w:szCs w:val="18"/>
              </w:rPr>
            </w:pPr>
            <w:r>
              <w:rPr>
                <w:rFonts w:ascii="Times New Roman" w:hAnsi="Times New Roman" w:cs="Times New Roman"/>
                <w:color w:val="auto"/>
                <w:kern w:val="0"/>
                <w:sz w:val="18"/>
                <w:szCs w:val="18"/>
              </w:rPr>
              <w:t>罐区内建一座10/0.4kV总变电所（消防泵房及变配电间），下设一座10/0.4kV 分变配电间（2#泵棚及配电间）、一座10/0.4kV 箱式变电站（办公楼用）、两座0.4KV配电间（1#泵棚及配电间、3#泵棚及配电间）。</w:t>
            </w:r>
          </w:p>
          <w:p>
            <w:pPr>
              <w:pStyle w:val="861"/>
              <w:widowControl w:val="0"/>
              <w:ind w:firstLine="360" w:firstLineChars="200"/>
              <w:jc w:val="left"/>
              <w:rPr>
                <w:szCs w:val="18"/>
              </w:rPr>
            </w:pPr>
            <w:r>
              <w:rPr>
                <w:szCs w:val="18"/>
              </w:rPr>
              <w:t>消防泵房变配电间内设置一台20KW EPS消防泵房内作为消防电动阀的备用电源；2#泵棚及变配电间内设置一台30KW EPS为罐区及码头消防负荷提供备用电源。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维修车间</w:t>
            </w:r>
          </w:p>
        </w:tc>
        <w:tc>
          <w:tcPr>
            <w:tcW w:w="11569" w:type="dxa"/>
            <w:tcBorders>
              <w:tl2br w:val="nil"/>
              <w:tr2bl w:val="nil"/>
            </w:tcBorders>
            <w:vAlign w:val="center"/>
          </w:tcPr>
          <w:p>
            <w:pPr>
              <w:pStyle w:val="861"/>
              <w:widowControl w:val="0"/>
              <w:ind w:firstLine="360" w:firstLineChars="200"/>
              <w:jc w:val="left"/>
              <w:rPr>
                <w:szCs w:val="18"/>
              </w:rPr>
            </w:pPr>
            <w:r>
              <w:rPr>
                <w:szCs w:val="18"/>
              </w:rPr>
              <w:t>维修车间将承担设备的维修工作，同时储存适当的机械加工及焊接设备、仪表电气检测设备及各种维修用工器具等。本项目设备小修依靠码头配备维修人员解决，设备大修主要依赖专业化的维修公司。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中央控制室</w:t>
            </w:r>
          </w:p>
        </w:tc>
        <w:tc>
          <w:tcPr>
            <w:tcW w:w="11569" w:type="dxa"/>
            <w:tcBorders>
              <w:tl2br w:val="nil"/>
              <w:tr2bl w:val="nil"/>
            </w:tcBorders>
            <w:vAlign w:val="center"/>
          </w:tcPr>
          <w:p>
            <w:pPr>
              <w:pStyle w:val="861"/>
              <w:widowControl w:val="0"/>
              <w:ind w:firstLine="360" w:firstLineChars="200"/>
              <w:jc w:val="left"/>
              <w:rPr>
                <w:szCs w:val="18"/>
              </w:rPr>
            </w:pPr>
            <w:r>
              <w:rPr>
                <w:szCs w:val="18"/>
              </w:rPr>
              <w:t>中央控制室位于行综合楼，用于仪器仪表的控制，中央控制室厂房建筑面积600m</w:t>
            </w:r>
            <w:r>
              <w:rPr>
                <w:szCs w:val="18"/>
                <w:vertAlign w:val="superscript"/>
              </w:rPr>
              <w:t>2</w:t>
            </w:r>
            <w:r>
              <w:rPr>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restart"/>
            <w:tcBorders>
              <w:tl2br w:val="nil"/>
              <w:tr2bl w:val="nil"/>
            </w:tcBorders>
            <w:vAlign w:val="center"/>
          </w:tcPr>
          <w:p>
            <w:pPr>
              <w:pStyle w:val="861"/>
              <w:widowControl w:val="0"/>
              <w:rPr>
                <w:szCs w:val="18"/>
              </w:rPr>
            </w:pPr>
            <w:r>
              <w:rPr>
                <w:szCs w:val="18"/>
              </w:rPr>
              <w:t>排水工程</w:t>
            </w:r>
          </w:p>
        </w:tc>
        <w:tc>
          <w:tcPr>
            <w:tcW w:w="1080" w:type="dxa"/>
            <w:tcBorders>
              <w:tl2br w:val="nil"/>
              <w:tr2bl w:val="nil"/>
            </w:tcBorders>
            <w:vAlign w:val="center"/>
          </w:tcPr>
          <w:p>
            <w:pPr>
              <w:pStyle w:val="861"/>
              <w:widowControl w:val="0"/>
              <w:rPr>
                <w:szCs w:val="18"/>
              </w:rPr>
            </w:pPr>
            <w:r>
              <w:rPr>
                <w:szCs w:val="18"/>
              </w:rPr>
              <w:t>生活污水排水系统</w:t>
            </w:r>
          </w:p>
        </w:tc>
        <w:tc>
          <w:tcPr>
            <w:tcW w:w="11569" w:type="dxa"/>
            <w:tcBorders>
              <w:tl2br w:val="nil"/>
              <w:tr2bl w:val="nil"/>
            </w:tcBorders>
            <w:vAlign w:val="center"/>
          </w:tcPr>
          <w:p>
            <w:pPr>
              <w:pStyle w:val="861"/>
              <w:widowControl w:val="0"/>
              <w:ind w:firstLine="360" w:firstLineChars="200"/>
              <w:jc w:val="left"/>
              <w:rPr>
                <w:szCs w:val="18"/>
              </w:rPr>
            </w:pPr>
            <w:r>
              <w:rPr>
                <w:szCs w:val="18"/>
              </w:rPr>
              <w:t>本项目排水采取清污分流、污污分流的原则，项目产生的生活污水排入各建筑物外的化粪池</w:t>
            </w:r>
            <w:r>
              <w:rPr>
                <w:rFonts w:hint="eastAsia"/>
                <w:szCs w:val="18"/>
              </w:rPr>
              <w:t>（食堂设置隔油池）</w:t>
            </w:r>
            <w:r>
              <w:rPr>
                <w:szCs w:val="18"/>
              </w:rPr>
              <w:t>中经预处理后达到《污水综合排放标准》（GB8978-1996）中的三级标准以及合肥循环经济示范园污水处理厂接管标准后排入合肥循环经济示范园污水处理厂处理。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生产污水排水系统</w:t>
            </w:r>
          </w:p>
        </w:tc>
        <w:tc>
          <w:tcPr>
            <w:tcW w:w="11569" w:type="dxa"/>
            <w:tcBorders>
              <w:tl2br w:val="nil"/>
              <w:tr2bl w:val="nil"/>
            </w:tcBorders>
            <w:vAlign w:val="center"/>
          </w:tcPr>
          <w:p>
            <w:pPr>
              <w:pStyle w:val="861"/>
              <w:widowControl w:val="0"/>
              <w:ind w:firstLine="360" w:firstLineChars="200"/>
              <w:jc w:val="left"/>
              <w:rPr>
                <w:szCs w:val="18"/>
              </w:rPr>
            </w:pPr>
            <w:r>
              <w:rPr>
                <w:szCs w:val="18"/>
              </w:rPr>
              <w:t>码头平台冲洗废水，经排水沟</w:t>
            </w:r>
            <w:r>
              <w:rPr>
                <w:rFonts w:hint="eastAsia"/>
                <w:szCs w:val="18"/>
              </w:rPr>
              <w:t>及集液池</w:t>
            </w:r>
            <w:r>
              <w:rPr>
                <w:szCs w:val="18"/>
              </w:rPr>
              <w:t>收集后</w:t>
            </w:r>
            <w:r>
              <w:rPr>
                <w:rFonts w:hint="eastAsia"/>
                <w:szCs w:val="18"/>
              </w:rPr>
              <w:t>通过污水泵，由管架上污水管线输送至后方陆域6</w:t>
            </w:r>
            <w:r>
              <w:rPr>
                <w:szCs w:val="18"/>
              </w:rPr>
              <w:t>00</w:t>
            </w:r>
            <w:r>
              <w:rPr>
                <w:rFonts w:hint="eastAsia"/>
                <w:szCs w:val="18"/>
              </w:rPr>
              <w:t>m</w:t>
            </w:r>
            <w:r>
              <w:rPr>
                <w:szCs w:val="18"/>
                <w:vertAlign w:val="superscript"/>
              </w:rPr>
              <w:t>3</w:t>
            </w:r>
            <w:r>
              <w:rPr>
                <w:szCs w:val="18"/>
              </w:rPr>
              <w:t>密闭式含油污水收集池（兼初期雨水池）内，</w:t>
            </w:r>
            <w:r>
              <w:rPr>
                <w:rFonts w:hint="eastAsia"/>
                <w:szCs w:val="18"/>
              </w:rPr>
              <w:t>罐区及装车区冲洗废水经排水管线进入陆域6</w:t>
            </w:r>
            <w:r>
              <w:rPr>
                <w:szCs w:val="18"/>
              </w:rPr>
              <w:t>00</w:t>
            </w:r>
            <w:r>
              <w:rPr>
                <w:rFonts w:hint="eastAsia"/>
                <w:szCs w:val="18"/>
              </w:rPr>
              <w:t>m</w:t>
            </w:r>
            <w:r>
              <w:rPr>
                <w:szCs w:val="18"/>
                <w:vertAlign w:val="superscript"/>
              </w:rPr>
              <w:t>3</w:t>
            </w:r>
            <w:r>
              <w:rPr>
                <w:szCs w:val="18"/>
              </w:rPr>
              <w:t>密闭式含油污水收集池（兼初期雨水池）内</w:t>
            </w:r>
            <w:r>
              <w:rPr>
                <w:rFonts w:hint="eastAsia"/>
                <w:szCs w:val="18"/>
              </w:rPr>
              <w:t>；储罐切水废水收集后进入陆域</w:t>
            </w:r>
            <w:r>
              <w:rPr>
                <w:szCs w:val="18"/>
              </w:rPr>
              <w:t>密闭式含油污水收集池</w:t>
            </w:r>
            <w:r>
              <w:rPr>
                <w:rFonts w:hint="eastAsia"/>
                <w:szCs w:val="18"/>
              </w:rPr>
              <w:t>；均通过含油污水预处理装置处理后，接管进入合肥循环经济示范园污水处理厂</w:t>
            </w:r>
            <w:r>
              <w:rPr>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船舶废水收集与排放</w:t>
            </w:r>
          </w:p>
        </w:tc>
        <w:tc>
          <w:tcPr>
            <w:tcW w:w="11569" w:type="dxa"/>
            <w:tcBorders>
              <w:tl2br w:val="nil"/>
              <w:tr2bl w:val="nil"/>
            </w:tcBorders>
            <w:vAlign w:val="center"/>
          </w:tcPr>
          <w:p>
            <w:pPr>
              <w:pStyle w:val="861"/>
              <w:widowControl w:val="0"/>
              <w:ind w:firstLine="360" w:firstLineChars="200"/>
              <w:jc w:val="left"/>
              <w:rPr>
                <w:szCs w:val="18"/>
              </w:rPr>
            </w:pPr>
            <w:r>
              <w:rPr>
                <w:szCs w:val="18"/>
              </w:rPr>
              <w:t>停靠船舶产生的机舱含油污水收集后排入码头含油污水接收设施，再接入</w:t>
            </w:r>
            <w:r>
              <w:rPr>
                <w:rFonts w:hint="eastAsia"/>
                <w:szCs w:val="18"/>
              </w:rPr>
              <w:t>6</w:t>
            </w:r>
            <w:r>
              <w:rPr>
                <w:szCs w:val="18"/>
              </w:rPr>
              <w:t>00</w:t>
            </w:r>
            <w:r>
              <w:rPr>
                <w:rFonts w:hint="eastAsia"/>
                <w:szCs w:val="18"/>
              </w:rPr>
              <w:t>m</w:t>
            </w:r>
            <w:r>
              <w:rPr>
                <w:szCs w:val="18"/>
                <w:vertAlign w:val="superscript"/>
              </w:rPr>
              <w:t>3</w:t>
            </w:r>
            <w:r>
              <w:rPr>
                <w:szCs w:val="18"/>
              </w:rPr>
              <w:t>密闭式含油污水收集池，经含油污水处理装置预处理后排入合肥循环经济园污水处理厂处理。</w:t>
            </w:r>
          </w:p>
          <w:p>
            <w:pPr>
              <w:pStyle w:val="861"/>
              <w:widowControl w:val="0"/>
              <w:ind w:firstLine="360" w:firstLineChars="200"/>
              <w:jc w:val="left"/>
              <w:rPr>
                <w:szCs w:val="18"/>
              </w:rPr>
            </w:pPr>
            <w:r>
              <w:rPr>
                <w:szCs w:val="18"/>
              </w:rPr>
              <w:t>停靠船舶产生的生活污水收集后排入码头生活污水接收设施，再接入化粪池中预处理后排入合肥循环经济园污水处理厂处理。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雨水排水系统</w:t>
            </w:r>
          </w:p>
        </w:tc>
        <w:tc>
          <w:tcPr>
            <w:tcW w:w="11569" w:type="dxa"/>
            <w:tcBorders>
              <w:tl2br w:val="nil"/>
              <w:tr2bl w:val="nil"/>
            </w:tcBorders>
            <w:vAlign w:val="center"/>
          </w:tcPr>
          <w:p>
            <w:pPr>
              <w:pStyle w:val="861"/>
              <w:widowControl w:val="0"/>
              <w:ind w:firstLine="360" w:firstLineChars="200"/>
              <w:jc w:val="left"/>
              <w:rPr>
                <w:szCs w:val="18"/>
              </w:rPr>
            </w:pPr>
            <w:r>
              <w:rPr>
                <w:szCs w:val="18"/>
              </w:rPr>
              <w:t>码头面设置明沟盖板排水沟和污水收集池</w:t>
            </w:r>
            <w:r>
              <w:rPr>
                <w:rFonts w:hint="eastAsia"/>
                <w:szCs w:val="18"/>
              </w:rPr>
              <w:t>（2处，各3</w:t>
            </w:r>
            <w:r>
              <w:rPr>
                <w:szCs w:val="18"/>
              </w:rPr>
              <w:t>0</w:t>
            </w:r>
            <w:r>
              <w:rPr>
                <w:rFonts w:hint="eastAsia"/>
                <w:szCs w:val="18"/>
              </w:rPr>
              <w:t>m</w:t>
            </w:r>
            <w:r>
              <w:rPr>
                <w:szCs w:val="18"/>
                <w:vertAlign w:val="superscript"/>
              </w:rPr>
              <w:t>3</w:t>
            </w:r>
            <w:r>
              <w:rPr>
                <w:rFonts w:hint="eastAsia"/>
                <w:szCs w:val="18"/>
              </w:rPr>
              <w:t>）</w:t>
            </w:r>
            <w:r>
              <w:rPr>
                <w:szCs w:val="18"/>
              </w:rPr>
              <w:t>，池内设置污水泵，将码头面初期15min雨水泵入后方罐区密闭式含油污水收集池（初期雨水池）内，罐区及汽车装卸区通过雨水收集系统将初期15min雨水收集至密闭式含油污水收集池（初期雨水池）内；将收集的初期雨水泵入含油污水处理装置处理后接管排入合肥循环经济园污水处理厂；</w:t>
            </w:r>
          </w:p>
          <w:p>
            <w:pPr>
              <w:pStyle w:val="861"/>
              <w:widowControl w:val="0"/>
              <w:ind w:firstLine="360" w:firstLineChars="200"/>
              <w:jc w:val="left"/>
              <w:rPr>
                <w:szCs w:val="18"/>
              </w:rPr>
            </w:pPr>
            <w:r>
              <w:rPr>
                <w:szCs w:val="18"/>
              </w:rPr>
              <w:t>码头区、罐区、装车区等污染区内的初期雨水和后期雨水在装置排出口设置切换阀，初期雨水切换排入污水管网，后期雨水切换排入雨水管网。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restart"/>
            <w:tcBorders>
              <w:tl2br w:val="nil"/>
              <w:tr2bl w:val="nil"/>
            </w:tcBorders>
            <w:vAlign w:val="center"/>
          </w:tcPr>
          <w:p>
            <w:pPr>
              <w:pStyle w:val="861"/>
              <w:widowControl w:val="0"/>
              <w:rPr>
                <w:szCs w:val="18"/>
              </w:rPr>
            </w:pPr>
            <w:r>
              <w:rPr>
                <w:szCs w:val="18"/>
              </w:rPr>
              <w:t>消防设施</w:t>
            </w:r>
          </w:p>
        </w:tc>
        <w:tc>
          <w:tcPr>
            <w:tcW w:w="1080" w:type="dxa"/>
            <w:tcBorders>
              <w:tl2br w:val="nil"/>
              <w:tr2bl w:val="nil"/>
            </w:tcBorders>
            <w:vAlign w:val="center"/>
          </w:tcPr>
          <w:p>
            <w:pPr>
              <w:pStyle w:val="861"/>
              <w:widowControl w:val="0"/>
              <w:rPr>
                <w:szCs w:val="18"/>
              </w:rPr>
            </w:pPr>
            <w:r>
              <w:rPr>
                <w:szCs w:val="18"/>
              </w:rPr>
              <w:t>消防给水系统</w:t>
            </w:r>
          </w:p>
        </w:tc>
        <w:tc>
          <w:tcPr>
            <w:tcW w:w="11569" w:type="dxa"/>
            <w:tcBorders>
              <w:tl2br w:val="nil"/>
              <w:tr2bl w:val="nil"/>
            </w:tcBorders>
            <w:vAlign w:val="center"/>
          </w:tcPr>
          <w:p>
            <w:pPr>
              <w:pStyle w:val="861"/>
              <w:widowControl w:val="0"/>
              <w:ind w:firstLine="360" w:firstLineChars="200"/>
              <w:jc w:val="left"/>
              <w:rPr>
                <w:szCs w:val="24"/>
              </w:rPr>
            </w:pPr>
            <w:r>
              <w:rPr>
                <w:szCs w:val="24"/>
              </w:rPr>
              <w:t>码头泊位水源由后方罐区自设消防泵站供给。陆域罐区新建有效容积1800m³消防水罐2座，总储水量为3600m³，采用两路管道进水，配备电动消防泵3台（两备一用），设置消防稳压增压设备。消防水管、泡沫混合液管在引桥及码头上沿工艺管架敷设，工作平台上采用支架敷设。消防水管、泡沫混合液管采用无缝钢管，管道连接采用焊接。</w:t>
            </w:r>
          </w:p>
          <w:p>
            <w:pPr>
              <w:pStyle w:val="861"/>
              <w:widowControl w:val="0"/>
              <w:ind w:firstLine="360" w:firstLineChars="200"/>
              <w:jc w:val="left"/>
              <w:rPr>
                <w:szCs w:val="24"/>
              </w:rPr>
            </w:pPr>
            <w:r>
              <w:rPr>
                <w:szCs w:val="24"/>
              </w:rPr>
              <w:t>消防泵房至罐区布置2条消防冷却水供水管线，每条供水管线管径DN300，罐区消防冷却水管环状布置，地上敷设，设置适量SS100/65-1.6型地上式消火栓。从罐区外环状管网接消防支管线引至储罐上固定消防喷淋装置，且能通过地上式减压稳压消火栓直接向水枪供水，不需消防车加压。确保火灾发生时及时冷却着火罐，以保证油罐不发生严重变形或破裂，得以控制火势。为确保火灾发生时及时灵活的灭火，管网上设置一定数量的地上式消火栓，间距不超过60m。保护半径不大于120m。</w:t>
            </w:r>
          </w:p>
          <w:p>
            <w:pPr>
              <w:pStyle w:val="861"/>
              <w:widowControl w:val="0"/>
              <w:ind w:firstLine="360" w:firstLineChars="200"/>
              <w:jc w:val="left"/>
              <w:rPr>
                <w:szCs w:val="18"/>
              </w:rPr>
            </w:pPr>
            <w:r>
              <w:rPr>
                <w:szCs w:val="24"/>
              </w:rPr>
              <w:t>新建消防泵房一座，框架结构。消防泵房内设2台消防水泵，一用一备，一台电动消防水泵（主用），一台柴油机消防水泵（备用）。罐区内设置泡沫泵站和消防泵房合建，结合《泡沫灭火系统技术标准》GB50151-2021第7.1.3条规定，消防泵房内设2台泡沫供水水泵，一用一备，一台电动泡沫水泵（主用），一台柴油机泡沫水泵（备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防火间距</w:t>
            </w:r>
          </w:p>
        </w:tc>
        <w:tc>
          <w:tcPr>
            <w:tcW w:w="11569" w:type="dxa"/>
            <w:tcBorders>
              <w:tl2br w:val="nil"/>
              <w:tr2bl w:val="nil"/>
            </w:tcBorders>
            <w:vAlign w:val="center"/>
          </w:tcPr>
          <w:p>
            <w:pPr>
              <w:pStyle w:val="861"/>
              <w:widowControl w:val="0"/>
              <w:ind w:firstLine="360" w:firstLineChars="200"/>
              <w:jc w:val="left"/>
              <w:rPr>
                <w:szCs w:val="18"/>
              </w:rPr>
            </w:pPr>
            <w:r>
              <w:rPr>
                <w:szCs w:val="18"/>
              </w:rPr>
              <w:t>港区置环形消防通道，通道宽度不小于6m，转弯半径不小于12.0m；所有建、构筑物的布置均遵循</w:t>
            </w:r>
            <w:bookmarkStart w:id="163" w:name="_Hlk46476843"/>
            <w:r>
              <w:rPr>
                <w:szCs w:val="18"/>
              </w:rPr>
              <w:t>《油气化工码头防火设计规范》（JTS158-2019）</w:t>
            </w:r>
            <w:bookmarkEnd w:id="163"/>
            <w:r>
              <w:rPr>
                <w:rFonts w:hint="eastAsia"/>
                <w:szCs w:val="18"/>
              </w:rPr>
              <w:t>、</w:t>
            </w:r>
            <w:r>
              <w:rPr>
                <w:szCs w:val="18"/>
              </w:rPr>
              <w:t>《</w:t>
            </w:r>
            <w:r>
              <w:rPr>
                <w:rFonts w:hint="eastAsia"/>
                <w:szCs w:val="18"/>
              </w:rPr>
              <w:t>石油库设计规范</w:t>
            </w:r>
            <w:r>
              <w:rPr>
                <w:szCs w:val="18"/>
              </w:rPr>
              <w:t>》</w:t>
            </w:r>
            <w:r>
              <w:rPr>
                <w:rFonts w:hint="eastAsia"/>
                <w:szCs w:val="18"/>
              </w:rPr>
              <w:t>（GB50074-2014）</w:t>
            </w:r>
            <w:r>
              <w:rPr>
                <w:szCs w:val="18"/>
              </w:rPr>
              <w:t>规范的要求，满足规定的防火间距。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码头装卸消防设施</w:t>
            </w:r>
          </w:p>
        </w:tc>
        <w:tc>
          <w:tcPr>
            <w:tcW w:w="11569" w:type="dxa"/>
            <w:tcBorders>
              <w:tl2br w:val="nil"/>
              <w:tr2bl w:val="nil"/>
            </w:tcBorders>
            <w:vAlign w:val="center"/>
          </w:tcPr>
          <w:p>
            <w:pPr>
              <w:spacing w:line="240" w:lineRule="auto"/>
              <w:ind w:firstLine="360"/>
              <w:rPr>
                <w:rFonts w:ascii="Times New Roman" w:hAnsi="Times New Roman" w:cs="Times New Roman"/>
                <w:color w:val="auto"/>
                <w:kern w:val="0"/>
                <w:sz w:val="18"/>
                <w:szCs w:val="24"/>
              </w:rPr>
            </w:pPr>
            <w:r>
              <w:rPr>
                <w:rFonts w:ascii="Times New Roman" w:hAnsi="Times New Roman" w:cs="Times New Roman"/>
                <w:color w:val="auto"/>
                <w:kern w:val="0"/>
                <w:sz w:val="18"/>
                <w:szCs w:val="24"/>
              </w:rPr>
              <w:t>根据消防供水量及供水水压要求选择消防设施，4-7号泊位码头平台设置8台消防炮塔，上层平台为泡沫炮，下层平台为水炮，每个泊位设置2台炮塔，距离码头前沿线的距离不小于2.5m。水炮和泡沫炮的额定压力按0.8MPa考虑，额定压力下的喷射半径按50m考虑。4-7号泊位装卸区域前沿设置防火分隔水幕，沿管廊设置室外消火栓和泡沫消火栓，同时配备移动式消防水炮、泡沫炮，消防水枪及泡沫枪。</w:t>
            </w:r>
          </w:p>
          <w:p>
            <w:pPr>
              <w:spacing w:line="240" w:lineRule="auto"/>
              <w:ind w:firstLine="360"/>
              <w:rPr>
                <w:rFonts w:ascii="Times New Roman" w:hAnsi="Times New Roman" w:cs="Times New Roman"/>
                <w:color w:val="auto"/>
                <w:kern w:val="0"/>
                <w:sz w:val="18"/>
                <w:szCs w:val="24"/>
              </w:rPr>
            </w:pPr>
            <w:r>
              <w:rPr>
                <w:rFonts w:ascii="Times New Roman" w:hAnsi="Times New Roman" w:cs="Times New Roman"/>
                <w:color w:val="auto"/>
                <w:kern w:val="0"/>
                <w:sz w:val="18"/>
                <w:szCs w:val="24"/>
              </w:rPr>
              <w:t>码头平台设置推车式灭火器，采用磷酸盐干粉，布置间隔不大于18m，4-7号泊位共配置23具100kg磷酸铵盐干粉灭火器。室外消防管道采用无缝钢管，无缝钢管焊接链接，管道公称压力不小于 2.5MPa，外刷防腐漆防腐。</w:t>
            </w:r>
          </w:p>
          <w:p>
            <w:pPr>
              <w:pStyle w:val="861"/>
              <w:widowControl w:val="0"/>
              <w:ind w:right="-14" w:rightChars="-6" w:firstLine="360" w:firstLineChars="200"/>
              <w:jc w:val="left"/>
              <w:rPr>
                <w:szCs w:val="24"/>
              </w:rPr>
            </w:pPr>
            <w:r>
              <w:rPr>
                <w:szCs w:val="24"/>
              </w:rPr>
              <w:t>码头平台消防水量包括水幕水和泡沫消防水量，码头区域泡沫混合液流量56L/s，连续供给时间60min，一次火灾需泡沫混合液用量221.6m</w:t>
            </w:r>
            <w:r>
              <w:rPr>
                <w:szCs w:val="24"/>
                <w:vertAlign w:val="superscript"/>
              </w:rPr>
              <w:t>3</w:t>
            </w:r>
            <w:r>
              <w:rPr>
                <w:szCs w:val="24"/>
              </w:rPr>
              <w:t>。由罐区泡沫站供给。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63" w:type="dxa"/>
            <w:vMerge w:val="continue"/>
            <w:tcBorders>
              <w:tl2br w:val="nil"/>
              <w:tr2bl w:val="nil"/>
            </w:tcBorders>
            <w:vAlign w:val="center"/>
          </w:tcPr>
          <w:p>
            <w:pPr>
              <w:pStyle w:val="861"/>
              <w:widowControl w:val="0"/>
              <w:rPr>
                <w:szCs w:val="18"/>
              </w:rPr>
            </w:pPr>
          </w:p>
        </w:tc>
        <w:tc>
          <w:tcPr>
            <w:tcW w:w="851" w:type="dxa"/>
            <w:vMerge w:val="continue"/>
            <w:tcBorders>
              <w:tl2br w:val="nil"/>
              <w:tr2bl w:val="nil"/>
            </w:tcBorders>
            <w:vAlign w:val="center"/>
          </w:tcPr>
          <w:p>
            <w:pPr>
              <w:pStyle w:val="861"/>
              <w:widowControl w:val="0"/>
              <w:rPr>
                <w:szCs w:val="18"/>
              </w:rPr>
            </w:pPr>
          </w:p>
        </w:tc>
        <w:tc>
          <w:tcPr>
            <w:tcW w:w="1080" w:type="dxa"/>
            <w:tcBorders>
              <w:tl2br w:val="nil"/>
              <w:tr2bl w:val="nil"/>
            </w:tcBorders>
            <w:vAlign w:val="center"/>
          </w:tcPr>
          <w:p>
            <w:pPr>
              <w:pStyle w:val="861"/>
              <w:widowControl w:val="0"/>
              <w:rPr>
                <w:szCs w:val="18"/>
              </w:rPr>
            </w:pPr>
            <w:r>
              <w:rPr>
                <w:szCs w:val="18"/>
              </w:rPr>
              <w:t>罐区消防设施</w:t>
            </w:r>
          </w:p>
        </w:tc>
        <w:tc>
          <w:tcPr>
            <w:tcW w:w="11569" w:type="dxa"/>
            <w:tcBorders>
              <w:tl2br w:val="nil"/>
              <w:tr2bl w:val="nil"/>
            </w:tcBorders>
            <w:vAlign w:val="center"/>
          </w:tcPr>
          <w:p>
            <w:pPr>
              <w:spacing w:line="240" w:lineRule="auto"/>
              <w:ind w:firstLine="360"/>
              <w:rPr>
                <w:rFonts w:ascii="Times New Roman" w:hAnsi="Times New Roman" w:cs="Times New Roman"/>
                <w:color w:val="auto"/>
                <w:sz w:val="18"/>
                <w:szCs w:val="18"/>
              </w:rPr>
            </w:pPr>
            <w:r>
              <w:rPr>
                <w:rFonts w:ascii="Times New Roman" w:hAnsi="Times New Roman" w:cs="Times New Roman"/>
                <w:color w:val="auto"/>
                <w:sz w:val="18"/>
                <w:szCs w:val="18"/>
              </w:rPr>
              <w:t>罐区消防冷却水量最大按5000m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固定顶储罐（Φ19.5×17.84m）计算消防用水，储罐设固定式消防冷却水系统，消防用水量按1个5000m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储罐着火及3个5000m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储罐同时冷却计算；着火油罐的冷却水供给强度2.5L/min·m</w:t>
            </w:r>
            <w:r>
              <w:rPr>
                <w:rFonts w:ascii="Times New Roman" w:hAnsi="Times New Roman" w:cs="Times New Roman"/>
                <w:color w:val="auto"/>
                <w:sz w:val="18"/>
                <w:szCs w:val="18"/>
                <w:vertAlign w:val="superscript"/>
              </w:rPr>
              <w:t>2</w:t>
            </w:r>
            <w:r>
              <w:rPr>
                <w:rFonts w:ascii="Times New Roman" w:hAnsi="Times New Roman" w:cs="Times New Roman"/>
                <w:color w:val="auto"/>
                <w:sz w:val="18"/>
                <w:szCs w:val="18"/>
              </w:rPr>
              <w:t>，计算消防冷却水用水量为113.8L/s，根据喷头复核消防水量为125L/s，并根据《消防给水及消火栓系统技术规范》GB50974-2014中3.4.2条规定，罐区室外消火栓设计流量为15L/s，故消防水量为140L/s，冷却水供给时间6h。一次灭火需消防冷却水量约为3024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w:t>
            </w:r>
          </w:p>
          <w:p>
            <w:pPr>
              <w:spacing w:line="240" w:lineRule="auto"/>
              <w:ind w:firstLine="360"/>
              <w:rPr>
                <w:rFonts w:ascii="Times New Roman" w:hAnsi="Times New Roman" w:cs="Times New Roman"/>
                <w:color w:val="auto"/>
                <w:sz w:val="18"/>
                <w:szCs w:val="18"/>
              </w:rPr>
            </w:pPr>
            <w:r>
              <w:rPr>
                <w:rFonts w:ascii="Times New Roman" w:hAnsi="Times New Roman" w:cs="Times New Roman"/>
                <w:color w:val="auto"/>
                <w:sz w:val="18"/>
                <w:szCs w:val="18"/>
              </w:rPr>
              <w:t>公路装卸车区消防供水流量30L/s，火灾延续时间2h，一次消防用水量为216m³。</w:t>
            </w:r>
          </w:p>
          <w:p>
            <w:pPr>
              <w:spacing w:line="240" w:lineRule="auto"/>
              <w:ind w:firstLine="360"/>
              <w:rPr>
                <w:rFonts w:ascii="Times New Roman" w:hAnsi="Times New Roman" w:cs="Times New Roman"/>
                <w:color w:val="auto"/>
                <w:sz w:val="18"/>
                <w:szCs w:val="18"/>
              </w:rPr>
            </w:pPr>
            <w:r>
              <w:rPr>
                <w:rFonts w:ascii="Times New Roman" w:hAnsi="Times New Roman" w:cs="Times New Roman"/>
                <w:color w:val="auto"/>
                <w:sz w:val="18"/>
                <w:szCs w:val="18"/>
              </w:rPr>
              <w:t>公路装卸区消防供水流量30L/s（5岛），火灾延续时间2h，一次消防用水量为216m³。</w:t>
            </w:r>
          </w:p>
          <w:p>
            <w:pPr>
              <w:spacing w:line="240" w:lineRule="auto"/>
              <w:ind w:firstLine="360"/>
              <w:rPr>
                <w:rFonts w:ascii="Times New Roman" w:hAnsi="Times New Roman" w:cs="Times New Roman"/>
                <w:color w:val="auto"/>
                <w:sz w:val="18"/>
                <w:szCs w:val="18"/>
              </w:rPr>
            </w:pPr>
            <w:r>
              <w:rPr>
                <w:rFonts w:ascii="Times New Roman" w:hAnsi="Times New Roman" w:cs="Times New Roman"/>
                <w:color w:val="auto"/>
                <w:sz w:val="18"/>
                <w:szCs w:val="18"/>
              </w:rPr>
              <w:t>办公楼室外消火栓流量40L/s，室内消火栓流量15L/s，火灾延续时间2h；办公楼喷淋流量30L/s，喷淋时间1h。一次消防用水量为504m³。</w:t>
            </w:r>
          </w:p>
          <w:p>
            <w:pPr>
              <w:spacing w:line="240" w:lineRule="auto"/>
              <w:ind w:firstLine="360"/>
              <w:rPr>
                <w:sz w:val="18"/>
                <w:szCs w:val="18"/>
              </w:rPr>
            </w:pPr>
            <w:r>
              <w:rPr>
                <w:color w:val="FF0000"/>
                <w:sz w:val="18"/>
                <w:szCs w:val="18"/>
              </w:rPr>
              <w:t>1#罐组</w:t>
            </w:r>
            <w:r>
              <w:rPr>
                <w:rFonts w:hint="eastAsia"/>
                <w:color w:val="FF0000"/>
                <w:sz w:val="18"/>
                <w:szCs w:val="18"/>
              </w:rPr>
              <w:t>（汽油、乙醇）</w:t>
            </w:r>
            <w:r>
              <w:rPr>
                <w:color w:val="FF0000"/>
                <w:sz w:val="18"/>
                <w:szCs w:val="18"/>
              </w:rPr>
              <w:t>内</w:t>
            </w:r>
            <w:r>
              <w:rPr>
                <w:rFonts w:hint="eastAsia" w:ascii="Times New Roman" w:hAnsi="Times New Roman" w:cs="Times New Roman"/>
                <w:color w:val="FF0000"/>
                <w:sz w:val="18"/>
                <w:szCs w:val="18"/>
              </w:rPr>
              <w:t>防火堤（围堰）有效高度1.3m，</w:t>
            </w:r>
            <w:r>
              <w:rPr>
                <w:color w:val="FF0000"/>
                <w:sz w:val="18"/>
                <w:szCs w:val="18"/>
              </w:rPr>
              <w:t>2#罐组</w:t>
            </w:r>
            <w:r>
              <w:rPr>
                <w:rFonts w:hint="eastAsia"/>
                <w:color w:val="FF0000"/>
                <w:sz w:val="18"/>
                <w:szCs w:val="18"/>
              </w:rPr>
              <w:t>（柴油、航煤）</w:t>
            </w:r>
            <w:r>
              <w:rPr>
                <w:color w:val="FF0000"/>
                <w:sz w:val="18"/>
                <w:szCs w:val="18"/>
              </w:rPr>
              <w:t>内</w:t>
            </w:r>
            <w:r>
              <w:rPr>
                <w:rFonts w:hint="eastAsia" w:ascii="Times New Roman" w:hAnsi="Times New Roman" w:cs="Times New Roman"/>
                <w:color w:val="FF0000"/>
                <w:sz w:val="18"/>
                <w:szCs w:val="18"/>
              </w:rPr>
              <w:t>防火堤（围堰）有效高度1.</w:t>
            </w:r>
            <w:r>
              <w:rPr>
                <w:rFonts w:ascii="Times New Roman" w:hAnsi="Times New Roman" w:cs="Times New Roman"/>
                <w:color w:val="FF0000"/>
                <w:sz w:val="18"/>
                <w:szCs w:val="18"/>
              </w:rPr>
              <w:t>2</w:t>
            </w:r>
            <w:r>
              <w:rPr>
                <w:rFonts w:hint="eastAsia" w:ascii="Times New Roman" w:hAnsi="Times New Roman" w:cs="Times New Roman"/>
                <w:color w:val="FF0000"/>
                <w:sz w:val="18"/>
                <w:szCs w:val="18"/>
              </w:rPr>
              <w:t>m，</w:t>
            </w:r>
            <w:r>
              <w:rPr>
                <w:color w:val="FF0000"/>
                <w:sz w:val="18"/>
                <w:szCs w:val="18"/>
              </w:rPr>
              <w:t>3#罐组</w:t>
            </w:r>
            <w:r>
              <w:rPr>
                <w:rFonts w:hint="eastAsia"/>
                <w:color w:val="FF0000"/>
                <w:sz w:val="18"/>
                <w:szCs w:val="18"/>
              </w:rPr>
              <w:t>（酸碱）</w:t>
            </w:r>
            <w:r>
              <w:rPr>
                <w:color w:val="FF0000"/>
                <w:sz w:val="18"/>
                <w:szCs w:val="18"/>
              </w:rPr>
              <w:t>内</w:t>
            </w:r>
            <w:r>
              <w:rPr>
                <w:rFonts w:hint="eastAsia" w:ascii="Times New Roman" w:hAnsi="Times New Roman" w:cs="Times New Roman"/>
                <w:color w:val="FF0000"/>
                <w:sz w:val="18"/>
                <w:szCs w:val="18"/>
              </w:rPr>
              <w:t>防火堤（围堰）有效高度1</w:t>
            </w:r>
            <w:r>
              <w:rPr>
                <w:rFonts w:ascii="Times New Roman" w:hAnsi="Times New Roman" w:cs="Times New Roman"/>
                <w:color w:val="FF0000"/>
                <w:sz w:val="18"/>
                <w:szCs w:val="18"/>
              </w:rPr>
              <w:t>.0</w:t>
            </w:r>
            <w:r>
              <w:rPr>
                <w:rFonts w:hint="eastAsia" w:ascii="Times New Roman" w:hAnsi="Times New Roman" w:cs="Times New Roman"/>
                <w:color w:val="FF0000"/>
                <w:sz w:val="18"/>
                <w:szCs w:val="18"/>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自动控制方案</w:t>
            </w:r>
          </w:p>
        </w:tc>
        <w:tc>
          <w:tcPr>
            <w:tcW w:w="11569" w:type="dxa"/>
            <w:tcBorders>
              <w:tl2br w:val="nil"/>
              <w:tr2bl w:val="nil"/>
            </w:tcBorders>
            <w:vAlign w:val="center"/>
          </w:tcPr>
          <w:p>
            <w:pPr>
              <w:pStyle w:val="861"/>
              <w:widowControl w:val="0"/>
              <w:ind w:firstLine="360" w:firstLineChars="200"/>
              <w:jc w:val="left"/>
              <w:rPr>
                <w:szCs w:val="18"/>
              </w:rPr>
            </w:pPr>
            <w:r>
              <w:rPr>
                <w:szCs w:val="18"/>
              </w:rPr>
              <w:t>控制系统的设计包括：仪表控制系统、可燃气体检测及火灾报警及消防设备控制系统。</w:t>
            </w:r>
          </w:p>
          <w:p>
            <w:pPr>
              <w:pStyle w:val="861"/>
              <w:widowControl w:val="0"/>
              <w:ind w:firstLine="360" w:firstLineChars="200"/>
              <w:jc w:val="left"/>
              <w:rPr>
                <w:szCs w:val="18"/>
              </w:rPr>
            </w:pPr>
            <w:r>
              <w:rPr>
                <w:rFonts w:hint="eastAsia" w:ascii="宋体" w:hAnsi="宋体" w:cs="宋体"/>
                <w:szCs w:val="18"/>
              </w:rPr>
              <w:t>①</w:t>
            </w:r>
            <w:r>
              <w:rPr>
                <w:szCs w:val="18"/>
              </w:rPr>
              <w:t>液体化工品码头仪表控制系统采用可编程控制器（DCS）对工艺装置生产过程系统进行集中控制和监视。</w:t>
            </w:r>
          </w:p>
          <w:p>
            <w:pPr>
              <w:pStyle w:val="861"/>
              <w:widowControl w:val="0"/>
              <w:ind w:firstLine="360" w:firstLineChars="200"/>
              <w:jc w:val="left"/>
              <w:rPr>
                <w:szCs w:val="18"/>
              </w:rPr>
            </w:pPr>
            <w:r>
              <w:rPr>
                <w:rFonts w:hint="eastAsia" w:ascii="宋体" w:hAnsi="宋体" w:cs="宋体"/>
                <w:szCs w:val="18"/>
              </w:rPr>
              <w:t>②</w:t>
            </w:r>
            <w:r>
              <w:rPr>
                <w:szCs w:val="18"/>
              </w:rPr>
              <w:t>在码头装卸区以及设有紧急切断阀处设置可燃气体检测器和可燃气体报警器，可燃气体报警信号表示码头区爆炸性气体浓度达到设定报警值。在码头装卸平台上设有火灾手动报警按钮和报警器，消防配电用房内设有复合型温感探测器，码头手动报警信号表示码头区出现火灾、泄漏等危险情况。</w:t>
            </w:r>
          </w:p>
          <w:p>
            <w:pPr>
              <w:pStyle w:val="861"/>
              <w:widowControl w:val="0"/>
              <w:ind w:firstLine="360" w:firstLineChars="200"/>
              <w:jc w:val="left"/>
              <w:rPr>
                <w:szCs w:val="18"/>
              </w:rPr>
            </w:pPr>
            <w:r>
              <w:rPr>
                <w:rFonts w:hint="eastAsia" w:ascii="宋体" w:hAnsi="宋体" w:cs="宋体"/>
                <w:szCs w:val="18"/>
              </w:rPr>
              <w:t>③</w:t>
            </w:r>
            <w:r>
              <w:rPr>
                <w:szCs w:val="18"/>
              </w:rPr>
              <w:t>火灾报警系统：能接收现场手动报警装置和室内火灾自动探测器所发出的火警，控制室火警显示盘能显示火警区域，当火警被确认后，能向生产控制系统发出紧急关断信号。</w:t>
            </w:r>
          </w:p>
          <w:p>
            <w:pPr>
              <w:pStyle w:val="861"/>
              <w:widowControl w:val="0"/>
              <w:jc w:val="left"/>
              <w:rPr>
                <w:szCs w:val="18"/>
              </w:rPr>
            </w:pPr>
            <w:r>
              <w:rPr>
                <w:szCs w:val="18"/>
              </w:rPr>
              <w:t>消防设备控制系统：各趸船需控制的消防设备包括消防炮、电动阀门，该消防设备的控制由设置在消防配电用房消防控制室内的消防炮控制柜和电动阀门控制柜集中完成，且码头消防炮具有远程无线遥控功能。</w:t>
            </w:r>
          </w:p>
          <w:p>
            <w:pPr>
              <w:pStyle w:val="861"/>
              <w:widowControl w:val="0"/>
              <w:ind w:firstLine="360" w:firstLineChars="200"/>
              <w:jc w:val="left"/>
              <w:rPr>
                <w:szCs w:val="18"/>
              </w:rPr>
            </w:pPr>
            <w:r>
              <w:rPr>
                <w:szCs w:val="18"/>
              </w:rPr>
              <w:fldChar w:fldCharType="begin"/>
            </w:r>
            <w:r>
              <w:rPr>
                <w:szCs w:val="18"/>
              </w:rPr>
              <w:instrText xml:space="preserve"> = 4 \* GB3 \* MERGEFORMAT </w:instrText>
            </w:r>
            <w:r>
              <w:rPr>
                <w:szCs w:val="18"/>
              </w:rPr>
              <w:fldChar w:fldCharType="separate"/>
            </w:r>
            <w:r>
              <w:rPr>
                <w:rFonts w:hint="eastAsia" w:ascii="宋体" w:hAnsi="宋体" w:cs="宋体"/>
                <w:szCs w:val="18"/>
              </w:rPr>
              <w:t>④</w:t>
            </w:r>
            <w:r>
              <w:rPr>
                <w:szCs w:val="18"/>
              </w:rPr>
              <w:fldChar w:fldCharType="end"/>
            </w:r>
            <w:r>
              <w:rPr>
                <w:szCs w:val="18"/>
              </w:rPr>
              <w:t>储罐区装卸设置1套独立于DCS系统之外的安全仪表系统（SIS），从而防止和降低装置的过程风险，保证人身和财产安全、保护环境，满足其紧急切断和安全功能的要求。安全仪表系统（SIS）按照《石油化工安全仪表系统设计规范》GB/T 50770-2013进行设计。在正常情况下，SIS系统是处于静态的，不需要人为干预。当生产装置出现紧急情况时，不需要经过DCS系统，而直接由SIS系统发出保护联锁信号，对现场设备进行安全保护，避免危险扩大造成巨大的影响和损失。SIS系统按照故障安全型设计，即系统在故障时使得生产装置按已知预定方式进入安全状态，从而避免由于系统自身故障或因停电、停气而使生产装置处于危险状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通信</w:t>
            </w:r>
          </w:p>
        </w:tc>
        <w:tc>
          <w:tcPr>
            <w:tcW w:w="11569" w:type="dxa"/>
            <w:tcBorders>
              <w:tl2br w:val="nil"/>
              <w:tr2bl w:val="nil"/>
            </w:tcBorders>
            <w:vAlign w:val="center"/>
          </w:tcPr>
          <w:p>
            <w:pPr>
              <w:pStyle w:val="861"/>
              <w:widowControl w:val="0"/>
              <w:jc w:val="left"/>
              <w:rPr>
                <w:szCs w:val="18"/>
              </w:rPr>
            </w:pPr>
            <w:r>
              <w:rPr>
                <w:szCs w:val="18"/>
              </w:rPr>
              <w:t>电信线路引自园区电信系统。本工程特点通信设置常规有线电话、调度通信和船岸通信。</w:t>
            </w:r>
          </w:p>
          <w:p>
            <w:pPr>
              <w:pStyle w:val="861"/>
              <w:widowControl w:val="0"/>
              <w:jc w:val="left"/>
              <w:rPr>
                <w:szCs w:val="18"/>
              </w:rPr>
            </w:pPr>
            <w:r>
              <w:rPr>
                <w:szCs w:val="18"/>
              </w:rPr>
              <w:t>为了满足港区有关部门采用无线方式解决船岸通信联系的要求，在港区综合楼无线通信机房内配置小型甚高频岸台，设置2个信道，其中包括1个呼叫信道和1个工作信道；配置相应设备，系统发射功率为25W；为了满足通信距离和通信效果的要求，在综合楼顶建设15m高天线塔，天线安装在综合办公楼顶上的天线塔，塔顶安装航空警示灯及避雷装置。</w:t>
            </w:r>
          </w:p>
          <w:p>
            <w:pPr>
              <w:pStyle w:val="861"/>
              <w:widowControl w:val="0"/>
              <w:jc w:val="left"/>
              <w:rPr>
                <w:szCs w:val="18"/>
              </w:rPr>
            </w:pPr>
            <w:r>
              <w:rPr>
                <w:szCs w:val="18"/>
              </w:rPr>
              <w:t>根据码头操作特点，按SIGTTO操作规程建议，在码头建设船岸通信链（SSL），通信链将提供船与岸之间的应急切断（ESD）、热线电话、办公电话和数据通信。靠泊安全辅助系统的信号可以经通信链传输到船上终端。为了船舶航行安全，根据规范要求设置航标系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0" w:hRule="atLeast"/>
          <w:jc w:val="center"/>
        </w:trPr>
        <w:tc>
          <w:tcPr>
            <w:tcW w:w="763" w:type="dxa"/>
            <w:vMerge w:val="restart"/>
            <w:tcBorders>
              <w:tl2br w:val="nil"/>
              <w:tr2bl w:val="nil"/>
            </w:tcBorders>
            <w:vAlign w:val="center"/>
          </w:tcPr>
          <w:p>
            <w:pPr>
              <w:pStyle w:val="861"/>
              <w:widowControl w:val="0"/>
              <w:rPr>
                <w:szCs w:val="18"/>
              </w:rPr>
            </w:pPr>
            <w:r>
              <w:rPr>
                <w:szCs w:val="18"/>
              </w:rPr>
              <w:t>辅助工程</w:t>
            </w:r>
          </w:p>
        </w:tc>
        <w:tc>
          <w:tcPr>
            <w:tcW w:w="1931" w:type="dxa"/>
            <w:gridSpan w:val="2"/>
            <w:tcBorders>
              <w:tl2br w:val="nil"/>
              <w:tr2bl w:val="nil"/>
            </w:tcBorders>
            <w:vAlign w:val="center"/>
          </w:tcPr>
          <w:p>
            <w:pPr>
              <w:pStyle w:val="861"/>
              <w:widowControl w:val="0"/>
              <w:rPr>
                <w:szCs w:val="18"/>
              </w:rPr>
            </w:pPr>
            <w:r>
              <w:rPr>
                <w:szCs w:val="18"/>
              </w:rPr>
              <w:t>综合楼</w:t>
            </w:r>
          </w:p>
        </w:tc>
        <w:tc>
          <w:tcPr>
            <w:tcW w:w="11569" w:type="dxa"/>
            <w:tcBorders>
              <w:tl2br w:val="nil"/>
              <w:tr2bl w:val="nil"/>
            </w:tcBorders>
            <w:vAlign w:val="center"/>
          </w:tcPr>
          <w:p>
            <w:pPr>
              <w:pStyle w:val="861"/>
              <w:widowControl w:val="0"/>
              <w:jc w:val="left"/>
              <w:rPr>
                <w:szCs w:val="18"/>
              </w:rPr>
            </w:pPr>
            <w:r>
              <w:rPr>
                <w:szCs w:val="18"/>
              </w:rPr>
              <w:t>总建筑面积14722.80m²，其中地下室建筑面积2380.74m²，地上建筑面积12342.06m²，层数为6层（含地下一层），建筑总高度为24.35m，一层层高为4.5m，二层层高为4.2m，三层至六层层高均为3.6m；根据功能设置地下车库、生活泵房、排烟机房、弱电机房、办公室、会议室、宿舍、消防控制室、活动室、中心控制室、机柜间、档案室、厨房、餐厅、卫生间、楼梯间、电梯等功能开间；建筑结构形式采用框架结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化验室</w:t>
            </w:r>
          </w:p>
        </w:tc>
        <w:tc>
          <w:tcPr>
            <w:tcW w:w="11569" w:type="dxa"/>
            <w:tcBorders>
              <w:tl2br w:val="nil"/>
              <w:tr2bl w:val="nil"/>
            </w:tcBorders>
            <w:vAlign w:val="center"/>
          </w:tcPr>
          <w:p>
            <w:pPr>
              <w:pStyle w:val="861"/>
              <w:widowControl w:val="0"/>
              <w:jc w:val="left"/>
              <w:rPr>
                <w:szCs w:val="18"/>
              </w:rPr>
            </w:pPr>
            <w:r>
              <w:rPr>
                <w:szCs w:val="18"/>
              </w:rPr>
              <w:t>建筑面积1385.94m²，层数为2层，一层内设、配电间、器材室、分析室、储藏间、高温室、门卫室、办公室、卫生间等功能房间；二层内分析室、高温室、洗涤间、办公室、会议室、卫生间等功能房间；本建筑结构形式采用框架结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消防泵房及变配电间</w:t>
            </w:r>
          </w:p>
        </w:tc>
        <w:tc>
          <w:tcPr>
            <w:tcW w:w="11569" w:type="dxa"/>
            <w:tcBorders>
              <w:tl2br w:val="nil"/>
              <w:tr2bl w:val="nil"/>
            </w:tcBorders>
            <w:vAlign w:val="center"/>
          </w:tcPr>
          <w:p>
            <w:pPr>
              <w:pStyle w:val="861"/>
              <w:widowControl w:val="0"/>
              <w:jc w:val="left"/>
              <w:rPr>
                <w:szCs w:val="18"/>
              </w:rPr>
            </w:pPr>
            <w:r>
              <w:rPr>
                <w:szCs w:val="18"/>
              </w:rPr>
              <w:t>建筑面积580.86m²，层数为1层，内部设有消防泵房、变配电间、库房、换热站、值班室、卫生间；结构形式采用框架结构。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营业室</w:t>
            </w:r>
          </w:p>
        </w:tc>
        <w:tc>
          <w:tcPr>
            <w:tcW w:w="11569" w:type="dxa"/>
            <w:tcBorders>
              <w:tl2br w:val="nil"/>
              <w:tr2bl w:val="nil"/>
            </w:tcBorders>
            <w:vAlign w:val="center"/>
          </w:tcPr>
          <w:p>
            <w:pPr>
              <w:pStyle w:val="861"/>
              <w:widowControl w:val="0"/>
              <w:jc w:val="left"/>
              <w:rPr>
                <w:szCs w:val="18"/>
              </w:rPr>
            </w:pPr>
            <w:r>
              <w:rPr>
                <w:szCs w:val="18"/>
              </w:rPr>
              <w:t>建筑面积221.85m²，层数为1层，内设营业厅/司机休息室、办公室、值班室、配电间室、储藏间、门卫室、卫生间等功能房间；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应急物资库房</w:t>
            </w:r>
          </w:p>
        </w:tc>
        <w:tc>
          <w:tcPr>
            <w:tcW w:w="11569" w:type="dxa"/>
            <w:tcBorders>
              <w:tl2br w:val="nil"/>
              <w:tr2bl w:val="nil"/>
            </w:tcBorders>
            <w:vAlign w:val="center"/>
          </w:tcPr>
          <w:p>
            <w:pPr>
              <w:pStyle w:val="861"/>
              <w:widowControl w:val="0"/>
              <w:jc w:val="left"/>
              <w:rPr>
                <w:szCs w:val="18"/>
              </w:rPr>
            </w:pPr>
            <w:r>
              <w:rPr>
                <w:szCs w:val="18"/>
              </w:rPr>
              <w:t>独立建筑，建筑面积211.41m²，层数为1层，内设应急物资库房，用于储存水上溢油应急储备物资及罐区环境风险防范物资。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制氮机间</w:t>
            </w:r>
          </w:p>
        </w:tc>
        <w:tc>
          <w:tcPr>
            <w:tcW w:w="11569" w:type="dxa"/>
            <w:tcBorders>
              <w:tl2br w:val="nil"/>
              <w:tr2bl w:val="nil"/>
            </w:tcBorders>
            <w:vAlign w:val="center"/>
          </w:tcPr>
          <w:p>
            <w:pPr>
              <w:pStyle w:val="861"/>
              <w:widowControl w:val="0"/>
              <w:jc w:val="left"/>
              <w:rPr>
                <w:szCs w:val="18"/>
              </w:rPr>
            </w:pPr>
            <w:r>
              <w:rPr>
                <w:szCs w:val="18"/>
              </w:rPr>
              <w:t>建筑面积为109.89 m²，层数为1层结构形式采用框架结构。制氮机采用PSA制氮机，1套1000Nm</w:t>
            </w:r>
            <w:r>
              <w:rPr>
                <w:szCs w:val="18"/>
                <w:vertAlign w:val="superscript"/>
              </w:rPr>
              <w:t>3</w:t>
            </w:r>
            <w:r>
              <w:rPr>
                <w:szCs w:val="18"/>
              </w:rPr>
              <w:t>/h制氮机组，一台50m</w:t>
            </w:r>
            <w:r>
              <w:rPr>
                <w:szCs w:val="18"/>
                <w:vertAlign w:val="superscript"/>
              </w:rPr>
              <w:t>3</w:t>
            </w:r>
            <w:r>
              <w:rPr>
                <w:szCs w:val="18"/>
              </w:rPr>
              <w:t>液氮储罐作为备用氮气气源。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0" w:hRule="atLeast"/>
          <w:jc w:val="center"/>
        </w:trPr>
        <w:tc>
          <w:tcPr>
            <w:tcW w:w="763" w:type="dxa"/>
            <w:vMerge w:val="restart"/>
            <w:tcBorders>
              <w:tl2br w:val="nil"/>
              <w:tr2bl w:val="nil"/>
            </w:tcBorders>
            <w:vAlign w:val="center"/>
          </w:tcPr>
          <w:p>
            <w:pPr>
              <w:pStyle w:val="861"/>
              <w:widowControl w:val="0"/>
              <w:rPr>
                <w:szCs w:val="18"/>
              </w:rPr>
            </w:pPr>
            <w:r>
              <w:rPr>
                <w:szCs w:val="18"/>
              </w:rPr>
              <w:t>环保工程</w:t>
            </w:r>
          </w:p>
        </w:tc>
        <w:tc>
          <w:tcPr>
            <w:tcW w:w="1931" w:type="dxa"/>
            <w:gridSpan w:val="2"/>
            <w:tcBorders>
              <w:tl2br w:val="nil"/>
              <w:tr2bl w:val="nil"/>
            </w:tcBorders>
            <w:vAlign w:val="center"/>
          </w:tcPr>
          <w:p>
            <w:pPr>
              <w:pStyle w:val="861"/>
              <w:widowControl w:val="0"/>
              <w:rPr>
                <w:szCs w:val="18"/>
              </w:rPr>
            </w:pPr>
            <w:r>
              <w:rPr>
                <w:szCs w:val="18"/>
              </w:rPr>
              <w:t>污水处理工程</w:t>
            </w:r>
          </w:p>
        </w:tc>
        <w:tc>
          <w:tcPr>
            <w:tcW w:w="11569" w:type="dxa"/>
            <w:tcBorders>
              <w:tl2br w:val="nil"/>
              <w:tr2bl w:val="nil"/>
            </w:tcBorders>
            <w:vAlign w:val="center"/>
          </w:tcPr>
          <w:p>
            <w:pPr>
              <w:pStyle w:val="861"/>
              <w:widowControl w:val="0"/>
              <w:jc w:val="left"/>
              <w:rPr>
                <w:color w:val="FF0000"/>
                <w:szCs w:val="18"/>
              </w:rPr>
            </w:pPr>
            <w:r>
              <w:rPr>
                <w:color w:val="FF0000"/>
                <w:szCs w:val="18"/>
              </w:rPr>
              <w:t>本项目排水采取清污分流、污污分流的原则。</w:t>
            </w:r>
          </w:p>
          <w:p>
            <w:pPr>
              <w:pStyle w:val="861"/>
              <w:widowControl w:val="0"/>
              <w:jc w:val="left"/>
              <w:rPr>
                <w:color w:val="FF0000"/>
                <w:szCs w:val="18"/>
              </w:rPr>
            </w:pPr>
            <w:r>
              <w:rPr>
                <w:color w:val="FF0000"/>
                <w:szCs w:val="18"/>
              </w:rPr>
              <w:fldChar w:fldCharType="begin"/>
            </w:r>
            <w:r>
              <w:rPr>
                <w:color w:val="FF0000"/>
                <w:szCs w:val="18"/>
              </w:rPr>
              <w:instrText xml:space="preserve"> = 1 \* GB3 </w:instrText>
            </w:r>
            <w:r>
              <w:rPr>
                <w:color w:val="FF0000"/>
                <w:szCs w:val="18"/>
              </w:rPr>
              <w:fldChar w:fldCharType="separate"/>
            </w:r>
            <w:r>
              <w:rPr>
                <w:rFonts w:hint="eastAsia" w:ascii="宋体" w:hAnsi="宋体" w:cs="宋体"/>
                <w:color w:val="FF0000"/>
                <w:szCs w:val="18"/>
              </w:rPr>
              <w:t>①</w:t>
            </w:r>
            <w:r>
              <w:rPr>
                <w:color w:val="FF0000"/>
                <w:szCs w:val="18"/>
              </w:rPr>
              <w:fldChar w:fldCharType="end"/>
            </w:r>
            <w:r>
              <w:rPr>
                <w:color w:val="FF0000"/>
                <w:szCs w:val="18"/>
              </w:rPr>
              <w:t>项目员工生活污水排入化粪池预处理</w:t>
            </w:r>
            <w:r>
              <w:rPr>
                <w:rFonts w:hint="eastAsia"/>
                <w:color w:val="FF0000"/>
                <w:szCs w:val="18"/>
              </w:rPr>
              <w:t>，食堂设置隔油池</w:t>
            </w:r>
            <w:r>
              <w:rPr>
                <w:color w:val="FF0000"/>
                <w:szCs w:val="18"/>
              </w:rPr>
              <w:t>；</w:t>
            </w:r>
          </w:p>
          <w:p>
            <w:pPr>
              <w:pStyle w:val="861"/>
              <w:widowControl w:val="0"/>
              <w:jc w:val="left"/>
              <w:rPr>
                <w:color w:val="FF0000"/>
                <w:szCs w:val="18"/>
              </w:rPr>
            </w:pPr>
            <w:r>
              <w:rPr>
                <w:color w:val="FF0000"/>
                <w:szCs w:val="18"/>
              </w:rPr>
              <w:fldChar w:fldCharType="begin"/>
            </w:r>
            <w:r>
              <w:rPr>
                <w:color w:val="FF0000"/>
                <w:szCs w:val="18"/>
              </w:rPr>
              <w:instrText xml:space="preserve"> = 2 \* GB3 </w:instrText>
            </w:r>
            <w:r>
              <w:rPr>
                <w:color w:val="FF0000"/>
                <w:szCs w:val="18"/>
              </w:rPr>
              <w:fldChar w:fldCharType="separate"/>
            </w:r>
            <w:r>
              <w:rPr>
                <w:rFonts w:hint="eastAsia" w:ascii="宋体" w:hAnsi="宋体" w:cs="宋体"/>
                <w:color w:val="FF0000"/>
                <w:szCs w:val="18"/>
              </w:rPr>
              <w:t>②</w:t>
            </w:r>
            <w:r>
              <w:rPr>
                <w:color w:val="FF0000"/>
                <w:szCs w:val="18"/>
              </w:rPr>
              <w:fldChar w:fldCharType="end"/>
            </w:r>
            <w:r>
              <w:rPr>
                <w:color w:val="FF0000"/>
                <w:szCs w:val="18"/>
              </w:rPr>
              <w:t>本项目码头区</w:t>
            </w:r>
            <w:r>
              <w:rPr>
                <w:rFonts w:hint="eastAsia"/>
                <w:color w:val="FF0000"/>
                <w:szCs w:val="18"/>
              </w:rPr>
              <w:t>、</w:t>
            </w:r>
            <w:r>
              <w:rPr>
                <w:color w:val="FF0000"/>
                <w:szCs w:val="18"/>
              </w:rPr>
              <w:t>罐区</w:t>
            </w:r>
            <w:r>
              <w:rPr>
                <w:rFonts w:hint="eastAsia"/>
                <w:color w:val="FF0000"/>
                <w:szCs w:val="18"/>
              </w:rPr>
              <w:t>及</w:t>
            </w:r>
            <w:r>
              <w:rPr>
                <w:color w:val="FF0000"/>
                <w:szCs w:val="18"/>
              </w:rPr>
              <w:t>汽车装卸区冲洗废水经管道收集排至600m</w:t>
            </w:r>
            <w:r>
              <w:rPr>
                <w:color w:val="FF0000"/>
                <w:szCs w:val="18"/>
                <w:vertAlign w:val="superscript"/>
              </w:rPr>
              <w:t>3</w:t>
            </w:r>
            <w:r>
              <w:rPr>
                <w:color w:val="FF0000"/>
                <w:szCs w:val="18"/>
              </w:rPr>
              <w:t>密闭式含油污水收集池；码头区、罐区及汽车装卸区初期雨水经管道收集排至600m</w:t>
            </w:r>
            <w:r>
              <w:rPr>
                <w:color w:val="FF0000"/>
                <w:szCs w:val="18"/>
                <w:vertAlign w:val="superscript"/>
              </w:rPr>
              <w:t>3</w:t>
            </w:r>
            <w:r>
              <w:rPr>
                <w:color w:val="FF0000"/>
                <w:szCs w:val="18"/>
              </w:rPr>
              <w:t>密闭式含油污水收集池，</w:t>
            </w:r>
            <w:r>
              <w:rPr>
                <w:rFonts w:hint="eastAsia"/>
                <w:color w:val="FF0000"/>
                <w:szCs w:val="18"/>
              </w:rPr>
              <w:t>油品储罐切罐废水</w:t>
            </w:r>
            <w:r>
              <w:rPr>
                <w:color w:val="FF0000"/>
                <w:szCs w:val="18"/>
              </w:rPr>
              <w:t>经管道收集排至600m</w:t>
            </w:r>
            <w:r>
              <w:rPr>
                <w:color w:val="FF0000"/>
                <w:szCs w:val="18"/>
                <w:vertAlign w:val="superscript"/>
              </w:rPr>
              <w:t>3</w:t>
            </w:r>
            <w:r>
              <w:rPr>
                <w:color w:val="FF0000"/>
                <w:szCs w:val="18"/>
              </w:rPr>
              <w:t>密闭式含油污水收集池</w:t>
            </w:r>
            <w:r>
              <w:rPr>
                <w:rFonts w:hint="eastAsia"/>
                <w:color w:val="FF0000"/>
                <w:szCs w:val="18"/>
              </w:rPr>
              <w:t>；陆域</w:t>
            </w:r>
            <w:r>
              <w:rPr>
                <w:color w:val="FF0000"/>
                <w:szCs w:val="18"/>
              </w:rPr>
              <w:t>设置1套处理能力为10m</w:t>
            </w:r>
            <w:r>
              <w:rPr>
                <w:color w:val="FF0000"/>
                <w:szCs w:val="18"/>
                <w:vertAlign w:val="superscript"/>
              </w:rPr>
              <w:t>3</w:t>
            </w:r>
            <w:r>
              <w:rPr>
                <w:color w:val="FF0000"/>
                <w:szCs w:val="18"/>
              </w:rPr>
              <w:t>/h的含油污水处理装置</w:t>
            </w:r>
            <w:r>
              <w:rPr>
                <w:rFonts w:hint="eastAsia"/>
                <w:color w:val="FF0000"/>
                <w:szCs w:val="18"/>
              </w:rPr>
              <w:t>（沉砂+隔油+气浮+</w:t>
            </w:r>
            <w:r>
              <w:rPr>
                <w:color w:val="FF0000"/>
                <w:szCs w:val="18"/>
              </w:rPr>
              <w:t>SBR+</w:t>
            </w:r>
            <w:r>
              <w:rPr>
                <w:rFonts w:hint="eastAsia"/>
                <w:color w:val="FF0000"/>
                <w:szCs w:val="18"/>
              </w:rPr>
              <w:t>精密过滤）</w:t>
            </w:r>
            <w:r>
              <w:rPr>
                <w:color w:val="FF0000"/>
                <w:szCs w:val="18"/>
              </w:rPr>
              <w:t>，将收集于600m</w:t>
            </w:r>
            <w:r>
              <w:rPr>
                <w:color w:val="FF0000"/>
                <w:szCs w:val="18"/>
                <w:vertAlign w:val="superscript"/>
              </w:rPr>
              <w:t>3</w:t>
            </w:r>
            <w:r>
              <w:rPr>
                <w:color w:val="FF0000"/>
                <w:szCs w:val="18"/>
              </w:rPr>
              <w:t>密闭式含油污水收集池内的冲洗废水</w:t>
            </w:r>
            <w:r>
              <w:rPr>
                <w:rFonts w:hint="eastAsia"/>
                <w:color w:val="FF0000"/>
                <w:szCs w:val="18"/>
              </w:rPr>
              <w:t>、</w:t>
            </w:r>
            <w:r>
              <w:rPr>
                <w:color w:val="FF0000"/>
                <w:szCs w:val="18"/>
              </w:rPr>
              <w:t>初期雨水</w:t>
            </w:r>
            <w:r>
              <w:rPr>
                <w:rFonts w:hint="eastAsia"/>
                <w:color w:val="FF0000"/>
                <w:szCs w:val="18"/>
              </w:rPr>
              <w:t>、切罐废水</w:t>
            </w:r>
            <w:r>
              <w:rPr>
                <w:color w:val="FF0000"/>
                <w:szCs w:val="18"/>
              </w:rPr>
              <w:t>泵送至含油污水处理装置处理达标后接管进入合肥循环经济园污水处理厂。</w:t>
            </w:r>
          </w:p>
          <w:p>
            <w:pPr>
              <w:pStyle w:val="861"/>
              <w:widowControl w:val="0"/>
              <w:jc w:val="left"/>
              <w:rPr>
                <w:color w:val="FF0000"/>
                <w:szCs w:val="18"/>
              </w:rPr>
            </w:pPr>
            <w:r>
              <w:rPr>
                <w:color w:val="FF0000"/>
                <w:szCs w:val="18"/>
              </w:rPr>
              <w:fldChar w:fldCharType="begin"/>
            </w:r>
            <w:r>
              <w:rPr>
                <w:color w:val="FF0000"/>
                <w:szCs w:val="18"/>
              </w:rPr>
              <w:instrText xml:space="preserve"> = 3 \* GB3 </w:instrText>
            </w:r>
            <w:r>
              <w:rPr>
                <w:color w:val="FF0000"/>
                <w:szCs w:val="18"/>
              </w:rPr>
              <w:fldChar w:fldCharType="separate"/>
            </w:r>
            <w:r>
              <w:rPr>
                <w:rFonts w:hint="eastAsia" w:ascii="宋体" w:hAnsi="宋体" w:cs="宋体"/>
                <w:color w:val="FF0000"/>
                <w:szCs w:val="18"/>
              </w:rPr>
              <w:t>③</w:t>
            </w:r>
            <w:r>
              <w:rPr>
                <w:color w:val="FF0000"/>
                <w:szCs w:val="18"/>
              </w:rPr>
              <w:fldChar w:fldCharType="end"/>
            </w:r>
            <w:r>
              <w:rPr>
                <w:color w:val="FF0000"/>
                <w:szCs w:val="18"/>
              </w:rPr>
              <w:t>酸碱罐区产生的冲洗含酸、碱污水及初期雨水经管道收集，排至陆域罐区100m³中和池预处理后，泵送至含油污水处理装置处理。</w:t>
            </w:r>
          </w:p>
          <w:p>
            <w:pPr>
              <w:pStyle w:val="861"/>
              <w:widowControl w:val="0"/>
              <w:jc w:val="left"/>
              <w:rPr>
                <w:color w:val="FF0000"/>
                <w:szCs w:val="18"/>
              </w:rPr>
            </w:pPr>
            <w:r>
              <w:rPr>
                <w:color w:val="FF0000"/>
                <w:szCs w:val="18"/>
              </w:rPr>
              <w:fldChar w:fldCharType="begin"/>
            </w:r>
            <w:r>
              <w:rPr>
                <w:color w:val="FF0000"/>
                <w:szCs w:val="18"/>
              </w:rPr>
              <w:instrText xml:space="preserve"> = 4 \* GB3 </w:instrText>
            </w:r>
            <w:r>
              <w:rPr>
                <w:color w:val="FF0000"/>
                <w:szCs w:val="18"/>
              </w:rPr>
              <w:fldChar w:fldCharType="separate"/>
            </w:r>
            <w:r>
              <w:rPr>
                <w:rFonts w:hint="eastAsia" w:ascii="宋体" w:hAnsi="宋体" w:cs="宋体"/>
                <w:color w:val="FF0000"/>
                <w:szCs w:val="18"/>
              </w:rPr>
              <w:t>④</w:t>
            </w:r>
            <w:r>
              <w:rPr>
                <w:color w:val="FF0000"/>
                <w:szCs w:val="18"/>
              </w:rPr>
              <w:fldChar w:fldCharType="end"/>
            </w:r>
            <w:r>
              <w:rPr>
                <w:color w:val="FF0000"/>
                <w:szCs w:val="18"/>
              </w:rPr>
              <w:t>停靠船舶产生的机舱含油污水收集后排入码头含油污水接收设施，再接入含油污水处理装置预处理后排入合肥循环经济园污水处理厂处理。</w:t>
            </w:r>
          </w:p>
          <w:p>
            <w:pPr>
              <w:pStyle w:val="861"/>
              <w:widowControl w:val="0"/>
              <w:jc w:val="left"/>
              <w:rPr>
                <w:color w:val="FF0000"/>
                <w:szCs w:val="18"/>
              </w:rPr>
            </w:pPr>
            <w:r>
              <w:rPr>
                <w:color w:val="FF0000"/>
                <w:szCs w:val="18"/>
              </w:rPr>
              <w:fldChar w:fldCharType="begin"/>
            </w:r>
            <w:r>
              <w:rPr>
                <w:color w:val="FF0000"/>
                <w:szCs w:val="18"/>
              </w:rPr>
              <w:instrText xml:space="preserve"> = 5 \* GB3 </w:instrText>
            </w:r>
            <w:r>
              <w:rPr>
                <w:color w:val="FF0000"/>
                <w:szCs w:val="18"/>
              </w:rPr>
              <w:fldChar w:fldCharType="separate"/>
            </w:r>
            <w:r>
              <w:rPr>
                <w:rFonts w:hint="eastAsia" w:ascii="宋体" w:hAnsi="宋体" w:cs="宋体"/>
                <w:color w:val="FF0000"/>
                <w:szCs w:val="18"/>
              </w:rPr>
              <w:t>⑤</w:t>
            </w:r>
            <w:r>
              <w:rPr>
                <w:color w:val="FF0000"/>
                <w:szCs w:val="18"/>
              </w:rPr>
              <w:fldChar w:fldCharType="end"/>
            </w:r>
            <w:r>
              <w:rPr>
                <w:color w:val="FF0000"/>
                <w:szCs w:val="18"/>
              </w:rPr>
              <w:t>停靠船舶产生的生活污水收集后排入码头生活污水接收设施，再接入污水管网经化粪池中预处理后排入合肥循环经济园区污水处理厂处理。</w:t>
            </w:r>
          </w:p>
          <w:p>
            <w:pPr>
              <w:pStyle w:val="861"/>
              <w:widowControl w:val="0"/>
              <w:jc w:val="left"/>
              <w:rPr>
                <w:szCs w:val="18"/>
              </w:rPr>
            </w:pPr>
            <w:r>
              <w:rPr>
                <w:color w:val="FF0000"/>
                <w:szCs w:val="18"/>
              </w:rPr>
              <w:t>项目区所有废水经预处理后达到《污水综合排放标准》（GB8978-1996）中的三级标准以及合肥循环经济园污水处理厂接管标准后排入合肥循环经济园污水处理厂处理后达到《城镇污水处理厂污染物排放标准》（GB18918-2002）一级A标准后排入店埠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废气治理工程</w:t>
            </w:r>
          </w:p>
        </w:tc>
        <w:tc>
          <w:tcPr>
            <w:tcW w:w="11569" w:type="dxa"/>
            <w:tcBorders>
              <w:tl2br w:val="nil"/>
              <w:tr2bl w:val="nil"/>
            </w:tcBorders>
            <w:vAlign w:val="center"/>
          </w:tcPr>
          <w:p>
            <w:pPr>
              <w:pStyle w:val="861"/>
              <w:widowControl w:val="0"/>
              <w:jc w:val="left"/>
              <w:rPr>
                <w:color w:val="FF0000"/>
                <w:szCs w:val="18"/>
              </w:rPr>
            </w:pPr>
            <w:r>
              <w:rPr>
                <w:color w:val="FF0000"/>
                <w:szCs w:val="18"/>
              </w:rPr>
              <w:t>本工程大气污染物主要来自于油品及挥发性液体化工品在运输船、管线、储罐、运输车辆之间的输送及储存过程中产生呼吸气、置换气等（非甲烷总烃），针对挥发性有机废气项目设置2处油气回收装置</w:t>
            </w:r>
            <w:r>
              <w:rPr>
                <w:rFonts w:hint="eastAsia"/>
                <w:color w:val="FF0000"/>
                <w:szCs w:val="18"/>
              </w:rPr>
              <w:t>（1处2</w:t>
            </w:r>
            <w:r>
              <w:rPr>
                <w:color w:val="FF0000"/>
                <w:szCs w:val="18"/>
              </w:rPr>
              <w:t>50</w:t>
            </w:r>
            <w:r>
              <w:rPr>
                <w:rFonts w:hint="eastAsia"/>
                <w:color w:val="FF0000"/>
                <w:szCs w:val="18"/>
              </w:rPr>
              <w:t>m</w:t>
            </w:r>
            <w:r>
              <w:rPr>
                <w:color w:val="FF0000"/>
                <w:szCs w:val="18"/>
                <w:vertAlign w:val="superscript"/>
              </w:rPr>
              <w:t>3</w:t>
            </w:r>
            <w:r>
              <w:rPr>
                <w:color w:val="FF0000"/>
                <w:szCs w:val="18"/>
              </w:rPr>
              <w:t>/</w:t>
            </w:r>
            <w:r>
              <w:rPr>
                <w:rFonts w:hint="eastAsia"/>
                <w:color w:val="FF0000"/>
                <w:szCs w:val="18"/>
              </w:rPr>
              <w:t>h装船废气油气回收装置；1处</w:t>
            </w:r>
            <w:r>
              <w:rPr>
                <w:color w:val="FF0000"/>
                <w:szCs w:val="18"/>
              </w:rPr>
              <w:t>880</w:t>
            </w:r>
            <w:r>
              <w:rPr>
                <w:rFonts w:hint="eastAsia"/>
                <w:color w:val="FF0000"/>
                <w:szCs w:val="18"/>
              </w:rPr>
              <w:t>m</w:t>
            </w:r>
            <w:r>
              <w:rPr>
                <w:color w:val="FF0000"/>
                <w:szCs w:val="18"/>
                <w:vertAlign w:val="superscript"/>
              </w:rPr>
              <w:t>3</w:t>
            </w:r>
            <w:r>
              <w:rPr>
                <w:color w:val="FF0000"/>
                <w:szCs w:val="18"/>
              </w:rPr>
              <w:t>/</w:t>
            </w:r>
            <w:r>
              <w:rPr>
                <w:rFonts w:hint="eastAsia"/>
                <w:color w:val="FF0000"/>
                <w:szCs w:val="18"/>
              </w:rPr>
              <w:t>h装车废气油气回收装置，均采用三级冷凝+活性炭吸附工艺），排气筒高度设置均为1</w:t>
            </w:r>
            <w:r>
              <w:rPr>
                <w:color w:val="FF0000"/>
                <w:szCs w:val="18"/>
              </w:rPr>
              <w:t>5</w:t>
            </w:r>
            <w:r>
              <w:rPr>
                <w:rFonts w:hint="eastAsia"/>
                <w:color w:val="FF0000"/>
                <w:szCs w:val="18"/>
              </w:rPr>
              <w:t>m</w:t>
            </w:r>
            <w:r>
              <w:rPr>
                <w:color w:val="FF0000"/>
                <w:szCs w:val="18"/>
              </w:rPr>
              <w:t>。</w:t>
            </w:r>
          </w:p>
          <w:p>
            <w:pPr>
              <w:pStyle w:val="861"/>
              <w:widowControl w:val="0"/>
              <w:jc w:val="left"/>
              <w:rPr>
                <w:szCs w:val="18"/>
              </w:rPr>
            </w:pPr>
            <w:r>
              <w:rPr>
                <w:color w:val="FF0000"/>
                <w:szCs w:val="18"/>
              </w:rPr>
              <w:t>针对硫酸在输送及储存过程中产生的硫酸雾气体，采取“碱液中和罐”废气处理装置进行处理</w:t>
            </w:r>
            <w:r>
              <w:rPr>
                <w:rFonts w:hint="eastAsia"/>
                <w:color w:val="FF0000"/>
                <w:szCs w:val="18"/>
              </w:rPr>
              <w:t>，排气筒高度设置为1</w:t>
            </w:r>
            <w:r>
              <w:rPr>
                <w:color w:val="FF0000"/>
                <w:szCs w:val="18"/>
              </w:rPr>
              <w:t>5</w:t>
            </w:r>
            <w:r>
              <w:rPr>
                <w:rFonts w:hint="eastAsia"/>
                <w:color w:val="FF0000"/>
                <w:szCs w:val="18"/>
              </w:rPr>
              <w:t>m</w:t>
            </w:r>
            <w:r>
              <w:rPr>
                <w:color w:val="FF0000"/>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固废治理措施</w:t>
            </w:r>
          </w:p>
        </w:tc>
        <w:tc>
          <w:tcPr>
            <w:tcW w:w="11569" w:type="dxa"/>
            <w:tcBorders>
              <w:tl2br w:val="nil"/>
              <w:tr2bl w:val="nil"/>
            </w:tcBorders>
            <w:vAlign w:val="center"/>
          </w:tcPr>
          <w:p>
            <w:pPr>
              <w:pStyle w:val="861"/>
              <w:widowControl w:val="0"/>
              <w:jc w:val="left"/>
              <w:rPr>
                <w:szCs w:val="18"/>
              </w:rPr>
            </w:pPr>
            <w:r>
              <w:rPr>
                <w:szCs w:val="18"/>
              </w:rPr>
              <w:fldChar w:fldCharType="begin"/>
            </w:r>
            <w:r>
              <w:rPr>
                <w:szCs w:val="18"/>
              </w:rPr>
              <w:instrText xml:space="preserve"> = 1 \* GB3 </w:instrText>
            </w:r>
            <w:r>
              <w:rPr>
                <w:szCs w:val="18"/>
              </w:rPr>
              <w:fldChar w:fldCharType="separate"/>
            </w:r>
            <w:r>
              <w:rPr>
                <w:rFonts w:hint="eastAsia" w:ascii="宋体" w:hAnsi="宋体" w:cs="宋体"/>
                <w:szCs w:val="18"/>
              </w:rPr>
              <w:t>①</w:t>
            </w:r>
            <w:r>
              <w:rPr>
                <w:szCs w:val="18"/>
              </w:rPr>
              <w:fldChar w:fldCharType="end"/>
            </w:r>
            <w:r>
              <w:rPr>
                <w:szCs w:val="18"/>
              </w:rPr>
              <w:t>港区码头平台设置船舶生活垃圾接收设施，到港船舶收集的生活垃圾经收集后委托环卫部门清运并处理。</w:t>
            </w:r>
          </w:p>
          <w:p>
            <w:pPr>
              <w:pStyle w:val="861"/>
              <w:widowControl w:val="0"/>
              <w:jc w:val="left"/>
              <w:rPr>
                <w:color w:val="FF0000"/>
                <w:szCs w:val="18"/>
              </w:rPr>
            </w:pPr>
            <w:r>
              <w:rPr>
                <w:color w:val="FF0000"/>
                <w:szCs w:val="18"/>
              </w:rPr>
              <w:fldChar w:fldCharType="begin"/>
            </w:r>
            <w:r>
              <w:rPr>
                <w:color w:val="FF0000"/>
                <w:szCs w:val="18"/>
              </w:rPr>
              <w:instrText xml:space="preserve"> = 2 \* GB3 </w:instrText>
            </w:r>
            <w:r>
              <w:rPr>
                <w:color w:val="FF0000"/>
                <w:szCs w:val="18"/>
              </w:rPr>
              <w:fldChar w:fldCharType="separate"/>
            </w:r>
            <w:r>
              <w:rPr>
                <w:rFonts w:hint="eastAsia" w:ascii="宋体" w:hAnsi="宋体" w:cs="宋体"/>
                <w:color w:val="FF0000"/>
                <w:szCs w:val="18"/>
              </w:rPr>
              <w:t>②</w:t>
            </w:r>
            <w:r>
              <w:rPr>
                <w:color w:val="FF0000"/>
                <w:szCs w:val="18"/>
              </w:rPr>
              <w:fldChar w:fldCharType="end"/>
            </w:r>
            <w:r>
              <w:rPr>
                <w:color w:val="FF0000"/>
                <w:szCs w:val="18"/>
              </w:rPr>
              <w:t>港区含油污水处理装置产生的污泥为含油污泥，经收集后装于密闭容器内并暂存于港区内危废暂存间，最终送有资质单位集中处置。</w:t>
            </w:r>
          </w:p>
          <w:p>
            <w:pPr>
              <w:pStyle w:val="861"/>
              <w:widowControl w:val="0"/>
              <w:jc w:val="left"/>
              <w:rPr>
                <w:color w:val="FF0000"/>
                <w:szCs w:val="18"/>
              </w:rPr>
            </w:pPr>
            <w:r>
              <w:rPr>
                <w:color w:val="FF0000"/>
                <w:szCs w:val="18"/>
              </w:rPr>
              <w:fldChar w:fldCharType="begin"/>
            </w:r>
            <w:r>
              <w:rPr>
                <w:color w:val="FF0000"/>
                <w:szCs w:val="18"/>
              </w:rPr>
              <w:instrText xml:space="preserve"> = 3 \* GB3 </w:instrText>
            </w:r>
            <w:r>
              <w:rPr>
                <w:color w:val="FF0000"/>
                <w:szCs w:val="18"/>
              </w:rPr>
              <w:fldChar w:fldCharType="separate"/>
            </w:r>
            <w:r>
              <w:rPr>
                <w:rFonts w:hint="eastAsia" w:ascii="宋体" w:hAnsi="宋体" w:cs="宋体"/>
                <w:color w:val="FF0000"/>
                <w:szCs w:val="18"/>
              </w:rPr>
              <w:t>③</w:t>
            </w:r>
            <w:r>
              <w:rPr>
                <w:color w:val="FF0000"/>
                <w:szCs w:val="18"/>
              </w:rPr>
              <w:fldChar w:fldCharType="end"/>
            </w:r>
            <w:r>
              <w:rPr>
                <w:color w:val="FF0000"/>
                <w:szCs w:val="18"/>
              </w:rPr>
              <w:t>港区机械设备维修废机油</w:t>
            </w:r>
            <w:r>
              <w:rPr>
                <w:rFonts w:hint="eastAsia"/>
                <w:color w:val="FF0000"/>
                <w:szCs w:val="18"/>
              </w:rPr>
              <w:t>、油气回收装置废活性炭、化验室检测废液等</w:t>
            </w:r>
            <w:r>
              <w:rPr>
                <w:color w:val="FF0000"/>
                <w:szCs w:val="18"/>
              </w:rPr>
              <w:t>，属于危险废物，装于密闭容器内并暂存于厂区内危废暂存间，最终送有资质的单位集中处置。</w:t>
            </w:r>
          </w:p>
          <w:p>
            <w:pPr>
              <w:pStyle w:val="861"/>
              <w:widowControl w:val="0"/>
              <w:jc w:val="left"/>
              <w:rPr>
                <w:color w:val="FF0000"/>
                <w:szCs w:val="18"/>
              </w:rPr>
            </w:pPr>
            <w:r>
              <w:rPr>
                <w:color w:val="FF0000"/>
                <w:szCs w:val="18"/>
              </w:rPr>
              <w:t>危险废物暂存库为独立建筑，位于码头区域与罐区的中间，建筑面积为40㎡，危险废物暂存仓库按照《危险废物贮存污染控制标准》（GB18597-2001）进行设计，危废包装、储存以及仓库地面防渗、防腐等均严格按照GB18597-2001标准执行。</w:t>
            </w:r>
          </w:p>
          <w:p>
            <w:pPr>
              <w:pStyle w:val="861"/>
              <w:widowControl w:val="0"/>
              <w:jc w:val="left"/>
              <w:rPr>
                <w:szCs w:val="18"/>
              </w:rPr>
            </w:pPr>
            <w:r>
              <w:rPr>
                <w:szCs w:val="18"/>
              </w:rPr>
              <w:fldChar w:fldCharType="begin"/>
            </w:r>
            <w:r>
              <w:rPr>
                <w:szCs w:val="18"/>
              </w:rPr>
              <w:instrText xml:space="preserve"> = 4 \* GB3 </w:instrText>
            </w:r>
            <w:r>
              <w:rPr>
                <w:szCs w:val="18"/>
              </w:rPr>
              <w:fldChar w:fldCharType="separate"/>
            </w:r>
            <w:r>
              <w:rPr>
                <w:rFonts w:hint="eastAsia" w:ascii="宋体" w:hAnsi="宋体" w:cs="宋体"/>
                <w:szCs w:val="18"/>
              </w:rPr>
              <w:t>④</w:t>
            </w:r>
            <w:r>
              <w:rPr>
                <w:szCs w:val="18"/>
              </w:rPr>
              <w:fldChar w:fldCharType="end"/>
            </w:r>
            <w:r>
              <w:rPr>
                <w:szCs w:val="18"/>
              </w:rPr>
              <w:t>港区设垃圾桶收集营运期码头工作人员的生活垃圾，并委托环卫部门定期清运并处理。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噪声治理措施</w:t>
            </w:r>
          </w:p>
        </w:tc>
        <w:tc>
          <w:tcPr>
            <w:tcW w:w="11569" w:type="dxa"/>
            <w:tcBorders>
              <w:tl2br w:val="nil"/>
              <w:tr2bl w:val="nil"/>
            </w:tcBorders>
            <w:vAlign w:val="center"/>
          </w:tcPr>
          <w:p>
            <w:pPr>
              <w:pStyle w:val="861"/>
              <w:widowControl w:val="0"/>
              <w:jc w:val="left"/>
              <w:rPr>
                <w:szCs w:val="18"/>
              </w:rPr>
            </w:pPr>
            <w:r>
              <w:rPr>
                <w:szCs w:val="18"/>
              </w:rPr>
              <w:t>拟建项目通过选用低噪声、振动小的设备，对产生较大噪声和振动的设备（装卸机泵、压缩机、风机、制氮机等）采取消声、吸声、隔声及减振等措施降低噪声对环境的影响。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63" w:type="dxa"/>
            <w:vMerge w:val="continue"/>
            <w:tcBorders>
              <w:tl2br w:val="nil"/>
              <w:tr2bl w:val="nil"/>
            </w:tcBorders>
            <w:vAlign w:val="center"/>
          </w:tcPr>
          <w:p>
            <w:pPr>
              <w:pStyle w:val="861"/>
              <w:widowControl w:val="0"/>
              <w:rPr>
                <w:szCs w:val="18"/>
              </w:rPr>
            </w:pPr>
          </w:p>
        </w:tc>
        <w:tc>
          <w:tcPr>
            <w:tcW w:w="1931" w:type="dxa"/>
            <w:gridSpan w:val="2"/>
            <w:tcBorders>
              <w:tl2br w:val="nil"/>
              <w:tr2bl w:val="nil"/>
            </w:tcBorders>
            <w:vAlign w:val="center"/>
          </w:tcPr>
          <w:p>
            <w:pPr>
              <w:pStyle w:val="861"/>
              <w:widowControl w:val="0"/>
              <w:rPr>
                <w:szCs w:val="18"/>
              </w:rPr>
            </w:pPr>
            <w:r>
              <w:rPr>
                <w:szCs w:val="18"/>
              </w:rPr>
              <w:t>环境风险防范措施</w:t>
            </w:r>
          </w:p>
        </w:tc>
        <w:tc>
          <w:tcPr>
            <w:tcW w:w="11569" w:type="dxa"/>
            <w:tcBorders>
              <w:tl2br w:val="nil"/>
              <w:tr2bl w:val="nil"/>
            </w:tcBorders>
            <w:vAlign w:val="center"/>
          </w:tcPr>
          <w:p>
            <w:pPr>
              <w:pStyle w:val="861"/>
              <w:widowControl w:val="0"/>
              <w:jc w:val="left"/>
              <w:rPr>
                <w:szCs w:val="18"/>
              </w:rPr>
            </w:pPr>
            <w:r>
              <w:rPr>
                <w:szCs w:val="18"/>
              </w:rPr>
              <w:fldChar w:fldCharType="begin"/>
            </w:r>
            <w:r>
              <w:rPr>
                <w:szCs w:val="18"/>
              </w:rPr>
              <w:instrText xml:space="preserve"> = 1 \* GB3 </w:instrText>
            </w:r>
            <w:r>
              <w:rPr>
                <w:szCs w:val="18"/>
              </w:rPr>
              <w:fldChar w:fldCharType="separate"/>
            </w:r>
            <w:r>
              <w:rPr>
                <w:rFonts w:hint="eastAsia" w:ascii="宋体" w:hAnsi="宋体" w:cs="宋体"/>
                <w:szCs w:val="18"/>
              </w:rPr>
              <w:t>①</w:t>
            </w:r>
            <w:r>
              <w:rPr>
                <w:szCs w:val="18"/>
              </w:rPr>
              <w:fldChar w:fldCharType="end"/>
            </w:r>
            <w:r>
              <w:rPr>
                <w:szCs w:val="18"/>
              </w:rPr>
              <w:t>码头平台区设置设置收集沟槽及分布式集液池（2座，每座30m</w:t>
            </w:r>
            <w:r>
              <w:rPr>
                <w:szCs w:val="18"/>
                <w:vertAlign w:val="superscript"/>
              </w:rPr>
              <w:t>3</w:t>
            </w:r>
            <w:r>
              <w:rPr>
                <w:szCs w:val="18"/>
              </w:rPr>
              <w:t>），收集事故状态下泄露的油品及化工物料及消防废水，通过输送泵及管道输送至罐区消防事故应急池。码头平台按规范要求设置完善的消防系统。</w:t>
            </w:r>
          </w:p>
          <w:p>
            <w:pPr>
              <w:pStyle w:val="861"/>
              <w:widowControl w:val="0"/>
              <w:jc w:val="left"/>
              <w:rPr>
                <w:szCs w:val="18"/>
              </w:rPr>
            </w:pPr>
            <w:r>
              <w:rPr>
                <w:szCs w:val="18"/>
              </w:rPr>
              <w:fldChar w:fldCharType="begin"/>
            </w:r>
            <w:r>
              <w:rPr>
                <w:szCs w:val="18"/>
              </w:rPr>
              <w:instrText xml:space="preserve"> = 2 \* GB3 </w:instrText>
            </w:r>
            <w:r>
              <w:rPr>
                <w:szCs w:val="18"/>
              </w:rPr>
              <w:fldChar w:fldCharType="separate"/>
            </w:r>
            <w:r>
              <w:rPr>
                <w:rFonts w:hint="eastAsia" w:ascii="宋体" w:hAnsi="宋体" w:cs="宋体"/>
                <w:szCs w:val="18"/>
              </w:rPr>
              <w:t>②</w:t>
            </w:r>
            <w:r>
              <w:rPr>
                <w:szCs w:val="18"/>
              </w:rPr>
              <w:fldChar w:fldCharType="end"/>
            </w:r>
            <w:r>
              <w:rPr>
                <w:szCs w:val="18"/>
              </w:rPr>
              <w:t>陆域罐区设置围堰，</w:t>
            </w:r>
            <w:r>
              <w:rPr>
                <w:color w:val="FF0000"/>
                <w:szCs w:val="18"/>
              </w:rPr>
              <w:t>1#罐组</w:t>
            </w:r>
            <w:r>
              <w:rPr>
                <w:rFonts w:hint="eastAsia"/>
                <w:color w:val="FF0000"/>
                <w:szCs w:val="18"/>
              </w:rPr>
              <w:t>（汽油、乙醇）</w:t>
            </w:r>
            <w:r>
              <w:rPr>
                <w:color w:val="FF0000"/>
                <w:szCs w:val="18"/>
              </w:rPr>
              <w:t>内</w:t>
            </w:r>
            <w:r>
              <w:rPr>
                <w:rFonts w:hint="eastAsia"/>
                <w:color w:val="FF0000"/>
                <w:szCs w:val="18"/>
              </w:rPr>
              <w:t>防火堤（围堰）有效高度1.3m（围堰有效容积为14840m</w:t>
            </w:r>
            <w:r>
              <w:rPr>
                <w:rFonts w:hint="eastAsia"/>
                <w:color w:val="FF0000"/>
                <w:szCs w:val="18"/>
                <w:vertAlign w:val="superscript"/>
              </w:rPr>
              <w:t>3</w:t>
            </w:r>
            <w:r>
              <w:rPr>
                <w:rFonts w:hint="eastAsia"/>
                <w:color w:val="FF0000"/>
                <w:szCs w:val="18"/>
              </w:rPr>
              <w:t>），</w:t>
            </w:r>
            <w:r>
              <w:rPr>
                <w:color w:val="FF0000"/>
                <w:szCs w:val="18"/>
              </w:rPr>
              <w:t>2#罐组</w:t>
            </w:r>
            <w:r>
              <w:rPr>
                <w:rFonts w:hint="eastAsia"/>
                <w:color w:val="FF0000"/>
                <w:szCs w:val="18"/>
              </w:rPr>
              <w:t>（柴油、航煤）</w:t>
            </w:r>
            <w:r>
              <w:rPr>
                <w:color w:val="FF0000"/>
                <w:szCs w:val="18"/>
              </w:rPr>
              <w:t>内</w:t>
            </w:r>
            <w:r>
              <w:rPr>
                <w:rFonts w:hint="eastAsia"/>
                <w:color w:val="FF0000"/>
                <w:szCs w:val="18"/>
              </w:rPr>
              <w:t>防火堤（围堰）有效高度1.</w:t>
            </w:r>
            <w:r>
              <w:rPr>
                <w:color w:val="FF0000"/>
                <w:szCs w:val="18"/>
              </w:rPr>
              <w:t>2</w:t>
            </w:r>
            <w:r>
              <w:rPr>
                <w:rFonts w:hint="eastAsia"/>
                <w:color w:val="FF0000"/>
                <w:szCs w:val="18"/>
              </w:rPr>
              <w:t>m（围堰有效容积为</w:t>
            </w:r>
            <w:r>
              <w:rPr>
                <w:color w:val="FF0000"/>
                <w:szCs w:val="18"/>
              </w:rPr>
              <w:t>10364</w:t>
            </w:r>
            <w:r>
              <w:rPr>
                <w:rFonts w:hint="eastAsia"/>
                <w:color w:val="FF0000"/>
                <w:szCs w:val="18"/>
              </w:rPr>
              <w:t>m</w:t>
            </w:r>
            <w:r>
              <w:rPr>
                <w:rFonts w:hint="eastAsia"/>
                <w:color w:val="FF0000"/>
                <w:szCs w:val="18"/>
                <w:vertAlign w:val="superscript"/>
              </w:rPr>
              <w:t>3</w:t>
            </w:r>
            <w:r>
              <w:rPr>
                <w:rFonts w:hint="eastAsia"/>
                <w:color w:val="FF0000"/>
                <w:szCs w:val="18"/>
              </w:rPr>
              <w:t>）</w:t>
            </w:r>
            <w:r>
              <w:rPr>
                <w:szCs w:val="18"/>
              </w:rPr>
              <w:t>，围堰排水系统与消防事故池连通。本项目</w:t>
            </w:r>
            <w:r>
              <w:rPr>
                <w:rFonts w:hint="eastAsia"/>
                <w:szCs w:val="18"/>
              </w:rPr>
              <w:t>单独</w:t>
            </w:r>
            <w:r>
              <w:rPr>
                <w:szCs w:val="18"/>
              </w:rPr>
              <w:t>设置事故池容积为750m</w:t>
            </w:r>
            <w:r>
              <w:rPr>
                <w:szCs w:val="18"/>
                <w:vertAlign w:val="superscript"/>
              </w:rPr>
              <w:t>3</w:t>
            </w:r>
            <w:r>
              <w:rPr>
                <w:szCs w:val="18"/>
              </w:rPr>
              <w:t>，能够容纳火灾事故情形下产生的废水。</w:t>
            </w:r>
          </w:p>
          <w:p>
            <w:pPr>
              <w:pStyle w:val="861"/>
              <w:widowControl w:val="0"/>
              <w:jc w:val="left"/>
              <w:rPr>
                <w:szCs w:val="18"/>
              </w:rPr>
            </w:pPr>
            <w:r>
              <w:rPr>
                <w:szCs w:val="18"/>
              </w:rPr>
              <w:fldChar w:fldCharType="begin"/>
            </w:r>
            <w:r>
              <w:rPr>
                <w:szCs w:val="18"/>
              </w:rPr>
              <w:instrText xml:space="preserve"> = 3 \* GB3 </w:instrText>
            </w:r>
            <w:r>
              <w:rPr>
                <w:szCs w:val="18"/>
              </w:rPr>
              <w:fldChar w:fldCharType="separate"/>
            </w:r>
            <w:r>
              <w:rPr>
                <w:rFonts w:hint="eastAsia" w:ascii="宋体" w:hAnsi="宋体" w:cs="宋体"/>
                <w:szCs w:val="18"/>
              </w:rPr>
              <w:t>③</w:t>
            </w:r>
            <w:r>
              <w:rPr>
                <w:szCs w:val="18"/>
              </w:rPr>
              <w:fldChar w:fldCharType="end"/>
            </w:r>
            <w:r>
              <w:rPr>
                <w:szCs w:val="18"/>
              </w:rPr>
              <w:t>加强设备、管道、阀门的密封措施，防止汽油</w:t>
            </w:r>
            <w:r>
              <w:rPr>
                <w:rFonts w:hint="eastAsia"/>
                <w:szCs w:val="18"/>
              </w:rPr>
              <w:t>、航空煤油、乙醇</w:t>
            </w:r>
            <w:r>
              <w:rPr>
                <w:szCs w:val="18"/>
              </w:rPr>
              <w:t>等可燃物料泄漏而引起火灾/爆炸事故。设置了火警和气体检测系统。</w:t>
            </w:r>
          </w:p>
          <w:p>
            <w:pPr>
              <w:pStyle w:val="861"/>
              <w:widowControl w:val="0"/>
              <w:jc w:val="left"/>
              <w:rPr>
                <w:szCs w:val="18"/>
              </w:rPr>
            </w:pPr>
            <w:r>
              <w:rPr>
                <w:szCs w:val="18"/>
              </w:rPr>
              <w:fldChar w:fldCharType="begin"/>
            </w:r>
            <w:r>
              <w:rPr>
                <w:szCs w:val="18"/>
              </w:rPr>
              <w:instrText xml:space="preserve"> = 4 \* GB3 </w:instrText>
            </w:r>
            <w:r>
              <w:rPr>
                <w:szCs w:val="18"/>
              </w:rPr>
              <w:fldChar w:fldCharType="separate"/>
            </w:r>
            <w:r>
              <w:rPr>
                <w:rFonts w:hint="eastAsia" w:ascii="宋体" w:hAnsi="宋体" w:cs="宋体"/>
                <w:szCs w:val="18"/>
              </w:rPr>
              <w:t>④</w:t>
            </w:r>
            <w:r>
              <w:rPr>
                <w:szCs w:val="18"/>
              </w:rPr>
              <w:fldChar w:fldCharType="end"/>
            </w:r>
            <w:r>
              <w:rPr>
                <w:szCs w:val="18"/>
              </w:rPr>
              <w:t>为了防范运输船舶溢油带来的环境风险，本项目配备了相应的应急设备及器材：围油栏585m、围油栏布放艇1艘、应急卸载泵1套、船舶油舱堵漏器1套、收油机（10m</w:t>
            </w:r>
            <w:r>
              <w:rPr>
                <w:szCs w:val="18"/>
                <w:vertAlign w:val="superscript"/>
              </w:rPr>
              <w:t>3</w:t>
            </w:r>
            <w:r>
              <w:rPr>
                <w:szCs w:val="18"/>
              </w:rPr>
              <w:t>/h）2台、油拖网2套、存储设施1套、吸油毡32.4t、高压热水清洗机1台、溢油监视报警系统1套、应急人员防护设备。进行事故应急预案编制、人员培训、应急演练等。</w:t>
            </w:r>
          </w:p>
        </w:tc>
      </w:tr>
    </w:tbl>
    <w:p>
      <w:pPr>
        <w:ind w:firstLine="480"/>
        <w:rPr>
          <w:rFonts w:ascii="Times New Roman" w:hAnsi="Times New Roman" w:eastAsia="等线" w:cs="Times New Roman"/>
        </w:rPr>
        <w:sectPr>
          <w:pgSz w:w="16838" w:h="11906" w:orient="landscape"/>
          <w:pgMar w:top="1418" w:right="1418" w:bottom="1418" w:left="1418" w:header="851" w:footer="992" w:gutter="0"/>
          <w:cols w:space="720" w:num="1"/>
          <w:docGrid w:type="linesAndChars" w:linePitch="333" w:charSpace="0"/>
        </w:sectPr>
      </w:pPr>
    </w:p>
    <w:p>
      <w:pPr>
        <w:spacing w:before="120" w:beforeLines="50" w:after="120" w:afterLines="50" w:line="500" w:lineRule="exact"/>
        <w:ind w:firstLine="0" w:firstLineChars="0"/>
        <w:outlineLvl w:val="1"/>
        <w:rPr>
          <w:rFonts w:ascii="Times New Roman" w:hAnsi="Times New Roman" w:eastAsia="黑体" w:cs="Times New Roman"/>
          <w:color w:val="auto"/>
          <w:sz w:val="28"/>
          <w:szCs w:val="28"/>
        </w:rPr>
      </w:pPr>
      <w:bookmarkStart w:id="164" w:name="_Toc104733323"/>
      <w:bookmarkStart w:id="165" w:name="_Toc102979818"/>
      <w:r>
        <w:rPr>
          <w:rFonts w:ascii="Times New Roman" w:hAnsi="Times New Roman" w:eastAsia="黑体" w:cs="Times New Roman"/>
          <w:color w:val="auto"/>
          <w:sz w:val="28"/>
          <w:szCs w:val="28"/>
        </w:rPr>
        <w:t>3.2设计船型及吞吐量</w:t>
      </w:r>
      <w:bookmarkEnd w:id="164"/>
      <w:bookmarkEnd w:id="165"/>
    </w:p>
    <w:p>
      <w:pPr>
        <w:pStyle w:val="4"/>
        <w:numPr>
          <w:ilvl w:val="2"/>
          <w:numId w:val="0"/>
        </w:numPr>
        <w:jc w:val="both"/>
        <w:rPr>
          <w:rFonts w:ascii="Times New Roman" w:hAnsi="Times New Roman" w:cs="Times New Roman"/>
          <w:color w:val="auto"/>
        </w:rPr>
      </w:pPr>
      <w:bookmarkStart w:id="166" w:name="_Toc342854404"/>
      <w:bookmarkStart w:id="167" w:name="_Toc102984288"/>
      <w:bookmarkStart w:id="168" w:name="_Toc104733324"/>
      <w:r>
        <w:rPr>
          <w:rFonts w:ascii="Times New Roman" w:hAnsi="Times New Roman" w:cs="Times New Roman"/>
          <w:color w:val="auto"/>
        </w:rPr>
        <w:t>3.2.1设计船型</w:t>
      </w:r>
      <w:bookmarkEnd w:id="166"/>
      <w:bookmarkEnd w:id="167"/>
      <w:bookmarkEnd w:id="168"/>
    </w:p>
    <w:p>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ind w:firstLine="480"/>
        <w:jc w:val="left"/>
        <w:textAlignment w:val="bottom"/>
        <w:rPr>
          <w:rFonts w:ascii="Times New Roman" w:hAnsi="Times New Roman" w:cs="Times New Roman"/>
          <w:color w:val="auto"/>
        </w:rPr>
      </w:pPr>
      <w:r>
        <w:rPr>
          <w:rFonts w:ascii="Times New Roman" w:hAnsi="Times New Roman" w:cs="Times New Roman"/>
          <w:color w:val="auto"/>
        </w:rPr>
        <w:t>根据《合肥东航码头工程可行性研究报告》，考虑船型标准化，工程设计代表船型如表3.2-1。</w:t>
      </w:r>
    </w:p>
    <w:p>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pacing w:line="240" w:lineRule="auto"/>
        <w:ind w:firstLine="422"/>
        <w:jc w:val="center"/>
        <w:textAlignment w:val="bottom"/>
        <w:rPr>
          <w:rFonts w:ascii="Times New Roman" w:hAnsi="Times New Roman" w:cs="Times New Roman"/>
          <w:b/>
          <w:color w:val="auto"/>
          <w:sz w:val="21"/>
          <w:szCs w:val="21"/>
        </w:rPr>
      </w:pPr>
      <w:r>
        <w:rPr>
          <w:rFonts w:ascii="Times New Roman" w:hAnsi="Times New Roman" w:cs="Times New Roman"/>
          <w:b/>
          <w:color w:val="auto"/>
          <w:sz w:val="21"/>
          <w:szCs w:val="21"/>
        </w:rPr>
        <w:t>表3.2-1   工程船型预测表（单位 m）</w:t>
      </w:r>
    </w:p>
    <w:tbl>
      <w:tblPr>
        <w:tblStyle w:val="62"/>
        <w:tblW w:w="900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33"/>
        <w:gridCol w:w="1328"/>
        <w:gridCol w:w="1328"/>
        <w:gridCol w:w="1944"/>
        <w:gridCol w:w="15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3"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bookmarkStart w:id="169" w:name="_Toc342854405"/>
            <w:r>
              <w:rPr>
                <w:rFonts w:ascii="Times New Roman" w:hAnsi="Times New Roman" w:cs="Times New Roman"/>
                <w:sz w:val="18"/>
                <w:lang w:bidi="ar"/>
              </w:rPr>
              <w:t>船型</w:t>
            </w:r>
          </w:p>
        </w:tc>
        <w:tc>
          <w:tcPr>
            <w:tcW w:w="1328"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总长m</w:t>
            </w:r>
          </w:p>
        </w:tc>
        <w:tc>
          <w:tcPr>
            <w:tcW w:w="1328"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型宽m</w:t>
            </w:r>
          </w:p>
        </w:tc>
        <w:tc>
          <w:tcPr>
            <w:tcW w:w="1944"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设计吃水m</w:t>
            </w:r>
          </w:p>
        </w:tc>
        <w:tc>
          <w:tcPr>
            <w:tcW w:w="1571"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3"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1000t级CZ-H7</w:t>
            </w:r>
          </w:p>
        </w:tc>
        <w:tc>
          <w:tcPr>
            <w:tcW w:w="1328"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63.0</w:t>
            </w:r>
          </w:p>
        </w:tc>
        <w:tc>
          <w:tcPr>
            <w:tcW w:w="1328"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11.0</w:t>
            </w:r>
          </w:p>
        </w:tc>
        <w:tc>
          <w:tcPr>
            <w:tcW w:w="1944"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2.6</w:t>
            </w:r>
          </w:p>
        </w:tc>
        <w:tc>
          <w:tcPr>
            <w:tcW w:w="1571"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设计船型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3"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2000t级CZ-H13</w:t>
            </w:r>
          </w:p>
        </w:tc>
        <w:tc>
          <w:tcPr>
            <w:tcW w:w="1328"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63.0</w:t>
            </w:r>
          </w:p>
        </w:tc>
        <w:tc>
          <w:tcPr>
            <w:tcW w:w="1328"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13.8</w:t>
            </w:r>
          </w:p>
        </w:tc>
        <w:tc>
          <w:tcPr>
            <w:tcW w:w="1944"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3.2</w:t>
            </w:r>
          </w:p>
        </w:tc>
        <w:tc>
          <w:tcPr>
            <w:tcW w:w="1571"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18"/>
              </w:rPr>
            </w:pPr>
            <w:r>
              <w:rPr>
                <w:rFonts w:ascii="Times New Roman" w:hAnsi="Times New Roman" w:cs="Times New Roman"/>
                <w:sz w:val="18"/>
                <w:lang w:bidi="ar"/>
              </w:rPr>
              <w:t>兼顾船型</w:t>
            </w:r>
          </w:p>
        </w:tc>
      </w:tr>
    </w:tbl>
    <w:p>
      <w:pPr>
        <w:pStyle w:val="4"/>
        <w:numPr>
          <w:ilvl w:val="2"/>
          <w:numId w:val="0"/>
        </w:numPr>
        <w:spacing w:before="120" w:beforeLines="50"/>
        <w:jc w:val="both"/>
        <w:rPr>
          <w:rFonts w:ascii="Times New Roman" w:hAnsi="Times New Roman" w:cs="Times New Roman"/>
          <w:color w:val="auto"/>
        </w:rPr>
      </w:pPr>
      <w:bookmarkStart w:id="170" w:name="_Toc102984289"/>
      <w:bookmarkStart w:id="171" w:name="_Toc104733325"/>
      <w:r>
        <w:rPr>
          <w:rFonts w:ascii="Times New Roman" w:hAnsi="Times New Roman" w:cs="Times New Roman"/>
          <w:color w:val="auto"/>
        </w:rPr>
        <w:t>3.2.2预测吞吐量</w:t>
      </w:r>
      <w:bookmarkEnd w:id="169"/>
      <w:bookmarkEnd w:id="170"/>
      <w:bookmarkEnd w:id="171"/>
    </w:p>
    <w:p>
      <w:pPr>
        <w:ind w:firstLine="480"/>
        <w:rPr>
          <w:rFonts w:ascii="Times New Roman" w:hAnsi="Times New Roman" w:eastAsia="黑体" w:cs="Times New Roman"/>
          <w:color w:val="FF0000"/>
          <w:sz w:val="28"/>
          <w:szCs w:val="28"/>
        </w:rPr>
      </w:pPr>
      <w:r>
        <w:rPr>
          <w:rFonts w:ascii="Times New Roman" w:hAnsi="Times New Roman" w:cs="Times New Roman"/>
          <w:color w:val="auto"/>
        </w:rPr>
        <w:t>根据《合肥东航码头工程可行性研究报告》，设计水平年2030年吞吐量预测300万吨；工程共布置7个1000吨级泊位，总设计年通过能力338.9万吨/年，能满足预测吞吐量的要求。</w:t>
      </w:r>
      <w:r>
        <w:rPr>
          <w:rFonts w:ascii="Times New Roman" w:hAnsi="Times New Roman" w:cs="Times New Roman"/>
          <w:kern w:val="24"/>
          <w:szCs w:val="20"/>
          <w:lang w:bidi="ar"/>
        </w:rPr>
        <w:t>本项目预测2030水平年吞吐量为300万吨，详见表3.2-2。主要货种的环境风险特征间表3.2-3。</w:t>
      </w:r>
      <w:r>
        <w:rPr>
          <w:rFonts w:ascii="Times New Roman" w:hAnsi="Times New Roman" w:cs="Times New Roman"/>
          <w:color w:val="FF0000"/>
          <w:kern w:val="24"/>
          <w:szCs w:val="20"/>
          <w:lang w:bidi="ar"/>
        </w:rPr>
        <w:t>对照</w:t>
      </w:r>
      <w:r>
        <w:rPr>
          <w:rFonts w:ascii="Times New Roman" w:hAnsi="Times New Roman" w:cs="Times New Roman"/>
          <w:color w:val="FF0000"/>
        </w:rPr>
        <w:t>《内河禁运危险化学品目录（2019版）》，本项目货种均不属于内河禁运危险化学品；对照《有毒有害水污染物名录（第一批）》）（生态环境部、国家卫生健康委员会公告 2019年第28号），本项目货种均不属于有毒有害水污染物。</w:t>
      </w:r>
    </w:p>
    <w:p>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pacing w:line="240" w:lineRule="auto"/>
        <w:ind w:firstLine="422"/>
        <w:jc w:val="center"/>
        <w:textAlignment w:val="bottom"/>
        <w:rPr>
          <w:rFonts w:ascii="Times New Roman" w:hAnsi="Times New Roman" w:cs="Times New Roman"/>
          <w:b/>
          <w:color w:val="auto"/>
          <w:sz w:val="21"/>
          <w:szCs w:val="21"/>
        </w:rPr>
      </w:pPr>
      <w:r>
        <w:rPr>
          <w:rFonts w:ascii="Times New Roman" w:hAnsi="Times New Roman" w:cs="Times New Roman"/>
          <w:b/>
          <w:color w:val="auto"/>
          <w:sz w:val="21"/>
          <w:szCs w:val="21"/>
        </w:rPr>
        <w:t>表3.2-2  2030年主要货种、吞吐量预测表</w:t>
      </w:r>
    </w:p>
    <w:tbl>
      <w:tblPr>
        <w:tblStyle w:val="62"/>
        <w:tblW w:w="9080"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25"/>
        <w:gridCol w:w="1527"/>
        <w:gridCol w:w="1559"/>
        <w:gridCol w:w="2160"/>
        <w:gridCol w:w="170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9" w:hRule="atLeast"/>
        </w:trPr>
        <w:tc>
          <w:tcPr>
            <w:tcW w:w="3652" w:type="dxa"/>
            <w:gridSpan w:val="2"/>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年份</w:t>
            </w:r>
          </w:p>
        </w:tc>
        <w:tc>
          <w:tcPr>
            <w:tcW w:w="3719" w:type="dxa"/>
            <w:gridSpan w:val="2"/>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设计水平年2030年</w:t>
            </w:r>
          </w:p>
        </w:tc>
        <w:tc>
          <w:tcPr>
            <w:tcW w:w="1709" w:type="dxa"/>
            <w:vMerge w:val="restart"/>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trPr>
        <w:tc>
          <w:tcPr>
            <w:tcW w:w="3652" w:type="dxa"/>
            <w:gridSpan w:val="2"/>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进口/出口</w:t>
            </w:r>
          </w:p>
        </w:tc>
        <w:tc>
          <w:tcPr>
            <w:tcW w:w="1559"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小计</w:t>
            </w:r>
          </w:p>
        </w:tc>
        <w:tc>
          <w:tcPr>
            <w:tcW w:w="2160"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进出口</w:t>
            </w:r>
          </w:p>
        </w:tc>
        <w:tc>
          <w:tcPr>
            <w:tcW w:w="1709" w:type="dxa"/>
            <w:vMerge w:val="continue"/>
            <w:shd w:val="clear" w:color="auto" w:fill="auto"/>
            <w:vAlign w:val="center"/>
          </w:tcPr>
          <w:p>
            <w:pPr>
              <w:spacing w:line="240" w:lineRule="auto"/>
              <w:ind w:firstLine="0" w:firstLineChars="0"/>
              <w:jc w:val="center"/>
              <w:rPr>
                <w:rFonts w:ascii="Times New Roman" w:hAnsi="Times New Roman" w:cs="Times New Roman"/>
                <w:bCs/>
                <w:sz w:val="18"/>
                <w:szCs w:val="24"/>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trPr>
        <w:tc>
          <w:tcPr>
            <w:tcW w:w="3652" w:type="dxa"/>
            <w:gridSpan w:val="2"/>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合计</w:t>
            </w:r>
          </w:p>
        </w:tc>
        <w:tc>
          <w:tcPr>
            <w:tcW w:w="1559"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300</w:t>
            </w:r>
          </w:p>
        </w:tc>
        <w:tc>
          <w:tcPr>
            <w:tcW w:w="2160"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300</w:t>
            </w:r>
          </w:p>
        </w:tc>
        <w:tc>
          <w:tcPr>
            <w:tcW w:w="1709" w:type="dxa"/>
            <w:shd w:val="clear" w:color="auto" w:fill="auto"/>
            <w:vAlign w:val="center"/>
          </w:tcPr>
          <w:p>
            <w:pPr>
              <w:spacing w:line="240" w:lineRule="auto"/>
              <w:ind w:firstLine="0" w:firstLineChars="0"/>
              <w:jc w:val="center"/>
              <w:rPr>
                <w:rFonts w:ascii="Times New Roman" w:hAnsi="Times New Roman" w:cs="Times New Roman"/>
                <w:bCs/>
                <w:sz w:val="18"/>
                <w:szCs w:val="24"/>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1" w:hRule="atLeast"/>
        </w:trPr>
        <w:tc>
          <w:tcPr>
            <w:tcW w:w="2125" w:type="dxa"/>
            <w:vMerge w:val="restart"/>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油品</w:t>
            </w:r>
          </w:p>
        </w:tc>
        <w:tc>
          <w:tcPr>
            <w:tcW w:w="1527" w:type="dxa"/>
            <w:shd w:val="clear" w:color="auto" w:fill="auto"/>
            <w:vAlign w:val="center"/>
          </w:tcPr>
          <w:p>
            <w:pPr>
              <w:spacing w:line="240" w:lineRule="auto"/>
              <w:ind w:firstLine="0" w:firstLineChars="0"/>
              <w:jc w:val="center"/>
              <w:rPr>
                <w:rFonts w:ascii="Times New Roman" w:hAnsi="Times New Roman" w:cs="Times New Roman"/>
                <w:b/>
                <w:sz w:val="18"/>
                <w:szCs w:val="24"/>
              </w:rPr>
            </w:pPr>
            <w:r>
              <w:rPr>
                <w:rFonts w:ascii="Times New Roman" w:hAnsi="Times New Roman" w:cs="Times New Roman"/>
                <w:b/>
                <w:sz w:val="18"/>
                <w:szCs w:val="24"/>
                <w:lang w:bidi="ar"/>
              </w:rPr>
              <w:t>汽油</w:t>
            </w:r>
          </w:p>
        </w:tc>
        <w:tc>
          <w:tcPr>
            <w:tcW w:w="1559"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90</w:t>
            </w:r>
          </w:p>
        </w:tc>
        <w:tc>
          <w:tcPr>
            <w:tcW w:w="2160"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90（进口80，出口10）</w:t>
            </w:r>
          </w:p>
        </w:tc>
        <w:tc>
          <w:tcPr>
            <w:tcW w:w="1709" w:type="dxa"/>
            <w:shd w:val="clear" w:color="auto" w:fill="auto"/>
            <w:vAlign w:val="center"/>
          </w:tcPr>
          <w:p>
            <w:pPr>
              <w:spacing w:line="240" w:lineRule="auto"/>
              <w:ind w:firstLine="0" w:firstLineChars="0"/>
              <w:jc w:val="center"/>
              <w:rPr>
                <w:rFonts w:ascii="Times New Roman" w:hAnsi="Times New Roman" w:cs="Times New Roman"/>
                <w:bCs/>
                <w:sz w:val="18"/>
                <w:szCs w:val="24"/>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trPr>
        <w:tc>
          <w:tcPr>
            <w:tcW w:w="2125" w:type="dxa"/>
            <w:vMerge w:val="continue"/>
            <w:shd w:val="clear" w:color="auto" w:fill="auto"/>
            <w:vAlign w:val="center"/>
          </w:tcPr>
          <w:p>
            <w:pPr>
              <w:spacing w:line="240" w:lineRule="auto"/>
              <w:ind w:firstLine="400"/>
              <w:jc w:val="center"/>
              <w:rPr>
                <w:rFonts w:ascii="Times New Roman" w:hAnsi="Times New Roman" w:cs="Times New Roman"/>
                <w:sz w:val="20"/>
                <w:szCs w:val="20"/>
              </w:rPr>
            </w:pPr>
          </w:p>
        </w:tc>
        <w:tc>
          <w:tcPr>
            <w:tcW w:w="1527" w:type="dxa"/>
            <w:shd w:val="clear" w:color="auto" w:fill="auto"/>
            <w:vAlign w:val="center"/>
          </w:tcPr>
          <w:p>
            <w:pPr>
              <w:spacing w:line="240" w:lineRule="auto"/>
              <w:ind w:firstLine="0" w:firstLineChars="0"/>
              <w:jc w:val="center"/>
              <w:rPr>
                <w:rFonts w:ascii="Times New Roman" w:hAnsi="Times New Roman" w:cs="Times New Roman"/>
                <w:b/>
                <w:sz w:val="18"/>
                <w:szCs w:val="24"/>
              </w:rPr>
            </w:pPr>
            <w:r>
              <w:rPr>
                <w:rFonts w:ascii="Times New Roman" w:hAnsi="Times New Roman" w:cs="Times New Roman"/>
                <w:b/>
                <w:sz w:val="18"/>
                <w:szCs w:val="24"/>
                <w:lang w:bidi="ar"/>
              </w:rPr>
              <w:t>柴油</w:t>
            </w:r>
          </w:p>
        </w:tc>
        <w:tc>
          <w:tcPr>
            <w:tcW w:w="1559"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50</w:t>
            </w:r>
          </w:p>
        </w:tc>
        <w:tc>
          <w:tcPr>
            <w:tcW w:w="2160"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50</w:t>
            </w:r>
          </w:p>
        </w:tc>
        <w:tc>
          <w:tcPr>
            <w:tcW w:w="1709" w:type="dxa"/>
            <w:shd w:val="clear" w:color="auto" w:fill="auto"/>
            <w:vAlign w:val="center"/>
          </w:tcPr>
          <w:p>
            <w:pPr>
              <w:spacing w:line="240" w:lineRule="auto"/>
              <w:ind w:firstLine="0" w:firstLineChars="0"/>
              <w:jc w:val="center"/>
              <w:rPr>
                <w:rFonts w:ascii="Times New Roman" w:hAnsi="Times New Roman" w:cs="Times New Roman"/>
                <w:bCs/>
                <w:sz w:val="18"/>
                <w:szCs w:val="24"/>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trPr>
        <w:tc>
          <w:tcPr>
            <w:tcW w:w="2125" w:type="dxa"/>
            <w:vMerge w:val="continue"/>
            <w:shd w:val="clear" w:color="auto" w:fill="auto"/>
            <w:vAlign w:val="center"/>
          </w:tcPr>
          <w:p>
            <w:pPr>
              <w:spacing w:line="240" w:lineRule="auto"/>
              <w:ind w:firstLine="400"/>
              <w:jc w:val="center"/>
              <w:rPr>
                <w:rFonts w:ascii="Times New Roman" w:hAnsi="Times New Roman" w:cs="Times New Roman"/>
                <w:sz w:val="20"/>
                <w:szCs w:val="20"/>
              </w:rPr>
            </w:pPr>
          </w:p>
        </w:tc>
        <w:tc>
          <w:tcPr>
            <w:tcW w:w="1527" w:type="dxa"/>
            <w:shd w:val="clear" w:color="auto" w:fill="auto"/>
            <w:vAlign w:val="center"/>
          </w:tcPr>
          <w:p>
            <w:pPr>
              <w:spacing w:line="240" w:lineRule="auto"/>
              <w:ind w:firstLine="0" w:firstLineChars="0"/>
              <w:jc w:val="center"/>
              <w:rPr>
                <w:rFonts w:ascii="Times New Roman" w:hAnsi="Times New Roman" w:cs="Times New Roman"/>
                <w:b/>
                <w:sz w:val="18"/>
                <w:szCs w:val="24"/>
              </w:rPr>
            </w:pPr>
            <w:r>
              <w:rPr>
                <w:rFonts w:ascii="Times New Roman" w:hAnsi="Times New Roman" w:cs="Times New Roman"/>
                <w:b/>
                <w:sz w:val="18"/>
                <w:szCs w:val="24"/>
                <w:lang w:bidi="ar"/>
              </w:rPr>
              <w:t>航空煤油</w:t>
            </w:r>
          </w:p>
        </w:tc>
        <w:tc>
          <w:tcPr>
            <w:tcW w:w="1559"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10</w:t>
            </w:r>
          </w:p>
        </w:tc>
        <w:tc>
          <w:tcPr>
            <w:tcW w:w="2160"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10</w:t>
            </w:r>
          </w:p>
        </w:tc>
        <w:tc>
          <w:tcPr>
            <w:tcW w:w="1709" w:type="dxa"/>
            <w:shd w:val="clear" w:color="auto" w:fill="auto"/>
            <w:vAlign w:val="center"/>
          </w:tcPr>
          <w:p>
            <w:pPr>
              <w:spacing w:line="240" w:lineRule="auto"/>
              <w:ind w:firstLine="0" w:firstLineChars="0"/>
              <w:jc w:val="center"/>
              <w:rPr>
                <w:rFonts w:ascii="Times New Roman" w:hAnsi="Times New Roman" w:cs="Times New Roman"/>
                <w:bCs/>
                <w:sz w:val="18"/>
                <w:szCs w:val="24"/>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trPr>
        <w:tc>
          <w:tcPr>
            <w:tcW w:w="2125" w:type="dxa"/>
            <w:shd w:val="clear" w:color="auto" w:fill="auto"/>
            <w:vAlign w:val="center"/>
          </w:tcPr>
          <w:p>
            <w:pPr>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新型燃料</w:t>
            </w:r>
          </w:p>
        </w:tc>
        <w:tc>
          <w:tcPr>
            <w:tcW w:w="1527" w:type="dxa"/>
            <w:shd w:val="clear" w:color="auto" w:fill="auto"/>
            <w:vAlign w:val="center"/>
          </w:tcPr>
          <w:p>
            <w:pPr>
              <w:spacing w:line="240" w:lineRule="auto"/>
              <w:ind w:firstLine="0" w:firstLineChars="0"/>
              <w:jc w:val="center"/>
              <w:rPr>
                <w:rFonts w:ascii="Times New Roman" w:hAnsi="Times New Roman" w:cs="Times New Roman"/>
                <w:b/>
                <w:sz w:val="18"/>
                <w:szCs w:val="24"/>
              </w:rPr>
            </w:pPr>
            <w:r>
              <w:rPr>
                <w:rFonts w:ascii="Times New Roman" w:hAnsi="Times New Roman" w:cs="Times New Roman"/>
                <w:b/>
                <w:sz w:val="18"/>
                <w:szCs w:val="24"/>
                <w:lang w:bidi="ar"/>
              </w:rPr>
              <w:t>乙醇</w:t>
            </w:r>
          </w:p>
        </w:tc>
        <w:tc>
          <w:tcPr>
            <w:tcW w:w="1559"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5</w:t>
            </w:r>
          </w:p>
        </w:tc>
        <w:tc>
          <w:tcPr>
            <w:tcW w:w="2160"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5</w:t>
            </w:r>
          </w:p>
        </w:tc>
        <w:tc>
          <w:tcPr>
            <w:tcW w:w="1709" w:type="dxa"/>
            <w:shd w:val="clear" w:color="auto" w:fill="auto"/>
            <w:vAlign w:val="center"/>
          </w:tcPr>
          <w:p>
            <w:pPr>
              <w:spacing w:line="240" w:lineRule="auto"/>
              <w:ind w:firstLine="0" w:firstLineChars="0"/>
              <w:jc w:val="center"/>
              <w:rPr>
                <w:rFonts w:ascii="Times New Roman" w:hAnsi="Times New Roman" w:cs="Times New Roman"/>
                <w:bCs/>
                <w:sz w:val="18"/>
                <w:szCs w:val="24"/>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1" w:hRule="atLeast"/>
        </w:trPr>
        <w:tc>
          <w:tcPr>
            <w:tcW w:w="2125" w:type="dxa"/>
            <w:vMerge w:val="restart"/>
            <w:shd w:val="clear" w:color="auto" w:fill="auto"/>
            <w:vAlign w:val="center"/>
          </w:tcPr>
          <w:p>
            <w:pPr>
              <w:spacing w:line="240" w:lineRule="auto"/>
              <w:ind w:firstLine="360"/>
              <w:jc w:val="center"/>
              <w:rPr>
                <w:rFonts w:ascii="Times New Roman" w:hAnsi="Times New Roman" w:cs="Times New Roman"/>
                <w:sz w:val="20"/>
                <w:szCs w:val="20"/>
              </w:rPr>
            </w:pPr>
            <w:r>
              <w:rPr>
                <w:rFonts w:ascii="Times New Roman" w:hAnsi="Times New Roman" w:cs="Times New Roman"/>
                <w:bCs/>
                <w:sz w:val="18"/>
                <w:szCs w:val="24"/>
                <w:lang w:bidi="ar"/>
              </w:rPr>
              <w:t>化工原料及其制品</w:t>
            </w:r>
          </w:p>
        </w:tc>
        <w:tc>
          <w:tcPr>
            <w:tcW w:w="1527" w:type="dxa"/>
            <w:shd w:val="clear" w:color="auto" w:fill="auto"/>
            <w:vAlign w:val="center"/>
          </w:tcPr>
          <w:p>
            <w:pPr>
              <w:spacing w:line="240" w:lineRule="auto"/>
              <w:ind w:firstLine="0" w:firstLineChars="0"/>
              <w:jc w:val="center"/>
              <w:rPr>
                <w:rFonts w:ascii="Times New Roman" w:hAnsi="Times New Roman" w:cs="Times New Roman"/>
                <w:b/>
                <w:sz w:val="18"/>
                <w:szCs w:val="24"/>
                <w:lang w:bidi="ar"/>
              </w:rPr>
            </w:pPr>
            <w:r>
              <w:rPr>
                <w:rFonts w:ascii="Times New Roman" w:hAnsi="Times New Roman" w:cs="Times New Roman"/>
                <w:b/>
                <w:sz w:val="18"/>
                <w:szCs w:val="24"/>
                <w:lang w:bidi="ar"/>
              </w:rPr>
              <w:t>乙二醇</w:t>
            </w:r>
          </w:p>
        </w:tc>
        <w:tc>
          <w:tcPr>
            <w:tcW w:w="1559" w:type="dxa"/>
            <w:shd w:val="clear" w:color="auto" w:fill="auto"/>
            <w:vAlign w:val="center"/>
          </w:tcPr>
          <w:p>
            <w:pPr>
              <w:spacing w:line="240" w:lineRule="auto"/>
              <w:ind w:firstLine="0" w:firstLineChars="0"/>
              <w:jc w:val="center"/>
              <w:rPr>
                <w:rFonts w:ascii="Times New Roman" w:hAnsi="Times New Roman" w:cs="Times New Roman"/>
                <w:bCs/>
                <w:sz w:val="18"/>
                <w:szCs w:val="24"/>
                <w:lang w:bidi="ar"/>
              </w:rPr>
            </w:pPr>
            <w:r>
              <w:rPr>
                <w:rFonts w:ascii="Times New Roman" w:hAnsi="Times New Roman" w:cs="Times New Roman"/>
                <w:bCs/>
                <w:sz w:val="18"/>
                <w:szCs w:val="24"/>
                <w:lang w:bidi="ar"/>
              </w:rPr>
              <w:t>5</w:t>
            </w:r>
          </w:p>
        </w:tc>
        <w:tc>
          <w:tcPr>
            <w:tcW w:w="2160" w:type="dxa"/>
            <w:shd w:val="clear" w:color="auto" w:fill="auto"/>
            <w:vAlign w:val="center"/>
          </w:tcPr>
          <w:p>
            <w:pPr>
              <w:spacing w:line="240" w:lineRule="auto"/>
              <w:ind w:firstLine="0" w:firstLineChars="0"/>
              <w:jc w:val="center"/>
              <w:rPr>
                <w:rFonts w:ascii="Times New Roman" w:hAnsi="Times New Roman" w:cs="Times New Roman"/>
                <w:bCs/>
                <w:sz w:val="18"/>
                <w:szCs w:val="24"/>
                <w:lang w:bidi="ar"/>
              </w:rPr>
            </w:pPr>
            <w:r>
              <w:rPr>
                <w:rFonts w:ascii="Times New Roman" w:hAnsi="Times New Roman" w:cs="Times New Roman"/>
                <w:bCs/>
                <w:sz w:val="18"/>
                <w:szCs w:val="24"/>
                <w:lang w:bidi="ar"/>
              </w:rPr>
              <w:t>5（出口）</w:t>
            </w:r>
          </w:p>
        </w:tc>
        <w:tc>
          <w:tcPr>
            <w:tcW w:w="1709" w:type="dxa"/>
            <w:shd w:val="clear" w:color="auto" w:fill="auto"/>
            <w:vAlign w:val="center"/>
          </w:tcPr>
          <w:p>
            <w:pPr>
              <w:spacing w:line="240" w:lineRule="auto"/>
              <w:ind w:firstLine="0" w:firstLineChars="0"/>
              <w:jc w:val="center"/>
              <w:rPr>
                <w:rFonts w:ascii="Times New Roman" w:hAnsi="Times New Roman" w:cs="Times New Roman"/>
                <w:bCs/>
                <w:sz w:val="18"/>
                <w:szCs w:val="24"/>
                <w:lang w:bidi="ar"/>
              </w:rPr>
            </w:pPr>
            <w:r>
              <w:rPr>
                <w:rFonts w:ascii="Times New Roman" w:hAnsi="Times New Roman" w:cs="Times New Roman"/>
                <w:bCs/>
                <w:sz w:val="18"/>
                <w:szCs w:val="24"/>
                <w:lang w:bidi="ar"/>
              </w:rPr>
              <w:t>不储存，无储罐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trPr>
        <w:tc>
          <w:tcPr>
            <w:tcW w:w="2125" w:type="dxa"/>
            <w:vMerge w:val="continue"/>
            <w:shd w:val="clear" w:color="auto" w:fill="auto"/>
            <w:vAlign w:val="center"/>
          </w:tcPr>
          <w:p>
            <w:pPr>
              <w:spacing w:line="240" w:lineRule="auto"/>
              <w:ind w:firstLine="400"/>
              <w:jc w:val="center"/>
              <w:rPr>
                <w:rFonts w:ascii="Times New Roman" w:hAnsi="Times New Roman" w:cs="Times New Roman"/>
                <w:sz w:val="20"/>
                <w:szCs w:val="20"/>
              </w:rPr>
            </w:pPr>
          </w:p>
        </w:tc>
        <w:tc>
          <w:tcPr>
            <w:tcW w:w="1527" w:type="dxa"/>
            <w:shd w:val="clear" w:color="auto" w:fill="auto"/>
            <w:vAlign w:val="center"/>
          </w:tcPr>
          <w:p>
            <w:pPr>
              <w:spacing w:line="240" w:lineRule="auto"/>
              <w:ind w:firstLine="0" w:firstLineChars="0"/>
              <w:jc w:val="center"/>
              <w:rPr>
                <w:rFonts w:ascii="Times New Roman" w:hAnsi="Times New Roman" w:cs="Times New Roman"/>
                <w:b/>
                <w:sz w:val="18"/>
                <w:szCs w:val="24"/>
                <w:lang w:bidi="ar"/>
              </w:rPr>
            </w:pPr>
            <w:r>
              <w:rPr>
                <w:rFonts w:hint="eastAsia" w:ascii="Times New Roman" w:hAnsi="Times New Roman" w:cs="Times New Roman"/>
                <w:b/>
                <w:sz w:val="18"/>
                <w:szCs w:val="24"/>
                <w:lang w:bidi="ar"/>
              </w:rPr>
              <w:t>植物油</w:t>
            </w:r>
          </w:p>
        </w:tc>
        <w:tc>
          <w:tcPr>
            <w:tcW w:w="1559" w:type="dxa"/>
            <w:shd w:val="clear" w:color="auto" w:fill="auto"/>
            <w:vAlign w:val="center"/>
          </w:tcPr>
          <w:p>
            <w:pPr>
              <w:spacing w:line="240" w:lineRule="auto"/>
              <w:ind w:firstLine="0" w:firstLineChars="0"/>
              <w:jc w:val="center"/>
              <w:rPr>
                <w:rFonts w:ascii="Times New Roman" w:hAnsi="Times New Roman" w:cs="Times New Roman"/>
                <w:bCs/>
                <w:sz w:val="18"/>
                <w:szCs w:val="24"/>
                <w:lang w:bidi="ar"/>
              </w:rPr>
            </w:pPr>
            <w:r>
              <w:rPr>
                <w:rFonts w:ascii="Times New Roman" w:hAnsi="Times New Roman" w:cs="Times New Roman"/>
                <w:bCs/>
                <w:sz w:val="18"/>
                <w:szCs w:val="24"/>
                <w:lang w:bidi="ar"/>
              </w:rPr>
              <w:t>10</w:t>
            </w:r>
          </w:p>
        </w:tc>
        <w:tc>
          <w:tcPr>
            <w:tcW w:w="2160" w:type="dxa"/>
            <w:shd w:val="clear" w:color="auto" w:fill="auto"/>
            <w:vAlign w:val="center"/>
          </w:tcPr>
          <w:p>
            <w:pPr>
              <w:spacing w:line="240" w:lineRule="auto"/>
              <w:ind w:firstLine="0" w:firstLineChars="0"/>
              <w:jc w:val="center"/>
              <w:rPr>
                <w:rFonts w:ascii="Times New Roman" w:hAnsi="Times New Roman" w:cs="Times New Roman"/>
                <w:bCs/>
                <w:sz w:val="18"/>
                <w:szCs w:val="24"/>
                <w:lang w:bidi="ar"/>
              </w:rPr>
            </w:pPr>
            <w:r>
              <w:rPr>
                <w:rFonts w:ascii="Times New Roman" w:hAnsi="Times New Roman" w:cs="Times New Roman"/>
                <w:bCs/>
                <w:sz w:val="18"/>
                <w:szCs w:val="24"/>
                <w:lang w:bidi="ar"/>
              </w:rPr>
              <w:t>10（出口）</w:t>
            </w:r>
          </w:p>
        </w:tc>
        <w:tc>
          <w:tcPr>
            <w:tcW w:w="1709" w:type="dxa"/>
            <w:shd w:val="clear" w:color="auto" w:fill="auto"/>
            <w:vAlign w:val="center"/>
          </w:tcPr>
          <w:p>
            <w:pPr>
              <w:spacing w:line="240" w:lineRule="auto"/>
              <w:ind w:firstLine="0" w:firstLineChars="0"/>
              <w:jc w:val="center"/>
              <w:rPr>
                <w:rFonts w:ascii="Times New Roman" w:hAnsi="Times New Roman" w:cs="Times New Roman"/>
                <w:bCs/>
                <w:sz w:val="18"/>
                <w:szCs w:val="24"/>
                <w:lang w:bidi="ar"/>
              </w:rPr>
            </w:pPr>
            <w:r>
              <w:rPr>
                <w:rFonts w:ascii="Times New Roman" w:hAnsi="Times New Roman" w:cs="Times New Roman"/>
                <w:bCs/>
                <w:sz w:val="18"/>
                <w:szCs w:val="24"/>
                <w:lang w:bidi="ar"/>
              </w:rPr>
              <w:t>不储存，无储罐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trPr>
        <w:tc>
          <w:tcPr>
            <w:tcW w:w="2125" w:type="dxa"/>
            <w:vMerge w:val="continue"/>
            <w:shd w:val="clear" w:color="auto" w:fill="auto"/>
            <w:vAlign w:val="center"/>
          </w:tcPr>
          <w:p>
            <w:pPr>
              <w:spacing w:line="240" w:lineRule="auto"/>
              <w:ind w:firstLine="0" w:firstLineChars="0"/>
              <w:jc w:val="center"/>
              <w:rPr>
                <w:rFonts w:ascii="Times New Roman" w:hAnsi="Times New Roman" w:cs="Times New Roman"/>
                <w:bCs/>
                <w:sz w:val="18"/>
                <w:szCs w:val="24"/>
              </w:rPr>
            </w:pPr>
          </w:p>
        </w:tc>
        <w:tc>
          <w:tcPr>
            <w:tcW w:w="1527" w:type="dxa"/>
            <w:shd w:val="clear" w:color="auto" w:fill="auto"/>
            <w:vAlign w:val="center"/>
          </w:tcPr>
          <w:p>
            <w:pPr>
              <w:spacing w:line="240" w:lineRule="auto"/>
              <w:ind w:firstLine="0" w:firstLineChars="0"/>
              <w:jc w:val="center"/>
              <w:rPr>
                <w:rFonts w:ascii="Times New Roman" w:hAnsi="Times New Roman" w:cs="Times New Roman"/>
                <w:b/>
                <w:sz w:val="18"/>
                <w:szCs w:val="24"/>
              </w:rPr>
            </w:pPr>
            <w:r>
              <w:rPr>
                <w:rFonts w:ascii="Times New Roman" w:hAnsi="Times New Roman" w:cs="Times New Roman"/>
                <w:b/>
                <w:sz w:val="18"/>
                <w:szCs w:val="24"/>
                <w:lang w:bidi="ar"/>
              </w:rPr>
              <w:t>烧碱</w:t>
            </w:r>
          </w:p>
        </w:tc>
        <w:tc>
          <w:tcPr>
            <w:tcW w:w="1559"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55</w:t>
            </w:r>
          </w:p>
        </w:tc>
        <w:tc>
          <w:tcPr>
            <w:tcW w:w="2160"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55</w:t>
            </w:r>
          </w:p>
        </w:tc>
        <w:tc>
          <w:tcPr>
            <w:tcW w:w="1709" w:type="dxa"/>
            <w:shd w:val="clear" w:color="auto" w:fill="auto"/>
            <w:vAlign w:val="center"/>
          </w:tcPr>
          <w:p>
            <w:pPr>
              <w:spacing w:line="240" w:lineRule="auto"/>
              <w:ind w:firstLine="0" w:firstLineChars="0"/>
              <w:jc w:val="center"/>
              <w:rPr>
                <w:rFonts w:ascii="Times New Roman" w:hAnsi="Times New Roman" w:cs="Times New Roman"/>
                <w:bCs/>
                <w:sz w:val="18"/>
                <w:szCs w:val="24"/>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trPr>
        <w:tc>
          <w:tcPr>
            <w:tcW w:w="2125" w:type="dxa"/>
            <w:vMerge w:val="continue"/>
            <w:shd w:val="clear" w:color="auto" w:fill="auto"/>
            <w:vAlign w:val="center"/>
          </w:tcPr>
          <w:p>
            <w:pPr>
              <w:spacing w:line="240" w:lineRule="auto"/>
              <w:ind w:firstLine="400"/>
              <w:rPr>
                <w:rFonts w:ascii="Times New Roman" w:hAnsi="Times New Roman" w:cs="Times New Roman"/>
                <w:sz w:val="20"/>
                <w:szCs w:val="20"/>
              </w:rPr>
            </w:pPr>
          </w:p>
        </w:tc>
        <w:tc>
          <w:tcPr>
            <w:tcW w:w="1527" w:type="dxa"/>
            <w:shd w:val="clear" w:color="auto" w:fill="auto"/>
            <w:vAlign w:val="center"/>
          </w:tcPr>
          <w:p>
            <w:pPr>
              <w:spacing w:line="240" w:lineRule="auto"/>
              <w:ind w:firstLine="0" w:firstLineChars="0"/>
              <w:jc w:val="center"/>
              <w:rPr>
                <w:rFonts w:ascii="Times New Roman" w:hAnsi="Times New Roman" w:cs="Times New Roman"/>
                <w:b/>
                <w:sz w:val="18"/>
                <w:szCs w:val="24"/>
              </w:rPr>
            </w:pPr>
            <w:r>
              <w:rPr>
                <w:rFonts w:ascii="Times New Roman" w:hAnsi="Times New Roman" w:cs="Times New Roman"/>
                <w:b/>
                <w:sz w:val="18"/>
                <w:szCs w:val="24"/>
                <w:lang w:bidi="ar"/>
              </w:rPr>
              <w:t>氯化钙</w:t>
            </w:r>
          </w:p>
        </w:tc>
        <w:tc>
          <w:tcPr>
            <w:tcW w:w="1559"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35</w:t>
            </w:r>
          </w:p>
        </w:tc>
        <w:tc>
          <w:tcPr>
            <w:tcW w:w="2160"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35</w:t>
            </w:r>
          </w:p>
        </w:tc>
        <w:tc>
          <w:tcPr>
            <w:tcW w:w="1709" w:type="dxa"/>
            <w:shd w:val="clear" w:color="auto" w:fill="auto"/>
            <w:vAlign w:val="center"/>
          </w:tcPr>
          <w:p>
            <w:pPr>
              <w:spacing w:line="240" w:lineRule="auto"/>
              <w:ind w:firstLine="0" w:firstLineChars="0"/>
              <w:jc w:val="center"/>
              <w:rPr>
                <w:rFonts w:ascii="Times New Roman" w:hAnsi="Times New Roman" w:cs="Times New Roman"/>
                <w:bCs/>
                <w:sz w:val="18"/>
                <w:szCs w:val="24"/>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1" w:hRule="atLeast"/>
        </w:trPr>
        <w:tc>
          <w:tcPr>
            <w:tcW w:w="2125" w:type="dxa"/>
            <w:vMerge w:val="continue"/>
            <w:shd w:val="clear" w:color="auto" w:fill="auto"/>
            <w:vAlign w:val="center"/>
          </w:tcPr>
          <w:p>
            <w:pPr>
              <w:spacing w:line="240" w:lineRule="auto"/>
              <w:ind w:firstLine="400"/>
              <w:rPr>
                <w:rFonts w:ascii="Times New Roman" w:hAnsi="Times New Roman" w:cs="Times New Roman"/>
                <w:sz w:val="20"/>
                <w:szCs w:val="20"/>
              </w:rPr>
            </w:pPr>
          </w:p>
        </w:tc>
        <w:tc>
          <w:tcPr>
            <w:tcW w:w="1527" w:type="dxa"/>
            <w:shd w:val="clear" w:color="auto" w:fill="auto"/>
            <w:vAlign w:val="center"/>
          </w:tcPr>
          <w:p>
            <w:pPr>
              <w:spacing w:line="240" w:lineRule="auto"/>
              <w:ind w:firstLine="0" w:firstLineChars="0"/>
              <w:jc w:val="center"/>
              <w:rPr>
                <w:rFonts w:ascii="Times New Roman" w:hAnsi="Times New Roman" w:cs="Times New Roman"/>
                <w:b/>
                <w:sz w:val="18"/>
                <w:szCs w:val="24"/>
              </w:rPr>
            </w:pPr>
            <w:r>
              <w:rPr>
                <w:rFonts w:ascii="Times New Roman" w:hAnsi="Times New Roman" w:cs="Times New Roman"/>
                <w:b/>
                <w:sz w:val="18"/>
                <w:szCs w:val="24"/>
                <w:lang w:bidi="ar"/>
              </w:rPr>
              <w:t>氢氧化钾</w:t>
            </w:r>
          </w:p>
        </w:tc>
        <w:tc>
          <w:tcPr>
            <w:tcW w:w="1559"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15</w:t>
            </w:r>
          </w:p>
        </w:tc>
        <w:tc>
          <w:tcPr>
            <w:tcW w:w="2160"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15</w:t>
            </w:r>
          </w:p>
        </w:tc>
        <w:tc>
          <w:tcPr>
            <w:tcW w:w="1709" w:type="dxa"/>
            <w:shd w:val="clear" w:color="auto" w:fill="auto"/>
            <w:vAlign w:val="center"/>
          </w:tcPr>
          <w:p>
            <w:pPr>
              <w:spacing w:line="240" w:lineRule="auto"/>
              <w:ind w:firstLine="0" w:firstLineChars="0"/>
              <w:jc w:val="center"/>
              <w:rPr>
                <w:rFonts w:ascii="Times New Roman" w:hAnsi="Times New Roman" w:cs="Times New Roman"/>
                <w:bCs/>
                <w:sz w:val="18"/>
                <w:szCs w:val="24"/>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trPr>
        <w:tc>
          <w:tcPr>
            <w:tcW w:w="2125" w:type="dxa"/>
            <w:vMerge w:val="continue"/>
            <w:shd w:val="clear" w:color="auto" w:fill="auto"/>
            <w:vAlign w:val="center"/>
          </w:tcPr>
          <w:p>
            <w:pPr>
              <w:spacing w:line="240" w:lineRule="auto"/>
              <w:ind w:firstLine="400"/>
              <w:rPr>
                <w:rFonts w:ascii="Times New Roman" w:hAnsi="Times New Roman" w:cs="Times New Roman"/>
                <w:sz w:val="20"/>
                <w:szCs w:val="20"/>
              </w:rPr>
            </w:pPr>
          </w:p>
        </w:tc>
        <w:tc>
          <w:tcPr>
            <w:tcW w:w="1527" w:type="dxa"/>
            <w:shd w:val="clear" w:color="auto" w:fill="auto"/>
            <w:vAlign w:val="center"/>
          </w:tcPr>
          <w:p>
            <w:pPr>
              <w:spacing w:line="240" w:lineRule="auto"/>
              <w:ind w:firstLine="0" w:firstLineChars="0"/>
              <w:jc w:val="center"/>
              <w:rPr>
                <w:rFonts w:ascii="Times New Roman" w:hAnsi="Times New Roman" w:cs="Times New Roman"/>
                <w:b/>
                <w:sz w:val="18"/>
                <w:szCs w:val="24"/>
              </w:rPr>
            </w:pPr>
            <w:r>
              <w:rPr>
                <w:rFonts w:ascii="Times New Roman" w:hAnsi="Times New Roman" w:cs="Times New Roman"/>
                <w:b/>
                <w:sz w:val="18"/>
                <w:szCs w:val="24"/>
                <w:lang w:bidi="ar"/>
              </w:rPr>
              <w:t>硫酸</w:t>
            </w:r>
          </w:p>
        </w:tc>
        <w:tc>
          <w:tcPr>
            <w:tcW w:w="1559"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25</w:t>
            </w:r>
          </w:p>
        </w:tc>
        <w:tc>
          <w:tcPr>
            <w:tcW w:w="2160" w:type="dxa"/>
            <w:shd w:val="clear" w:color="auto" w:fill="auto"/>
            <w:vAlign w:val="center"/>
          </w:tcPr>
          <w:p>
            <w:pPr>
              <w:spacing w:line="240" w:lineRule="auto"/>
              <w:ind w:firstLine="0" w:firstLineChars="0"/>
              <w:jc w:val="center"/>
              <w:rPr>
                <w:rFonts w:ascii="Times New Roman" w:hAnsi="Times New Roman" w:cs="Times New Roman"/>
                <w:bCs/>
                <w:sz w:val="18"/>
                <w:szCs w:val="24"/>
              </w:rPr>
            </w:pPr>
            <w:r>
              <w:rPr>
                <w:rFonts w:ascii="Times New Roman" w:hAnsi="Times New Roman" w:cs="Times New Roman"/>
                <w:bCs/>
                <w:sz w:val="18"/>
                <w:szCs w:val="24"/>
                <w:lang w:bidi="ar"/>
              </w:rPr>
              <w:t>25</w:t>
            </w:r>
          </w:p>
        </w:tc>
        <w:tc>
          <w:tcPr>
            <w:tcW w:w="1709" w:type="dxa"/>
            <w:shd w:val="clear" w:color="auto" w:fill="auto"/>
            <w:vAlign w:val="center"/>
          </w:tcPr>
          <w:p>
            <w:pPr>
              <w:spacing w:line="240" w:lineRule="auto"/>
              <w:ind w:firstLine="0" w:firstLineChars="0"/>
              <w:jc w:val="center"/>
              <w:rPr>
                <w:rFonts w:ascii="Times New Roman" w:hAnsi="Times New Roman" w:cs="Times New Roman"/>
                <w:bCs/>
                <w:sz w:val="18"/>
                <w:szCs w:val="24"/>
              </w:rPr>
            </w:pPr>
          </w:p>
        </w:tc>
      </w:tr>
    </w:tbl>
    <w:p>
      <w:pPr>
        <w:pStyle w:val="25"/>
        <w:spacing w:before="59" w:after="3"/>
        <w:ind w:right="156" w:firstLine="442"/>
        <w:jc w:val="center"/>
        <w:rPr>
          <w:rFonts w:ascii="Times New Roman" w:hAnsi="Times New Roman" w:cs="Times New Roman"/>
          <w:b/>
          <w:bCs/>
          <w:color w:val="auto"/>
          <w:sz w:val="22"/>
          <w:szCs w:val="21"/>
        </w:rPr>
      </w:pPr>
      <w:r>
        <w:rPr>
          <w:rFonts w:ascii="Times New Roman" w:hAnsi="Times New Roman" w:cs="Times New Roman"/>
          <w:b/>
          <w:bCs/>
          <w:color w:val="auto"/>
          <w:sz w:val="22"/>
          <w:szCs w:val="21"/>
        </w:rPr>
        <w:t>表3.2-3  主要货种环境风险特性情况表</w:t>
      </w:r>
    </w:p>
    <w:tbl>
      <w:tblPr>
        <w:tblStyle w:val="62"/>
        <w:tblW w:w="9356" w:type="dxa"/>
        <w:tblInd w:w="-17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08"/>
        <w:gridCol w:w="775"/>
        <w:gridCol w:w="394"/>
        <w:gridCol w:w="641"/>
        <w:gridCol w:w="615"/>
        <w:gridCol w:w="735"/>
        <w:gridCol w:w="600"/>
        <w:gridCol w:w="780"/>
        <w:gridCol w:w="706"/>
        <w:gridCol w:w="993"/>
        <w:gridCol w:w="24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13" w:hRule="atLeast"/>
          <w:tblHeader/>
        </w:trPr>
        <w:tc>
          <w:tcPr>
            <w:tcW w:w="708"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b/>
                <w:kern w:val="0"/>
                <w:sz w:val="18"/>
                <w:szCs w:val="18"/>
              </w:rPr>
            </w:pPr>
            <w:r>
              <w:rPr>
                <w:rFonts w:ascii="Times New Roman" w:hAnsi="Times New Roman" w:cs="Times New Roman"/>
                <w:b/>
                <w:kern w:val="0"/>
                <w:sz w:val="18"/>
                <w:szCs w:val="18"/>
                <w:lang w:bidi="ar"/>
              </w:rPr>
              <w:t>物料名称</w:t>
            </w:r>
          </w:p>
        </w:tc>
        <w:tc>
          <w:tcPr>
            <w:tcW w:w="775"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b/>
                <w:kern w:val="0"/>
                <w:sz w:val="18"/>
                <w:szCs w:val="18"/>
              </w:rPr>
            </w:pPr>
            <w:r>
              <w:rPr>
                <w:rFonts w:ascii="Times New Roman" w:hAnsi="Times New Roman" w:cs="Times New Roman"/>
                <w:b/>
                <w:kern w:val="0"/>
                <w:sz w:val="18"/>
                <w:szCs w:val="18"/>
                <w:lang w:bidi="ar"/>
              </w:rPr>
              <w:t>危险化学品序号</w:t>
            </w:r>
          </w:p>
        </w:tc>
        <w:tc>
          <w:tcPr>
            <w:tcW w:w="394"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b/>
                <w:kern w:val="0"/>
                <w:sz w:val="18"/>
                <w:szCs w:val="18"/>
              </w:rPr>
            </w:pPr>
            <w:r>
              <w:rPr>
                <w:rFonts w:ascii="Times New Roman" w:hAnsi="Times New Roman" w:cs="Times New Roman"/>
                <w:b/>
                <w:kern w:val="0"/>
                <w:sz w:val="18"/>
                <w:szCs w:val="18"/>
                <w:lang w:bidi="ar"/>
              </w:rPr>
              <w:t>相态</w:t>
            </w:r>
          </w:p>
        </w:tc>
        <w:tc>
          <w:tcPr>
            <w:tcW w:w="641"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b/>
                <w:kern w:val="0"/>
                <w:sz w:val="18"/>
                <w:szCs w:val="18"/>
              </w:rPr>
            </w:pPr>
            <w:r>
              <w:rPr>
                <w:rFonts w:ascii="Times New Roman" w:hAnsi="Times New Roman" w:cs="Times New Roman"/>
                <w:b/>
                <w:kern w:val="0"/>
                <w:sz w:val="18"/>
                <w:szCs w:val="18"/>
                <w:lang w:bidi="ar"/>
              </w:rPr>
              <w:t>密度g/cm³</w:t>
            </w:r>
          </w:p>
        </w:tc>
        <w:tc>
          <w:tcPr>
            <w:tcW w:w="615"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b/>
                <w:kern w:val="0"/>
                <w:sz w:val="18"/>
                <w:szCs w:val="18"/>
              </w:rPr>
            </w:pPr>
            <w:r>
              <w:rPr>
                <w:rFonts w:ascii="Times New Roman" w:hAnsi="Times New Roman" w:cs="Times New Roman"/>
                <w:b/>
                <w:kern w:val="0"/>
                <w:sz w:val="18"/>
                <w:szCs w:val="18"/>
                <w:lang w:bidi="ar"/>
              </w:rPr>
              <w:t>沸点℃</w:t>
            </w:r>
          </w:p>
        </w:tc>
        <w:tc>
          <w:tcPr>
            <w:tcW w:w="735"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b/>
                <w:kern w:val="0"/>
                <w:sz w:val="18"/>
                <w:szCs w:val="18"/>
              </w:rPr>
            </w:pPr>
            <w:r>
              <w:rPr>
                <w:rFonts w:ascii="Times New Roman" w:hAnsi="Times New Roman" w:cs="Times New Roman"/>
                <w:b/>
                <w:kern w:val="0"/>
                <w:sz w:val="18"/>
                <w:szCs w:val="18"/>
                <w:lang w:bidi="ar"/>
              </w:rPr>
              <w:t>凝点℃</w:t>
            </w:r>
          </w:p>
        </w:tc>
        <w:tc>
          <w:tcPr>
            <w:tcW w:w="600"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b/>
                <w:kern w:val="0"/>
                <w:sz w:val="18"/>
                <w:szCs w:val="18"/>
              </w:rPr>
            </w:pPr>
            <w:r>
              <w:rPr>
                <w:rFonts w:ascii="Times New Roman" w:hAnsi="Times New Roman" w:cs="Times New Roman"/>
                <w:b/>
                <w:kern w:val="0"/>
                <w:sz w:val="18"/>
                <w:szCs w:val="18"/>
                <w:lang w:bidi="ar"/>
              </w:rPr>
              <w:t>闪点℃</w:t>
            </w:r>
          </w:p>
        </w:tc>
        <w:tc>
          <w:tcPr>
            <w:tcW w:w="780"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b/>
                <w:kern w:val="0"/>
                <w:sz w:val="18"/>
                <w:szCs w:val="18"/>
              </w:rPr>
            </w:pPr>
            <w:r>
              <w:rPr>
                <w:rFonts w:ascii="Times New Roman" w:hAnsi="Times New Roman" w:cs="Times New Roman"/>
                <w:b/>
                <w:kern w:val="0"/>
                <w:sz w:val="18"/>
                <w:szCs w:val="18"/>
                <w:lang w:bidi="ar"/>
              </w:rPr>
              <w:t>自燃点℃</w:t>
            </w:r>
          </w:p>
        </w:tc>
        <w:tc>
          <w:tcPr>
            <w:tcW w:w="706"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b/>
                <w:kern w:val="0"/>
                <w:sz w:val="18"/>
                <w:szCs w:val="18"/>
              </w:rPr>
            </w:pPr>
            <w:r>
              <w:rPr>
                <w:rFonts w:ascii="Times New Roman" w:hAnsi="Times New Roman" w:cs="Times New Roman"/>
                <w:b/>
                <w:kern w:val="0"/>
                <w:sz w:val="18"/>
                <w:szCs w:val="18"/>
                <w:lang w:bidi="ar"/>
              </w:rPr>
              <w:t>毒性等级</w:t>
            </w:r>
          </w:p>
        </w:tc>
        <w:tc>
          <w:tcPr>
            <w:tcW w:w="993"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b/>
                <w:kern w:val="0"/>
                <w:sz w:val="18"/>
                <w:szCs w:val="18"/>
              </w:rPr>
            </w:pPr>
            <w:r>
              <w:rPr>
                <w:rFonts w:ascii="Times New Roman" w:hAnsi="Times New Roman" w:cs="Times New Roman"/>
                <w:b/>
                <w:kern w:val="0"/>
                <w:sz w:val="18"/>
                <w:szCs w:val="18"/>
                <w:lang w:bidi="ar"/>
              </w:rPr>
              <w:t>火灾危险性分类</w:t>
            </w:r>
          </w:p>
        </w:tc>
        <w:tc>
          <w:tcPr>
            <w:tcW w:w="2409" w:type="dxa"/>
            <w:tcBorders>
              <w:tl2br w:val="nil"/>
              <w:tr2bl w:val="nil"/>
            </w:tcBorders>
            <w:shd w:val="clear" w:color="auto" w:fill="auto"/>
            <w:tcMar>
              <w:left w:w="108" w:type="dxa"/>
              <w:right w:w="108" w:type="dxa"/>
            </w:tcMar>
            <w:vAlign w:val="center"/>
          </w:tcPr>
          <w:p>
            <w:pPr>
              <w:widowControl/>
              <w:spacing w:line="240" w:lineRule="auto"/>
              <w:ind w:firstLine="361"/>
              <w:jc w:val="center"/>
              <w:rPr>
                <w:rFonts w:ascii="Times New Roman" w:hAnsi="Times New Roman" w:cs="Times New Roman"/>
                <w:b/>
                <w:kern w:val="0"/>
                <w:sz w:val="18"/>
                <w:szCs w:val="18"/>
              </w:rPr>
            </w:pPr>
            <w:r>
              <w:rPr>
                <w:rFonts w:ascii="Times New Roman" w:hAnsi="Times New Roman" w:cs="Times New Roman"/>
                <w:b/>
                <w:kern w:val="0"/>
                <w:sz w:val="18"/>
                <w:szCs w:val="18"/>
                <w:lang w:bidi="ar"/>
              </w:rPr>
              <w:t>危害特性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9" w:hRule="atLeast"/>
        </w:trPr>
        <w:tc>
          <w:tcPr>
            <w:tcW w:w="708"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lang w:bidi="ar"/>
              </w:rPr>
              <w:t>50%液碱</w:t>
            </w:r>
          </w:p>
        </w:tc>
        <w:tc>
          <w:tcPr>
            <w:tcW w:w="775" w:type="dxa"/>
            <w:tcBorders>
              <w:tl2br w:val="nil"/>
              <w:tr2bl w:val="nil"/>
            </w:tcBorders>
            <w:shd w:val="clear" w:color="auto" w:fill="auto"/>
            <w:tcMar>
              <w:left w:w="108" w:type="dxa"/>
              <w:right w:w="108" w:type="dxa"/>
            </w:tcMar>
            <w:vAlign w:val="center"/>
          </w:tcPr>
          <w:p>
            <w:pPr>
              <w:autoSpaceDE w:val="0"/>
              <w:autoSpaceDN w:val="0"/>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lang w:bidi="ar"/>
              </w:rPr>
              <w:t>1669</w:t>
            </w:r>
          </w:p>
        </w:tc>
        <w:tc>
          <w:tcPr>
            <w:tcW w:w="394"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液体</w:t>
            </w:r>
          </w:p>
        </w:tc>
        <w:tc>
          <w:tcPr>
            <w:tcW w:w="641"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1.4</w:t>
            </w:r>
          </w:p>
        </w:tc>
        <w:tc>
          <w:tcPr>
            <w:tcW w:w="61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w:t>
            </w:r>
          </w:p>
        </w:tc>
        <w:tc>
          <w:tcPr>
            <w:tcW w:w="73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b/>
                <w:sz w:val="18"/>
                <w:szCs w:val="18"/>
              </w:rPr>
            </w:pPr>
            <w:r>
              <w:rPr>
                <w:rFonts w:ascii="Times New Roman" w:hAnsi="Times New Roman" w:cs="Times New Roman"/>
                <w:b/>
                <w:sz w:val="18"/>
                <w:szCs w:val="18"/>
                <w:lang w:bidi="ar"/>
              </w:rPr>
              <w:t>12.3</w:t>
            </w:r>
          </w:p>
        </w:tc>
        <w:tc>
          <w:tcPr>
            <w:tcW w:w="60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w:t>
            </w:r>
          </w:p>
        </w:tc>
        <w:tc>
          <w:tcPr>
            <w:tcW w:w="78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无意义</w:t>
            </w:r>
          </w:p>
        </w:tc>
        <w:tc>
          <w:tcPr>
            <w:tcW w:w="706"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轻度危害</w:t>
            </w:r>
          </w:p>
        </w:tc>
        <w:tc>
          <w:tcPr>
            <w:tcW w:w="993"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戊</w:t>
            </w:r>
          </w:p>
        </w:tc>
        <w:tc>
          <w:tcPr>
            <w:tcW w:w="2409" w:type="dxa"/>
            <w:tcBorders>
              <w:tl2br w:val="nil"/>
              <w:tr2bl w:val="nil"/>
            </w:tcBorders>
            <w:shd w:val="clear" w:color="auto" w:fill="auto"/>
            <w:tcMar>
              <w:left w:w="108" w:type="dxa"/>
              <w:right w:w="108" w:type="dxa"/>
            </w:tcMar>
            <w:vAlign w:val="center"/>
          </w:tcPr>
          <w:p>
            <w:pPr>
              <w:widowControl/>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lang w:bidi="ar"/>
              </w:rPr>
              <w:t>与酸中和发生反应并放热。具有腐蚀性。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13" w:hRule="atLeast"/>
        </w:trPr>
        <w:tc>
          <w:tcPr>
            <w:tcW w:w="708"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lang w:bidi="ar"/>
              </w:rPr>
              <w:t>32%液碱</w:t>
            </w:r>
          </w:p>
        </w:tc>
        <w:tc>
          <w:tcPr>
            <w:tcW w:w="775" w:type="dxa"/>
            <w:tcBorders>
              <w:tl2br w:val="nil"/>
              <w:tr2bl w:val="nil"/>
            </w:tcBorders>
            <w:shd w:val="clear" w:color="auto" w:fill="auto"/>
            <w:tcMar>
              <w:left w:w="108" w:type="dxa"/>
              <w:right w:w="108" w:type="dxa"/>
            </w:tcMar>
            <w:vAlign w:val="center"/>
          </w:tcPr>
          <w:p>
            <w:pPr>
              <w:autoSpaceDE w:val="0"/>
              <w:autoSpaceDN w:val="0"/>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lang w:bidi="ar"/>
              </w:rPr>
              <w:t>1669</w:t>
            </w:r>
          </w:p>
        </w:tc>
        <w:tc>
          <w:tcPr>
            <w:tcW w:w="394"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液体</w:t>
            </w:r>
          </w:p>
        </w:tc>
        <w:tc>
          <w:tcPr>
            <w:tcW w:w="641"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1.1</w:t>
            </w:r>
          </w:p>
        </w:tc>
        <w:tc>
          <w:tcPr>
            <w:tcW w:w="61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w:t>
            </w:r>
          </w:p>
        </w:tc>
        <w:tc>
          <w:tcPr>
            <w:tcW w:w="73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b/>
                <w:sz w:val="18"/>
                <w:szCs w:val="18"/>
              </w:rPr>
            </w:pPr>
            <w:r>
              <w:rPr>
                <w:rFonts w:ascii="Times New Roman" w:hAnsi="Times New Roman" w:cs="Times New Roman"/>
                <w:b/>
                <w:sz w:val="18"/>
                <w:szCs w:val="18"/>
                <w:lang w:bidi="ar"/>
              </w:rPr>
              <w:t>5.4</w:t>
            </w:r>
          </w:p>
        </w:tc>
        <w:tc>
          <w:tcPr>
            <w:tcW w:w="60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w:t>
            </w:r>
          </w:p>
        </w:tc>
        <w:tc>
          <w:tcPr>
            <w:tcW w:w="78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无意义</w:t>
            </w:r>
          </w:p>
        </w:tc>
        <w:tc>
          <w:tcPr>
            <w:tcW w:w="706"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轻度危害</w:t>
            </w:r>
          </w:p>
        </w:tc>
        <w:tc>
          <w:tcPr>
            <w:tcW w:w="993"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戊</w:t>
            </w:r>
          </w:p>
        </w:tc>
        <w:tc>
          <w:tcPr>
            <w:tcW w:w="2409" w:type="dxa"/>
            <w:tcBorders>
              <w:tl2br w:val="nil"/>
              <w:tr2bl w:val="nil"/>
            </w:tcBorders>
            <w:shd w:val="clear" w:color="auto" w:fill="auto"/>
            <w:tcMar>
              <w:left w:w="108" w:type="dxa"/>
              <w:right w:w="108" w:type="dxa"/>
            </w:tcMar>
            <w:vAlign w:val="center"/>
          </w:tcPr>
          <w:p>
            <w:pPr>
              <w:widowControl/>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lang w:bidi="ar"/>
              </w:rPr>
              <w:t>与酸中和发生反应并放热。具有腐蚀性。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5" w:hRule="atLeast"/>
        </w:trPr>
        <w:tc>
          <w:tcPr>
            <w:tcW w:w="708"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lang w:bidi="ar"/>
              </w:rPr>
              <w:t>柴油</w:t>
            </w:r>
          </w:p>
        </w:tc>
        <w:tc>
          <w:tcPr>
            <w:tcW w:w="775" w:type="dxa"/>
            <w:tcBorders>
              <w:tl2br w:val="nil"/>
              <w:tr2bl w:val="nil"/>
            </w:tcBorders>
            <w:shd w:val="clear" w:color="auto" w:fill="auto"/>
            <w:tcMar>
              <w:left w:w="108" w:type="dxa"/>
              <w:right w:w="108" w:type="dxa"/>
            </w:tcMar>
            <w:vAlign w:val="center"/>
          </w:tcPr>
          <w:p>
            <w:pPr>
              <w:autoSpaceDE w:val="0"/>
              <w:autoSpaceDN w:val="0"/>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lang w:bidi="ar"/>
              </w:rPr>
              <w:t>1674</w:t>
            </w:r>
          </w:p>
        </w:tc>
        <w:tc>
          <w:tcPr>
            <w:tcW w:w="394"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液体</w:t>
            </w:r>
          </w:p>
        </w:tc>
        <w:tc>
          <w:tcPr>
            <w:tcW w:w="641"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0.70~</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0.85</w:t>
            </w:r>
          </w:p>
        </w:tc>
        <w:tc>
          <w:tcPr>
            <w:tcW w:w="61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180</w:t>
            </w:r>
          </w:p>
        </w:tc>
        <w:tc>
          <w:tcPr>
            <w:tcW w:w="73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-18</w:t>
            </w:r>
          </w:p>
        </w:tc>
        <w:tc>
          <w:tcPr>
            <w:tcW w:w="60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&gt;60</w:t>
            </w:r>
          </w:p>
        </w:tc>
        <w:tc>
          <w:tcPr>
            <w:tcW w:w="78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257</w:t>
            </w:r>
          </w:p>
        </w:tc>
        <w:tc>
          <w:tcPr>
            <w:tcW w:w="706"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轻度危害</w:t>
            </w:r>
          </w:p>
        </w:tc>
        <w:tc>
          <w:tcPr>
            <w:tcW w:w="993"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丙</w:t>
            </w:r>
            <w:r>
              <w:rPr>
                <w:rFonts w:ascii="Times New Roman" w:hAnsi="Times New Roman" w:cs="Times New Roman"/>
                <w:sz w:val="18"/>
                <w:szCs w:val="18"/>
                <w:vertAlign w:val="subscript"/>
                <w:lang w:bidi="ar"/>
              </w:rPr>
              <w:t>A</w:t>
            </w:r>
          </w:p>
        </w:tc>
        <w:tc>
          <w:tcPr>
            <w:tcW w:w="2409" w:type="dxa"/>
            <w:tcBorders>
              <w:tl2br w:val="nil"/>
              <w:tr2bl w:val="nil"/>
            </w:tcBorders>
            <w:shd w:val="clear" w:color="auto" w:fill="auto"/>
            <w:tcMar>
              <w:left w:w="108" w:type="dxa"/>
              <w:right w:w="108" w:type="dxa"/>
            </w:tcMar>
            <w:vAlign w:val="center"/>
          </w:tcPr>
          <w:p>
            <w:pPr>
              <w:widowControl/>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lang w:bidi="ar"/>
              </w:rPr>
              <w:t>遇明火、高热或与氧化剂接触，有引起爆炸危险的特性。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540" w:hRule="atLeast"/>
        </w:trPr>
        <w:tc>
          <w:tcPr>
            <w:tcW w:w="708"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lang w:bidi="ar"/>
              </w:rPr>
              <w:t>汽油</w:t>
            </w:r>
          </w:p>
        </w:tc>
        <w:tc>
          <w:tcPr>
            <w:tcW w:w="775" w:type="dxa"/>
            <w:tcBorders>
              <w:tl2br w:val="nil"/>
              <w:tr2bl w:val="nil"/>
            </w:tcBorders>
            <w:shd w:val="clear" w:color="auto" w:fill="auto"/>
            <w:tcMar>
              <w:left w:w="108" w:type="dxa"/>
              <w:right w:w="108" w:type="dxa"/>
            </w:tcMar>
            <w:vAlign w:val="center"/>
          </w:tcPr>
          <w:p>
            <w:pPr>
              <w:autoSpaceDE w:val="0"/>
              <w:autoSpaceDN w:val="0"/>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lang w:bidi="ar"/>
              </w:rPr>
              <w:t>1630</w:t>
            </w:r>
          </w:p>
        </w:tc>
        <w:tc>
          <w:tcPr>
            <w:tcW w:w="394"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液体</w:t>
            </w:r>
          </w:p>
        </w:tc>
        <w:tc>
          <w:tcPr>
            <w:tcW w:w="641"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0.8</w:t>
            </w:r>
          </w:p>
        </w:tc>
        <w:tc>
          <w:tcPr>
            <w:tcW w:w="61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50-150</w:t>
            </w:r>
          </w:p>
        </w:tc>
        <w:tc>
          <w:tcPr>
            <w:tcW w:w="73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w:t>
            </w:r>
          </w:p>
        </w:tc>
        <w:tc>
          <w:tcPr>
            <w:tcW w:w="60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10</w:t>
            </w:r>
          </w:p>
        </w:tc>
        <w:tc>
          <w:tcPr>
            <w:tcW w:w="78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250</w:t>
            </w:r>
          </w:p>
        </w:tc>
        <w:tc>
          <w:tcPr>
            <w:tcW w:w="706"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轻度危害</w:t>
            </w:r>
          </w:p>
        </w:tc>
        <w:tc>
          <w:tcPr>
            <w:tcW w:w="993"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甲</w:t>
            </w:r>
            <w:r>
              <w:rPr>
                <w:rFonts w:ascii="Times New Roman" w:hAnsi="Times New Roman" w:cs="Times New Roman"/>
                <w:sz w:val="18"/>
                <w:szCs w:val="18"/>
                <w:vertAlign w:val="subscript"/>
                <w:lang w:bidi="ar"/>
              </w:rPr>
              <w:t>B</w:t>
            </w:r>
          </w:p>
        </w:tc>
        <w:tc>
          <w:tcPr>
            <w:tcW w:w="2409" w:type="dxa"/>
            <w:tcBorders>
              <w:tl2br w:val="nil"/>
              <w:tr2bl w:val="nil"/>
            </w:tcBorders>
            <w:shd w:val="clear" w:color="auto" w:fill="auto"/>
            <w:tcMar>
              <w:left w:w="108" w:type="dxa"/>
              <w:right w:w="108" w:type="dxa"/>
            </w:tcMar>
            <w:vAlign w:val="center"/>
          </w:tcPr>
          <w:p>
            <w:pPr>
              <w:widowControl/>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lang w:bidi="ar"/>
              </w:rPr>
              <w:t>高度易燃，蒸气与空气能形成爆炸性混合物，遇明火、高热能引起燃烧爆炸。高速冲击、流动、激荡后可因产生静电火花放电引起燃烧爆炸。蒸气比空气重，能在较低处扩散到相当远的地方，遇火源会着火回燃和爆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69" w:hRule="atLeast"/>
        </w:trPr>
        <w:tc>
          <w:tcPr>
            <w:tcW w:w="708"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lang w:bidi="ar"/>
              </w:rPr>
              <w:t>乙醇</w:t>
            </w:r>
          </w:p>
        </w:tc>
        <w:tc>
          <w:tcPr>
            <w:tcW w:w="775" w:type="dxa"/>
            <w:tcBorders>
              <w:tl2br w:val="nil"/>
              <w:tr2bl w:val="nil"/>
            </w:tcBorders>
            <w:shd w:val="clear" w:color="auto" w:fill="auto"/>
            <w:tcMar>
              <w:left w:w="108" w:type="dxa"/>
              <w:right w:w="108" w:type="dxa"/>
            </w:tcMar>
            <w:vAlign w:val="center"/>
          </w:tcPr>
          <w:p>
            <w:pPr>
              <w:autoSpaceDE w:val="0"/>
              <w:autoSpaceDN w:val="0"/>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lang w:bidi="ar"/>
              </w:rPr>
              <w:t>2568</w:t>
            </w:r>
          </w:p>
        </w:tc>
        <w:tc>
          <w:tcPr>
            <w:tcW w:w="394"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液体</w:t>
            </w:r>
          </w:p>
        </w:tc>
        <w:tc>
          <w:tcPr>
            <w:tcW w:w="641"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0.78</w:t>
            </w:r>
          </w:p>
        </w:tc>
        <w:tc>
          <w:tcPr>
            <w:tcW w:w="61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78</w:t>
            </w:r>
          </w:p>
        </w:tc>
        <w:tc>
          <w:tcPr>
            <w:tcW w:w="73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-114</w:t>
            </w:r>
          </w:p>
        </w:tc>
        <w:tc>
          <w:tcPr>
            <w:tcW w:w="60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12</w:t>
            </w:r>
          </w:p>
        </w:tc>
        <w:tc>
          <w:tcPr>
            <w:tcW w:w="78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363</w:t>
            </w:r>
          </w:p>
        </w:tc>
        <w:tc>
          <w:tcPr>
            <w:tcW w:w="706"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轻度危害</w:t>
            </w:r>
          </w:p>
        </w:tc>
        <w:tc>
          <w:tcPr>
            <w:tcW w:w="993"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甲</w:t>
            </w:r>
            <w:r>
              <w:rPr>
                <w:rFonts w:ascii="Times New Roman" w:hAnsi="Times New Roman" w:cs="Times New Roman"/>
                <w:sz w:val="18"/>
                <w:szCs w:val="18"/>
                <w:vertAlign w:val="subscript"/>
                <w:lang w:bidi="ar"/>
              </w:rPr>
              <w:t>B</w:t>
            </w:r>
          </w:p>
        </w:tc>
        <w:tc>
          <w:tcPr>
            <w:tcW w:w="2409" w:type="dxa"/>
            <w:tcBorders>
              <w:tl2br w:val="nil"/>
              <w:tr2bl w:val="nil"/>
            </w:tcBorders>
            <w:shd w:val="clear" w:color="auto" w:fill="auto"/>
            <w:tcMar>
              <w:left w:w="108" w:type="dxa"/>
              <w:right w:w="108" w:type="dxa"/>
            </w:tcMar>
            <w:vAlign w:val="center"/>
          </w:tcPr>
          <w:p>
            <w:pPr>
              <w:widowControl/>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lang w:bidi="ar"/>
              </w:rPr>
              <w:t>极易燃、气态酒精与空气可形成爆炸性混合物，遇明火、高热能引起爆炸燃烧。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240" w:hRule="atLeast"/>
        </w:trPr>
        <w:tc>
          <w:tcPr>
            <w:tcW w:w="708"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lang w:bidi="ar"/>
              </w:rPr>
              <w:t>98%硫酸</w:t>
            </w:r>
          </w:p>
        </w:tc>
        <w:tc>
          <w:tcPr>
            <w:tcW w:w="775" w:type="dxa"/>
            <w:tcBorders>
              <w:tl2br w:val="nil"/>
              <w:tr2bl w:val="nil"/>
            </w:tcBorders>
            <w:shd w:val="clear" w:color="auto" w:fill="auto"/>
            <w:tcMar>
              <w:left w:w="108" w:type="dxa"/>
              <w:right w:w="108" w:type="dxa"/>
            </w:tcMar>
            <w:vAlign w:val="center"/>
          </w:tcPr>
          <w:p>
            <w:pPr>
              <w:autoSpaceDE w:val="0"/>
              <w:autoSpaceDN w:val="0"/>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lang w:bidi="ar"/>
              </w:rPr>
              <w:t>723</w:t>
            </w:r>
          </w:p>
        </w:tc>
        <w:tc>
          <w:tcPr>
            <w:tcW w:w="394"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液体</w:t>
            </w:r>
          </w:p>
        </w:tc>
        <w:tc>
          <w:tcPr>
            <w:tcW w:w="641"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1.84</w:t>
            </w:r>
          </w:p>
        </w:tc>
        <w:tc>
          <w:tcPr>
            <w:tcW w:w="61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w:t>
            </w:r>
          </w:p>
        </w:tc>
        <w:tc>
          <w:tcPr>
            <w:tcW w:w="73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b/>
                <w:sz w:val="18"/>
                <w:szCs w:val="18"/>
                <w:lang w:bidi="ar"/>
              </w:rPr>
              <w:t>0.7</w:t>
            </w:r>
          </w:p>
        </w:tc>
        <w:tc>
          <w:tcPr>
            <w:tcW w:w="600" w:type="dxa"/>
            <w:tcBorders>
              <w:tl2br w:val="nil"/>
              <w:tr2bl w:val="nil"/>
            </w:tcBorders>
            <w:shd w:val="clear" w:color="auto" w:fill="auto"/>
            <w:tcMar>
              <w:left w:w="108" w:type="dxa"/>
              <w:right w:w="108" w:type="dxa"/>
            </w:tcMar>
            <w:vAlign w:val="center"/>
          </w:tcPr>
          <w:p>
            <w:pPr>
              <w:spacing w:line="240" w:lineRule="auto"/>
              <w:ind w:firstLine="360"/>
              <w:jc w:val="center"/>
              <w:rPr>
                <w:rFonts w:ascii="Times New Roman" w:hAnsi="Times New Roman" w:cs="Times New Roman"/>
                <w:sz w:val="18"/>
                <w:szCs w:val="18"/>
              </w:rPr>
            </w:pPr>
            <w:r>
              <w:rPr>
                <w:rFonts w:ascii="Times New Roman" w:hAnsi="Times New Roman" w:cs="Times New Roman"/>
                <w:sz w:val="18"/>
                <w:szCs w:val="18"/>
                <w:lang w:bidi="ar"/>
              </w:rPr>
              <w:t>/</w:t>
            </w:r>
          </w:p>
        </w:tc>
        <w:tc>
          <w:tcPr>
            <w:tcW w:w="780" w:type="dxa"/>
            <w:tcBorders>
              <w:tl2br w:val="nil"/>
              <w:tr2bl w:val="nil"/>
            </w:tcBorders>
            <w:shd w:val="clear" w:color="auto" w:fill="auto"/>
            <w:tcMar>
              <w:left w:w="108" w:type="dxa"/>
              <w:right w:w="108" w:type="dxa"/>
            </w:tcMar>
            <w:vAlign w:val="center"/>
          </w:tcPr>
          <w:p>
            <w:pPr>
              <w:spacing w:line="240" w:lineRule="auto"/>
              <w:ind w:firstLine="360"/>
              <w:jc w:val="center"/>
              <w:rPr>
                <w:rFonts w:ascii="Times New Roman" w:hAnsi="Times New Roman" w:cs="Times New Roman"/>
                <w:sz w:val="18"/>
                <w:szCs w:val="18"/>
              </w:rPr>
            </w:pPr>
            <w:r>
              <w:rPr>
                <w:rFonts w:ascii="Times New Roman" w:hAnsi="Times New Roman" w:cs="Times New Roman"/>
                <w:sz w:val="18"/>
                <w:szCs w:val="18"/>
                <w:lang w:bidi="ar"/>
              </w:rPr>
              <w:t>/</w:t>
            </w:r>
          </w:p>
        </w:tc>
        <w:tc>
          <w:tcPr>
            <w:tcW w:w="706"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中度危害</w:t>
            </w:r>
          </w:p>
        </w:tc>
        <w:tc>
          <w:tcPr>
            <w:tcW w:w="993"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戊</w:t>
            </w:r>
          </w:p>
        </w:tc>
        <w:tc>
          <w:tcPr>
            <w:tcW w:w="2409" w:type="dxa"/>
            <w:tcBorders>
              <w:tl2br w:val="nil"/>
              <w:tr2bl w:val="nil"/>
            </w:tcBorders>
            <w:shd w:val="clear" w:color="auto" w:fill="auto"/>
            <w:tcMar>
              <w:left w:w="108" w:type="dxa"/>
              <w:right w:w="108" w:type="dxa"/>
            </w:tcMar>
            <w:vAlign w:val="center"/>
          </w:tcPr>
          <w:p>
            <w:pPr>
              <w:widowControl/>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lang w:bidi="ar"/>
              </w:rPr>
              <w:t>与易燃物(如苯)和有机物(如糖、纤维素等)接触会发生剧烈反应，甚至引起燃烧。能与一些活性金属粉末发生反应，放出氢气。遇水大量放热，可发生沸溅。具有强腐蚀性。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27" w:hRule="atLeast"/>
        </w:trPr>
        <w:tc>
          <w:tcPr>
            <w:tcW w:w="708"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b/>
                <w:sz w:val="18"/>
                <w:szCs w:val="18"/>
                <w:lang w:bidi="ar"/>
              </w:rPr>
              <w:t>48%氢氧化钾</w:t>
            </w:r>
          </w:p>
        </w:tc>
        <w:tc>
          <w:tcPr>
            <w:tcW w:w="775" w:type="dxa"/>
            <w:tcBorders>
              <w:tl2br w:val="nil"/>
              <w:tr2bl w:val="nil"/>
            </w:tcBorders>
            <w:shd w:val="clear" w:color="auto" w:fill="auto"/>
            <w:tcMar>
              <w:left w:w="108" w:type="dxa"/>
              <w:right w:w="108" w:type="dxa"/>
            </w:tcMar>
            <w:vAlign w:val="center"/>
          </w:tcPr>
          <w:p>
            <w:pPr>
              <w:autoSpaceDE w:val="0"/>
              <w:autoSpaceDN w:val="0"/>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lang w:bidi="ar"/>
              </w:rPr>
              <w:t>82002</w:t>
            </w:r>
          </w:p>
        </w:tc>
        <w:tc>
          <w:tcPr>
            <w:tcW w:w="394"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液体</w:t>
            </w:r>
          </w:p>
        </w:tc>
        <w:tc>
          <w:tcPr>
            <w:tcW w:w="641"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1.5</w:t>
            </w:r>
          </w:p>
        </w:tc>
        <w:tc>
          <w:tcPr>
            <w:tcW w:w="61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w:t>
            </w:r>
          </w:p>
        </w:tc>
        <w:tc>
          <w:tcPr>
            <w:tcW w:w="73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w:t>
            </w:r>
          </w:p>
        </w:tc>
        <w:tc>
          <w:tcPr>
            <w:tcW w:w="60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w:t>
            </w:r>
          </w:p>
        </w:tc>
        <w:tc>
          <w:tcPr>
            <w:tcW w:w="78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w:t>
            </w:r>
          </w:p>
        </w:tc>
        <w:tc>
          <w:tcPr>
            <w:tcW w:w="706"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中度危害</w:t>
            </w:r>
          </w:p>
        </w:tc>
        <w:tc>
          <w:tcPr>
            <w:tcW w:w="993"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bidi="ar"/>
              </w:rPr>
              <w:t>丁</w:t>
            </w:r>
          </w:p>
        </w:tc>
        <w:tc>
          <w:tcPr>
            <w:tcW w:w="2409" w:type="dxa"/>
            <w:tcBorders>
              <w:tl2br w:val="nil"/>
              <w:tr2bl w:val="nil"/>
            </w:tcBorders>
            <w:shd w:val="clear" w:color="auto" w:fill="auto"/>
            <w:tcMar>
              <w:left w:w="108" w:type="dxa"/>
              <w:right w:w="108" w:type="dxa"/>
            </w:tcMar>
            <w:vAlign w:val="center"/>
          </w:tcPr>
          <w:p>
            <w:pPr>
              <w:widowControl/>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lang w:bidi="ar"/>
              </w:rPr>
              <w:t>与酸发生中和反应并放热。本品不会燃烧，遇水和水蒸气大量放热，形成腐蚀性溶液。具有强腐蚀性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20" w:hRule="atLeast"/>
        </w:trPr>
        <w:tc>
          <w:tcPr>
            <w:tcW w:w="708"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b/>
                <w:sz w:val="18"/>
                <w:szCs w:val="18"/>
                <w:lang w:bidi="ar"/>
              </w:rPr>
            </w:pPr>
            <w:r>
              <w:rPr>
                <w:rFonts w:ascii="Times New Roman" w:hAnsi="Times New Roman" w:cs="Times New Roman"/>
                <w:b/>
                <w:sz w:val="18"/>
                <w:szCs w:val="18"/>
                <w:lang w:bidi="ar"/>
              </w:rPr>
              <w:t>乙二醇</w:t>
            </w:r>
          </w:p>
        </w:tc>
        <w:tc>
          <w:tcPr>
            <w:tcW w:w="775" w:type="dxa"/>
            <w:tcBorders>
              <w:tl2br w:val="nil"/>
              <w:tr2bl w:val="nil"/>
            </w:tcBorders>
            <w:shd w:val="clear" w:color="auto" w:fill="auto"/>
            <w:tcMar>
              <w:left w:w="108" w:type="dxa"/>
              <w:right w:w="108" w:type="dxa"/>
            </w:tcMar>
            <w:vAlign w:val="center"/>
          </w:tcPr>
          <w:p>
            <w:pPr>
              <w:autoSpaceDE w:val="0"/>
              <w:autoSpaceDN w:val="0"/>
              <w:spacing w:line="240" w:lineRule="auto"/>
              <w:ind w:firstLine="0" w:firstLineChars="0"/>
              <w:jc w:val="center"/>
              <w:rPr>
                <w:rFonts w:ascii="Times New Roman" w:hAnsi="Times New Roman" w:cs="Times New Roman"/>
                <w:kern w:val="0"/>
                <w:sz w:val="18"/>
                <w:szCs w:val="18"/>
                <w:lang w:bidi="ar"/>
              </w:rPr>
            </w:pPr>
          </w:p>
        </w:tc>
        <w:tc>
          <w:tcPr>
            <w:tcW w:w="394"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lang w:bidi="ar"/>
              </w:rPr>
            </w:pPr>
            <w:r>
              <w:rPr>
                <w:rFonts w:ascii="Times New Roman" w:hAnsi="Times New Roman" w:cs="Times New Roman"/>
                <w:sz w:val="18"/>
                <w:szCs w:val="18"/>
                <w:lang w:bidi="ar"/>
              </w:rPr>
              <w:t>液体</w:t>
            </w:r>
          </w:p>
        </w:tc>
        <w:tc>
          <w:tcPr>
            <w:tcW w:w="641"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lang w:bidi="ar"/>
              </w:rPr>
            </w:pPr>
          </w:p>
        </w:tc>
        <w:tc>
          <w:tcPr>
            <w:tcW w:w="61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lang w:bidi="ar"/>
              </w:rPr>
            </w:pPr>
            <w:r>
              <w:rPr>
                <w:rFonts w:ascii="Times New Roman" w:hAnsi="Times New Roman" w:cs="Times New Roman"/>
                <w:sz w:val="18"/>
                <w:szCs w:val="18"/>
                <w:lang w:bidi="ar"/>
              </w:rPr>
              <w:t>197.5</w:t>
            </w:r>
          </w:p>
        </w:tc>
        <w:tc>
          <w:tcPr>
            <w:tcW w:w="735"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lang w:bidi="ar"/>
              </w:rPr>
            </w:pPr>
            <w:r>
              <w:rPr>
                <w:rFonts w:ascii="Times New Roman" w:hAnsi="Times New Roman" w:cs="Times New Roman"/>
                <w:sz w:val="18"/>
                <w:szCs w:val="18"/>
                <w:lang w:bidi="ar"/>
              </w:rPr>
              <w:t>-13.2</w:t>
            </w:r>
          </w:p>
        </w:tc>
        <w:tc>
          <w:tcPr>
            <w:tcW w:w="60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lang w:bidi="ar"/>
              </w:rPr>
            </w:pPr>
            <w:r>
              <w:rPr>
                <w:rFonts w:ascii="Times New Roman" w:hAnsi="Times New Roman" w:cs="Times New Roman"/>
                <w:sz w:val="18"/>
                <w:szCs w:val="18"/>
                <w:lang w:bidi="ar"/>
              </w:rPr>
              <w:t>110</w:t>
            </w:r>
          </w:p>
        </w:tc>
        <w:tc>
          <w:tcPr>
            <w:tcW w:w="780"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lang w:bidi="ar"/>
              </w:rPr>
            </w:pPr>
            <w:r>
              <w:rPr>
                <w:rFonts w:ascii="Times New Roman" w:hAnsi="Times New Roman" w:cs="Times New Roman"/>
                <w:sz w:val="18"/>
                <w:szCs w:val="18"/>
                <w:lang w:bidi="ar"/>
              </w:rPr>
              <w:t>/</w:t>
            </w:r>
          </w:p>
        </w:tc>
        <w:tc>
          <w:tcPr>
            <w:tcW w:w="706"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lang w:bidi="ar"/>
              </w:rPr>
            </w:pPr>
          </w:p>
        </w:tc>
        <w:tc>
          <w:tcPr>
            <w:tcW w:w="993" w:type="dxa"/>
            <w:tcBorders>
              <w:tl2br w:val="nil"/>
              <w:tr2bl w:val="nil"/>
            </w:tcBorders>
            <w:shd w:val="clear" w:color="auto" w:fill="auto"/>
            <w:tcMar>
              <w:left w:w="108" w:type="dxa"/>
              <w:right w:w="108" w:type="dxa"/>
            </w:tcMar>
            <w:vAlign w:val="center"/>
          </w:tcPr>
          <w:p>
            <w:pPr>
              <w:spacing w:line="240" w:lineRule="auto"/>
              <w:ind w:firstLine="0" w:firstLineChars="0"/>
              <w:jc w:val="center"/>
              <w:rPr>
                <w:rFonts w:ascii="Times New Roman" w:hAnsi="Times New Roman" w:cs="Times New Roman"/>
                <w:sz w:val="18"/>
                <w:szCs w:val="18"/>
                <w:lang w:bidi="ar"/>
              </w:rPr>
            </w:pPr>
            <w:r>
              <w:rPr>
                <w:rFonts w:ascii="Times New Roman" w:hAnsi="Times New Roman" w:cs="Times New Roman"/>
                <w:sz w:val="18"/>
                <w:szCs w:val="18"/>
                <w:lang w:bidi="ar"/>
              </w:rPr>
              <w:t>丙A</w:t>
            </w:r>
          </w:p>
        </w:tc>
        <w:tc>
          <w:tcPr>
            <w:tcW w:w="2409" w:type="dxa"/>
            <w:tcBorders>
              <w:tl2br w:val="nil"/>
              <w:tr2bl w:val="nil"/>
            </w:tcBorders>
            <w:shd w:val="clear" w:color="auto" w:fill="auto"/>
            <w:tcMar>
              <w:left w:w="108" w:type="dxa"/>
              <w:right w:w="108" w:type="dxa"/>
            </w:tcMar>
            <w:vAlign w:val="center"/>
          </w:tcPr>
          <w:p>
            <w:pPr>
              <w:widowControl/>
              <w:spacing w:line="240" w:lineRule="auto"/>
              <w:ind w:firstLine="0" w:firstLineChars="0"/>
              <w:jc w:val="center"/>
              <w:rPr>
                <w:rFonts w:ascii="Times New Roman" w:hAnsi="Times New Roman" w:cs="Times New Roman"/>
                <w:kern w:val="0"/>
                <w:sz w:val="18"/>
                <w:szCs w:val="18"/>
                <w:lang w:bidi="ar"/>
              </w:rPr>
            </w:pPr>
          </w:p>
        </w:tc>
      </w:tr>
    </w:tbl>
    <w:p>
      <w:pPr>
        <w:spacing w:line="240" w:lineRule="auto"/>
        <w:ind w:firstLine="440"/>
        <w:rPr>
          <w:rFonts w:ascii="Times New Roman" w:hAnsi="Times New Roman" w:cs="Times New Roman"/>
          <w:kern w:val="0"/>
          <w:sz w:val="20"/>
          <w:szCs w:val="20"/>
        </w:rPr>
      </w:pPr>
      <w:bookmarkStart w:id="172" w:name="_Toc102979819"/>
      <w:r>
        <w:rPr>
          <w:rFonts w:ascii="Times New Roman" w:hAnsi="Times New Roman" w:cs="Times New Roman"/>
          <w:sz w:val="22"/>
        </w:rPr>
        <w:t>本项目</w:t>
      </w:r>
      <w:r>
        <w:rPr>
          <w:rFonts w:hint="eastAsia" w:ascii="Times New Roman" w:hAnsi="Times New Roman" w:cs="Times New Roman"/>
          <w:sz w:val="22"/>
        </w:rPr>
        <w:t>植物油</w:t>
      </w:r>
      <w:r>
        <w:rPr>
          <w:rFonts w:ascii="Times New Roman" w:hAnsi="Times New Roman" w:cs="Times New Roman"/>
          <w:sz w:val="22"/>
        </w:rPr>
        <w:t>装卸为专管专用，</w:t>
      </w:r>
      <w:r>
        <w:rPr>
          <w:rFonts w:ascii="Times New Roman" w:hAnsi="Times New Roman" w:cs="Times New Roman"/>
          <w:spacing w:val="-103"/>
          <w:sz w:val="22"/>
        </w:rPr>
        <w:t xml:space="preserve"> </w:t>
      </w:r>
      <w:r>
        <w:rPr>
          <w:rFonts w:ascii="Times New Roman" w:hAnsi="Times New Roman" w:cs="Times New Roman"/>
          <w:sz w:val="22"/>
        </w:rPr>
        <w:t>且不涉</w:t>
      </w:r>
      <w:r>
        <w:rPr>
          <w:rFonts w:ascii="Times New Roman" w:hAnsi="Times New Roman" w:cs="Times New Roman"/>
          <w:spacing w:val="-100"/>
          <w:sz w:val="22"/>
        </w:rPr>
        <w:t xml:space="preserve"> </w:t>
      </w:r>
      <w:r>
        <w:rPr>
          <w:rFonts w:ascii="Times New Roman" w:hAnsi="Times New Roman" w:cs="Times New Roman"/>
          <w:spacing w:val="-1"/>
          <w:sz w:val="22"/>
        </w:rPr>
        <w:t>及储罐储存，</w:t>
      </w:r>
      <w:r>
        <w:rPr>
          <w:rFonts w:ascii="Times New Roman" w:hAnsi="Times New Roman" w:cs="Times New Roman"/>
          <w:spacing w:val="-73"/>
          <w:sz w:val="22"/>
        </w:rPr>
        <w:t xml:space="preserve"> </w:t>
      </w:r>
      <w:r>
        <w:rPr>
          <w:rFonts w:ascii="Times New Roman" w:hAnsi="Times New Roman" w:cs="Times New Roman"/>
          <w:spacing w:val="-1"/>
          <w:sz w:val="22"/>
        </w:rPr>
        <w:t>车船通过管道装卸，</w:t>
      </w:r>
      <w:r>
        <w:rPr>
          <w:rFonts w:ascii="Times New Roman" w:hAnsi="Times New Roman" w:cs="Times New Roman"/>
          <w:spacing w:val="-103"/>
          <w:sz w:val="22"/>
        </w:rPr>
        <w:t xml:space="preserve"> </w:t>
      </w:r>
      <w:r>
        <w:rPr>
          <w:rFonts w:ascii="Times New Roman" w:hAnsi="Times New Roman" w:cs="Times New Roman"/>
          <w:spacing w:val="-1"/>
          <w:sz w:val="22"/>
        </w:rPr>
        <w:t>全程管道直连车船，不暴露于外界环境，</w:t>
      </w:r>
      <w:r>
        <w:rPr>
          <w:rFonts w:ascii="Times New Roman" w:hAnsi="Times New Roman" w:cs="Times New Roman"/>
          <w:spacing w:val="-101"/>
          <w:sz w:val="22"/>
        </w:rPr>
        <w:t xml:space="preserve"> </w:t>
      </w:r>
      <w:r>
        <w:rPr>
          <w:rFonts w:ascii="Times New Roman" w:hAnsi="Times New Roman" w:cs="Times New Roman"/>
          <w:spacing w:val="-1"/>
          <w:sz w:val="22"/>
        </w:rPr>
        <w:t>车船结束装</w:t>
      </w:r>
      <w:r>
        <w:rPr>
          <w:rFonts w:ascii="Times New Roman" w:hAnsi="Times New Roman" w:cs="Times New Roman"/>
          <w:spacing w:val="-87"/>
          <w:sz w:val="22"/>
        </w:rPr>
        <w:t xml:space="preserve"> </w:t>
      </w:r>
      <w:r>
        <w:rPr>
          <w:rFonts w:ascii="Times New Roman" w:hAnsi="Times New Roman" w:cs="Times New Roman"/>
          <w:sz w:val="22"/>
        </w:rPr>
        <w:t>卸后立马驶离码头现场，</w:t>
      </w:r>
      <w:r>
        <w:rPr>
          <w:rFonts w:ascii="Times New Roman" w:hAnsi="Times New Roman" w:cs="Times New Roman"/>
          <w:spacing w:val="-75"/>
          <w:sz w:val="22"/>
        </w:rPr>
        <w:t xml:space="preserve"> </w:t>
      </w:r>
      <w:r>
        <w:rPr>
          <w:rFonts w:ascii="Times New Roman" w:hAnsi="Times New Roman" w:cs="Times New Roman"/>
          <w:sz w:val="22"/>
        </w:rPr>
        <w:t>同一个泊位同时只装卸一个货种，因此本码头</w:t>
      </w:r>
      <w:r>
        <w:rPr>
          <w:rFonts w:hint="eastAsia" w:ascii="Times New Roman" w:hAnsi="Times New Roman" w:cs="Times New Roman"/>
          <w:sz w:val="22"/>
        </w:rPr>
        <w:t>植物油</w:t>
      </w:r>
      <w:r>
        <w:rPr>
          <w:rFonts w:ascii="Times New Roman" w:hAnsi="Times New Roman" w:cs="Times New Roman"/>
          <w:sz w:val="22"/>
        </w:rPr>
        <w:t>装卸的安</w:t>
      </w:r>
      <w:r>
        <w:rPr>
          <w:rFonts w:ascii="Times New Roman" w:hAnsi="Times New Roman" w:cs="Times New Roman"/>
          <w:spacing w:val="-87"/>
          <w:sz w:val="22"/>
        </w:rPr>
        <w:t xml:space="preserve"> </w:t>
      </w:r>
      <w:r>
        <w:rPr>
          <w:rFonts w:ascii="Times New Roman" w:hAnsi="Times New Roman" w:cs="Times New Roman"/>
          <w:spacing w:val="-2"/>
          <w:sz w:val="22"/>
        </w:rPr>
        <w:t>全是有保证的。</w:t>
      </w:r>
    </w:p>
    <w:p>
      <w:pPr>
        <w:spacing w:before="120" w:beforeLines="50" w:after="120" w:afterLines="50" w:line="500" w:lineRule="exact"/>
        <w:ind w:firstLine="0" w:firstLineChars="0"/>
        <w:outlineLvl w:val="1"/>
        <w:rPr>
          <w:rFonts w:ascii="Times New Roman" w:hAnsi="Times New Roman" w:eastAsia="黑体" w:cs="Times New Roman"/>
          <w:color w:val="auto"/>
          <w:sz w:val="28"/>
          <w:szCs w:val="28"/>
        </w:rPr>
      </w:pPr>
      <w:bookmarkStart w:id="173" w:name="_Toc104733326"/>
      <w:r>
        <w:rPr>
          <w:rFonts w:ascii="Times New Roman" w:hAnsi="Times New Roman" w:eastAsia="黑体" w:cs="Times New Roman"/>
          <w:color w:val="auto"/>
          <w:sz w:val="28"/>
          <w:szCs w:val="28"/>
        </w:rPr>
        <w:t>3.3码头主要建设内容</w:t>
      </w:r>
      <w:bookmarkEnd w:id="172"/>
      <w:bookmarkEnd w:id="173"/>
    </w:p>
    <w:p>
      <w:pPr>
        <w:pStyle w:val="4"/>
        <w:numPr>
          <w:ilvl w:val="2"/>
          <w:numId w:val="0"/>
        </w:numPr>
        <w:jc w:val="both"/>
        <w:rPr>
          <w:rFonts w:ascii="Times New Roman" w:hAnsi="Times New Roman" w:cs="Times New Roman"/>
          <w:color w:val="auto"/>
        </w:rPr>
      </w:pPr>
      <w:bookmarkStart w:id="174" w:name="_Toc104733327"/>
      <w:bookmarkStart w:id="175" w:name="_Toc102984291"/>
      <w:bookmarkStart w:id="176" w:name="_Toc321302450"/>
      <w:r>
        <w:rPr>
          <w:rFonts w:ascii="Times New Roman" w:hAnsi="Times New Roman" w:cs="Times New Roman"/>
          <w:color w:val="auto"/>
        </w:rPr>
        <w:t>3.3.1码头泊位</w:t>
      </w:r>
      <w:bookmarkEnd w:id="174"/>
      <w:bookmarkEnd w:id="175"/>
    </w:p>
    <w:p>
      <w:pPr>
        <w:ind w:firstLine="482"/>
        <w:rPr>
          <w:rFonts w:ascii="Times New Roman" w:hAnsi="Times New Roman" w:cs="Times New Roman"/>
          <w:b/>
          <w:bCs/>
        </w:rPr>
      </w:pPr>
      <w:r>
        <w:rPr>
          <w:rFonts w:ascii="Times New Roman" w:hAnsi="Times New Roman" w:cs="Times New Roman"/>
          <w:b/>
          <w:bCs/>
          <w:szCs w:val="21"/>
          <w:lang w:bidi="ar"/>
        </w:rPr>
        <w:t>1、泊位长度</w:t>
      </w:r>
    </w:p>
    <w:p>
      <w:pPr>
        <w:ind w:firstLine="480"/>
        <w:rPr>
          <w:rFonts w:ascii="Times New Roman" w:hAnsi="Times New Roman" w:cs="Times New Roman"/>
        </w:rPr>
      </w:pPr>
      <w:r>
        <w:rPr>
          <w:rFonts w:ascii="Times New Roman" w:hAnsi="Times New Roman" w:cs="Times New Roman"/>
          <w:szCs w:val="21"/>
          <w:lang w:bidi="ar"/>
        </w:rPr>
        <w:t>工程方案自下游往上游依次布置4个液体化学品泊位、3个液体油品泊位，由于泊位存在一转折处，转折处距两侧泊位富裕长度分别为35m、19m，Lb=63×7+25×5+35+19+35+10×2=640m。工程泊位长度为640m。</w:t>
      </w:r>
    </w:p>
    <w:p>
      <w:pPr>
        <w:ind w:firstLine="482"/>
        <w:rPr>
          <w:rFonts w:ascii="Times New Roman" w:hAnsi="Times New Roman" w:cs="Times New Roman"/>
          <w:b/>
          <w:bCs/>
        </w:rPr>
      </w:pPr>
      <w:r>
        <w:rPr>
          <w:rFonts w:ascii="Times New Roman" w:hAnsi="Times New Roman" w:cs="Times New Roman"/>
          <w:b/>
          <w:bCs/>
          <w:szCs w:val="21"/>
          <w:lang w:bidi="ar"/>
        </w:rPr>
        <w:t>2、码头长度</w:t>
      </w:r>
    </w:p>
    <w:p>
      <w:pPr>
        <w:ind w:firstLine="480"/>
        <w:rPr>
          <w:rFonts w:ascii="Times New Roman" w:hAnsi="Times New Roman" w:cs="Times New Roman"/>
        </w:rPr>
      </w:pPr>
      <w:r>
        <w:rPr>
          <w:rFonts w:ascii="Times New Roman" w:hAnsi="Times New Roman" w:cs="Times New Roman"/>
          <w:szCs w:val="21"/>
          <w:lang w:bidi="ar"/>
        </w:rPr>
        <w:t>本工程码头平台长640m，与泊位长度一致；结合装卸工艺布置方案和车流组织、水工结构形式，码头平台宽25m。</w:t>
      </w:r>
    </w:p>
    <w:p>
      <w:pPr>
        <w:ind w:firstLine="482"/>
        <w:rPr>
          <w:rFonts w:ascii="Times New Roman" w:hAnsi="Times New Roman" w:cs="Times New Roman"/>
          <w:b/>
          <w:bCs/>
        </w:rPr>
      </w:pPr>
      <w:r>
        <w:rPr>
          <w:rFonts w:ascii="Times New Roman" w:hAnsi="Times New Roman" w:cs="Times New Roman"/>
          <w:b/>
          <w:bCs/>
          <w:szCs w:val="21"/>
          <w:lang w:bidi="ar"/>
        </w:rPr>
        <w:t>3、码头停泊水域宽度</w:t>
      </w:r>
    </w:p>
    <w:p>
      <w:pPr>
        <w:ind w:firstLine="480"/>
        <w:rPr>
          <w:rFonts w:ascii="Times New Roman" w:hAnsi="Times New Roman" w:cs="Times New Roman"/>
        </w:rPr>
      </w:pPr>
      <w:r>
        <w:rPr>
          <w:rFonts w:ascii="Times New Roman" w:hAnsi="Times New Roman" w:cs="Times New Roman"/>
          <w:szCs w:val="21"/>
          <w:lang w:bidi="ar"/>
        </w:rPr>
        <w:t>根据《河港总体设计规范》（JTS 166—2020）要求，码头前沿停泊水域宽度取2倍设计船型宽度。本工程码头前沿停泊水域按代表船型1000吨级船舶计算，船宽11.0m，停泊水域取22m。</w:t>
      </w:r>
    </w:p>
    <w:p>
      <w:pPr>
        <w:ind w:firstLine="482"/>
        <w:rPr>
          <w:rFonts w:ascii="Times New Roman" w:hAnsi="Times New Roman" w:cs="Times New Roman"/>
          <w:b/>
          <w:bCs/>
        </w:rPr>
      </w:pPr>
      <w:r>
        <w:rPr>
          <w:rFonts w:ascii="Times New Roman" w:hAnsi="Times New Roman" w:cs="Times New Roman"/>
          <w:b/>
          <w:bCs/>
          <w:szCs w:val="21"/>
          <w:lang w:bidi="ar"/>
        </w:rPr>
        <w:t>4、码头回旋水域尺度</w:t>
      </w:r>
    </w:p>
    <w:p>
      <w:pPr>
        <w:ind w:firstLine="480"/>
        <w:rPr>
          <w:rFonts w:ascii="Times New Roman" w:hAnsi="Times New Roman" w:cs="Times New Roman"/>
        </w:rPr>
      </w:pPr>
      <w:r>
        <w:rPr>
          <w:rFonts w:ascii="Times New Roman" w:hAnsi="Times New Roman" w:cs="Times New Roman"/>
          <w:szCs w:val="21"/>
          <w:lang w:bidi="ar"/>
        </w:rPr>
        <w:t>本工程码头前沿存在1处转折处，转折处下游侧（1#~5#泊位）位于航道左岸，按顺岸式码头布置，码头前回旋水域沿水流方向的长度不宜小于单船长度的2.5倍，垂直于水流方向的宽度不宜小于单船长的1.5倍。</w:t>
      </w:r>
    </w:p>
    <w:p>
      <w:pPr>
        <w:ind w:firstLine="480"/>
        <w:rPr>
          <w:rFonts w:ascii="Times New Roman" w:hAnsi="Times New Roman" w:cs="Times New Roman"/>
        </w:rPr>
      </w:pPr>
      <w:r>
        <w:rPr>
          <w:rFonts w:hint="eastAsia" w:ascii="Times New Roman" w:hAnsi="Times New Roman" w:cs="Times New Roman"/>
          <w:szCs w:val="21"/>
          <w:lang w:bidi="ar"/>
        </w:rPr>
        <w:t>工程</w:t>
      </w:r>
      <w:r>
        <w:rPr>
          <w:rFonts w:ascii="Times New Roman" w:hAnsi="Times New Roman" w:cs="Times New Roman"/>
          <w:szCs w:val="21"/>
          <w:lang w:bidi="ar"/>
        </w:rPr>
        <w:t>方案码头前沿线与航道中心线最短距离为101m，停泊水域不占用主航道，回旋水域需占用部分航道，</w:t>
      </w:r>
      <w:r>
        <w:rPr>
          <w:rFonts w:hint="eastAsia" w:ascii="Times New Roman" w:hAnsi="Times New Roman" w:cs="Times New Roman"/>
          <w:szCs w:val="21"/>
          <w:lang w:bidi="ar"/>
        </w:rPr>
        <w:t>通过加强船舶航行调度管理</w:t>
      </w:r>
      <w:r>
        <w:rPr>
          <w:rFonts w:ascii="Times New Roman" w:hAnsi="Times New Roman" w:cs="Times New Roman"/>
          <w:szCs w:val="21"/>
          <w:lang w:bidi="ar"/>
        </w:rPr>
        <w:t>，能保证航行安全。</w:t>
      </w:r>
    </w:p>
    <w:p>
      <w:pPr>
        <w:ind w:firstLine="482"/>
        <w:rPr>
          <w:rFonts w:ascii="Times New Roman" w:hAnsi="Times New Roman" w:cs="Times New Roman"/>
          <w:b/>
          <w:bCs/>
        </w:rPr>
      </w:pPr>
      <w:r>
        <w:rPr>
          <w:rFonts w:ascii="Times New Roman" w:hAnsi="Times New Roman" w:cs="Times New Roman"/>
          <w:b/>
          <w:bCs/>
          <w:szCs w:val="21"/>
          <w:lang w:bidi="ar"/>
        </w:rPr>
        <w:t>5、挖入式港池宽度</w:t>
      </w:r>
    </w:p>
    <w:p>
      <w:pPr>
        <w:widowControl/>
        <w:ind w:firstLine="480"/>
        <w:rPr>
          <w:rFonts w:ascii="Times New Roman" w:hAnsi="Times New Roman" w:cs="Times New Roman"/>
          <w:szCs w:val="21"/>
          <w:lang w:bidi="ar"/>
        </w:rPr>
      </w:pPr>
      <w:r>
        <w:rPr>
          <w:rFonts w:ascii="Times New Roman" w:hAnsi="Times New Roman" w:cs="Times New Roman"/>
          <w:szCs w:val="21"/>
          <w:lang w:bidi="ar"/>
        </w:rPr>
        <w:t>6#~7#泊位按挖入式港池设计，根据《河港总体设计规范》（JTS166-2020），挖入式港池宽度取86.6m。</w:t>
      </w:r>
    </w:p>
    <w:p>
      <w:pPr>
        <w:pStyle w:val="25"/>
        <w:spacing w:line="360" w:lineRule="auto"/>
        <w:ind w:firstLine="482"/>
        <w:rPr>
          <w:rFonts w:ascii="Times New Roman" w:hAnsi="Times New Roman" w:cs="Times New Roman"/>
          <w:b/>
          <w:bCs/>
          <w:szCs w:val="21"/>
          <w:lang w:bidi="ar"/>
        </w:rPr>
      </w:pPr>
      <w:r>
        <w:rPr>
          <w:rFonts w:ascii="Times New Roman" w:hAnsi="Times New Roman" w:cs="Times New Roman"/>
          <w:b/>
          <w:bCs/>
          <w:szCs w:val="21"/>
          <w:lang w:bidi="ar"/>
        </w:rPr>
        <w:t>6、码头前沿设计水深</w:t>
      </w:r>
    </w:p>
    <w:p>
      <w:pPr>
        <w:ind w:firstLine="480"/>
        <w:rPr>
          <w:rFonts w:ascii="Times New Roman" w:hAnsi="Times New Roman" w:cs="Times New Roman"/>
        </w:rPr>
      </w:pPr>
      <w:r>
        <w:rPr>
          <w:rFonts w:ascii="Times New Roman" w:hAnsi="Times New Roman" w:cs="Times New Roman"/>
        </w:rPr>
        <w:t>根据《安徽省干线航道网规划（2018-2030年）》，店埠河航道合裕公路桥至三汊河口段规划等级为Ⅲ级，目前已按Ⅲ级标准完成航道整治工作，航道设计水深为3.2m。本工程码头前沿设计水深与航道设计水深一致，取3.2m。</w:t>
      </w:r>
    </w:p>
    <w:p>
      <w:pPr>
        <w:pStyle w:val="25"/>
        <w:spacing w:line="360" w:lineRule="auto"/>
        <w:ind w:firstLine="482"/>
        <w:rPr>
          <w:rFonts w:ascii="Times New Roman" w:hAnsi="Times New Roman" w:cs="Times New Roman"/>
          <w:b/>
          <w:bCs/>
        </w:rPr>
      </w:pPr>
      <w:r>
        <w:rPr>
          <w:rFonts w:ascii="Times New Roman" w:hAnsi="Times New Roman" w:cs="Times New Roman"/>
          <w:b/>
          <w:bCs/>
        </w:rPr>
        <w:t>7、高程设计</w:t>
      </w:r>
    </w:p>
    <w:p>
      <w:pPr>
        <w:ind w:firstLine="480"/>
        <w:rPr>
          <w:rFonts w:ascii="Times New Roman" w:hAnsi="Times New Roman" w:cs="Times New Roman"/>
          <w:szCs w:val="21"/>
          <w:lang w:bidi="ar"/>
        </w:rPr>
      </w:pPr>
      <w:r>
        <w:rPr>
          <w:rFonts w:ascii="Times New Roman" w:hAnsi="Times New Roman" w:cs="Times New Roman"/>
          <w:szCs w:val="21"/>
          <w:lang w:bidi="ar"/>
        </w:rPr>
        <w:t>工程设计低水位取7.70m，码头前沿水深取3.20m，本工程码头前沿底高程取4.50m。</w:t>
      </w:r>
    </w:p>
    <w:p>
      <w:pPr>
        <w:pStyle w:val="25"/>
        <w:spacing w:line="360" w:lineRule="auto"/>
        <w:ind w:firstLine="480"/>
        <w:rPr>
          <w:rFonts w:ascii="Times New Roman" w:hAnsi="Times New Roman" w:cs="Times New Roman"/>
          <w:szCs w:val="21"/>
          <w:lang w:bidi="ar"/>
        </w:rPr>
      </w:pPr>
      <w:r>
        <w:rPr>
          <w:rFonts w:ascii="Times New Roman" w:hAnsi="Times New Roman" w:cs="Times New Roman"/>
        </w:rPr>
        <w:t>码头面高程：</w:t>
      </w:r>
      <w:r>
        <w:rPr>
          <w:rFonts w:ascii="Times New Roman" w:hAnsi="Times New Roman" w:cs="Times New Roman"/>
          <w:szCs w:val="21"/>
          <w:lang w:bidi="ar"/>
        </w:rPr>
        <w:t>结合实际地形和工程实际，码头需要退堤，根据合肥循环经济园的防洪排涝规划，店埠河大堤防洪标准为20年一遇，但由于后方罐区防洪标准为50年一遇，因此该处堤防亦应按50年一遇进行设计，堤顶高程为50年一遇洪水位加0.9m超高，即</w:t>
      </w:r>
      <w:r>
        <w:rPr>
          <w:rFonts w:ascii="Times New Roman" w:hAnsi="Times New Roman" w:cs="Times New Roman"/>
          <w:szCs w:val="24"/>
          <w:lang w:bidi="ar"/>
        </w:rPr>
        <w:t>13.12+0.9=14.02m。考虑现状大堤顶高程已达到14.5m，</w:t>
      </w:r>
      <w:r>
        <w:rPr>
          <w:rFonts w:ascii="Times New Roman" w:hAnsi="Times New Roman" w:cs="Times New Roman"/>
          <w:szCs w:val="21"/>
          <w:lang w:bidi="ar"/>
        </w:rPr>
        <w:t>因此综合考虑码头面高程确定为14.0m，前方设置0.5m高的护轮坎兼做防浪墙与现状大堤形成封闭，以港代堤。</w:t>
      </w:r>
    </w:p>
    <w:p>
      <w:pPr>
        <w:pStyle w:val="4"/>
        <w:numPr>
          <w:ilvl w:val="2"/>
          <w:numId w:val="0"/>
        </w:numPr>
        <w:jc w:val="both"/>
        <w:rPr>
          <w:rFonts w:ascii="Times New Roman" w:hAnsi="Times New Roman" w:cs="Times New Roman"/>
          <w:color w:val="auto"/>
        </w:rPr>
      </w:pPr>
      <w:bookmarkStart w:id="177" w:name="_Toc102984292"/>
      <w:bookmarkStart w:id="178" w:name="_Toc104733328"/>
      <w:r>
        <w:rPr>
          <w:rFonts w:ascii="Times New Roman" w:hAnsi="Times New Roman" w:cs="Times New Roman"/>
          <w:color w:val="auto"/>
        </w:rPr>
        <w:t>3.3.2码头结构</w:t>
      </w:r>
      <w:bookmarkEnd w:id="177"/>
      <w:bookmarkEnd w:id="178"/>
    </w:p>
    <w:p>
      <w:pPr>
        <w:widowControl/>
        <w:ind w:firstLine="480"/>
        <w:rPr>
          <w:rFonts w:ascii="Times New Roman" w:hAnsi="Times New Roman" w:cs="Times New Roman"/>
          <w:szCs w:val="24"/>
        </w:rPr>
      </w:pPr>
      <w:r>
        <w:rPr>
          <w:rFonts w:ascii="Times New Roman" w:hAnsi="Times New Roman" w:cs="Times New Roman"/>
          <w:szCs w:val="24"/>
        </w:rPr>
        <w:t>根据作业区自然条件、使用要求、施工条件等因素及周边地区码头的建设经验，本工程采用重力式结构，码头顶面高程</w:t>
      </w:r>
      <w:r>
        <w:rPr>
          <w:rFonts w:hint="eastAsia" w:ascii="宋体" w:hAnsi="宋体" w:cs="宋体"/>
          <w:szCs w:val="24"/>
        </w:rPr>
        <w:t>▽</w:t>
      </w:r>
      <w:r>
        <w:rPr>
          <w:rFonts w:ascii="Times New Roman" w:hAnsi="Times New Roman" w:cs="Times New Roman"/>
          <w:szCs w:val="24"/>
        </w:rPr>
        <w:t>14.0m，港池设计河底高程</w:t>
      </w:r>
      <w:r>
        <w:rPr>
          <w:rFonts w:hint="eastAsia" w:ascii="宋体" w:hAnsi="宋体" w:cs="宋体"/>
          <w:szCs w:val="24"/>
        </w:rPr>
        <w:t>▽</w:t>
      </w:r>
      <w:r>
        <w:rPr>
          <w:rFonts w:ascii="Times New Roman" w:hAnsi="Times New Roman" w:cs="Times New Roman"/>
          <w:szCs w:val="24"/>
        </w:rPr>
        <w:t>4.0m。墙身高 10m，底板厚1.0m。结构顶部采用 C30 钢筋砼压顶，压顶尺寸为1.0×0.9（m），压顶上部设置高度为0.5m护轮坎（兼做防浪墙）。墙身采用 C25素砼结构，底部为宽度9.8m的C25砼底板，墙身间隔10m设置一道2cm 结构缝，结构缝填充聚乙烯板材料，墙背结构缝处通长粘贴宽100cm的 300g/m</w:t>
      </w:r>
      <w:r>
        <w:rPr>
          <w:rFonts w:ascii="Times New Roman" w:hAnsi="Times New Roman" w:cs="Times New Roman"/>
          <w:szCs w:val="24"/>
          <w:vertAlign w:val="superscript"/>
        </w:rPr>
        <w:t>2</w:t>
      </w:r>
      <w:r>
        <w:rPr>
          <w:rFonts w:ascii="Times New Roman" w:hAnsi="Times New Roman" w:cs="Times New Roman"/>
          <w:szCs w:val="24"/>
        </w:rPr>
        <w:t xml:space="preserve"> 的土工布带以防漏土。墙身设上下三层排水管，间距1.5m 交错布置，横向排水为φ75mmPVC 管，在墙后孔口处纵向设φ100mm 软式管与φ80mm 软式排水管相连，并用碎石与土工布包裹。码头前沿竖向布置 SA-A400H×3000L、SA-A400H×2500L 型橡胶护舷各一个，横向布置 SA-A300H×1000L 型橡胶护舷一个。</w:t>
      </w:r>
    </w:p>
    <w:p>
      <w:pPr>
        <w:widowControl/>
        <w:ind w:firstLine="480"/>
        <w:rPr>
          <w:rFonts w:ascii="Times New Roman" w:hAnsi="Times New Roman" w:cs="Times New Roman"/>
          <w:szCs w:val="24"/>
        </w:rPr>
      </w:pPr>
      <w:r>
        <w:rPr>
          <w:rFonts w:ascii="Times New Roman" w:hAnsi="Times New Roman" w:cs="Times New Roman"/>
          <w:szCs w:val="24"/>
        </w:rPr>
        <w:t>对1#泊位挡墙及下游Y3、Y4 翼墙底部长60m范围</w:t>
      </w:r>
      <w:r>
        <w:rPr>
          <w:rFonts w:hint="eastAsia" w:ascii="宋体" w:hAnsi="宋体" w:cs="宋体"/>
          <w:szCs w:val="24"/>
        </w:rPr>
        <w:t>③</w:t>
      </w:r>
      <w:r>
        <w:rPr>
          <w:rFonts w:ascii="Times New Roman" w:hAnsi="Times New Roman" w:cs="Times New Roman"/>
          <w:szCs w:val="24"/>
        </w:rPr>
        <w:t>层粉质粘土进行换填，要求处理后基床底部承载力要求≥220kPa。</w:t>
      </w:r>
    </w:p>
    <w:p>
      <w:pPr>
        <w:widowControl/>
        <w:ind w:firstLine="480"/>
        <w:rPr>
          <w:rFonts w:ascii="Times New Roman" w:hAnsi="Times New Roman" w:cs="Times New Roman"/>
          <w:szCs w:val="24"/>
        </w:rPr>
      </w:pPr>
      <w:r>
        <w:rPr>
          <w:rFonts w:ascii="Times New Roman" w:hAnsi="Times New Roman" w:cs="Times New Roman"/>
          <w:szCs w:val="24"/>
        </w:rPr>
        <w:t>翼墙结构总长为88m，其中上游翼墙段长度为18m，翼墙顶面高程从</w:t>
      </w:r>
      <w:r>
        <w:rPr>
          <w:rFonts w:hint="eastAsia" w:ascii="宋体" w:hAnsi="宋体" w:cs="宋体"/>
          <w:szCs w:val="24"/>
        </w:rPr>
        <w:t>▽</w:t>
      </w:r>
      <w:r>
        <w:rPr>
          <w:rFonts w:ascii="Times New Roman" w:hAnsi="Times New Roman" w:cs="Times New Roman"/>
          <w:szCs w:val="24"/>
        </w:rPr>
        <w:t>14.0渐变至</w:t>
      </w:r>
      <w:r>
        <w:rPr>
          <w:rFonts w:hint="eastAsia" w:ascii="宋体" w:hAnsi="宋体" w:cs="宋体"/>
          <w:szCs w:val="24"/>
        </w:rPr>
        <w:t>▽</w:t>
      </w:r>
      <w:r>
        <w:rPr>
          <w:rFonts w:ascii="Times New Roman" w:hAnsi="Times New Roman" w:cs="Times New Roman"/>
          <w:szCs w:val="24"/>
        </w:rPr>
        <w:t>8.0，不设置护轮坎；下游翼墙段长度为70m，翼墙顶面高程为</w:t>
      </w:r>
      <w:r>
        <w:rPr>
          <w:rFonts w:hint="eastAsia" w:ascii="宋体" w:hAnsi="宋体" w:cs="宋体"/>
          <w:szCs w:val="24"/>
        </w:rPr>
        <w:t>▽</w:t>
      </w:r>
      <w:r>
        <w:rPr>
          <w:rFonts w:ascii="Times New Roman" w:hAnsi="Times New Roman" w:cs="Times New Roman"/>
          <w:szCs w:val="24"/>
        </w:rPr>
        <w:t>14.0，压顶上部设置高度为0.5m 防浪墙。</w:t>
      </w:r>
    </w:p>
    <w:p>
      <w:pPr>
        <w:widowControl/>
        <w:ind w:firstLine="480"/>
        <w:rPr>
          <w:rFonts w:ascii="Times New Roman" w:hAnsi="Times New Roman" w:cs="Times New Roman"/>
          <w:szCs w:val="21"/>
          <w:lang w:bidi="ar"/>
        </w:rPr>
      </w:pPr>
      <w:r>
        <w:rPr>
          <w:rFonts w:ascii="Times New Roman" w:hAnsi="Times New Roman" w:cs="Times New Roman"/>
          <w:szCs w:val="24"/>
        </w:rPr>
        <w:t>港池通过疏浚形成，底高程为4.5m，边坡坡度按 1：1.5 控制，表面设有砼预制块护坡。</w:t>
      </w:r>
    </w:p>
    <w:p>
      <w:pPr>
        <w:spacing w:before="120" w:beforeLines="50" w:after="120" w:afterLines="50"/>
        <w:ind w:firstLine="0" w:firstLineChars="0"/>
        <w:outlineLvl w:val="1"/>
        <w:rPr>
          <w:rFonts w:ascii="Times New Roman" w:hAnsi="Times New Roman" w:eastAsia="黑体" w:cs="Times New Roman"/>
          <w:color w:val="auto"/>
          <w:sz w:val="28"/>
          <w:szCs w:val="28"/>
        </w:rPr>
      </w:pPr>
      <w:bookmarkStart w:id="179" w:name="_Toc102979820"/>
      <w:bookmarkStart w:id="180" w:name="_Toc104733329"/>
      <w:r>
        <w:rPr>
          <w:rFonts w:ascii="Times New Roman" w:hAnsi="Times New Roman" w:eastAsia="黑体" w:cs="Times New Roman"/>
          <w:color w:val="auto"/>
          <w:sz w:val="28"/>
          <w:szCs w:val="28"/>
        </w:rPr>
        <w:t>3.4陆域主要建设内容</w:t>
      </w:r>
      <w:bookmarkEnd w:id="179"/>
      <w:bookmarkEnd w:id="180"/>
    </w:p>
    <w:p>
      <w:pPr>
        <w:pStyle w:val="4"/>
        <w:numPr>
          <w:ilvl w:val="2"/>
          <w:numId w:val="0"/>
        </w:numPr>
        <w:jc w:val="both"/>
        <w:rPr>
          <w:rFonts w:ascii="Times New Roman" w:hAnsi="Times New Roman" w:cs="Times New Roman"/>
          <w:color w:val="auto"/>
        </w:rPr>
      </w:pPr>
      <w:bookmarkStart w:id="181" w:name="_Toc102984294"/>
      <w:bookmarkStart w:id="182" w:name="_Toc104733330"/>
      <w:r>
        <w:rPr>
          <w:rFonts w:ascii="Times New Roman" w:hAnsi="Times New Roman" w:cs="Times New Roman"/>
          <w:color w:val="auto"/>
        </w:rPr>
        <w:t>3.4.1陆域形成及高程</w:t>
      </w:r>
      <w:bookmarkEnd w:id="181"/>
      <w:bookmarkEnd w:id="182"/>
    </w:p>
    <w:p>
      <w:pPr>
        <w:ind w:firstLine="480"/>
        <w:rPr>
          <w:rFonts w:ascii="Times New Roman" w:hAnsi="Times New Roman" w:cs="Times New Roman"/>
        </w:rPr>
      </w:pPr>
      <w:r>
        <w:rPr>
          <w:rFonts w:ascii="Times New Roman" w:hAnsi="Times New Roman" w:cs="Times New Roman"/>
          <w:szCs w:val="21"/>
          <w:lang w:bidi="ar"/>
        </w:rPr>
        <w:t>建场地较平整，目前主要藕塘、拆迁空地，中间有一水沟。现状高程约</w:t>
      </w:r>
      <w:r>
        <w:rPr>
          <w:rFonts w:hint="eastAsia" w:ascii="宋体" w:hAnsi="宋体" w:cs="宋体"/>
          <w:szCs w:val="21"/>
          <w:lang w:bidi="ar"/>
        </w:rPr>
        <w:t>▽</w:t>
      </w:r>
      <w:r>
        <w:rPr>
          <w:rFonts w:ascii="Times New Roman" w:hAnsi="Times New Roman" w:cs="Times New Roman"/>
          <w:szCs w:val="21"/>
          <w:lang w:bidi="ar"/>
        </w:rPr>
        <w:t>8.0～</w:t>
      </w:r>
      <w:r>
        <w:rPr>
          <w:rFonts w:hint="eastAsia" w:ascii="宋体" w:hAnsi="宋体" w:cs="宋体"/>
          <w:szCs w:val="21"/>
          <w:lang w:bidi="ar"/>
        </w:rPr>
        <w:t>▽</w:t>
      </w:r>
      <w:r>
        <w:rPr>
          <w:rFonts w:ascii="Times New Roman" w:hAnsi="Times New Roman" w:cs="Times New Roman"/>
          <w:szCs w:val="21"/>
          <w:lang w:bidi="ar"/>
        </w:rPr>
        <w:t>14。</w:t>
      </w:r>
    </w:p>
    <w:p>
      <w:pPr>
        <w:ind w:firstLine="480"/>
        <w:rPr>
          <w:rFonts w:ascii="Times New Roman" w:hAnsi="Times New Roman" w:cs="Times New Roman"/>
        </w:rPr>
      </w:pPr>
      <w:r>
        <w:rPr>
          <w:rFonts w:ascii="Times New Roman" w:hAnsi="Times New Roman" w:cs="Times New Roman"/>
          <w:szCs w:val="21"/>
          <w:lang w:bidi="ar"/>
        </w:rPr>
        <w:t>场地整平前应先清除陆域表层土质不均匀、含较多植物根系的腐土，场地初平高程后方陆域为</w:t>
      </w:r>
      <w:r>
        <w:rPr>
          <w:rFonts w:hint="eastAsia" w:ascii="宋体" w:hAnsi="宋体" w:cs="宋体"/>
          <w:szCs w:val="21"/>
          <w:lang w:bidi="ar"/>
        </w:rPr>
        <w:t>▽</w:t>
      </w:r>
      <w:r>
        <w:rPr>
          <w:rFonts w:ascii="Times New Roman" w:hAnsi="Times New Roman" w:cs="Times New Roman"/>
          <w:szCs w:val="21"/>
          <w:lang w:bidi="ar"/>
        </w:rPr>
        <w:t>13.0，设计高程</w:t>
      </w:r>
      <w:r>
        <w:rPr>
          <w:rFonts w:hint="eastAsia" w:ascii="宋体" w:hAnsi="宋体" w:cs="宋体"/>
          <w:szCs w:val="21"/>
          <w:lang w:bidi="ar"/>
        </w:rPr>
        <w:t>▽</w:t>
      </w:r>
      <w:r>
        <w:rPr>
          <w:rFonts w:ascii="Times New Roman" w:hAnsi="Times New Roman" w:cs="Times New Roman"/>
          <w:szCs w:val="21"/>
          <w:lang w:bidi="ar"/>
        </w:rPr>
        <w:t>14.0。沟塘处应抽干河塘中积水并清除淤泥，为保证目前水系完整，拟在水沟处埋设管涵，本项目港池开挖土方经翻晒或掺灰处理达到要求后可作为陆域回填土方。</w:t>
      </w:r>
    </w:p>
    <w:p>
      <w:pPr>
        <w:ind w:firstLine="480"/>
        <w:rPr>
          <w:rFonts w:ascii="Times New Roman" w:hAnsi="Times New Roman" w:cs="Times New Roman"/>
        </w:rPr>
      </w:pPr>
      <w:r>
        <w:rPr>
          <w:rFonts w:ascii="Times New Roman" w:hAnsi="Times New Roman" w:cs="Times New Roman"/>
          <w:szCs w:val="21"/>
          <w:lang w:bidi="ar"/>
        </w:rPr>
        <w:t>根据作业区总平面布置推荐方案，陆域面积约21.2万㎡。为避免地基在使用期荷载作用下产生过大沉降，场地整平后需对地基土进行处理，地基处理的范围主要为罐区及作业区道路。</w:t>
      </w:r>
      <w:r>
        <w:rPr>
          <w:rFonts w:ascii="Times New Roman" w:hAnsi="Times New Roman" w:cs="Times New Roman"/>
          <w:color w:val="0000FF"/>
          <w:szCs w:val="21"/>
          <w:lang w:bidi="ar"/>
        </w:rPr>
        <w:t>结合场地地形、地质特点等因素，对陆域推荐采用采用强夯法</w:t>
      </w:r>
      <w:r>
        <w:rPr>
          <w:rFonts w:hint="eastAsia" w:ascii="Times New Roman" w:hAnsi="Times New Roman" w:cs="Times New Roman"/>
          <w:color w:val="0000FF"/>
          <w:szCs w:val="21"/>
          <w:lang w:bidi="ar"/>
        </w:rPr>
        <w:t>或桩基础</w:t>
      </w:r>
      <w:r>
        <w:rPr>
          <w:rFonts w:ascii="Times New Roman" w:hAnsi="Times New Roman" w:cs="Times New Roman"/>
          <w:color w:val="0000FF"/>
          <w:szCs w:val="21"/>
          <w:lang w:bidi="ar"/>
        </w:rPr>
        <w:t>和分层碾压法组合使用的方案，后方陆域西侧沟塘、废弃河道采用强夯法</w:t>
      </w:r>
      <w:r>
        <w:rPr>
          <w:rFonts w:hint="eastAsia" w:ascii="Times New Roman" w:hAnsi="Times New Roman" w:cs="Times New Roman"/>
          <w:color w:val="0000FF"/>
          <w:szCs w:val="21"/>
          <w:lang w:bidi="ar"/>
        </w:rPr>
        <w:t>或桩基础</w:t>
      </w:r>
      <w:r>
        <w:rPr>
          <w:rFonts w:ascii="Times New Roman" w:hAnsi="Times New Roman" w:cs="Times New Roman"/>
          <w:color w:val="0000FF"/>
          <w:szCs w:val="21"/>
          <w:lang w:bidi="ar"/>
        </w:rPr>
        <w:t>进行地基处理，其余区域采用分层碾压地基处理方法。</w:t>
      </w:r>
    </w:p>
    <w:p>
      <w:pPr>
        <w:widowControl/>
        <w:ind w:firstLine="480"/>
        <w:rPr>
          <w:rFonts w:ascii="Times New Roman" w:hAnsi="Times New Roman" w:cs="Times New Roman"/>
          <w:szCs w:val="21"/>
          <w:lang w:bidi="ar"/>
        </w:rPr>
      </w:pPr>
      <w:r>
        <w:rPr>
          <w:rFonts w:ascii="Times New Roman" w:hAnsi="Times New Roman" w:cs="Times New Roman"/>
          <w:szCs w:val="21"/>
          <w:lang w:bidi="ar"/>
        </w:rPr>
        <w:t>对于罐区和道路下的土基必须稳定、密实、均匀。土基压实采用重型压实标准。土基顶面以下0～80cm压实度不得低于93%，土基顶面以下80～150cm压实度不得低于90%，土基回弹模量应不小于30MPa，否则应采取措施提高土基强度。</w:t>
      </w:r>
    </w:p>
    <w:p>
      <w:pPr>
        <w:pStyle w:val="25"/>
        <w:spacing w:line="360" w:lineRule="auto"/>
        <w:ind w:firstLine="480"/>
        <w:rPr>
          <w:rFonts w:ascii="Times New Roman" w:hAnsi="Times New Roman" w:cs="Times New Roman"/>
          <w:szCs w:val="21"/>
          <w:lang w:bidi="ar"/>
        </w:rPr>
      </w:pPr>
      <w:r>
        <w:rPr>
          <w:rFonts w:ascii="Times New Roman" w:hAnsi="Times New Roman" w:cs="Times New Roman"/>
          <w:szCs w:val="21"/>
          <w:lang w:bidi="ar"/>
        </w:rPr>
        <w:t>结合后方陆域现状，考虑土方平衡，同时根据《石油库设计规范》（GB50074-2014）中 “二、三级石油库防洪标准应按重现期不小于50年设计”的要求，后方陆域高程取为14.0m。</w:t>
      </w:r>
    </w:p>
    <w:p>
      <w:pPr>
        <w:pStyle w:val="4"/>
        <w:numPr>
          <w:ilvl w:val="2"/>
          <w:numId w:val="0"/>
        </w:numPr>
        <w:jc w:val="both"/>
        <w:rPr>
          <w:rFonts w:ascii="Times New Roman" w:hAnsi="Times New Roman" w:cs="Times New Roman"/>
          <w:color w:val="0000FF"/>
        </w:rPr>
      </w:pPr>
      <w:bookmarkStart w:id="183" w:name="_Toc102984295"/>
      <w:bookmarkStart w:id="184" w:name="_Toc104733331"/>
      <w:r>
        <w:rPr>
          <w:rFonts w:ascii="Times New Roman" w:hAnsi="Times New Roman" w:cs="Times New Roman"/>
          <w:color w:val="0000FF"/>
        </w:rPr>
        <w:t>3.4.2罐区布置</w:t>
      </w:r>
      <w:bookmarkEnd w:id="183"/>
      <w:bookmarkEnd w:id="184"/>
    </w:p>
    <w:p>
      <w:pPr>
        <w:ind w:firstLine="480"/>
        <w:rPr>
          <w:rFonts w:ascii="Times New Roman" w:hAnsi="Times New Roman" w:cs="Times New Roman"/>
          <w:szCs w:val="21"/>
          <w:lang w:bidi="ar"/>
        </w:rPr>
      </w:pPr>
      <w:r>
        <w:rPr>
          <w:rFonts w:ascii="Times New Roman" w:hAnsi="Times New Roman" w:cs="Times New Roman"/>
          <w:szCs w:val="21"/>
          <w:lang w:bidi="ar"/>
        </w:rPr>
        <w:t>（1）罐区</w:t>
      </w:r>
    </w:p>
    <w:p>
      <w:pPr>
        <w:ind w:firstLine="480"/>
        <w:rPr>
          <w:rFonts w:ascii="Times New Roman" w:hAnsi="Times New Roman" w:cs="Times New Roman"/>
          <w:szCs w:val="21"/>
          <w:lang w:bidi="ar"/>
        </w:rPr>
      </w:pPr>
      <w:r>
        <w:rPr>
          <w:rFonts w:ascii="Times New Roman" w:hAnsi="Times New Roman" w:cs="Times New Roman"/>
          <w:szCs w:val="21"/>
          <w:lang w:bidi="ar"/>
        </w:rPr>
        <w:t>罐区建设3个罐组，1#罐组建设13座3000m³汽油内浮顶罐、1座1000m³乙醇内浮顶罐、2座500m³乙醇内浮顶罐；2#罐组建设13座5000m³柴油固定顶罐、3座航煤/柴油内浮顶罐；3#罐组建设16座5000m³化工品固定顶罐。总库容20.1×10</w:t>
      </w:r>
      <w:r>
        <w:rPr>
          <w:rFonts w:ascii="Times New Roman" w:hAnsi="Times New Roman" w:cs="Times New Roman"/>
          <w:szCs w:val="21"/>
          <w:vertAlign w:val="superscript"/>
          <w:lang w:bidi="ar"/>
        </w:rPr>
        <w:t>4</w:t>
      </w:r>
      <w:r>
        <w:rPr>
          <w:rFonts w:ascii="Times New Roman" w:hAnsi="Times New Roman" w:cs="Times New Roman"/>
          <w:szCs w:val="21"/>
          <w:lang w:bidi="ar"/>
        </w:rPr>
        <w:t>m³，其中汽油库容3.9×10</w:t>
      </w:r>
      <w:r>
        <w:rPr>
          <w:rFonts w:ascii="Times New Roman" w:hAnsi="Times New Roman" w:cs="Times New Roman"/>
          <w:szCs w:val="21"/>
          <w:vertAlign w:val="superscript"/>
          <w:lang w:bidi="ar"/>
        </w:rPr>
        <w:t>4</w:t>
      </w:r>
      <w:r>
        <w:rPr>
          <w:rFonts w:ascii="Times New Roman" w:hAnsi="Times New Roman" w:cs="Times New Roman"/>
          <w:szCs w:val="21"/>
          <w:lang w:bidi="ar"/>
        </w:rPr>
        <w:t>m³，乙醇库容0.2×10</w:t>
      </w:r>
      <w:r>
        <w:rPr>
          <w:rFonts w:ascii="Times New Roman" w:hAnsi="Times New Roman" w:cs="Times New Roman"/>
          <w:szCs w:val="21"/>
          <w:vertAlign w:val="superscript"/>
          <w:lang w:bidi="ar"/>
        </w:rPr>
        <w:t>4</w:t>
      </w:r>
      <w:r>
        <w:rPr>
          <w:rFonts w:ascii="Times New Roman" w:hAnsi="Times New Roman" w:cs="Times New Roman"/>
          <w:szCs w:val="21"/>
          <w:lang w:bidi="ar"/>
        </w:rPr>
        <w:t>m³，航煤库容1.5×10</w:t>
      </w:r>
      <w:r>
        <w:rPr>
          <w:rFonts w:ascii="Times New Roman" w:hAnsi="Times New Roman" w:cs="Times New Roman"/>
          <w:szCs w:val="21"/>
          <w:vertAlign w:val="superscript"/>
          <w:lang w:bidi="ar"/>
        </w:rPr>
        <w:t>4</w:t>
      </w:r>
      <w:r>
        <w:rPr>
          <w:rFonts w:ascii="Times New Roman" w:hAnsi="Times New Roman" w:cs="Times New Roman"/>
          <w:szCs w:val="21"/>
          <w:lang w:bidi="ar"/>
        </w:rPr>
        <w:t>m³，0#/-10#柴油库容6.5×10</w:t>
      </w:r>
      <w:r>
        <w:rPr>
          <w:rFonts w:ascii="Times New Roman" w:hAnsi="Times New Roman" w:cs="Times New Roman"/>
          <w:szCs w:val="21"/>
          <w:vertAlign w:val="superscript"/>
          <w:lang w:bidi="ar"/>
        </w:rPr>
        <w:t>4</w:t>
      </w:r>
      <w:r>
        <w:rPr>
          <w:rFonts w:ascii="Times New Roman" w:hAnsi="Times New Roman" w:cs="Times New Roman"/>
          <w:szCs w:val="21"/>
          <w:lang w:bidi="ar"/>
        </w:rPr>
        <w:t>m³，不燃化工品库容5×10</w:t>
      </w:r>
      <w:r>
        <w:rPr>
          <w:rFonts w:ascii="Times New Roman" w:hAnsi="Times New Roman" w:cs="Times New Roman"/>
          <w:szCs w:val="21"/>
          <w:vertAlign w:val="superscript"/>
          <w:lang w:bidi="ar"/>
        </w:rPr>
        <w:t>4</w:t>
      </w:r>
      <w:r>
        <w:rPr>
          <w:rFonts w:ascii="Times New Roman" w:hAnsi="Times New Roman" w:cs="Times New Roman"/>
          <w:szCs w:val="21"/>
          <w:lang w:bidi="ar"/>
        </w:rPr>
        <w:t>m³，根据《石油库设计规范》</w:t>
      </w:r>
      <w:r>
        <w:rPr>
          <w:rFonts w:hint="eastAsia" w:ascii="Times New Roman" w:hAnsi="Times New Roman" w:cs="Times New Roman"/>
          <w:szCs w:val="21"/>
          <w:lang w:bidi="ar"/>
        </w:rPr>
        <w:t>（</w:t>
      </w:r>
      <w:r>
        <w:rPr>
          <w:rFonts w:ascii="Times New Roman" w:hAnsi="Times New Roman" w:cs="Times New Roman"/>
          <w:szCs w:val="21"/>
          <w:lang w:bidi="ar"/>
        </w:rPr>
        <w:t>GB50074-2014</w:t>
      </w:r>
      <w:r>
        <w:rPr>
          <w:rFonts w:hint="eastAsia" w:ascii="Times New Roman" w:hAnsi="Times New Roman" w:cs="Times New Roman"/>
          <w:szCs w:val="21"/>
          <w:lang w:bidi="ar"/>
        </w:rPr>
        <w:t>）</w:t>
      </w:r>
      <w:r>
        <w:rPr>
          <w:rFonts w:ascii="Times New Roman" w:hAnsi="Times New Roman" w:cs="Times New Roman"/>
          <w:szCs w:val="21"/>
          <w:lang w:bidi="ar"/>
        </w:rPr>
        <w:t>，其中0#/-10#柴油闪点</w:t>
      </w:r>
      <w:r>
        <w:rPr>
          <w:rFonts w:hint="eastAsia" w:ascii="宋体" w:hAnsi="宋体" w:cs="宋体"/>
          <w:szCs w:val="21"/>
          <w:lang w:bidi="ar"/>
        </w:rPr>
        <w:t>≮</w:t>
      </w:r>
      <w:r>
        <w:rPr>
          <w:rFonts w:ascii="Times New Roman" w:hAnsi="Times New Roman" w:cs="Times New Roman"/>
          <w:szCs w:val="21"/>
          <w:lang w:bidi="ar"/>
        </w:rPr>
        <w:t>60℃（丙A类），可折半计入，不燃化工品不计入，折算后计算库容8.85×10</w:t>
      </w:r>
      <w:r>
        <w:rPr>
          <w:rFonts w:ascii="Times New Roman" w:hAnsi="Times New Roman" w:cs="Times New Roman"/>
          <w:szCs w:val="21"/>
          <w:vertAlign w:val="superscript"/>
          <w:lang w:bidi="ar"/>
        </w:rPr>
        <w:t>4</w:t>
      </w:r>
      <w:r>
        <w:rPr>
          <w:rFonts w:ascii="Times New Roman" w:hAnsi="Times New Roman" w:cs="Times New Roman"/>
          <w:szCs w:val="21"/>
          <w:lang w:bidi="ar"/>
        </w:rPr>
        <w:t>m³，属于二级油库。</w:t>
      </w:r>
    </w:p>
    <w:p>
      <w:pPr>
        <w:adjustRightInd/>
        <w:snapToGrid/>
        <w:ind w:firstLine="482" w:firstLineChars="0"/>
        <w:rPr>
          <w:rFonts w:ascii="Times New Roman" w:hAnsi="Times New Roman" w:cs="Times New Roman"/>
          <w:szCs w:val="21"/>
          <w:lang w:bidi="ar"/>
        </w:rPr>
      </w:pPr>
      <w:r>
        <w:rPr>
          <w:rFonts w:ascii="Times New Roman" w:hAnsi="Times New Roman" w:cs="Times New Roman"/>
          <w:szCs w:val="21"/>
          <w:lang w:bidi="ar"/>
        </w:rPr>
        <w:t>1#罐组西侧设置1#泵棚，内设汽油装车/船泵，乙醇调合泵，装船泵兼倒罐泵。1#泵棚北侧建设1</w:t>
      </w:r>
      <w:r>
        <w:rPr>
          <w:rFonts w:hint="eastAsia" w:ascii="Times New Roman" w:hAnsi="Times New Roman" w:cs="Times New Roman"/>
          <w:szCs w:val="21"/>
          <w:lang w:bidi="ar"/>
        </w:rPr>
        <w:t>套2</w:t>
      </w:r>
      <w:r>
        <w:rPr>
          <w:rFonts w:ascii="Times New Roman" w:hAnsi="Times New Roman" w:cs="Times New Roman"/>
          <w:szCs w:val="21"/>
          <w:lang w:bidi="ar"/>
        </w:rPr>
        <w:t>00</w:t>
      </w:r>
      <w:r>
        <w:rPr>
          <w:rFonts w:hint="eastAsia" w:ascii="Times New Roman" w:hAnsi="Times New Roman" w:cs="Times New Roman"/>
          <w:szCs w:val="21"/>
          <w:lang w:bidi="ar"/>
        </w:rPr>
        <w:t>型</w:t>
      </w:r>
      <w:r>
        <w:rPr>
          <w:rFonts w:ascii="Times New Roman" w:hAnsi="Times New Roman" w:cs="Times New Roman"/>
          <w:szCs w:val="21"/>
          <w:lang w:bidi="ar"/>
        </w:rPr>
        <w:t>油气回收装置，用于回收处理码头发汽油产生的油气。</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2#罐组西侧设置2#泵棚，内设柴油装车/船泵，装船泵兼倒罐泵。</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3#罐组西侧设置3#泵棚，内设化工品装车/船泵，装车泵兼倒罐泵。3#泵棚南侧建设1</w:t>
      </w:r>
      <w:r>
        <w:rPr>
          <w:rFonts w:hint="eastAsia" w:ascii="Times New Roman" w:hAnsi="Times New Roman" w:cs="Times New Roman"/>
          <w:szCs w:val="21"/>
          <w:lang w:bidi="ar"/>
        </w:rPr>
        <w:t>套8</w:t>
      </w:r>
      <w:r>
        <w:rPr>
          <w:rFonts w:ascii="Times New Roman" w:hAnsi="Times New Roman" w:cs="Times New Roman"/>
          <w:szCs w:val="21"/>
          <w:lang w:bidi="ar"/>
        </w:rPr>
        <w:t>00</w:t>
      </w:r>
      <w:r>
        <w:rPr>
          <w:rFonts w:hint="eastAsia" w:ascii="Times New Roman" w:hAnsi="Times New Roman" w:cs="Times New Roman"/>
          <w:szCs w:val="21"/>
          <w:lang w:bidi="ar"/>
        </w:rPr>
        <w:t>型</w:t>
      </w:r>
      <w:r>
        <w:rPr>
          <w:rFonts w:ascii="Times New Roman" w:hAnsi="Times New Roman" w:cs="Times New Roman"/>
          <w:szCs w:val="21"/>
          <w:lang w:bidi="ar"/>
        </w:rPr>
        <w:t>油气回收装置，用于回收处理公路发汽油产生的油气。</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（2）公路卸车区</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罐区停车场北侧，建设公路卸车区，内设液碱等化工品、汽油、柴油、乙醇公路卸车泵。公路卸车采用地磅计量。</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（3）公路装车区</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公路装车区建有2座装车罩棚，成品油和化工品罩棚分开布置。</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成品油装车罩棚下设10座装车岛，共设置22个汽柴油下装装车鹤管，10套油气回收臂，3个柴油上装装车鹤管，采用定量发油控制系统。</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酸碱装车罩棚下设8座装车岛，共设置16套上装鹤管，双侧装车，采用定量发油控制系统。</w:t>
      </w:r>
    </w:p>
    <w:p>
      <w:pPr>
        <w:pStyle w:val="4"/>
        <w:numPr>
          <w:ilvl w:val="2"/>
          <w:numId w:val="0"/>
        </w:numPr>
        <w:jc w:val="both"/>
        <w:rPr>
          <w:rFonts w:ascii="Times New Roman" w:hAnsi="Times New Roman" w:cs="Times New Roman"/>
          <w:color w:val="0000FF"/>
        </w:rPr>
      </w:pPr>
      <w:bookmarkStart w:id="185" w:name="_Toc104733332"/>
      <w:r>
        <w:rPr>
          <w:rFonts w:ascii="Times New Roman" w:hAnsi="Times New Roman" w:cs="Times New Roman"/>
          <w:color w:val="0000FF"/>
        </w:rPr>
        <w:t>3.4.3储罐的周转次数</w:t>
      </w:r>
      <w:bookmarkEnd w:id="185"/>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根据工程设计资料，储罐周转次数采用下式计算：</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k= G/（Vs·ρ·</w:t>
      </w:r>
      <w:r>
        <w:rPr>
          <w:rFonts w:ascii="Times New Roman" w:hAnsi="Times New Roman" w:cs="Times New Roman"/>
          <w:szCs w:val="21"/>
          <w:lang w:bidi="ar"/>
        </w:rPr>
        <w:object>
          <v:shape id="_x0000_i1030" o:spt="75" type="#_x0000_t75" style="height:12.75pt;width:11.25pt;" o:ole="t" filled="f" o:preferrelative="t" stroked="f" coordsize="21600,21600">
            <v:path/>
            <v:fill on="f" focussize="0,0"/>
            <v:stroke on="f" joinstyle="miter"/>
            <v:imagedata r:id="rId59" o:title=""/>
            <o:lock v:ext="edit" aspectratio="t"/>
            <w10:wrap type="none"/>
            <w10:anchorlock/>
          </v:shape>
          <o:OLEObject Type="Embed" ProgID="Equation.3" ShapeID="_x0000_i1030" DrawAspect="Content" ObjectID="_1468075730" r:id="rId58">
            <o:LockedField>false</o:LockedField>
          </o:OLEObject>
        </w:object>
      </w:r>
      <w:r>
        <w:rPr>
          <w:rFonts w:ascii="Times New Roman" w:hAnsi="Times New Roman" w:cs="Times New Roman"/>
          <w:szCs w:val="21"/>
          <w:lang w:bidi="ar"/>
        </w:rPr>
        <w:t>）</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k——周转次数；</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Vs——储罐容量，m</w:t>
      </w:r>
      <w:r>
        <w:rPr>
          <w:rFonts w:ascii="Times New Roman" w:hAnsi="Times New Roman" w:cs="Times New Roman"/>
          <w:szCs w:val="21"/>
          <w:vertAlign w:val="superscript"/>
          <w:lang w:bidi="ar"/>
        </w:rPr>
        <w:t>3</w:t>
      </w:r>
      <w:r>
        <w:rPr>
          <w:rFonts w:ascii="Times New Roman" w:hAnsi="Times New Roman" w:cs="Times New Roman"/>
          <w:szCs w:val="21"/>
          <w:lang w:bidi="ar"/>
        </w:rPr>
        <w:t>；</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G——周转量，t/a；</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object>
          <v:shape id="_x0000_i1031" o:spt="75" type="#_x0000_t75" style="height:12.75pt;width:12pt;" o:ole="t" filled="f" o:preferrelative="t" stroked="f" coordsize="21600,21600">
            <v:path/>
            <v:fill on="f" focussize="0,0"/>
            <v:stroke on="f" joinstyle="miter"/>
            <v:imagedata r:id="rId61" o:title=""/>
            <o:lock v:ext="edit" aspectratio="t"/>
            <w10:wrap type="none"/>
            <w10:anchorlock/>
          </v:shape>
          <o:OLEObject Type="Embed" ProgID="Equation.3" ShapeID="_x0000_i1031" DrawAspect="Content" ObjectID="_1468075731" r:id="rId60">
            <o:LockedField>false</o:LockedField>
          </o:OLEObject>
        </w:object>
      </w:r>
      <w:r>
        <w:rPr>
          <w:rFonts w:ascii="Times New Roman" w:hAnsi="Times New Roman" w:cs="Times New Roman"/>
          <w:szCs w:val="21"/>
          <w:lang w:bidi="ar"/>
        </w:rPr>
        <w:t>——油品密度，t/m</w:t>
      </w:r>
      <w:r>
        <w:rPr>
          <w:rFonts w:ascii="Times New Roman" w:hAnsi="Times New Roman" w:cs="Times New Roman"/>
          <w:szCs w:val="21"/>
          <w:vertAlign w:val="superscript"/>
          <w:lang w:bidi="ar"/>
        </w:rPr>
        <w:t>3</w:t>
      </w:r>
      <w:r>
        <w:rPr>
          <w:rFonts w:ascii="Times New Roman" w:hAnsi="Times New Roman" w:cs="Times New Roman"/>
          <w:szCs w:val="21"/>
          <w:lang w:bidi="ar"/>
        </w:rPr>
        <w:t>；</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object>
          <v:shape id="_x0000_i1032" o:spt="75" type="#_x0000_t75" style="height:12.75pt;width:11.25pt;" o:ole="t" filled="f" o:preferrelative="t" stroked="f" coordsize="21600,21600">
            <v:path/>
            <v:fill on="f" focussize="0,0"/>
            <v:stroke on="f" joinstyle="miter"/>
            <v:imagedata r:id="rId59" o:title=""/>
            <o:lock v:ext="edit" aspectratio="t"/>
            <w10:wrap type="none"/>
            <w10:anchorlock/>
          </v:shape>
          <o:OLEObject Type="Embed" ProgID="Equation.3" ShapeID="_x0000_i1032" DrawAspect="Content" ObjectID="_1468075732" r:id="rId62">
            <o:LockedField>false</o:LockedField>
          </o:OLEObject>
        </w:object>
      </w:r>
      <w:r>
        <w:rPr>
          <w:rFonts w:ascii="Times New Roman" w:hAnsi="Times New Roman" w:cs="Times New Roman"/>
          <w:szCs w:val="21"/>
          <w:lang w:bidi="ar"/>
        </w:rPr>
        <w:t>——油罐利用系数，取0.9。</w:t>
      </w:r>
    </w:p>
    <w:p>
      <w:pPr>
        <w:adjustRightInd/>
        <w:snapToGrid/>
        <w:ind w:firstLine="480"/>
        <w:rPr>
          <w:rFonts w:ascii="Times New Roman" w:hAnsi="Times New Roman" w:cs="Times New Roman"/>
          <w:szCs w:val="21"/>
          <w:lang w:bidi="ar"/>
        </w:rPr>
      </w:pPr>
      <w:r>
        <w:rPr>
          <w:rFonts w:ascii="Times New Roman" w:hAnsi="Times New Roman" w:cs="Times New Roman"/>
          <w:szCs w:val="21"/>
          <w:lang w:bidi="ar"/>
        </w:rPr>
        <w:t>计算结果见表3.4-1~3。</w:t>
      </w:r>
    </w:p>
    <w:p>
      <w:pPr>
        <w:pStyle w:val="25"/>
        <w:spacing w:before="59" w:after="3"/>
        <w:ind w:right="156" w:firstLine="442"/>
        <w:jc w:val="center"/>
        <w:rPr>
          <w:rFonts w:ascii="Times New Roman" w:hAnsi="Times New Roman" w:cs="Times New Roman"/>
          <w:b/>
          <w:bCs/>
          <w:color w:val="auto"/>
          <w:sz w:val="22"/>
          <w:szCs w:val="21"/>
        </w:rPr>
      </w:pPr>
      <w:r>
        <w:rPr>
          <w:rFonts w:ascii="Times New Roman" w:hAnsi="Times New Roman" w:cs="Times New Roman"/>
          <w:b/>
          <w:bCs/>
          <w:color w:val="auto"/>
          <w:sz w:val="22"/>
          <w:szCs w:val="21"/>
        </w:rPr>
        <w:t>表3.4-1      1#罐组各品种周转量、周转次数及储罐分配明细表</w:t>
      </w:r>
    </w:p>
    <w:tbl>
      <w:tblPr>
        <w:tblStyle w:val="62"/>
        <w:tblW w:w="890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82"/>
        <w:gridCol w:w="1782"/>
        <w:gridCol w:w="1779"/>
        <w:gridCol w:w="1779"/>
        <w:gridCol w:w="177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29" w:hRule="atLeast"/>
        </w:trPr>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油品</w:t>
            </w:r>
          </w:p>
        </w:tc>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单罐容积</w:t>
            </w:r>
          </w:p>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m³</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数量</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周转量</w:t>
            </w:r>
          </w:p>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万吨/年</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周转次数</w:t>
            </w:r>
          </w:p>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次/年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92#汽油</w:t>
            </w:r>
          </w:p>
        </w:tc>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3000</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1779" w:type="dxa"/>
            <w:vMerge w:val="restart"/>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w:t>
            </w:r>
          </w:p>
        </w:tc>
        <w:tc>
          <w:tcPr>
            <w:tcW w:w="1779" w:type="dxa"/>
            <w:vMerge w:val="restart"/>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95#汽油</w:t>
            </w:r>
          </w:p>
        </w:tc>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3000</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1779" w:type="dxa"/>
            <w:vMerge w:val="continue"/>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1779" w:type="dxa"/>
            <w:vMerge w:val="continue"/>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29" w:hRule="atLeast"/>
        </w:trPr>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乙醇</w:t>
            </w:r>
          </w:p>
        </w:tc>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0.5</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29" w:hRule="atLeast"/>
        </w:trPr>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92#汽油</w:t>
            </w:r>
          </w:p>
        </w:tc>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3000</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4.5</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95#汽油</w:t>
            </w:r>
          </w:p>
        </w:tc>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3000</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2.0</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92#汽油</w:t>
            </w:r>
          </w:p>
        </w:tc>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3000</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7.0</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29" w:hRule="atLeast"/>
        </w:trPr>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95#汽油</w:t>
            </w:r>
          </w:p>
        </w:tc>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3000</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29" w:hRule="atLeast"/>
        </w:trPr>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98#汽油</w:t>
            </w:r>
          </w:p>
        </w:tc>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3000</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2.0</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乙醇</w:t>
            </w:r>
          </w:p>
        </w:tc>
        <w:tc>
          <w:tcPr>
            <w:tcW w:w="17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1000</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1.3</w:t>
            </w:r>
          </w:p>
        </w:tc>
        <w:tc>
          <w:tcPr>
            <w:tcW w:w="177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18.3</w:t>
            </w:r>
          </w:p>
        </w:tc>
      </w:tr>
    </w:tbl>
    <w:p>
      <w:pPr>
        <w:pStyle w:val="25"/>
        <w:spacing w:before="59" w:after="3"/>
        <w:ind w:right="156" w:firstLine="442"/>
        <w:jc w:val="center"/>
        <w:rPr>
          <w:rFonts w:ascii="Times New Roman" w:hAnsi="Times New Roman" w:cs="Times New Roman"/>
          <w:b/>
          <w:bCs/>
          <w:color w:val="auto"/>
          <w:sz w:val="22"/>
          <w:szCs w:val="21"/>
        </w:rPr>
      </w:pPr>
      <w:r>
        <w:rPr>
          <w:rFonts w:ascii="Times New Roman" w:hAnsi="Times New Roman" w:cs="Times New Roman"/>
          <w:b/>
          <w:bCs/>
          <w:color w:val="auto"/>
          <w:sz w:val="22"/>
          <w:szCs w:val="21"/>
        </w:rPr>
        <w:t>表3.4-2      2#罐组各品种周转量、周转次数及储罐分配明细表</w:t>
      </w:r>
    </w:p>
    <w:tbl>
      <w:tblPr>
        <w:tblStyle w:val="62"/>
        <w:tblW w:w="895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52"/>
        <w:gridCol w:w="1800"/>
        <w:gridCol w:w="1800"/>
        <w:gridCol w:w="1800"/>
        <w:gridCol w:w="180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1752"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
                <w:color w:val="auto"/>
                <w:kern w:val="24"/>
                <w:sz w:val="18"/>
                <w:szCs w:val="18"/>
              </w:rPr>
              <w:t>油品</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单罐容积</w:t>
            </w:r>
          </w:p>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m³</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数量</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周转量</w:t>
            </w:r>
          </w:p>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万吨/年</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周转次数</w:t>
            </w:r>
          </w:p>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次/年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1752"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柴油</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5000</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6</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16</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7.1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1752"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柴油</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5000</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3</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6.5</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1752"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柴油</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5000</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4</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16</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10.6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1752"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航煤</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5000</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3</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1.5</w:t>
            </w:r>
          </w:p>
        </w:tc>
        <w:tc>
          <w:tcPr>
            <w:tcW w:w="1800" w:type="dxa"/>
            <w:shd w:val="clear" w:color="auto" w:fill="auto"/>
            <w:vAlign w:val="center"/>
          </w:tcPr>
          <w:p>
            <w:pPr>
              <w:adjustRightInd/>
              <w:snapToGrid/>
              <w:spacing w:line="240" w:lineRule="auto"/>
              <w:ind w:firstLine="0" w:firstLineChars="0"/>
              <w:jc w:val="center"/>
              <w:rPr>
                <w:rFonts w:ascii="Times New Roman" w:hAnsi="Times New Roman" w:cs="Times New Roman"/>
                <w:bCs/>
                <w:color w:val="auto"/>
                <w:kern w:val="24"/>
                <w:sz w:val="18"/>
                <w:szCs w:val="18"/>
              </w:rPr>
            </w:pPr>
            <w:r>
              <w:rPr>
                <w:rFonts w:ascii="Times New Roman" w:hAnsi="Times New Roman" w:cs="Times New Roman"/>
                <w:bCs/>
                <w:color w:val="auto"/>
                <w:kern w:val="24"/>
                <w:sz w:val="18"/>
                <w:szCs w:val="18"/>
              </w:rPr>
              <w:t>1</w:t>
            </w:r>
          </w:p>
        </w:tc>
      </w:tr>
    </w:tbl>
    <w:p>
      <w:pPr>
        <w:pStyle w:val="25"/>
        <w:spacing w:before="59" w:after="3"/>
        <w:ind w:right="156" w:firstLine="442"/>
        <w:jc w:val="center"/>
        <w:rPr>
          <w:rFonts w:ascii="Times New Roman" w:hAnsi="Times New Roman" w:cs="Times New Roman"/>
          <w:b/>
          <w:bCs/>
          <w:color w:val="auto"/>
          <w:sz w:val="22"/>
          <w:szCs w:val="21"/>
        </w:rPr>
      </w:pPr>
      <w:r>
        <w:rPr>
          <w:rFonts w:ascii="Times New Roman" w:hAnsi="Times New Roman" w:cs="Times New Roman"/>
          <w:b/>
          <w:bCs/>
          <w:color w:val="auto"/>
          <w:sz w:val="22"/>
          <w:szCs w:val="21"/>
        </w:rPr>
        <w:t>表3.4-3      3#罐组各品种周转量、周转次数及储罐分配明细表</w:t>
      </w:r>
    </w:p>
    <w:tbl>
      <w:tblPr>
        <w:tblStyle w:val="62"/>
        <w:tblW w:w="8935"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87"/>
        <w:gridCol w:w="1787"/>
        <w:gridCol w:w="1787"/>
        <w:gridCol w:w="1787"/>
        <w:gridCol w:w="178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7" w:hRule="atLeast"/>
        </w:trPr>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b/>
                <w:color w:val="auto"/>
                <w:kern w:val="24"/>
                <w:sz w:val="18"/>
                <w:szCs w:val="18"/>
              </w:rPr>
            </w:pPr>
            <w:r>
              <w:rPr>
                <w:rFonts w:hint="eastAsia" w:ascii="Times New Roman" w:hAnsi="Times New Roman" w:cs="Times New Roman"/>
                <w:b/>
                <w:color w:val="auto"/>
                <w:kern w:val="24"/>
                <w:sz w:val="18"/>
                <w:szCs w:val="18"/>
              </w:rPr>
              <w:t>化工品</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单罐容积</w:t>
            </w:r>
          </w:p>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m³</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数量</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周转量</w:t>
            </w:r>
          </w:p>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万吨/年</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周转次数</w:t>
            </w:r>
          </w:p>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b/>
                <w:color w:val="auto"/>
                <w:kern w:val="24"/>
                <w:sz w:val="18"/>
                <w:szCs w:val="18"/>
              </w:rPr>
              <w:t>次/年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7" w:hRule="atLeast"/>
        </w:trPr>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98%H</w:t>
            </w:r>
            <w:r>
              <w:rPr>
                <w:rFonts w:ascii="Times New Roman" w:hAnsi="Times New Roman" w:cs="Times New Roman"/>
                <w:color w:val="auto"/>
                <w:sz w:val="18"/>
                <w:szCs w:val="18"/>
                <w:vertAlign w:val="subscript"/>
              </w:rPr>
              <w:t>2</w:t>
            </w:r>
            <w:r>
              <w:rPr>
                <w:rFonts w:ascii="Times New Roman" w:hAnsi="Times New Roman" w:cs="Times New Roman"/>
                <w:color w:val="auto"/>
                <w:sz w:val="18"/>
                <w:szCs w:val="18"/>
              </w:rPr>
              <w:t>SO</w:t>
            </w:r>
            <w:r>
              <w:rPr>
                <w:rFonts w:ascii="Times New Roman" w:hAnsi="Times New Roman" w:cs="Times New Roman"/>
                <w:color w:val="auto"/>
                <w:sz w:val="18"/>
                <w:szCs w:val="18"/>
                <w:vertAlign w:val="subscript"/>
              </w:rPr>
              <w:t>4</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4</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7" w:hRule="atLeast"/>
        </w:trPr>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 xml:space="preserve">32%NaOH </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7</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7" w:hRule="atLeast"/>
        </w:trPr>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 xml:space="preserve">50%NaOH </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7" w:hRule="atLeast"/>
        </w:trPr>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48%KOH</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7" w:hRule="atLeast"/>
        </w:trPr>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30%CaCl</w:t>
            </w:r>
            <w:r>
              <w:rPr>
                <w:rFonts w:ascii="Times New Roman" w:hAnsi="Times New Roman" w:cs="Times New Roman"/>
                <w:color w:val="auto"/>
                <w:sz w:val="18"/>
                <w:szCs w:val="18"/>
                <w:vertAlign w:val="subscript"/>
              </w:rPr>
              <w:t>2</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7" w:hRule="atLeast"/>
        </w:trPr>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预留</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w:t>
            </w:r>
          </w:p>
        </w:tc>
        <w:tc>
          <w:tcPr>
            <w:tcW w:w="17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w:t>
            </w:r>
          </w:p>
        </w:tc>
      </w:tr>
    </w:tbl>
    <w:p>
      <w:pPr>
        <w:pStyle w:val="4"/>
        <w:numPr>
          <w:ilvl w:val="2"/>
          <w:numId w:val="0"/>
        </w:numPr>
        <w:jc w:val="both"/>
        <w:rPr>
          <w:rFonts w:ascii="Times New Roman" w:hAnsi="Times New Roman" w:cs="Times New Roman"/>
          <w:color w:val="0000FF"/>
        </w:rPr>
      </w:pPr>
      <w:bookmarkStart w:id="186" w:name="_Toc102984296"/>
      <w:bookmarkStart w:id="187" w:name="_Toc104733333"/>
      <w:r>
        <w:rPr>
          <w:rFonts w:ascii="Times New Roman" w:hAnsi="Times New Roman" w:cs="Times New Roman"/>
          <w:color w:val="0000FF"/>
        </w:rPr>
        <w:t>3.4.4储罐结构</w:t>
      </w:r>
      <w:bookmarkEnd w:id="186"/>
      <w:bookmarkEnd w:id="187"/>
    </w:p>
    <w:p>
      <w:pPr>
        <w:ind w:firstLine="480"/>
        <w:rPr>
          <w:rFonts w:ascii="Times New Roman" w:hAnsi="Times New Roman" w:cs="Times New Roman"/>
        </w:rPr>
      </w:pPr>
      <w:r>
        <w:rPr>
          <w:rFonts w:ascii="Times New Roman" w:hAnsi="Times New Roman" w:cs="Times New Roman"/>
          <w:szCs w:val="21"/>
          <w:lang w:bidi="ar"/>
        </w:rPr>
        <w:t>根据工程设计资料，本项目陆域罐组储罐结构见表3.4-4~3.4.6：</w:t>
      </w:r>
    </w:p>
    <w:p>
      <w:pPr>
        <w:pStyle w:val="25"/>
        <w:spacing w:before="59" w:after="3"/>
        <w:ind w:right="156" w:firstLine="442"/>
        <w:jc w:val="center"/>
        <w:rPr>
          <w:rFonts w:ascii="Times New Roman" w:hAnsi="Times New Roman" w:cs="Times New Roman"/>
          <w:b/>
          <w:bCs/>
          <w:color w:val="auto"/>
          <w:sz w:val="22"/>
          <w:szCs w:val="21"/>
        </w:rPr>
      </w:pPr>
      <w:r>
        <w:rPr>
          <w:rFonts w:ascii="Times New Roman" w:hAnsi="Times New Roman" w:cs="Times New Roman"/>
          <w:b/>
          <w:bCs/>
          <w:color w:val="auto"/>
          <w:sz w:val="22"/>
          <w:szCs w:val="21"/>
        </w:rPr>
        <w:t>表3.4-4    1#罐组储罐明细表</w:t>
      </w:r>
    </w:p>
    <w:tbl>
      <w:tblPr>
        <w:tblStyle w:val="62"/>
        <w:tblW w:w="885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73"/>
        <w:gridCol w:w="1616"/>
        <w:gridCol w:w="974"/>
        <w:gridCol w:w="974"/>
        <w:gridCol w:w="1088"/>
        <w:gridCol w:w="1616"/>
        <w:gridCol w:w="161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2" w:hRule="atLeast"/>
        </w:trPr>
        <w:tc>
          <w:tcPr>
            <w:tcW w:w="97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油品</w:t>
            </w:r>
          </w:p>
        </w:tc>
        <w:tc>
          <w:tcPr>
            <w:tcW w:w="161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单罐容积</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m³</w:t>
            </w:r>
          </w:p>
        </w:tc>
        <w:tc>
          <w:tcPr>
            <w:tcW w:w="97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数量</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座</w:t>
            </w:r>
          </w:p>
        </w:tc>
        <w:tc>
          <w:tcPr>
            <w:tcW w:w="97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直径</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m</w:t>
            </w:r>
          </w:p>
        </w:tc>
        <w:tc>
          <w:tcPr>
            <w:tcW w:w="1088"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高度</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m</w:t>
            </w:r>
          </w:p>
        </w:tc>
        <w:tc>
          <w:tcPr>
            <w:tcW w:w="161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储罐形式</w:t>
            </w:r>
          </w:p>
        </w:tc>
        <w:tc>
          <w:tcPr>
            <w:tcW w:w="161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是否氮封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2" w:hRule="atLeast"/>
        </w:trPr>
        <w:tc>
          <w:tcPr>
            <w:tcW w:w="97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汽油</w:t>
            </w:r>
          </w:p>
        </w:tc>
        <w:tc>
          <w:tcPr>
            <w:tcW w:w="161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3000</w:t>
            </w:r>
          </w:p>
        </w:tc>
        <w:tc>
          <w:tcPr>
            <w:tcW w:w="97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13</w:t>
            </w:r>
          </w:p>
        </w:tc>
        <w:tc>
          <w:tcPr>
            <w:tcW w:w="97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17.0</w:t>
            </w:r>
          </w:p>
        </w:tc>
        <w:tc>
          <w:tcPr>
            <w:tcW w:w="1088"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15.86</w:t>
            </w:r>
          </w:p>
        </w:tc>
        <w:tc>
          <w:tcPr>
            <w:tcW w:w="161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内浮顶</w:t>
            </w:r>
          </w:p>
        </w:tc>
        <w:tc>
          <w:tcPr>
            <w:tcW w:w="161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2" w:hRule="atLeast"/>
        </w:trPr>
        <w:tc>
          <w:tcPr>
            <w:tcW w:w="97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乙醇</w:t>
            </w:r>
          </w:p>
        </w:tc>
        <w:tc>
          <w:tcPr>
            <w:tcW w:w="161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1000</w:t>
            </w:r>
          </w:p>
        </w:tc>
        <w:tc>
          <w:tcPr>
            <w:tcW w:w="97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97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11.5</w:t>
            </w:r>
          </w:p>
        </w:tc>
        <w:tc>
          <w:tcPr>
            <w:tcW w:w="1088"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11.88</w:t>
            </w:r>
          </w:p>
        </w:tc>
        <w:tc>
          <w:tcPr>
            <w:tcW w:w="161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内浮顶</w:t>
            </w:r>
          </w:p>
        </w:tc>
        <w:tc>
          <w:tcPr>
            <w:tcW w:w="161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2" w:hRule="atLeast"/>
        </w:trPr>
        <w:tc>
          <w:tcPr>
            <w:tcW w:w="97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乙醇</w:t>
            </w:r>
          </w:p>
        </w:tc>
        <w:tc>
          <w:tcPr>
            <w:tcW w:w="161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w:t>
            </w:r>
          </w:p>
        </w:tc>
        <w:tc>
          <w:tcPr>
            <w:tcW w:w="97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97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8.5</w:t>
            </w:r>
          </w:p>
        </w:tc>
        <w:tc>
          <w:tcPr>
            <w:tcW w:w="1088"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9.92</w:t>
            </w:r>
          </w:p>
        </w:tc>
        <w:tc>
          <w:tcPr>
            <w:tcW w:w="161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内浮顶</w:t>
            </w:r>
          </w:p>
        </w:tc>
        <w:tc>
          <w:tcPr>
            <w:tcW w:w="161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bl>
    <w:p>
      <w:pPr>
        <w:pStyle w:val="25"/>
        <w:spacing w:before="59" w:after="3"/>
        <w:ind w:right="156" w:firstLine="442"/>
        <w:jc w:val="center"/>
        <w:rPr>
          <w:rFonts w:ascii="Times New Roman" w:hAnsi="Times New Roman" w:cs="Times New Roman"/>
          <w:b/>
          <w:bCs/>
          <w:color w:val="auto"/>
          <w:sz w:val="22"/>
          <w:szCs w:val="21"/>
        </w:rPr>
      </w:pPr>
      <w:r>
        <w:rPr>
          <w:rFonts w:ascii="Times New Roman" w:hAnsi="Times New Roman" w:cs="Times New Roman"/>
          <w:b/>
          <w:bCs/>
          <w:color w:val="auto"/>
          <w:sz w:val="22"/>
          <w:szCs w:val="21"/>
        </w:rPr>
        <w:t>表3.4-5      2#罐组储罐明细表</w:t>
      </w:r>
    </w:p>
    <w:tbl>
      <w:tblPr>
        <w:tblStyle w:val="62"/>
        <w:tblW w:w="886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01"/>
        <w:gridCol w:w="1611"/>
        <w:gridCol w:w="971"/>
        <w:gridCol w:w="971"/>
        <w:gridCol w:w="1085"/>
        <w:gridCol w:w="1611"/>
        <w:gridCol w:w="161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6" w:hRule="atLeast"/>
        </w:trPr>
        <w:tc>
          <w:tcPr>
            <w:tcW w:w="100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油品</w:t>
            </w:r>
          </w:p>
        </w:tc>
        <w:tc>
          <w:tcPr>
            <w:tcW w:w="161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单罐容积</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m³</w:t>
            </w:r>
          </w:p>
        </w:tc>
        <w:tc>
          <w:tcPr>
            <w:tcW w:w="97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数量</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座</w:t>
            </w:r>
          </w:p>
        </w:tc>
        <w:tc>
          <w:tcPr>
            <w:tcW w:w="97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直径</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m</w:t>
            </w:r>
          </w:p>
        </w:tc>
        <w:tc>
          <w:tcPr>
            <w:tcW w:w="1085"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高度</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m</w:t>
            </w:r>
          </w:p>
        </w:tc>
        <w:tc>
          <w:tcPr>
            <w:tcW w:w="161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储罐形式</w:t>
            </w:r>
          </w:p>
        </w:tc>
        <w:tc>
          <w:tcPr>
            <w:tcW w:w="161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是否氮封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6" w:hRule="atLeast"/>
        </w:trPr>
        <w:tc>
          <w:tcPr>
            <w:tcW w:w="100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柴油</w:t>
            </w:r>
          </w:p>
        </w:tc>
        <w:tc>
          <w:tcPr>
            <w:tcW w:w="161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97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13</w:t>
            </w:r>
          </w:p>
        </w:tc>
        <w:tc>
          <w:tcPr>
            <w:tcW w:w="97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19.5</w:t>
            </w:r>
          </w:p>
        </w:tc>
        <w:tc>
          <w:tcPr>
            <w:tcW w:w="1085"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17.84</w:t>
            </w:r>
          </w:p>
        </w:tc>
        <w:tc>
          <w:tcPr>
            <w:tcW w:w="161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固定顶</w:t>
            </w:r>
          </w:p>
        </w:tc>
        <w:tc>
          <w:tcPr>
            <w:tcW w:w="161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6" w:hRule="atLeast"/>
        </w:trPr>
        <w:tc>
          <w:tcPr>
            <w:tcW w:w="100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航煤</w:t>
            </w:r>
          </w:p>
        </w:tc>
        <w:tc>
          <w:tcPr>
            <w:tcW w:w="161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97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w:t>
            </w:r>
          </w:p>
        </w:tc>
        <w:tc>
          <w:tcPr>
            <w:tcW w:w="97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19.5</w:t>
            </w:r>
          </w:p>
        </w:tc>
        <w:tc>
          <w:tcPr>
            <w:tcW w:w="1085"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17.84</w:t>
            </w:r>
          </w:p>
        </w:tc>
        <w:tc>
          <w:tcPr>
            <w:tcW w:w="161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内浮顶</w:t>
            </w:r>
          </w:p>
        </w:tc>
        <w:tc>
          <w:tcPr>
            <w:tcW w:w="1611"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bl>
    <w:p>
      <w:pPr>
        <w:pStyle w:val="25"/>
        <w:spacing w:before="59" w:after="3"/>
        <w:ind w:right="156" w:firstLine="442"/>
        <w:jc w:val="center"/>
        <w:rPr>
          <w:rFonts w:ascii="Times New Roman" w:hAnsi="Times New Roman" w:cs="Times New Roman"/>
          <w:b/>
          <w:bCs/>
          <w:color w:val="auto"/>
          <w:sz w:val="22"/>
          <w:szCs w:val="21"/>
        </w:rPr>
      </w:pPr>
      <w:r>
        <w:rPr>
          <w:rFonts w:ascii="Times New Roman" w:hAnsi="Times New Roman" w:cs="Times New Roman"/>
          <w:b/>
          <w:bCs/>
          <w:color w:val="auto"/>
          <w:sz w:val="22"/>
          <w:szCs w:val="21"/>
        </w:rPr>
        <w:t>表3.4-6      3#罐组储罐明细表</w:t>
      </w:r>
    </w:p>
    <w:tbl>
      <w:tblPr>
        <w:tblStyle w:val="62"/>
        <w:tblW w:w="8814"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66"/>
        <w:gridCol w:w="1465"/>
        <w:gridCol w:w="882"/>
        <w:gridCol w:w="882"/>
        <w:gridCol w:w="987"/>
        <w:gridCol w:w="1299"/>
        <w:gridCol w:w="16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0" w:hRule="atLeast"/>
        </w:trPr>
        <w:tc>
          <w:tcPr>
            <w:tcW w:w="166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物料名称</w:t>
            </w:r>
          </w:p>
        </w:tc>
        <w:tc>
          <w:tcPr>
            <w:tcW w:w="1465"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单罐容积</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m³</w:t>
            </w:r>
          </w:p>
        </w:tc>
        <w:tc>
          <w:tcPr>
            <w:tcW w:w="8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数量</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座</w:t>
            </w:r>
          </w:p>
        </w:tc>
        <w:tc>
          <w:tcPr>
            <w:tcW w:w="8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直径</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m</w:t>
            </w:r>
          </w:p>
        </w:tc>
        <w:tc>
          <w:tcPr>
            <w:tcW w:w="9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高度</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m</w:t>
            </w:r>
          </w:p>
        </w:tc>
        <w:tc>
          <w:tcPr>
            <w:tcW w:w="129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储罐形式</w:t>
            </w:r>
          </w:p>
        </w:tc>
        <w:tc>
          <w:tcPr>
            <w:tcW w:w="163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是否氮封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0" w:hRule="atLeast"/>
        </w:trPr>
        <w:tc>
          <w:tcPr>
            <w:tcW w:w="166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98%H</w:t>
            </w:r>
            <w:r>
              <w:rPr>
                <w:rFonts w:ascii="Times New Roman" w:hAnsi="Times New Roman" w:cs="Times New Roman"/>
                <w:color w:val="auto"/>
                <w:sz w:val="18"/>
                <w:szCs w:val="18"/>
                <w:vertAlign w:val="subscript"/>
              </w:rPr>
              <w:t>2</w:t>
            </w:r>
            <w:r>
              <w:rPr>
                <w:rFonts w:ascii="Times New Roman" w:hAnsi="Times New Roman" w:cs="Times New Roman"/>
                <w:color w:val="auto"/>
                <w:sz w:val="18"/>
                <w:szCs w:val="18"/>
              </w:rPr>
              <w:t>SO</w:t>
            </w:r>
            <w:r>
              <w:rPr>
                <w:rFonts w:ascii="Times New Roman" w:hAnsi="Times New Roman" w:cs="Times New Roman"/>
                <w:color w:val="auto"/>
                <w:sz w:val="18"/>
                <w:szCs w:val="18"/>
                <w:vertAlign w:val="subscript"/>
              </w:rPr>
              <w:t>4</w:t>
            </w:r>
          </w:p>
        </w:tc>
        <w:tc>
          <w:tcPr>
            <w:tcW w:w="1465"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8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4</w:t>
            </w:r>
          </w:p>
        </w:tc>
        <w:tc>
          <w:tcPr>
            <w:tcW w:w="8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19.5</w:t>
            </w:r>
          </w:p>
        </w:tc>
        <w:tc>
          <w:tcPr>
            <w:tcW w:w="9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17.84</w:t>
            </w:r>
          </w:p>
        </w:tc>
        <w:tc>
          <w:tcPr>
            <w:tcW w:w="129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固定顶</w:t>
            </w:r>
          </w:p>
        </w:tc>
        <w:tc>
          <w:tcPr>
            <w:tcW w:w="163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0" w:hRule="atLeast"/>
        </w:trPr>
        <w:tc>
          <w:tcPr>
            <w:tcW w:w="166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 xml:space="preserve">32%NaOH </w:t>
            </w:r>
          </w:p>
        </w:tc>
        <w:tc>
          <w:tcPr>
            <w:tcW w:w="1465"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8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7</w:t>
            </w:r>
          </w:p>
        </w:tc>
        <w:tc>
          <w:tcPr>
            <w:tcW w:w="8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19.5</w:t>
            </w:r>
          </w:p>
        </w:tc>
        <w:tc>
          <w:tcPr>
            <w:tcW w:w="9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17.84</w:t>
            </w:r>
          </w:p>
        </w:tc>
        <w:tc>
          <w:tcPr>
            <w:tcW w:w="129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固定顶</w:t>
            </w:r>
          </w:p>
        </w:tc>
        <w:tc>
          <w:tcPr>
            <w:tcW w:w="163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0" w:hRule="atLeast"/>
        </w:trPr>
        <w:tc>
          <w:tcPr>
            <w:tcW w:w="166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 xml:space="preserve">50%NaOH </w:t>
            </w:r>
          </w:p>
        </w:tc>
        <w:tc>
          <w:tcPr>
            <w:tcW w:w="1465" w:type="dxa"/>
            <w:shd w:val="clear" w:color="auto" w:fill="auto"/>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8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8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19.5</w:t>
            </w:r>
          </w:p>
        </w:tc>
        <w:tc>
          <w:tcPr>
            <w:tcW w:w="9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17.84</w:t>
            </w:r>
          </w:p>
        </w:tc>
        <w:tc>
          <w:tcPr>
            <w:tcW w:w="129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固定顶</w:t>
            </w:r>
          </w:p>
        </w:tc>
        <w:tc>
          <w:tcPr>
            <w:tcW w:w="163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0" w:hRule="atLeast"/>
        </w:trPr>
        <w:tc>
          <w:tcPr>
            <w:tcW w:w="166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48%KOH</w:t>
            </w:r>
          </w:p>
        </w:tc>
        <w:tc>
          <w:tcPr>
            <w:tcW w:w="1465" w:type="dxa"/>
            <w:shd w:val="clear" w:color="auto" w:fill="auto"/>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8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8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19.5</w:t>
            </w:r>
          </w:p>
        </w:tc>
        <w:tc>
          <w:tcPr>
            <w:tcW w:w="9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17.84</w:t>
            </w:r>
          </w:p>
        </w:tc>
        <w:tc>
          <w:tcPr>
            <w:tcW w:w="129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固定顶</w:t>
            </w:r>
          </w:p>
        </w:tc>
        <w:tc>
          <w:tcPr>
            <w:tcW w:w="163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0" w:hRule="atLeast"/>
        </w:trPr>
        <w:tc>
          <w:tcPr>
            <w:tcW w:w="1666"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30%CaCl</w:t>
            </w:r>
            <w:r>
              <w:rPr>
                <w:rFonts w:ascii="Times New Roman" w:hAnsi="Times New Roman" w:cs="Times New Roman"/>
                <w:color w:val="auto"/>
                <w:sz w:val="18"/>
                <w:szCs w:val="18"/>
                <w:vertAlign w:val="subscript"/>
              </w:rPr>
              <w:t>2</w:t>
            </w:r>
          </w:p>
        </w:tc>
        <w:tc>
          <w:tcPr>
            <w:tcW w:w="1465" w:type="dxa"/>
            <w:shd w:val="clear" w:color="auto" w:fill="auto"/>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8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882"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19.5</w:t>
            </w:r>
          </w:p>
        </w:tc>
        <w:tc>
          <w:tcPr>
            <w:tcW w:w="98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17.84</w:t>
            </w:r>
          </w:p>
        </w:tc>
        <w:tc>
          <w:tcPr>
            <w:tcW w:w="1299"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固定顶</w:t>
            </w:r>
          </w:p>
        </w:tc>
        <w:tc>
          <w:tcPr>
            <w:tcW w:w="163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bl>
    <w:p>
      <w:pPr>
        <w:pStyle w:val="4"/>
        <w:numPr>
          <w:ilvl w:val="2"/>
          <w:numId w:val="0"/>
        </w:numPr>
        <w:jc w:val="both"/>
        <w:rPr>
          <w:rFonts w:ascii="Times New Roman" w:hAnsi="Times New Roman" w:cs="Times New Roman"/>
          <w:color w:val="0000FF"/>
        </w:rPr>
      </w:pPr>
      <w:bookmarkStart w:id="188" w:name="_Toc104733334"/>
      <w:bookmarkStart w:id="189" w:name="_Toc102979821"/>
      <w:r>
        <w:rPr>
          <w:rFonts w:ascii="Times New Roman" w:hAnsi="Times New Roman" w:cs="Times New Roman"/>
          <w:color w:val="0000FF"/>
        </w:rPr>
        <w:t>3.4.5储罐保温</w:t>
      </w:r>
      <w:bookmarkEnd w:id="188"/>
    </w:p>
    <w:p>
      <w:pPr>
        <w:adjustRightInd/>
        <w:ind w:firstLine="480"/>
        <w:rPr>
          <w:rFonts w:ascii="Times New Roman" w:hAnsi="Times New Roman" w:cs="Times New Roman"/>
          <w:kern w:val="24"/>
          <w:szCs w:val="20"/>
          <w:lang w:bidi="ar"/>
        </w:rPr>
      </w:pPr>
      <w:r>
        <w:rPr>
          <w:rFonts w:ascii="Times New Roman" w:hAnsi="Times New Roman" w:cs="Times New Roman"/>
          <w:kern w:val="24"/>
          <w:szCs w:val="20"/>
          <w:lang w:bidi="ar"/>
        </w:rPr>
        <w:t>运营期，氢氧化钠储罐区域进行保温防止结晶；热源为合肥循环经济示范园区蒸汽管网，温度为280℃，蒸汽量1.5t/h，压力1.0MPa，经过换热站蒸汽-热水换热器换热后，提供热水为氢氧化钠储罐伴热，热水温度为80/60℃，进储罐前在热水供水管道分别设置气动调节阀，根据储罐内温度计控制调节阀启停，以保证储罐内介质温度在50℃左右。</w:t>
      </w:r>
    </w:p>
    <w:p>
      <w:pPr>
        <w:adjustRightInd/>
        <w:ind w:firstLine="480"/>
        <w:rPr>
          <w:rFonts w:ascii="Times New Roman" w:hAnsi="Times New Roman" w:cs="Times New Roman"/>
          <w:kern w:val="24"/>
          <w:szCs w:val="20"/>
          <w:lang w:bidi="ar"/>
        </w:rPr>
      </w:pPr>
      <w:r>
        <w:rPr>
          <w:rFonts w:ascii="Times New Roman" w:hAnsi="Times New Roman" w:cs="Times New Roman"/>
          <w:kern w:val="24"/>
          <w:szCs w:val="20"/>
          <w:lang w:bidi="ar"/>
        </w:rPr>
        <w:t>换热站内换热机组采用螺旋缠绕管换热器，设置循环水泵为热水系统循环使用，设置全自动软化水装置、水箱、补水泵，通过热水回水管压力传感器控制为热水系统补水。</w:t>
      </w:r>
    </w:p>
    <w:p>
      <w:pPr>
        <w:adjustRightInd/>
        <w:ind w:firstLine="480"/>
        <w:rPr>
          <w:rFonts w:ascii="Times New Roman" w:hAnsi="Times New Roman" w:cs="Times New Roman"/>
          <w:kern w:val="24"/>
          <w:szCs w:val="20"/>
          <w:lang w:bidi="ar"/>
        </w:rPr>
      </w:pPr>
      <w:r>
        <w:rPr>
          <w:rFonts w:ascii="Times New Roman" w:hAnsi="Times New Roman" w:cs="Times New Roman"/>
          <w:kern w:val="24"/>
          <w:szCs w:val="20"/>
          <w:lang w:bidi="ar"/>
        </w:rPr>
        <w:t>室外蒸汽及冷凝水管道采用架空敷设，蒸汽管道设置疏水阀；热水管道采用埋地敷设。</w:t>
      </w:r>
    </w:p>
    <w:p>
      <w:pPr>
        <w:spacing w:before="120" w:beforeLines="50" w:after="120" w:afterLines="50" w:line="500" w:lineRule="exact"/>
        <w:ind w:firstLine="0" w:firstLineChars="0"/>
        <w:outlineLvl w:val="1"/>
        <w:rPr>
          <w:rFonts w:ascii="Times New Roman" w:hAnsi="Times New Roman" w:eastAsia="黑体" w:cs="Times New Roman"/>
          <w:color w:val="auto"/>
          <w:sz w:val="28"/>
          <w:szCs w:val="28"/>
        </w:rPr>
      </w:pPr>
      <w:bookmarkStart w:id="190" w:name="_Toc104733335"/>
      <w:r>
        <w:rPr>
          <w:rFonts w:ascii="Times New Roman" w:hAnsi="Times New Roman" w:eastAsia="黑体" w:cs="Times New Roman"/>
          <w:color w:val="auto"/>
          <w:sz w:val="28"/>
          <w:szCs w:val="28"/>
        </w:rPr>
        <w:t>3.5装卸工艺</w:t>
      </w:r>
      <w:bookmarkEnd w:id="189"/>
      <w:bookmarkEnd w:id="190"/>
    </w:p>
    <w:p>
      <w:pPr>
        <w:pStyle w:val="4"/>
        <w:numPr>
          <w:ilvl w:val="2"/>
          <w:numId w:val="0"/>
        </w:numPr>
        <w:jc w:val="both"/>
        <w:rPr>
          <w:rFonts w:ascii="Times New Roman" w:hAnsi="Times New Roman" w:cs="Times New Roman"/>
          <w:color w:val="auto"/>
        </w:rPr>
      </w:pPr>
      <w:bookmarkStart w:id="191" w:name="_Toc104733336"/>
      <w:bookmarkStart w:id="192" w:name="_Toc102984298"/>
      <w:r>
        <w:rPr>
          <w:rFonts w:ascii="Times New Roman" w:hAnsi="Times New Roman" w:cs="Times New Roman"/>
          <w:color w:val="auto"/>
        </w:rPr>
        <w:t>3.5.1工艺</w:t>
      </w:r>
      <w:bookmarkEnd w:id="176"/>
      <w:r>
        <w:rPr>
          <w:rFonts w:ascii="Times New Roman" w:hAnsi="Times New Roman" w:cs="Times New Roman"/>
          <w:color w:val="auto"/>
        </w:rPr>
        <w:t>方案</w:t>
      </w:r>
      <w:bookmarkEnd w:id="191"/>
      <w:bookmarkEnd w:id="192"/>
    </w:p>
    <w:p>
      <w:pPr>
        <w:ind w:firstLine="482" w:firstLineChars="0"/>
        <w:rPr>
          <w:rFonts w:ascii="Times New Roman" w:hAnsi="Times New Roman" w:cs="Times New Roman"/>
          <w:kern w:val="24"/>
          <w:szCs w:val="20"/>
          <w:lang w:bidi="ar"/>
        </w:rPr>
      </w:pPr>
      <w:bookmarkStart w:id="193" w:name="_Toc321302451"/>
      <w:r>
        <w:rPr>
          <w:rFonts w:ascii="Times New Roman" w:hAnsi="Times New Roman" w:cs="Times New Roman"/>
          <w:kern w:val="24"/>
          <w:szCs w:val="20"/>
          <w:lang w:bidi="ar"/>
        </w:rPr>
        <w:t>装卸设备的配置选型除满足年设计的吞吐量要求外，同时还应该考虑船舶在港停留时间、设计代表船型、运量、流向、物料特性、安全等因素进行。</w:t>
      </w:r>
    </w:p>
    <w:p>
      <w:pPr>
        <w:adjustRightInd/>
        <w:ind w:firstLine="482"/>
        <w:rPr>
          <w:rFonts w:ascii="Times New Roman" w:hAnsi="Times New Roman" w:cs="Times New Roman"/>
          <w:b/>
          <w:bCs/>
          <w:kern w:val="24"/>
          <w:szCs w:val="20"/>
          <w:lang w:bidi="ar"/>
        </w:rPr>
      </w:pPr>
      <w:r>
        <w:rPr>
          <w:rFonts w:ascii="Times New Roman" w:hAnsi="Times New Roman" w:cs="Times New Roman"/>
          <w:b/>
          <w:bCs/>
          <w:kern w:val="24"/>
          <w:szCs w:val="20"/>
          <w:lang w:bidi="ar"/>
        </w:rPr>
        <w:t>（1）油品装卸方案</w:t>
      </w:r>
    </w:p>
    <w:p>
      <w:pPr>
        <w:adjustRightInd/>
        <w:ind w:firstLine="480"/>
        <w:rPr>
          <w:rFonts w:ascii="Times New Roman" w:hAnsi="Times New Roman" w:cs="Times New Roman"/>
          <w:kern w:val="24"/>
          <w:szCs w:val="20"/>
          <w:lang w:bidi="ar"/>
        </w:rPr>
      </w:pPr>
      <w:r>
        <w:rPr>
          <w:rFonts w:ascii="Times New Roman" w:hAnsi="Times New Roman" w:cs="Times New Roman"/>
          <w:kern w:val="24"/>
          <w:szCs w:val="20"/>
          <w:lang w:bidi="ar"/>
        </w:rPr>
        <w:t>码头前沿可停靠1000DWT及以下的油船。5#~7#泊位可装卸成品油，并预留航煤管线，码头前沿中部设置油品接卸装置（输油臂），油品通过船载泵卸船通过码头上专用管线输送至后方油库储罐。装卸船工艺管线共用。</w:t>
      </w:r>
    </w:p>
    <w:p>
      <w:pPr>
        <w:adjustRightInd/>
        <w:ind w:firstLine="480"/>
        <w:rPr>
          <w:rFonts w:ascii="Times New Roman" w:hAnsi="Times New Roman" w:cs="Times New Roman"/>
          <w:kern w:val="24"/>
          <w:szCs w:val="20"/>
          <w:lang w:bidi="ar"/>
        </w:rPr>
      </w:pPr>
      <w:r>
        <w:rPr>
          <w:rFonts w:ascii="Times New Roman" w:hAnsi="Times New Roman" w:cs="Times New Roman"/>
          <w:kern w:val="24"/>
          <w:szCs w:val="20"/>
          <w:lang w:bidi="ar"/>
        </w:rPr>
        <w:t>汽柴油装船利用装船泵加压通过专用管线输送至码头前沿，利用输油臂送至油船；码头装汽油、航空煤油</w:t>
      </w:r>
      <w:r>
        <w:rPr>
          <w:rFonts w:hint="eastAsia" w:ascii="Times New Roman" w:hAnsi="Times New Roman" w:cs="Times New Roman"/>
          <w:kern w:val="24"/>
          <w:szCs w:val="20"/>
          <w:lang w:bidi="ar"/>
        </w:rPr>
        <w:t>、乙醇</w:t>
      </w:r>
      <w:r>
        <w:rPr>
          <w:rFonts w:ascii="Times New Roman" w:hAnsi="Times New Roman" w:cs="Times New Roman"/>
          <w:kern w:val="24"/>
          <w:szCs w:val="20"/>
          <w:lang w:bidi="ar"/>
        </w:rPr>
        <w:t>时，油气集中收集送至油气回收装置进行处理。装船泵及油气回收装置位于陆域罐区内。</w:t>
      </w:r>
    </w:p>
    <w:p>
      <w:pPr>
        <w:adjustRightInd/>
        <w:ind w:firstLine="482"/>
        <w:rPr>
          <w:rFonts w:ascii="Times New Roman" w:hAnsi="Times New Roman" w:cs="Times New Roman"/>
          <w:b/>
          <w:bCs/>
          <w:color w:val="auto"/>
          <w:szCs w:val="24"/>
        </w:rPr>
      </w:pPr>
      <w:r>
        <w:rPr>
          <w:rFonts w:ascii="Times New Roman" w:hAnsi="Times New Roman" w:cs="Times New Roman"/>
          <w:b/>
          <w:bCs/>
          <w:color w:val="auto"/>
          <w:szCs w:val="24"/>
        </w:rPr>
        <w:t>（2）化工品装卸方案</w:t>
      </w:r>
    </w:p>
    <w:p>
      <w:pPr>
        <w:adjustRightInd/>
        <w:ind w:firstLine="480"/>
        <w:jc w:val="left"/>
        <w:rPr>
          <w:rFonts w:ascii="Times New Roman" w:hAnsi="Times New Roman" w:cs="Times New Roman"/>
          <w:color w:val="auto"/>
          <w:szCs w:val="24"/>
        </w:rPr>
      </w:pPr>
      <w:r>
        <w:rPr>
          <w:rFonts w:ascii="Times New Roman" w:hAnsi="Times New Roman" w:cs="Times New Roman"/>
          <w:color w:val="auto"/>
          <w:szCs w:val="24"/>
        </w:rPr>
        <w:t>1#~4#泊位可进行98%H</w:t>
      </w:r>
      <w:r>
        <w:rPr>
          <w:rFonts w:ascii="Times New Roman" w:hAnsi="Times New Roman" w:cs="Times New Roman"/>
          <w:color w:val="auto"/>
          <w:szCs w:val="24"/>
          <w:vertAlign w:val="subscript"/>
        </w:rPr>
        <w:t>2</w:t>
      </w:r>
      <w:r>
        <w:rPr>
          <w:rFonts w:ascii="Times New Roman" w:hAnsi="Times New Roman" w:cs="Times New Roman"/>
          <w:color w:val="auto"/>
          <w:szCs w:val="24"/>
        </w:rPr>
        <w:t>SO</w:t>
      </w:r>
      <w:r>
        <w:rPr>
          <w:rFonts w:ascii="Times New Roman" w:hAnsi="Times New Roman" w:cs="Times New Roman"/>
          <w:color w:val="auto"/>
          <w:szCs w:val="24"/>
          <w:vertAlign w:val="subscript"/>
        </w:rPr>
        <w:t>4</w:t>
      </w:r>
      <w:r>
        <w:rPr>
          <w:rFonts w:ascii="Times New Roman" w:hAnsi="Times New Roman" w:cs="Times New Roman"/>
          <w:color w:val="auto"/>
          <w:szCs w:val="24"/>
        </w:rPr>
        <w:t>、48%KOH、30%CaCl</w:t>
      </w:r>
      <w:r>
        <w:rPr>
          <w:rFonts w:ascii="Times New Roman" w:hAnsi="Times New Roman" w:cs="Times New Roman"/>
          <w:color w:val="auto"/>
          <w:szCs w:val="24"/>
          <w:vertAlign w:val="subscript"/>
        </w:rPr>
        <w:t>2</w:t>
      </w:r>
      <w:r>
        <w:rPr>
          <w:rFonts w:ascii="Times New Roman" w:hAnsi="Times New Roman" w:cs="Times New Roman"/>
          <w:color w:val="auto"/>
          <w:szCs w:val="24"/>
        </w:rPr>
        <w:t>卸船，32%NaOH、50%NaOH装船。码头前沿中部设置连接软管，98%H</w:t>
      </w:r>
      <w:r>
        <w:rPr>
          <w:rFonts w:ascii="Times New Roman" w:hAnsi="Times New Roman" w:cs="Times New Roman"/>
          <w:color w:val="auto"/>
          <w:szCs w:val="24"/>
          <w:vertAlign w:val="subscript"/>
        </w:rPr>
        <w:t>2</w:t>
      </w:r>
      <w:r>
        <w:rPr>
          <w:rFonts w:ascii="Times New Roman" w:hAnsi="Times New Roman" w:cs="Times New Roman"/>
          <w:color w:val="auto"/>
          <w:szCs w:val="24"/>
        </w:rPr>
        <w:t>SO</w:t>
      </w:r>
      <w:r>
        <w:rPr>
          <w:rFonts w:ascii="Times New Roman" w:hAnsi="Times New Roman" w:cs="Times New Roman"/>
          <w:color w:val="auto"/>
          <w:szCs w:val="24"/>
          <w:vertAlign w:val="subscript"/>
        </w:rPr>
        <w:t>4</w:t>
      </w:r>
      <w:r>
        <w:rPr>
          <w:rFonts w:ascii="Times New Roman" w:hAnsi="Times New Roman" w:cs="Times New Roman"/>
          <w:color w:val="auto"/>
          <w:szCs w:val="24"/>
        </w:rPr>
        <w:t>单独设置软管，液碱及其他单独设置软管。化工品利用船载泵卸船通过码头上管线输送至后方陆域储罐。液碱装船利用液碱装船泵加压通过管线输送至码头前沿。装卸船共用管线。</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32%NaOH、50%NaOH装船利用装船泵加压通过管线输送至码头前沿，装船泵位于</w:t>
      </w:r>
      <w:r>
        <w:rPr>
          <w:rFonts w:ascii="Times New Roman" w:hAnsi="Times New Roman" w:cs="Times New Roman"/>
          <w:kern w:val="24"/>
          <w:szCs w:val="20"/>
          <w:lang w:bidi="ar"/>
        </w:rPr>
        <w:t>陆域罐区内</w:t>
      </w:r>
      <w:r>
        <w:rPr>
          <w:rFonts w:ascii="Times New Roman" w:hAnsi="Times New Roman" w:cs="Times New Roman"/>
          <w:color w:val="auto"/>
          <w:szCs w:val="24"/>
        </w:rPr>
        <w:t>。</w:t>
      </w:r>
    </w:p>
    <w:p>
      <w:pPr>
        <w:topLinePunct/>
        <w:adjustRightInd/>
        <w:ind w:firstLine="482"/>
        <w:rPr>
          <w:rFonts w:ascii="Times New Roman" w:hAnsi="Times New Roman" w:cs="Times New Roman"/>
          <w:b/>
          <w:bCs/>
          <w:color w:val="auto"/>
          <w:szCs w:val="24"/>
        </w:rPr>
      </w:pPr>
      <w:r>
        <w:rPr>
          <w:rFonts w:ascii="Times New Roman" w:hAnsi="Times New Roman" w:cs="Times New Roman"/>
          <w:b/>
          <w:bCs/>
          <w:color w:val="auto"/>
          <w:szCs w:val="24"/>
        </w:rPr>
        <w:t>（3）装卸船时间核算</w:t>
      </w:r>
    </w:p>
    <w:p>
      <w:pPr>
        <w:topLinePunct/>
        <w:adjustRightInd/>
        <w:ind w:firstLine="480"/>
        <w:rPr>
          <w:rFonts w:ascii="Times New Roman" w:hAnsi="Times New Roman" w:cs="Times New Roman"/>
          <w:color w:val="auto"/>
          <w:szCs w:val="24"/>
        </w:rPr>
      </w:pPr>
      <w:r>
        <w:rPr>
          <w:rFonts w:ascii="Times New Roman" w:hAnsi="Times New Roman" w:cs="Times New Roman"/>
          <w:color w:val="auto"/>
          <w:szCs w:val="24"/>
        </w:rPr>
        <w:t>1000吨级船舶成品油船载泵流量约200m³/h，1000吨级船舶化工品船载泵流量约100m³/h。成品油装船泵流量约200m³/h，1000吨级船舶化工品装船泵流量约100m³/h。经计算，一艘油船成品油净装卸船时间为6.67h，化工品净卸船时间为7.50h。</w:t>
      </w:r>
    </w:p>
    <w:p>
      <w:pPr>
        <w:adjustRightInd/>
        <w:ind w:firstLine="482"/>
        <w:rPr>
          <w:rFonts w:ascii="Times New Roman" w:hAnsi="Times New Roman" w:cs="Times New Roman"/>
          <w:b/>
          <w:bCs/>
          <w:color w:val="auto"/>
          <w:szCs w:val="24"/>
        </w:rPr>
      </w:pPr>
      <w:r>
        <w:rPr>
          <w:rFonts w:ascii="Times New Roman" w:hAnsi="Times New Roman" w:cs="Times New Roman"/>
          <w:b/>
          <w:bCs/>
          <w:color w:val="auto"/>
          <w:szCs w:val="24"/>
        </w:rPr>
        <w:t>（4）码头收发油管线的确定</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油品管线口径选用，管径按下式计算：</w:t>
      </w:r>
    </w:p>
    <w:p>
      <w:pPr>
        <w:adjustRightInd/>
        <w:snapToGrid/>
        <w:ind w:firstLine="480"/>
        <w:jc w:val="center"/>
        <w:rPr>
          <w:rFonts w:ascii="Times New Roman" w:hAnsi="Times New Roman" w:cs="Times New Roman"/>
          <w:color w:val="auto"/>
          <w:szCs w:val="24"/>
        </w:rPr>
      </w:pPr>
      <w:bookmarkStart w:id="194" w:name="_1377188963"/>
      <w:bookmarkEnd w:id="194"/>
      <w:r>
        <w:rPr>
          <w:rFonts w:ascii="Times New Roman" w:hAnsi="Times New Roman" w:cs="Times New Roman"/>
          <w:color w:val="auto"/>
          <w:position w:val="-26"/>
          <w:szCs w:val="24"/>
        </w:rPr>
        <w:object>
          <v:shape id="_x0000_i1033" o:spt="75" type="#_x0000_t75" style="height:34.5pt;width:87pt;" o:ole="t" filled="f" o:preferrelative="t" stroked="f" coordsize="21600,21600">
            <v:path/>
            <v:fill on="f" focussize="0,0"/>
            <v:stroke on="f" joinstyle="miter"/>
            <v:imagedata r:id="rId64" o:title=""/>
            <o:lock v:ext="edit" aspectratio="t"/>
            <w10:wrap type="none"/>
            <w10:anchorlock/>
          </v:shape>
          <o:OLEObject Type="Embed" ProgID="Word.Document.8" ShapeID="_x0000_i1033" DrawAspect="Content" ObjectID="_1468075733" r:id="rId63">
            <o:LockedField>false</o:LockedField>
          </o:OLEObject>
        </w:object>
      </w:r>
    </w:p>
    <w:p>
      <w:pPr>
        <w:adjustRightInd/>
        <w:snapToGrid/>
        <w:ind w:firstLine="480"/>
        <w:rPr>
          <w:rFonts w:ascii="Times New Roman" w:hAnsi="Times New Roman" w:cs="Times New Roman"/>
          <w:color w:val="auto"/>
          <w:szCs w:val="24"/>
        </w:rPr>
      </w:pPr>
      <w:r>
        <w:rPr>
          <w:rFonts w:ascii="Times New Roman" w:hAnsi="Times New Roman" w:cs="Times New Roman"/>
          <w:color w:val="auto"/>
          <w:szCs w:val="24"/>
        </w:rPr>
        <w:t>式中：</w:t>
      </w:r>
    </w:p>
    <w:p>
      <w:pPr>
        <w:adjustRightInd/>
        <w:snapToGrid/>
        <w:ind w:firstLine="480"/>
        <w:rPr>
          <w:rFonts w:ascii="Times New Roman" w:hAnsi="Times New Roman" w:cs="Times New Roman"/>
          <w:color w:val="auto"/>
          <w:szCs w:val="24"/>
        </w:rPr>
      </w:pPr>
      <w:r>
        <w:rPr>
          <w:rFonts w:ascii="Times New Roman" w:hAnsi="Times New Roman" w:cs="Times New Roman"/>
          <w:color w:val="auto"/>
          <w:szCs w:val="24"/>
        </w:rPr>
        <w:t>d—管道的公称直径，m；</w:t>
      </w:r>
    </w:p>
    <w:p>
      <w:pPr>
        <w:widowControl/>
        <w:adjustRightInd/>
        <w:snapToGrid/>
        <w:ind w:firstLine="480"/>
        <w:rPr>
          <w:rFonts w:ascii="Times New Roman" w:hAnsi="Times New Roman" w:cs="Times New Roman"/>
          <w:color w:val="auto"/>
          <w:szCs w:val="24"/>
        </w:rPr>
      </w:pPr>
      <w:r>
        <w:rPr>
          <w:rFonts w:ascii="Times New Roman" w:hAnsi="Times New Roman" w:cs="Times New Roman"/>
          <w:color w:val="auto"/>
          <w:szCs w:val="24"/>
        </w:rPr>
        <w:t>Q—泵的排出流量，m</w:t>
      </w:r>
      <w:r>
        <w:rPr>
          <w:rFonts w:ascii="Times New Roman" w:hAnsi="Times New Roman" w:cs="Times New Roman"/>
          <w:color w:val="auto"/>
          <w:szCs w:val="24"/>
          <w:vertAlign w:val="superscript"/>
        </w:rPr>
        <w:t>3</w:t>
      </w:r>
      <w:r>
        <w:rPr>
          <w:rFonts w:ascii="Times New Roman" w:hAnsi="Times New Roman" w:cs="Times New Roman"/>
          <w:color w:val="auto"/>
          <w:szCs w:val="24"/>
        </w:rPr>
        <w:t>/h；汽柴油装船采用单泵工作，装船流量约为200m</w:t>
      </w:r>
      <w:r>
        <w:rPr>
          <w:rFonts w:ascii="Times New Roman" w:hAnsi="Times New Roman" w:cs="Times New Roman"/>
          <w:color w:val="auto"/>
          <w:szCs w:val="24"/>
          <w:vertAlign w:val="superscript"/>
        </w:rPr>
        <w:t>3</w:t>
      </w:r>
      <w:r>
        <w:rPr>
          <w:rFonts w:ascii="Times New Roman" w:hAnsi="Times New Roman" w:cs="Times New Roman"/>
          <w:color w:val="auto"/>
          <w:szCs w:val="24"/>
        </w:rPr>
        <w:t>/h；化工品装船采用双泵工作，装船流量约为100m</w:t>
      </w:r>
      <w:r>
        <w:rPr>
          <w:rFonts w:ascii="Times New Roman" w:hAnsi="Times New Roman" w:cs="Times New Roman"/>
          <w:color w:val="auto"/>
          <w:szCs w:val="24"/>
          <w:vertAlign w:val="superscript"/>
        </w:rPr>
        <w:t>3</w:t>
      </w:r>
      <w:r>
        <w:rPr>
          <w:rFonts w:ascii="Times New Roman" w:hAnsi="Times New Roman" w:cs="Times New Roman"/>
          <w:color w:val="auto"/>
          <w:szCs w:val="24"/>
        </w:rPr>
        <w:t>/h，化工品采用3台泵同时工作，装船流量约为150m</w:t>
      </w:r>
      <w:r>
        <w:rPr>
          <w:rFonts w:ascii="Times New Roman" w:hAnsi="Times New Roman" w:cs="Times New Roman"/>
          <w:color w:val="auto"/>
          <w:szCs w:val="24"/>
          <w:vertAlign w:val="superscript"/>
        </w:rPr>
        <w:t>3</w:t>
      </w:r>
      <w:r>
        <w:rPr>
          <w:rFonts w:ascii="Times New Roman" w:hAnsi="Times New Roman" w:cs="Times New Roman"/>
          <w:color w:val="auto"/>
          <w:szCs w:val="24"/>
        </w:rPr>
        <w:t>/h；</w:t>
      </w:r>
    </w:p>
    <w:p>
      <w:pPr>
        <w:adjustRightInd/>
        <w:snapToGrid/>
        <w:ind w:firstLine="480"/>
        <w:rPr>
          <w:rFonts w:ascii="Times New Roman" w:hAnsi="Times New Roman" w:cs="Times New Roman"/>
          <w:color w:val="auto"/>
          <w:szCs w:val="24"/>
        </w:rPr>
      </w:pPr>
      <w:r>
        <w:rPr>
          <w:rFonts w:ascii="Times New Roman" w:hAnsi="Times New Roman" w:cs="Times New Roman"/>
          <w:color w:val="auto"/>
          <w:szCs w:val="24"/>
        </w:rPr>
        <w:t>v—管道内油品的计算流速，m/s；成品油、航煤泵前后管线流速2m/s，化工品泵前后管线流速1m/s。</w:t>
      </w:r>
    </w:p>
    <w:p>
      <w:pPr>
        <w:adjustRightInd/>
        <w:snapToGrid/>
        <w:ind w:firstLine="480"/>
        <w:rPr>
          <w:rFonts w:ascii="Times New Roman" w:hAnsi="Times New Roman" w:cs="Times New Roman"/>
          <w:kern w:val="24"/>
          <w:szCs w:val="24"/>
          <w:lang w:bidi="ar"/>
        </w:rPr>
      </w:pPr>
      <w:r>
        <w:rPr>
          <w:rFonts w:ascii="Times New Roman" w:hAnsi="Times New Roman" w:cs="Times New Roman"/>
          <w:kern w:val="24"/>
          <w:szCs w:val="24"/>
          <w:lang w:bidi="ar"/>
        </w:rPr>
        <w:t>装卸船管道配备：</w:t>
      </w:r>
    </w:p>
    <w:p>
      <w:pPr>
        <w:adjustRightInd/>
        <w:snapToGrid/>
        <w:ind w:firstLine="480"/>
        <w:rPr>
          <w:rFonts w:ascii="Times New Roman" w:hAnsi="Times New Roman" w:cs="Times New Roman"/>
          <w:kern w:val="24"/>
          <w:szCs w:val="24"/>
          <w:lang w:bidi="ar"/>
        </w:rPr>
      </w:pPr>
      <w:r>
        <w:rPr>
          <w:rFonts w:ascii="Times New Roman" w:hAnsi="Times New Roman" w:cs="Times New Roman"/>
          <w:kern w:val="24"/>
          <w:szCs w:val="24"/>
          <w:lang w:bidi="ar"/>
        </w:rPr>
        <w:t>各企业每个品号成品油单独设置装卸船管线，计算管径0.188m，采用DN200管线。预留航煤卸船管线，计算管径0.188m，采用DN200管线。</w:t>
      </w:r>
    </w:p>
    <w:p>
      <w:pPr>
        <w:adjustRightInd/>
        <w:snapToGrid/>
        <w:ind w:firstLine="480"/>
        <w:rPr>
          <w:rFonts w:ascii="Times New Roman" w:hAnsi="Times New Roman" w:cs="Times New Roman"/>
          <w:kern w:val="24"/>
          <w:szCs w:val="20"/>
          <w:lang w:bidi="ar"/>
        </w:rPr>
      </w:pPr>
      <w:r>
        <w:rPr>
          <w:rFonts w:ascii="Times New Roman" w:hAnsi="Times New Roman" w:cs="Times New Roman"/>
          <w:kern w:val="24"/>
          <w:szCs w:val="24"/>
          <w:lang w:bidi="ar"/>
        </w:rPr>
        <w:t>化工品每种物料单独设置装卸船管线，计算管径0.188m，采用DN200管线。</w:t>
      </w:r>
    </w:p>
    <w:p>
      <w:pPr>
        <w:adjustRightInd/>
        <w:snapToGrid/>
        <w:ind w:firstLine="482"/>
        <w:rPr>
          <w:rFonts w:ascii="Times New Roman" w:hAnsi="Times New Roman" w:cs="Times New Roman"/>
          <w:b/>
          <w:bCs/>
          <w:kern w:val="24"/>
          <w:szCs w:val="20"/>
          <w:lang w:bidi="ar"/>
        </w:rPr>
      </w:pPr>
      <w:r>
        <w:rPr>
          <w:rFonts w:ascii="Times New Roman" w:hAnsi="Times New Roman" w:cs="Times New Roman"/>
          <w:b/>
          <w:bCs/>
          <w:kern w:val="24"/>
          <w:szCs w:val="20"/>
          <w:lang w:bidi="ar"/>
        </w:rPr>
        <w:t>（5）公路卸车方案</w:t>
      </w:r>
    </w:p>
    <w:p>
      <w:pPr>
        <w:autoSpaceDE w:val="0"/>
        <w:autoSpaceDN w:val="0"/>
        <w:snapToGrid/>
        <w:ind w:firstLine="480"/>
        <w:rPr>
          <w:rFonts w:ascii="Times New Roman" w:hAnsi="Times New Roman" w:cs="Times New Roman"/>
          <w:kern w:val="24"/>
          <w:szCs w:val="20"/>
          <w:lang w:bidi="ar"/>
        </w:rPr>
      </w:pPr>
      <w:r>
        <w:rPr>
          <w:rFonts w:ascii="Times New Roman" w:hAnsi="Times New Roman" w:cs="Times New Roman"/>
          <w:kern w:val="24"/>
          <w:szCs w:val="20"/>
          <w:lang w:bidi="ar"/>
        </w:rPr>
        <w:t>设置公路卸车泵棚，6个卸车车位。</w:t>
      </w:r>
    </w:p>
    <w:p>
      <w:pPr>
        <w:autoSpaceDE w:val="0"/>
        <w:autoSpaceDN w:val="0"/>
        <w:snapToGrid/>
        <w:ind w:firstLine="480"/>
        <w:rPr>
          <w:rFonts w:ascii="Times New Roman" w:hAnsi="Times New Roman" w:cs="Times New Roman"/>
          <w:kern w:val="24"/>
          <w:szCs w:val="20"/>
          <w:lang w:bidi="ar"/>
        </w:rPr>
      </w:pPr>
      <w:r>
        <w:rPr>
          <w:rFonts w:ascii="Times New Roman" w:hAnsi="Times New Roman" w:cs="Times New Roman"/>
          <w:kern w:val="24"/>
          <w:szCs w:val="20"/>
          <w:lang w:bidi="ar"/>
        </w:rPr>
        <w:t>液碱等公路卸车采用离心泵，共设置3台液碱等卸车泵（流量50m³/h），2用1备。泵前设置汇管管径DN200，6个车位总长26m，可容纳容积约1m³，液碱槽车内底油可完全自流至汇管卸净。</w:t>
      </w:r>
    </w:p>
    <w:p>
      <w:pPr>
        <w:autoSpaceDE w:val="0"/>
        <w:autoSpaceDN w:val="0"/>
        <w:snapToGrid/>
        <w:ind w:firstLine="480"/>
        <w:rPr>
          <w:rFonts w:ascii="Times New Roman" w:hAnsi="Times New Roman" w:cs="Times New Roman"/>
          <w:kern w:val="24"/>
          <w:szCs w:val="20"/>
          <w:lang w:bidi="ar"/>
        </w:rPr>
      </w:pPr>
      <w:r>
        <w:rPr>
          <w:rFonts w:ascii="Times New Roman" w:hAnsi="Times New Roman" w:cs="Times New Roman"/>
          <w:kern w:val="24"/>
          <w:szCs w:val="20"/>
          <w:lang w:bidi="ar"/>
        </w:rPr>
        <w:t>汽油、柴油、乙醇、航煤采用容积泵（流量60m³/h）+离心泵（流量200m³/h）的卸车方式，卸车初始利用离心泵进行卸车，卸车末端利用容积泵扫舱。卸车过程中3~6辆槽车同时卸车时采用离心泵卸车，1~2辆槽车卸车时采用容积泵卸车。</w:t>
      </w:r>
    </w:p>
    <w:p>
      <w:pPr>
        <w:ind w:firstLine="482" w:firstLineChars="0"/>
        <w:rPr>
          <w:rFonts w:ascii="Times New Roman" w:hAnsi="Times New Roman" w:cs="Times New Roman"/>
          <w:kern w:val="24"/>
          <w:szCs w:val="20"/>
          <w:lang w:bidi="ar"/>
        </w:rPr>
      </w:pPr>
      <w:r>
        <w:rPr>
          <w:rFonts w:ascii="Times New Roman" w:hAnsi="Times New Roman" w:cs="Times New Roman"/>
          <w:kern w:val="24"/>
          <w:szCs w:val="20"/>
          <w:lang w:bidi="ar"/>
        </w:rPr>
        <w:t>泵前设置汇管管径DN200，6个车位总长26m，可容纳容积约1m³，成品油槽车内底油可完全自流至汇管卸净。</w:t>
      </w:r>
    </w:p>
    <w:p>
      <w:pPr>
        <w:adjustRightInd/>
        <w:snapToGrid/>
        <w:ind w:firstLineChars="83"/>
        <w:rPr>
          <w:rFonts w:ascii="Times New Roman" w:hAnsi="Times New Roman" w:cs="Times New Roman"/>
          <w:b/>
          <w:bCs/>
          <w:color w:val="auto"/>
          <w:szCs w:val="24"/>
        </w:rPr>
      </w:pPr>
      <w:r>
        <w:rPr>
          <w:rFonts w:ascii="Times New Roman" w:hAnsi="Times New Roman" w:cs="Times New Roman"/>
          <w:b/>
          <w:bCs/>
          <w:color w:val="auto"/>
          <w:szCs w:val="24"/>
        </w:rPr>
        <w:t>（6）公路装车方案</w:t>
      </w:r>
    </w:p>
    <w:p>
      <w:pPr>
        <w:ind w:firstLine="482" w:firstLineChars="0"/>
        <w:rPr>
          <w:rFonts w:ascii="Times New Roman" w:hAnsi="Times New Roman" w:cs="Times New Roman"/>
          <w:color w:val="auto"/>
          <w:szCs w:val="24"/>
        </w:rPr>
      </w:pPr>
      <w:r>
        <w:rPr>
          <w:rFonts w:ascii="Times New Roman" w:hAnsi="Times New Roman" w:cs="Times New Roman"/>
          <w:color w:val="auto"/>
          <w:szCs w:val="24"/>
        </w:rPr>
        <w:t>1）汽柴油装车工艺的确定</w:t>
      </w:r>
    </w:p>
    <w:p>
      <w:pPr>
        <w:autoSpaceDE w:val="0"/>
        <w:autoSpaceDN w:val="0"/>
        <w:snapToGrid/>
        <w:ind w:firstLine="480"/>
        <w:rPr>
          <w:rFonts w:ascii="Times New Roman" w:hAnsi="Times New Roman" w:cs="Times New Roman"/>
          <w:color w:val="auto"/>
          <w:kern w:val="0"/>
          <w:szCs w:val="24"/>
        </w:rPr>
      </w:pPr>
      <w:r>
        <w:rPr>
          <w:rFonts w:ascii="Times New Roman" w:hAnsi="Times New Roman" w:cs="Times New Roman"/>
          <w:color w:val="auto"/>
          <w:kern w:val="0"/>
          <w:szCs w:val="24"/>
        </w:rPr>
        <w:t>公路装车有两种基本工艺方案：</w:t>
      </w:r>
    </w:p>
    <w:p>
      <w:pPr>
        <w:autoSpaceDE w:val="0"/>
        <w:autoSpaceDN w:val="0"/>
        <w:snapToGrid/>
        <w:ind w:firstLine="480"/>
        <w:rPr>
          <w:rFonts w:ascii="Times New Roman" w:hAnsi="Times New Roman" w:cs="Times New Roman"/>
          <w:color w:val="auto"/>
          <w:kern w:val="0"/>
          <w:szCs w:val="24"/>
        </w:rPr>
      </w:pPr>
      <w:r>
        <w:rPr>
          <w:rFonts w:hint="eastAsia" w:ascii="宋体" w:hAnsi="宋体" w:cs="宋体"/>
          <w:color w:val="auto"/>
          <w:kern w:val="0"/>
          <w:szCs w:val="24"/>
        </w:rPr>
        <w:t>①</w:t>
      </w:r>
      <w:r>
        <w:rPr>
          <w:rFonts w:ascii="Times New Roman" w:hAnsi="Times New Roman" w:cs="Times New Roman"/>
          <w:color w:val="auto"/>
          <w:kern w:val="0"/>
          <w:szCs w:val="24"/>
        </w:rPr>
        <w:t>总泵式装车工艺流程，即每个企业每种物料配备1台装车泵，通过干管输送到公路装车区，再用支管送到鹤位，通过控制系统自动定量装车。该流程的优点是装车泵用量少；缺点是公路装车流量波动大，汽油发油时乙醇调合比例不稳定，为保证计量精度，需要增加变频系统。</w:t>
      </w:r>
    </w:p>
    <w:p>
      <w:pPr>
        <w:autoSpaceDE w:val="0"/>
        <w:autoSpaceDN w:val="0"/>
        <w:snapToGrid/>
        <w:ind w:firstLine="480"/>
        <w:rPr>
          <w:rFonts w:ascii="Times New Roman" w:hAnsi="Times New Roman" w:cs="Times New Roman"/>
          <w:color w:val="auto"/>
          <w:kern w:val="0"/>
          <w:szCs w:val="24"/>
        </w:rPr>
      </w:pPr>
      <w:r>
        <w:rPr>
          <w:rFonts w:hint="eastAsia" w:ascii="宋体" w:hAnsi="宋体" w:cs="宋体"/>
          <w:color w:val="auto"/>
          <w:kern w:val="0"/>
          <w:szCs w:val="24"/>
        </w:rPr>
        <w:t>②</w:t>
      </w:r>
      <w:r>
        <w:rPr>
          <w:rFonts w:ascii="Times New Roman" w:hAnsi="Times New Roman" w:cs="Times New Roman"/>
          <w:color w:val="auto"/>
          <w:kern w:val="0"/>
          <w:szCs w:val="24"/>
        </w:rPr>
        <w:t>单泵式装车工艺流程，即每套鹤管配备1台装车泵，物料通过干管输送到公路装卸区，再由支管送到装车泵入口，通过控制系统自动定量装车。该流程的优点是操作灵活、计量精度高，汽油发油时乙醇调合比例稳定，节省用地，减少建筑物数量。缺点：装车泵用量随着装车鹤管数量增加。</w:t>
      </w:r>
    </w:p>
    <w:p>
      <w:pPr>
        <w:autoSpaceDE w:val="0"/>
        <w:autoSpaceDN w:val="0"/>
        <w:adjustRightInd/>
        <w:snapToGrid/>
        <w:ind w:firstLine="480"/>
        <w:rPr>
          <w:rFonts w:ascii="Times New Roman" w:hAnsi="Times New Roman" w:cs="Times New Roman"/>
          <w:color w:val="auto"/>
          <w:kern w:val="0"/>
          <w:szCs w:val="24"/>
        </w:rPr>
      </w:pPr>
      <w:r>
        <w:rPr>
          <w:rFonts w:ascii="Times New Roman" w:hAnsi="Times New Roman" w:cs="Times New Roman"/>
          <w:color w:val="auto"/>
          <w:kern w:val="0"/>
          <w:szCs w:val="24"/>
        </w:rPr>
        <w:t>综合考虑上述两种流程的优缺点，并结合各企业每种物料的装车量，上述两种方式均有采用。</w:t>
      </w:r>
    </w:p>
    <w:p>
      <w:pPr>
        <w:autoSpaceDE w:val="0"/>
        <w:autoSpaceDN w:val="0"/>
        <w:adjustRightInd/>
        <w:snapToGrid/>
        <w:ind w:firstLine="480"/>
        <w:rPr>
          <w:rFonts w:ascii="Times New Roman" w:hAnsi="Times New Roman" w:cs="Times New Roman"/>
          <w:color w:val="auto"/>
          <w:kern w:val="0"/>
          <w:szCs w:val="24"/>
        </w:rPr>
      </w:pPr>
      <w:r>
        <w:rPr>
          <w:rFonts w:ascii="Times New Roman" w:hAnsi="Times New Roman" w:cs="Times New Roman"/>
          <w:color w:val="auto"/>
          <w:kern w:val="0"/>
          <w:szCs w:val="24"/>
        </w:rPr>
        <w:t>年周转量较大的物料（如92#汽油、柴油、航煤）采用总泵式装车工艺流程，以减少发油泵数量，发油泵流量设置为200m³/h，单泵对双鹤管，装车泵为变频电机，泵前后设置回油管线，当需要单泵对单鹤管时，打开回油阀门，并变频控制发油流量，通过控制系统自动定量装车。</w:t>
      </w:r>
    </w:p>
    <w:p>
      <w:pPr>
        <w:autoSpaceDE w:val="0"/>
        <w:autoSpaceDN w:val="0"/>
        <w:adjustRightInd/>
        <w:snapToGrid/>
        <w:ind w:firstLine="480"/>
        <w:rPr>
          <w:rFonts w:ascii="Times New Roman" w:hAnsi="Times New Roman" w:cs="Times New Roman"/>
          <w:color w:val="auto"/>
          <w:kern w:val="0"/>
          <w:szCs w:val="24"/>
        </w:rPr>
      </w:pPr>
      <w:r>
        <w:rPr>
          <w:rFonts w:ascii="Times New Roman" w:hAnsi="Times New Roman" w:cs="Times New Roman"/>
          <w:color w:val="auto"/>
          <w:kern w:val="0"/>
          <w:szCs w:val="24"/>
        </w:rPr>
        <w:t>年周转量较小的品种（如95#汽油、98#汽油）采用单泵式装车工艺流程，发油泵流量设置为100m³/h，单泵对单鹤管。</w:t>
      </w:r>
    </w:p>
    <w:p>
      <w:pPr>
        <w:autoSpaceDE w:val="0"/>
        <w:autoSpaceDN w:val="0"/>
        <w:adjustRightInd/>
        <w:snapToGrid/>
        <w:ind w:firstLine="480"/>
        <w:rPr>
          <w:rFonts w:ascii="Times New Roman" w:hAnsi="Times New Roman" w:cs="Times New Roman"/>
          <w:color w:val="auto"/>
          <w:kern w:val="0"/>
          <w:szCs w:val="24"/>
        </w:rPr>
      </w:pPr>
      <w:r>
        <w:rPr>
          <w:rFonts w:ascii="Times New Roman" w:hAnsi="Times New Roman" w:cs="Times New Roman"/>
          <w:color w:val="auto"/>
          <w:kern w:val="0"/>
          <w:szCs w:val="24"/>
        </w:rPr>
        <w:t>乙醇调合泵采用总泵式装车工艺流程，</w:t>
      </w:r>
      <w:r>
        <w:rPr>
          <w:rFonts w:ascii="Times New Roman" w:hAnsi="Times New Roman" w:cs="Times New Roman"/>
          <w:kern w:val="0"/>
          <w:szCs w:val="24"/>
        </w:rPr>
        <w:t>汽油和乙醇按比例9:1（V/V）经花管混合器在线调合，乙醇汽油经鹤管装车外运。</w:t>
      </w:r>
      <w:r>
        <w:rPr>
          <w:rFonts w:ascii="Times New Roman" w:hAnsi="Times New Roman" w:cs="Times New Roman"/>
          <w:color w:val="auto"/>
          <w:kern w:val="0"/>
          <w:szCs w:val="24"/>
        </w:rPr>
        <w:t>根据汽油装车泵流量确定乙醇泵流量。</w:t>
      </w:r>
    </w:p>
    <w:p>
      <w:pPr>
        <w:autoSpaceDE w:val="0"/>
        <w:autoSpaceDN w:val="0"/>
        <w:adjustRightInd/>
        <w:snapToGrid/>
        <w:ind w:firstLine="480"/>
        <w:rPr>
          <w:rFonts w:ascii="Times New Roman" w:hAnsi="Times New Roman" w:cs="Times New Roman"/>
          <w:color w:val="auto"/>
          <w:kern w:val="0"/>
          <w:sz w:val="28"/>
          <w:szCs w:val="28"/>
        </w:rPr>
      </w:pPr>
      <w:r>
        <w:rPr>
          <w:rFonts w:ascii="Times New Roman" w:hAnsi="Times New Roman" w:cs="Times New Roman"/>
          <w:color w:val="auto"/>
          <w:kern w:val="0"/>
          <w:szCs w:val="24"/>
        </w:rPr>
        <w:t>化工品采用总泵式装车工艺流程，以减少装车泵数量，发油泵流量设置为50m³/h，单泵对双鹤管，装车泵为变频电机，泵前后设置回油管线，当需要单泵对单鹤管时，打开回油阀门，并变频控制发油流量，通过控制系统自动定量装车。</w:t>
      </w:r>
    </w:p>
    <w:p>
      <w:pPr>
        <w:pStyle w:val="4"/>
        <w:numPr>
          <w:ilvl w:val="2"/>
          <w:numId w:val="0"/>
        </w:numPr>
        <w:jc w:val="both"/>
        <w:rPr>
          <w:rFonts w:ascii="Times New Roman" w:hAnsi="Times New Roman" w:cs="Times New Roman"/>
          <w:color w:val="auto"/>
        </w:rPr>
      </w:pPr>
      <w:bookmarkStart w:id="195" w:name="_Toc104733337"/>
      <w:bookmarkStart w:id="196" w:name="_Toc102984299"/>
      <w:r>
        <w:rPr>
          <w:rFonts w:ascii="Times New Roman" w:hAnsi="Times New Roman" w:cs="Times New Roman"/>
          <w:color w:val="auto"/>
        </w:rPr>
        <w:t>3.5.2装卸工艺</w:t>
      </w:r>
      <w:bookmarkEnd w:id="195"/>
      <w:bookmarkEnd w:id="196"/>
    </w:p>
    <w:p>
      <w:pPr>
        <w:ind w:firstLine="482" w:firstLineChars="0"/>
        <w:rPr>
          <w:rFonts w:ascii="Times New Roman" w:hAnsi="Times New Roman" w:cs="Times New Roman"/>
        </w:rPr>
      </w:pPr>
      <w:r>
        <w:rPr>
          <w:rFonts w:ascii="Times New Roman" w:hAnsi="Times New Roman" w:cs="Times New Roman"/>
          <w:kern w:val="24"/>
          <w:szCs w:val="20"/>
          <w:lang w:bidi="ar"/>
        </w:rPr>
        <w:t>本工程共布置有7个1000吨级泊位，主要用于各液体散货的装卸作业。其中1#～4#泊位为液体化学品泊位，主要装卸液碱、硫酸、氯化钙、氢氧化钾、乙醇等化学品，1~3#泊位采用金属软管进行装卸作业，每个货种1根，每个泊位辅助配备1台 1.5t-12m 软管吊进行金属软管吊装作业；4#泊位采用2 台 6”装卸臂作业；5#～7#泊位为液体油品泊位，主要装卸汽油、柴油、航空没有等油品，每个泊位码头前沿配备 2台 6”装卸臂进行装卸作业。装卸臂工艺生产操作以液动为主，手动为辅。</w:t>
      </w:r>
    </w:p>
    <w:p>
      <w:pPr>
        <w:widowControl/>
        <w:ind w:firstLine="480"/>
        <w:rPr>
          <w:rFonts w:ascii="Times New Roman" w:hAnsi="Times New Roman" w:cs="Times New Roman"/>
        </w:rPr>
      </w:pPr>
      <w:r>
        <w:rPr>
          <w:rFonts w:ascii="Times New Roman" w:hAnsi="Times New Roman" w:cs="Times New Roman"/>
          <w:kern w:val="24"/>
          <w:szCs w:val="20"/>
          <w:lang w:bidi="ar"/>
        </w:rPr>
        <w:t>根据液体散货物料布置相应的工艺管线，1#泊位配备5根DN150 液体散货专用干管、5根DN150金属软管、1台1.5t软管吊；2#泊位配备4根DN150液体散货专用干管、4根N150 金属软管、1台1.5t软管吊；3#泊位配备5根DN150液体散货专用干管、5根DN150金属软管、1台1.5t软管吊；4#～7#泊位每个泊位各配备4根 DN150液体散货专用干管、2 台6”装卸臂（汽油柴油各1台）。码头前沿合计共配置8台6”装卸臂，14根金属软管，3台1.5t软管吊，30根散货专用干管。</w:t>
      </w:r>
    </w:p>
    <w:p>
      <w:pPr>
        <w:pStyle w:val="4"/>
        <w:numPr>
          <w:ilvl w:val="2"/>
          <w:numId w:val="0"/>
        </w:numPr>
        <w:jc w:val="both"/>
        <w:rPr>
          <w:rFonts w:ascii="Times New Roman" w:hAnsi="Times New Roman" w:cs="Times New Roman"/>
          <w:color w:val="auto"/>
        </w:rPr>
      </w:pPr>
      <w:bookmarkStart w:id="197" w:name="_Toc102984300"/>
      <w:bookmarkStart w:id="198" w:name="_Toc104733338"/>
      <w:r>
        <w:rPr>
          <w:rFonts w:ascii="Times New Roman" w:hAnsi="Times New Roman" w:cs="Times New Roman"/>
          <w:color w:val="auto"/>
        </w:rPr>
        <w:t>3.5.2管架布置及管道补偿</w:t>
      </w:r>
      <w:bookmarkEnd w:id="197"/>
      <w:bookmarkEnd w:id="198"/>
    </w:p>
    <w:p>
      <w:pPr>
        <w:ind w:firstLine="482" w:firstLineChars="0"/>
        <w:jc w:val="left"/>
        <w:rPr>
          <w:rFonts w:ascii="Times New Roman" w:hAnsi="Times New Roman" w:cs="Times New Roman"/>
          <w:b/>
          <w:kern w:val="24"/>
          <w:szCs w:val="20"/>
        </w:rPr>
      </w:pPr>
      <w:r>
        <w:rPr>
          <w:rFonts w:ascii="Times New Roman" w:hAnsi="Times New Roman" w:cs="Times New Roman"/>
          <w:b/>
          <w:szCs w:val="21"/>
          <w:lang w:bidi="ar"/>
        </w:rPr>
        <w:t>1、</w:t>
      </w:r>
      <w:r>
        <w:rPr>
          <w:rFonts w:ascii="Times New Roman" w:hAnsi="Times New Roman" w:cs="Times New Roman"/>
          <w:b/>
          <w:kern w:val="24"/>
          <w:szCs w:val="20"/>
          <w:lang w:bidi="ar"/>
        </w:rPr>
        <w:t>管架布置</w:t>
      </w:r>
    </w:p>
    <w:p>
      <w:pPr>
        <w:ind w:firstLine="482" w:firstLineChars="0"/>
        <w:jc w:val="left"/>
        <w:rPr>
          <w:rFonts w:ascii="Times New Roman" w:hAnsi="Times New Roman" w:cs="Times New Roman"/>
          <w:bCs/>
          <w:szCs w:val="21"/>
          <w:lang w:bidi="ar"/>
        </w:rPr>
      </w:pPr>
      <w:r>
        <w:rPr>
          <w:rFonts w:ascii="Times New Roman" w:hAnsi="Times New Roman" w:cs="Times New Roman"/>
          <w:bCs/>
          <w:szCs w:val="21"/>
          <w:lang w:bidi="ar"/>
        </w:rPr>
        <w:t>主管廊由后方储罐区接至码头前沿横向管廊，再根据每个泊位的装卸货种需要将管线接至码头装卸区明装敷设，本工程工艺管线大多数选用20号普通碳钢热轧无缝钢管，硫酸管道应采用钢衬PTFE管道，管道外压力等级为1.6MPa；管架沿码头前沿地带后端敷设，管架呈2层布置结构，为满足车辆通行要求，全部采用高支架，净高不小于4.5m，管架宽4或5m，综合考虑其他因素，管架占宽定位6m。所有管架全部采用钢支架。</w:t>
      </w:r>
    </w:p>
    <w:p>
      <w:pPr>
        <w:ind w:firstLine="482" w:firstLineChars="0"/>
        <w:jc w:val="left"/>
        <w:rPr>
          <w:rFonts w:ascii="Times New Roman" w:hAnsi="Times New Roman" w:cs="Times New Roman"/>
          <w:kern w:val="24"/>
          <w:szCs w:val="20"/>
        </w:rPr>
      </w:pPr>
      <w:r>
        <w:rPr>
          <w:rFonts w:hint="eastAsia" w:ascii="宋体" w:hAnsi="宋体" w:cs="宋体"/>
          <w:kern w:val="24"/>
          <w:szCs w:val="20"/>
          <w:lang w:bidi="ar"/>
        </w:rPr>
        <w:t>①</w:t>
      </w:r>
      <w:r>
        <w:rPr>
          <w:rFonts w:ascii="Times New Roman" w:hAnsi="Times New Roman" w:cs="Times New Roman"/>
          <w:kern w:val="24"/>
          <w:szCs w:val="20"/>
          <w:lang w:bidi="ar"/>
        </w:rPr>
        <w:t>对于易凝及较粘物料管道（例如本工程中的液碱、硫酸），根据物料特性可采用电加热的形式；</w:t>
      </w:r>
    </w:p>
    <w:p>
      <w:pPr>
        <w:ind w:firstLine="482" w:firstLineChars="0"/>
        <w:jc w:val="left"/>
        <w:rPr>
          <w:rFonts w:ascii="Times New Roman" w:hAnsi="Times New Roman" w:cs="Times New Roman"/>
          <w:kern w:val="24"/>
          <w:szCs w:val="20"/>
        </w:rPr>
      </w:pPr>
      <w:r>
        <w:rPr>
          <w:rFonts w:hint="eastAsia" w:ascii="宋体" w:hAnsi="宋体" w:cs="宋体"/>
          <w:kern w:val="24"/>
          <w:szCs w:val="20"/>
          <w:lang w:bidi="ar"/>
        </w:rPr>
        <w:t>②</w:t>
      </w:r>
      <w:r>
        <w:rPr>
          <w:rFonts w:ascii="Times New Roman" w:hAnsi="Times New Roman" w:cs="Times New Roman"/>
          <w:kern w:val="24"/>
          <w:szCs w:val="20"/>
          <w:lang w:bidi="ar"/>
        </w:rPr>
        <w:t>工艺管道介质设计流速不大于4.5m/s。</w:t>
      </w:r>
    </w:p>
    <w:p>
      <w:pPr>
        <w:ind w:firstLine="482" w:firstLineChars="0"/>
        <w:jc w:val="left"/>
        <w:rPr>
          <w:rFonts w:ascii="Times New Roman" w:hAnsi="Times New Roman" w:cs="Times New Roman"/>
          <w:kern w:val="24"/>
          <w:szCs w:val="20"/>
        </w:rPr>
      </w:pPr>
      <w:r>
        <w:rPr>
          <w:rFonts w:hint="eastAsia" w:ascii="宋体" w:hAnsi="宋体" w:cs="宋体"/>
          <w:kern w:val="24"/>
          <w:szCs w:val="20"/>
          <w:lang w:bidi="ar"/>
        </w:rPr>
        <w:t>③</w:t>
      </w:r>
      <w:r>
        <w:rPr>
          <w:rFonts w:ascii="Times New Roman" w:hAnsi="Times New Roman" w:cs="Times New Roman"/>
          <w:kern w:val="24"/>
          <w:szCs w:val="20"/>
          <w:lang w:bidi="ar"/>
        </w:rPr>
        <w:t>码头每个装卸区设废气管线，废气回收至后方罐区配套油气回收装置及酸性气体处理装置进行处理；</w:t>
      </w:r>
    </w:p>
    <w:p>
      <w:pPr>
        <w:ind w:firstLine="482" w:firstLineChars="0"/>
        <w:jc w:val="left"/>
        <w:rPr>
          <w:rFonts w:ascii="Times New Roman" w:hAnsi="Times New Roman" w:cs="Times New Roman"/>
          <w:kern w:val="24"/>
          <w:szCs w:val="20"/>
        </w:rPr>
      </w:pPr>
      <w:r>
        <w:rPr>
          <w:rFonts w:hint="eastAsia" w:ascii="宋体" w:hAnsi="宋体" w:cs="宋体"/>
          <w:kern w:val="24"/>
          <w:szCs w:val="20"/>
          <w:lang w:bidi="ar"/>
        </w:rPr>
        <w:t>④</w:t>
      </w:r>
      <w:r>
        <w:rPr>
          <w:rFonts w:ascii="Times New Roman" w:hAnsi="Times New Roman" w:cs="Times New Roman"/>
          <w:kern w:val="24"/>
          <w:szCs w:val="20"/>
          <w:lang w:bidi="ar"/>
        </w:rPr>
        <w:t>各工艺管线在罐区围墙与码头管线交接点处设紧急切断阀，紧急切断阀为气动，并带手轮，具备自动、遥控、手动等功能；</w:t>
      </w:r>
    </w:p>
    <w:p>
      <w:pPr>
        <w:ind w:firstLine="482" w:firstLineChars="0"/>
        <w:jc w:val="left"/>
        <w:rPr>
          <w:rFonts w:ascii="Times New Roman" w:hAnsi="Times New Roman" w:cs="Times New Roman"/>
          <w:kern w:val="24"/>
          <w:szCs w:val="20"/>
        </w:rPr>
      </w:pPr>
      <w:r>
        <w:rPr>
          <w:rFonts w:hint="eastAsia" w:ascii="宋体" w:hAnsi="宋体" w:cs="宋体"/>
          <w:kern w:val="24"/>
          <w:szCs w:val="20"/>
          <w:lang w:bidi="ar"/>
        </w:rPr>
        <w:t>⑤</w:t>
      </w:r>
      <w:r>
        <w:rPr>
          <w:rFonts w:ascii="Times New Roman" w:hAnsi="Times New Roman" w:cs="Times New Roman"/>
          <w:kern w:val="24"/>
          <w:szCs w:val="20"/>
          <w:lang w:bidi="ar"/>
        </w:rPr>
        <w:t>工艺阀门以手动为主，气动为辅；</w:t>
      </w:r>
    </w:p>
    <w:p>
      <w:pPr>
        <w:ind w:firstLine="482" w:firstLineChars="0"/>
        <w:jc w:val="left"/>
        <w:rPr>
          <w:rFonts w:ascii="Times New Roman" w:hAnsi="Times New Roman" w:cs="Times New Roman"/>
          <w:kern w:val="24"/>
          <w:szCs w:val="20"/>
          <w:lang w:bidi="ar"/>
        </w:rPr>
      </w:pPr>
      <w:r>
        <w:rPr>
          <w:rFonts w:ascii="Times New Roman" w:hAnsi="Times New Roman" w:cs="Times New Roman"/>
          <w:kern w:val="24"/>
          <w:szCs w:val="20"/>
          <w:lang w:bidi="ar"/>
        </w:rPr>
        <w:fldChar w:fldCharType="begin"/>
      </w:r>
      <w:r>
        <w:rPr>
          <w:rFonts w:ascii="Times New Roman" w:hAnsi="Times New Roman" w:cs="Times New Roman"/>
          <w:kern w:val="24"/>
          <w:szCs w:val="20"/>
          <w:lang w:bidi="ar"/>
        </w:rPr>
        <w:instrText xml:space="preserve"> = 6 \* GB3 </w:instrText>
      </w:r>
      <w:r>
        <w:rPr>
          <w:rFonts w:ascii="Times New Roman" w:hAnsi="Times New Roman" w:cs="Times New Roman"/>
          <w:kern w:val="24"/>
          <w:szCs w:val="20"/>
          <w:lang w:bidi="ar"/>
        </w:rPr>
        <w:fldChar w:fldCharType="separate"/>
      </w:r>
      <w:r>
        <w:rPr>
          <w:rFonts w:hint="eastAsia" w:ascii="宋体" w:hAnsi="宋体" w:cs="宋体"/>
          <w:kern w:val="24"/>
          <w:szCs w:val="20"/>
          <w:lang w:bidi="ar"/>
        </w:rPr>
        <w:t>⑥</w:t>
      </w:r>
      <w:r>
        <w:rPr>
          <w:rFonts w:ascii="Times New Roman" w:hAnsi="Times New Roman" w:cs="Times New Roman"/>
          <w:kern w:val="24"/>
          <w:szCs w:val="20"/>
          <w:lang w:bidi="ar"/>
        </w:rPr>
        <w:fldChar w:fldCharType="end"/>
      </w:r>
      <w:r>
        <w:rPr>
          <w:rFonts w:ascii="Times New Roman" w:hAnsi="Times New Roman" w:cs="Times New Roman"/>
          <w:kern w:val="24"/>
          <w:szCs w:val="20"/>
          <w:lang w:bidi="ar"/>
        </w:rPr>
        <w:t>码头工艺管线和设备均采取可靠地防雷、防静电措施。</w:t>
      </w:r>
    </w:p>
    <w:p>
      <w:pPr>
        <w:ind w:firstLine="0" w:firstLineChars="0"/>
        <w:jc w:val="left"/>
        <w:rPr>
          <w:rFonts w:ascii="Times New Roman" w:hAnsi="Times New Roman" w:cs="Times New Roman"/>
        </w:rPr>
      </w:pPr>
      <w:r>
        <w:rPr>
          <w:rFonts w:ascii="Times New Roman" w:hAnsi="Times New Roman" w:cs="Times New Roman"/>
        </w:rPr>
        <w:drawing>
          <wp:inline distT="0" distB="0" distL="0" distR="0">
            <wp:extent cx="5795010" cy="4997450"/>
            <wp:effectExtent l="0" t="0" r="0" b="0"/>
            <wp:docPr id="26"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true" noChangeArrowheads="true"/>
                    </pic:cNvPicPr>
                  </pic:nvPicPr>
                  <pic:blipFill>
                    <a:blip r:embed="rId65"/>
                    <a:srcRect/>
                    <a:stretch>
                      <a:fillRect/>
                    </a:stretch>
                  </pic:blipFill>
                  <pic:spPr>
                    <a:xfrm>
                      <a:off x="0" y="0"/>
                      <a:ext cx="5795010" cy="4997450"/>
                    </a:xfrm>
                    <a:prstGeom prst="rect">
                      <a:avLst/>
                    </a:prstGeom>
                    <a:noFill/>
                    <a:ln>
                      <a:noFill/>
                    </a:ln>
                  </pic:spPr>
                </pic:pic>
              </a:graphicData>
            </a:graphic>
          </wp:inline>
        </w:drawing>
      </w:r>
    </w:p>
    <w:p>
      <w:pPr>
        <w:pStyle w:val="25"/>
        <w:ind w:firstLine="422"/>
        <w:jc w:val="center"/>
        <w:rPr>
          <w:rFonts w:ascii="Times New Roman" w:hAnsi="Times New Roman" w:cs="Times New Roman"/>
          <w:b/>
          <w:bCs/>
          <w:sz w:val="21"/>
          <w:szCs w:val="21"/>
        </w:rPr>
      </w:pPr>
      <w:r>
        <w:rPr>
          <w:rFonts w:ascii="Times New Roman" w:hAnsi="Times New Roman" w:cs="Times New Roman"/>
          <w:b/>
          <w:bCs/>
          <w:sz w:val="21"/>
          <w:szCs w:val="21"/>
        </w:rPr>
        <w:t>图3.5-1   本项目码头管廊断面布置图</w:t>
      </w:r>
    </w:p>
    <w:p>
      <w:pPr>
        <w:ind w:firstLine="482" w:firstLineChars="0"/>
        <w:rPr>
          <w:rFonts w:ascii="Times New Roman" w:hAnsi="Times New Roman" w:cs="Times New Roman"/>
          <w:b/>
          <w:kern w:val="24"/>
          <w:szCs w:val="20"/>
          <w:lang w:bidi="ar"/>
        </w:rPr>
      </w:pPr>
      <w:r>
        <w:rPr>
          <w:rFonts w:ascii="Times New Roman" w:hAnsi="Times New Roman" w:cs="Times New Roman"/>
          <w:b/>
          <w:kern w:val="24"/>
          <w:szCs w:val="20"/>
          <w:lang w:bidi="ar"/>
        </w:rPr>
        <w:t>2、阀门：</w:t>
      </w:r>
    </w:p>
    <w:p>
      <w:pPr>
        <w:ind w:firstLine="482" w:firstLineChars="0"/>
        <w:rPr>
          <w:rFonts w:ascii="Times New Roman" w:hAnsi="Times New Roman" w:cs="Times New Roman"/>
          <w:bCs/>
          <w:kern w:val="24"/>
          <w:szCs w:val="20"/>
        </w:rPr>
      </w:pPr>
      <w:r>
        <w:rPr>
          <w:rFonts w:ascii="Times New Roman" w:hAnsi="Times New Roman" w:cs="Times New Roman"/>
          <w:bCs/>
          <w:kern w:val="24"/>
          <w:szCs w:val="20"/>
        </w:rPr>
        <w:t>码头前沿设计气动切断阀，事故时关断，紧急切断阀设置在工艺管线码头管线与罐区围墙交接点处，紧急切断阀为气动，并带手轮，具备自动、遥控、手动等功能；工艺阀门以气动为主，手动为辅；事故切断阀的远程控制在码头及罐区的中控室均能实现</w:t>
      </w:r>
    </w:p>
    <w:p>
      <w:pPr>
        <w:ind w:firstLine="482" w:firstLineChars="0"/>
        <w:rPr>
          <w:rFonts w:ascii="Times New Roman" w:hAnsi="Times New Roman" w:cs="Times New Roman"/>
          <w:b/>
          <w:kern w:val="24"/>
          <w:szCs w:val="20"/>
        </w:rPr>
      </w:pPr>
      <w:r>
        <w:rPr>
          <w:rFonts w:ascii="Times New Roman" w:hAnsi="Times New Roman" w:cs="Times New Roman"/>
          <w:b/>
          <w:kern w:val="24"/>
          <w:szCs w:val="20"/>
          <w:lang w:bidi="ar"/>
        </w:rPr>
        <w:t>3、管道补偿</w:t>
      </w:r>
    </w:p>
    <w:p>
      <w:pPr>
        <w:widowControl/>
        <w:ind w:firstLine="480"/>
        <w:rPr>
          <w:rFonts w:ascii="Times New Roman" w:hAnsi="Times New Roman" w:cs="Times New Roman"/>
        </w:rPr>
      </w:pPr>
      <w:r>
        <w:rPr>
          <w:rFonts w:ascii="Times New Roman" w:hAnsi="Times New Roman" w:cs="Times New Roman"/>
          <w:bCs/>
          <w:kern w:val="24"/>
          <w:szCs w:val="20"/>
          <w:lang w:bidi="ar"/>
        </w:rPr>
        <w:t>由于管内介质温度和环境温度变化时会引起管道的热胀冷缩，使管道产生相应的热应力，因此必须考虑管道补偿。本工程采用管线采用自然补偿和π型补偿相结合的方案。</w:t>
      </w:r>
    </w:p>
    <w:p>
      <w:pPr>
        <w:ind w:firstLine="482" w:firstLineChars="0"/>
        <w:rPr>
          <w:rFonts w:ascii="Times New Roman" w:hAnsi="Times New Roman" w:cs="Times New Roman"/>
          <w:b/>
          <w:kern w:val="24"/>
          <w:szCs w:val="20"/>
          <w:lang w:bidi="ar"/>
        </w:rPr>
      </w:pPr>
      <w:r>
        <w:rPr>
          <w:rFonts w:ascii="Times New Roman" w:hAnsi="Times New Roman" w:cs="Times New Roman"/>
          <w:b/>
          <w:kern w:val="24"/>
          <w:szCs w:val="20"/>
          <w:lang w:bidi="ar"/>
        </w:rPr>
        <w:t>4、计量</w:t>
      </w:r>
    </w:p>
    <w:p>
      <w:pPr>
        <w:ind w:firstLine="475" w:firstLineChars="198"/>
        <w:rPr>
          <w:rFonts w:ascii="Times New Roman" w:hAnsi="Times New Roman" w:cs="Times New Roman"/>
          <w:szCs w:val="21"/>
          <w:lang w:bidi="ar"/>
        </w:rPr>
      </w:pPr>
      <w:r>
        <w:rPr>
          <w:rFonts w:ascii="Times New Roman" w:hAnsi="Times New Roman" w:cs="Times New Roman"/>
          <w:szCs w:val="21"/>
          <w:lang w:bidi="ar"/>
        </w:rPr>
        <w:t>码头装船在平台前沿设质量流量计；码头卸船采用船检尺和罐检尺相结合的方式。</w:t>
      </w:r>
    </w:p>
    <w:p>
      <w:pPr>
        <w:ind w:firstLine="477" w:firstLineChars="198"/>
        <w:rPr>
          <w:rFonts w:ascii="Times New Roman" w:hAnsi="Times New Roman" w:cs="Times New Roman"/>
          <w:b/>
          <w:bCs/>
          <w:szCs w:val="21"/>
          <w:lang w:bidi="ar"/>
        </w:rPr>
      </w:pPr>
      <w:r>
        <w:rPr>
          <w:rFonts w:ascii="Times New Roman" w:hAnsi="Times New Roman" w:cs="Times New Roman"/>
          <w:b/>
          <w:bCs/>
          <w:szCs w:val="21"/>
          <w:lang w:bidi="ar"/>
        </w:rPr>
        <w:t>5、扫线</w:t>
      </w:r>
    </w:p>
    <w:p>
      <w:pPr>
        <w:ind w:firstLine="482" w:firstLineChars="0"/>
        <w:rPr>
          <w:rFonts w:ascii="Times New Roman" w:hAnsi="Times New Roman" w:cs="Times New Roman"/>
        </w:rPr>
      </w:pPr>
      <w:r>
        <w:rPr>
          <w:rFonts w:ascii="Times New Roman" w:hAnsi="Times New Roman" w:cs="Times New Roman"/>
        </w:rPr>
        <w:t>装卸臂、软管利用氮气进行吹扫，干管扫线可采用氮气+扫线球扫线。</w:t>
      </w:r>
    </w:p>
    <w:p>
      <w:pPr>
        <w:ind w:firstLine="482" w:firstLineChars="0"/>
        <w:rPr>
          <w:rFonts w:ascii="Times New Roman" w:hAnsi="Times New Roman" w:cs="Times New Roman"/>
        </w:rPr>
      </w:pPr>
      <w:r>
        <w:rPr>
          <w:rFonts w:ascii="Times New Roman" w:hAnsi="Times New Roman" w:cs="Times New Roman"/>
        </w:rPr>
        <w:t>扫线方向为：码头装卸臂及软管内的化工物料扫向船舶；管廊管线及码头管线内的化工物料残液扫向后方罐区。对于工艺管线本着专管专用的原则，干管平时可不扫线，当管道检修或更换货种时，用氮气驱动清管球将管内物料扫入后方储罐。氮气由后方罐区提供。</w:t>
      </w:r>
    </w:p>
    <w:p>
      <w:pPr>
        <w:ind w:firstLine="482" w:firstLineChars="0"/>
        <w:rPr>
          <w:rFonts w:ascii="Times New Roman" w:hAnsi="Times New Roman" w:cs="Times New Roman"/>
          <w:b/>
        </w:rPr>
      </w:pPr>
      <w:r>
        <w:rPr>
          <w:rFonts w:ascii="Times New Roman" w:hAnsi="Times New Roman" w:cs="Times New Roman"/>
          <w:b/>
          <w:kern w:val="24"/>
          <w:szCs w:val="20"/>
          <w:lang w:bidi="ar"/>
        </w:rPr>
        <w:t>6、管线</w:t>
      </w:r>
      <w:r>
        <w:rPr>
          <w:rFonts w:ascii="Times New Roman" w:hAnsi="Times New Roman" w:cs="Times New Roman"/>
          <w:b/>
        </w:rPr>
        <w:t>保温、伴热：</w:t>
      </w:r>
    </w:p>
    <w:p>
      <w:pPr>
        <w:ind w:firstLine="482" w:firstLineChars="0"/>
        <w:rPr>
          <w:rFonts w:ascii="Times New Roman" w:hAnsi="Times New Roman" w:cs="Times New Roman"/>
        </w:rPr>
      </w:pPr>
      <w:r>
        <w:rPr>
          <w:rFonts w:ascii="Times New Roman" w:hAnsi="Times New Roman" w:cs="Times New Roman"/>
        </w:rPr>
        <w:t>考虑到液碱、硫酸的凝点较高，在自然气候条件下易发生凝固现象，不便于管线输送。对液碱、硫酸工艺管线采用</w:t>
      </w:r>
      <w:r>
        <w:rPr>
          <w:rFonts w:hint="eastAsia" w:ascii="Times New Roman" w:hAnsi="Times New Roman" w:cs="Times New Roman"/>
          <w:b/>
          <w:bCs/>
        </w:rPr>
        <w:t>园区集中供热蒸汽</w:t>
      </w:r>
      <w:r>
        <w:rPr>
          <w:rFonts w:ascii="Times New Roman" w:hAnsi="Times New Roman" w:cs="Times New Roman"/>
          <w:b/>
          <w:bCs/>
        </w:rPr>
        <w:t>加热</w:t>
      </w:r>
      <w:r>
        <w:rPr>
          <w:rFonts w:ascii="Times New Roman" w:hAnsi="Times New Roman" w:cs="Times New Roman"/>
        </w:rPr>
        <w:t>以及外加岩棉管壳外包镀锌铁皮的工艺方式进行加热、保温，将液碱、硫酸控制在液体状态下以供管线运输。</w:t>
      </w:r>
    </w:p>
    <w:p>
      <w:pPr>
        <w:ind w:firstLine="482" w:firstLineChars="0"/>
        <w:rPr>
          <w:rFonts w:ascii="Times New Roman" w:hAnsi="Times New Roman" w:cs="Times New Roman"/>
        </w:rPr>
      </w:pPr>
      <w:r>
        <w:rPr>
          <w:rFonts w:ascii="Times New Roman" w:hAnsi="Times New Roman" w:cs="Times New Roman"/>
        </w:rPr>
        <w:t>7</w:t>
      </w:r>
      <w:r>
        <w:rPr>
          <w:rFonts w:ascii="Times New Roman" w:hAnsi="Times New Roman" w:cs="Times New Roman"/>
          <w:b/>
          <w:kern w:val="24"/>
          <w:szCs w:val="20"/>
          <w:lang w:bidi="ar"/>
        </w:rPr>
        <w:t>、计量：</w:t>
      </w:r>
    </w:p>
    <w:p>
      <w:pPr>
        <w:ind w:firstLine="482" w:firstLineChars="0"/>
        <w:rPr>
          <w:rFonts w:ascii="Times New Roman" w:hAnsi="Times New Roman" w:cs="Times New Roman"/>
        </w:rPr>
      </w:pPr>
      <w:r>
        <w:rPr>
          <w:rFonts w:ascii="Times New Roman" w:hAnsi="Times New Roman" w:cs="Times New Roman"/>
        </w:rPr>
        <w:t>码头装船在平台前沿设质量流量计；码头卸船采用船检尺和罐检尺相结合的方式。</w:t>
      </w:r>
    </w:p>
    <w:p>
      <w:pPr>
        <w:ind w:firstLine="482" w:firstLineChars="0"/>
        <w:rPr>
          <w:rFonts w:ascii="Times New Roman" w:hAnsi="Times New Roman" w:cs="Times New Roman"/>
          <w:b/>
          <w:kern w:val="24"/>
          <w:szCs w:val="20"/>
          <w:lang w:bidi="ar"/>
        </w:rPr>
      </w:pPr>
      <w:r>
        <w:rPr>
          <w:rFonts w:ascii="Times New Roman" w:hAnsi="Times New Roman" w:cs="Times New Roman"/>
          <w:b/>
          <w:kern w:val="24"/>
          <w:szCs w:val="20"/>
          <w:lang w:bidi="ar"/>
        </w:rPr>
        <w:t>8、环保、安全措施</w:t>
      </w:r>
    </w:p>
    <w:p>
      <w:pPr>
        <w:ind w:firstLine="480" w:firstLineChars="0"/>
        <w:rPr>
          <w:rFonts w:ascii="Times New Roman" w:hAnsi="Times New Roman" w:cs="Times New Roman"/>
          <w:bCs/>
        </w:rPr>
      </w:pPr>
      <w:r>
        <w:rPr>
          <w:rFonts w:ascii="Times New Roman" w:hAnsi="Times New Roman" w:cs="Times New Roman"/>
          <w:bCs/>
          <w:szCs w:val="21"/>
          <w:lang w:bidi="ar"/>
        </w:rPr>
        <w:t>在装卸设备、管线阀门等易发生漏液区域四周布置不锈钢金属围挡或混凝土围挡，防止渗漏的液体散货物质污染环境。</w:t>
      </w:r>
    </w:p>
    <w:p>
      <w:pPr>
        <w:ind w:firstLine="480" w:firstLineChars="0"/>
        <w:rPr>
          <w:rFonts w:ascii="Times New Roman" w:hAnsi="Times New Roman" w:cs="Times New Roman"/>
          <w:bCs/>
        </w:rPr>
      </w:pPr>
      <w:r>
        <w:rPr>
          <w:rFonts w:ascii="Times New Roman" w:hAnsi="Times New Roman" w:cs="Times New Roman"/>
          <w:bCs/>
          <w:szCs w:val="21"/>
          <w:lang w:bidi="ar"/>
        </w:rPr>
        <w:t>在</w:t>
      </w:r>
      <w:r>
        <w:rPr>
          <w:rFonts w:ascii="Times New Roman" w:hAnsi="Times New Roman" w:cs="Times New Roman"/>
          <w:bCs/>
          <w:kern w:val="24"/>
          <w:szCs w:val="20"/>
          <w:lang w:bidi="ar"/>
        </w:rPr>
        <w:t>工艺管线在罐区围墙与码头管线交接点处设紧急切断阀，</w:t>
      </w:r>
      <w:r>
        <w:rPr>
          <w:rFonts w:ascii="Times New Roman" w:hAnsi="Times New Roman" w:cs="Times New Roman"/>
          <w:bCs/>
          <w:szCs w:val="21"/>
          <w:lang w:bidi="ar"/>
        </w:rPr>
        <w:t>距离码头前沿线不小于20m，切断阀为气动且同时具备手动操作功能。</w:t>
      </w:r>
    </w:p>
    <w:p>
      <w:pPr>
        <w:widowControl/>
        <w:ind w:firstLine="480"/>
        <w:rPr>
          <w:rFonts w:ascii="Times New Roman" w:hAnsi="Times New Roman" w:cs="Times New Roman"/>
          <w:bCs/>
        </w:rPr>
      </w:pPr>
      <w:r>
        <w:rPr>
          <w:rFonts w:ascii="Times New Roman" w:hAnsi="Times New Roman" w:cs="Times New Roman"/>
          <w:bCs/>
          <w:szCs w:val="21"/>
          <w:lang w:bidi="ar"/>
        </w:rPr>
        <w:t>液体油品码头装卸臂需配备紧急脱离装置（ERS），装卸臂设置范围超限报警装置，装卸臂配带绝缘法兰。装卸臂与船舶管汇连接处设置快速联结器。</w:t>
      </w:r>
    </w:p>
    <w:p>
      <w:pPr>
        <w:pStyle w:val="4"/>
        <w:numPr>
          <w:ilvl w:val="2"/>
          <w:numId w:val="0"/>
        </w:numPr>
        <w:jc w:val="both"/>
        <w:rPr>
          <w:rFonts w:ascii="Times New Roman" w:hAnsi="Times New Roman" w:cs="Times New Roman"/>
          <w:color w:val="auto"/>
        </w:rPr>
      </w:pPr>
      <w:bookmarkStart w:id="199" w:name="_Toc104733339"/>
      <w:bookmarkStart w:id="200" w:name="_Toc102984301"/>
      <w:r>
        <w:rPr>
          <w:rFonts w:ascii="Times New Roman" w:hAnsi="Times New Roman" w:cs="Times New Roman"/>
          <w:color w:val="auto"/>
        </w:rPr>
        <w:t>3.5.3装卸工艺流程</w:t>
      </w:r>
      <w:bookmarkEnd w:id="199"/>
      <w:bookmarkEnd w:id="200"/>
    </w:p>
    <w:p>
      <w:pPr>
        <w:ind w:firstLine="482"/>
        <w:rPr>
          <w:rFonts w:ascii="Times New Roman" w:hAnsi="Times New Roman" w:cs="Times New Roman"/>
          <w:b/>
          <w:szCs w:val="20"/>
          <w:lang w:bidi="ar"/>
        </w:rPr>
      </w:pPr>
      <w:r>
        <w:rPr>
          <w:rFonts w:hint="eastAsia" w:ascii="宋体" w:hAnsi="宋体" w:cs="宋体"/>
          <w:b/>
          <w:szCs w:val="20"/>
          <w:lang w:bidi="ar"/>
        </w:rPr>
        <w:t>①</w:t>
      </w:r>
      <w:r>
        <w:rPr>
          <w:rFonts w:ascii="Times New Roman" w:hAnsi="Times New Roman" w:cs="Times New Roman"/>
          <w:b/>
          <w:szCs w:val="20"/>
          <w:lang w:bidi="ar"/>
        </w:rPr>
        <w:t>卸船工艺</w:t>
      </w:r>
    </w:p>
    <w:p>
      <w:pPr>
        <w:ind w:firstLine="482"/>
        <w:rPr>
          <w:rFonts w:ascii="Times New Roman" w:hAnsi="Times New Roman" w:cs="Times New Roman"/>
          <w:b/>
          <w:szCs w:val="20"/>
          <w:lang w:bidi="ar"/>
        </w:rPr>
      </w:pPr>
      <w:r>
        <w:rPr>
          <w:rFonts w:ascii="Times New Roman" w:hAnsi="Times New Roman" w:cs="Times New Roman"/>
          <w:b/>
          <w:szCs w:val="20"/>
          <w:lang w:bidi="ar"/>
        </w:rPr>
        <w:t>成品油或化工品利用船载泵增压输送进罐，通过储罐检尺进行计量。</w:t>
      </w:r>
    </w:p>
    <w:p>
      <w:pPr>
        <w:ind w:firstLine="482"/>
        <w:rPr>
          <w:rFonts w:ascii="Times New Roman" w:hAnsi="Times New Roman" w:cs="Times New Roman"/>
          <w:b/>
          <w:szCs w:val="20"/>
          <w:lang w:bidi="ar"/>
        </w:rPr>
      </w:pPr>
      <w:r>
        <w:rPr>
          <w:rFonts w:ascii="Times New Roman" w:hAnsi="Times New Roman" w:cs="Times New Roman"/>
          <w:b/>
          <w:szCs w:val="20"/>
          <w:lang w:bidi="ar"/>
        </w:rPr>
        <w:t>船→船载泵→输油臂/连接软管→码头管线→储罐</w:t>
      </w:r>
    </w:p>
    <w:p>
      <w:pPr>
        <w:ind w:firstLine="482"/>
        <w:rPr>
          <w:rFonts w:ascii="Times New Roman" w:hAnsi="Times New Roman" w:cs="Times New Roman"/>
          <w:b/>
          <w:szCs w:val="20"/>
          <w:lang w:bidi="ar"/>
        </w:rPr>
      </w:pPr>
      <w:r>
        <w:rPr>
          <w:rFonts w:hint="eastAsia" w:ascii="宋体" w:hAnsi="宋体" w:cs="宋体"/>
          <w:b/>
          <w:szCs w:val="20"/>
          <w:lang w:bidi="ar"/>
        </w:rPr>
        <w:t>②</w:t>
      </w:r>
      <w:r>
        <w:rPr>
          <w:rFonts w:ascii="Times New Roman" w:hAnsi="Times New Roman" w:cs="Times New Roman"/>
          <w:b/>
          <w:szCs w:val="20"/>
          <w:lang w:bidi="ar"/>
        </w:rPr>
        <w:t>装船工艺</w:t>
      </w:r>
    </w:p>
    <w:p>
      <w:pPr>
        <w:pStyle w:val="25"/>
        <w:ind w:firstLine="482"/>
        <w:rPr>
          <w:rFonts w:ascii="Times New Roman" w:hAnsi="Times New Roman" w:cs="Times New Roman"/>
          <w:b/>
          <w:bCs/>
          <w:lang w:bidi="ar"/>
        </w:rPr>
      </w:pPr>
      <w:r>
        <w:rPr>
          <w:rFonts w:ascii="Times New Roman" w:hAnsi="Times New Roman" w:cs="Times New Roman"/>
          <w:b/>
          <w:bCs/>
          <w:lang w:bidi="ar"/>
        </w:rPr>
        <w:t>装船利用装船泵增压输送装船，利用流量计进行计量。</w:t>
      </w:r>
    </w:p>
    <w:p>
      <w:pPr>
        <w:pStyle w:val="25"/>
        <w:ind w:firstLine="482"/>
        <w:rPr>
          <w:rFonts w:ascii="Times New Roman" w:hAnsi="Times New Roman" w:cs="Times New Roman"/>
          <w:b/>
          <w:bCs/>
          <w:lang w:bidi="ar"/>
        </w:rPr>
      </w:pPr>
      <w:r>
        <w:rPr>
          <w:rFonts w:ascii="Times New Roman" w:hAnsi="Times New Roman" w:cs="Times New Roman"/>
          <w:b/>
          <w:bCs/>
          <w:lang w:bidi="ar"/>
        </w:rPr>
        <w:t>储罐→装船泵→码头管线→流量计→输油臂/连接软管→船</w:t>
      </w:r>
    </w:p>
    <w:p>
      <w:pPr>
        <w:ind w:firstLine="482"/>
        <w:rPr>
          <w:rFonts w:ascii="Times New Roman" w:hAnsi="Times New Roman" w:cs="Times New Roman"/>
          <w:b/>
        </w:rPr>
      </w:pPr>
      <w:r>
        <w:rPr>
          <w:rFonts w:hint="eastAsia" w:ascii="宋体" w:hAnsi="宋体" w:cs="宋体"/>
          <w:b/>
          <w:szCs w:val="21"/>
          <w:lang w:bidi="ar"/>
        </w:rPr>
        <w:t>③</w:t>
      </w:r>
      <w:r>
        <w:rPr>
          <w:rFonts w:ascii="Times New Roman" w:hAnsi="Times New Roman" w:cs="Times New Roman"/>
          <w:b/>
          <w:szCs w:val="21"/>
          <w:lang w:bidi="ar"/>
        </w:rPr>
        <w:t>车船直卸</w:t>
      </w:r>
    </w:p>
    <w:p>
      <w:pPr>
        <w:ind w:firstLine="482"/>
        <w:rPr>
          <w:rFonts w:ascii="Times New Roman" w:hAnsi="Times New Roman" w:cs="Times New Roman"/>
          <w:b/>
          <w:szCs w:val="21"/>
          <w:lang w:bidi="ar"/>
        </w:rPr>
      </w:pPr>
      <w:r>
        <w:rPr>
          <w:rFonts w:ascii="Times New Roman" w:hAnsi="Times New Roman" w:cs="Times New Roman"/>
          <w:b/>
          <w:szCs w:val="21"/>
          <w:lang w:bidi="ar"/>
        </w:rPr>
        <w:t>汽车→连接软管→公路卸车泵→库内管线→码头管线→连接软管→船</w:t>
      </w:r>
    </w:p>
    <w:p>
      <w:pPr>
        <w:ind w:firstLine="482"/>
        <w:rPr>
          <w:rFonts w:ascii="Times New Roman" w:hAnsi="Times New Roman" w:cs="Times New Roman"/>
          <w:b/>
        </w:rPr>
      </w:pPr>
      <w:r>
        <w:rPr>
          <w:rFonts w:ascii="Times New Roman" w:hAnsi="Times New Roman" w:cs="Times New Roman"/>
          <w:b/>
          <w:szCs w:val="21"/>
          <w:lang w:bidi="ar"/>
        </w:rPr>
        <w:t>船→船载泵→连接软管→码头管线→库内管线→鹤管→汽车槽车</w:t>
      </w:r>
    </w:p>
    <w:p>
      <w:pPr>
        <w:ind w:firstLine="482" w:firstLineChars="0"/>
        <w:jc w:val="left"/>
        <w:rPr>
          <w:rFonts w:ascii="Times New Roman" w:hAnsi="Times New Roman" w:cs="Times New Roman"/>
          <w:kern w:val="24"/>
          <w:szCs w:val="20"/>
        </w:rPr>
      </w:pPr>
      <w:r>
        <w:rPr>
          <w:rFonts w:ascii="Times New Roman" w:hAnsi="Times New Roman" w:cs="Times New Roman"/>
          <w:kern w:val="24"/>
          <w:szCs w:val="20"/>
          <w:lang w:bidi="ar"/>
        </w:rPr>
        <w:t>本项目后方罐区与前沿码头之间采用一体式硬化路面的方式，汽车装卸区周围预留15米宽运输道路，汽车通过运输道路可直接到达装卸码头。罐区内部预留了停车等待区域，防止卸货的车流过大，导致原有运输道路拥挤，发生危险。</w:t>
      </w:r>
    </w:p>
    <w:p>
      <w:pPr>
        <w:pStyle w:val="3"/>
        <w:numPr>
          <w:ilvl w:val="0"/>
          <w:numId w:val="0"/>
        </w:numPr>
        <w:rPr>
          <w:rFonts w:ascii="Times New Roman" w:hAnsi="Times New Roman" w:cs="Times New Roman"/>
          <w:color w:val="auto"/>
        </w:rPr>
      </w:pPr>
      <w:bookmarkStart w:id="201" w:name="_Toc104733340"/>
      <w:bookmarkStart w:id="202" w:name="_Toc102984302"/>
      <w:r>
        <w:rPr>
          <w:rFonts w:ascii="Times New Roman" w:hAnsi="Times New Roman" w:cs="Times New Roman"/>
          <w:color w:val="auto"/>
        </w:rPr>
        <w:t>3.6码头主要装卸设备</w:t>
      </w:r>
      <w:bookmarkEnd w:id="193"/>
      <w:bookmarkEnd w:id="201"/>
      <w:bookmarkEnd w:id="202"/>
    </w:p>
    <w:p>
      <w:pPr>
        <w:tabs>
          <w:tab w:val="left" w:pos="1440"/>
        </w:tabs>
        <w:ind w:right="-175" w:rightChars="-73" w:firstLine="482"/>
        <w:jc w:val="left"/>
        <w:rPr>
          <w:rFonts w:ascii="Times New Roman" w:hAnsi="Times New Roman" w:cs="Times New Roman"/>
          <w:b/>
          <w:bCs/>
          <w:color w:val="auto"/>
          <w:szCs w:val="24"/>
        </w:rPr>
      </w:pPr>
      <w:bookmarkStart w:id="203" w:name="_Toc321302452"/>
      <w:r>
        <w:rPr>
          <w:rFonts w:ascii="Times New Roman" w:hAnsi="Times New Roman" w:cs="Times New Roman"/>
          <w:b/>
          <w:bCs/>
          <w:color w:val="auto"/>
          <w:szCs w:val="24"/>
        </w:rPr>
        <w:t>（1）码头区</w:t>
      </w:r>
    </w:p>
    <w:p>
      <w:pPr>
        <w:tabs>
          <w:tab w:val="left" w:pos="1440"/>
        </w:tabs>
        <w:ind w:right="-175" w:rightChars="-73" w:firstLine="480"/>
        <w:jc w:val="left"/>
        <w:rPr>
          <w:rFonts w:ascii="Times New Roman" w:hAnsi="Times New Roman" w:cs="Times New Roman"/>
          <w:color w:val="auto"/>
          <w:kern w:val="0"/>
          <w:szCs w:val="24"/>
        </w:rPr>
      </w:pPr>
      <w:r>
        <w:rPr>
          <w:rFonts w:ascii="Times New Roman" w:hAnsi="Times New Roman" w:cs="Times New Roman"/>
          <w:color w:val="auto"/>
          <w:szCs w:val="24"/>
        </w:rPr>
        <w:t>码头配管根据设计原则，以及装卸船需要，配备管线及设备详见下表：</w:t>
      </w:r>
    </w:p>
    <w:p>
      <w:pPr>
        <w:tabs>
          <w:tab w:val="left" w:pos="960"/>
          <w:tab w:val="left" w:pos="1920"/>
          <w:tab w:val="left" w:pos="2880"/>
          <w:tab w:val="left" w:pos="3840"/>
          <w:tab w:val="left" w:pos="4800"/>
          <w:tab w:val="left" w:pos="5760"/>
          <w:tab w:val="left" w:pos="6720"/>
          <w:tab w:val="left" w:pos="7680"/>
          <w:tab w:val="left" w:pos="8640"/>
          <w:tab w:val="left" w:pos="9600"/>
          <w:tab w:val="left" w:pos="10560"/>
        </w:tabs>
        <w:autoSpaceDE w:val="0"/>
        <w:autoSpaceDN w:val="0"/>
        <w:spacing w:line="240" w:lineRule="auto"/>
        <w:ind w:firstLine="442"/>
        <w:jc w:val="center"/>
        <w:textAlignment w:val="bottom"/>
        <w:rPr>
          <w:rFonts w:ascii="Times New Roman" w:hAnsi="Times New Roman" w:cs="Times New Roman"/>
          <w:b/>
          <w:color w:val="auto"/>
          <w:sz w:val="22"/>
          <w:szCs w:val="21"/>
        </w:rPr>
      </w:pPr>
      <w:r>
        <w:rPr>
          <w:rFonts w:ascii="Times New Roman" w:hAnsi="Times New Roman" w:cs="Times New Roman"/>
          <w:b/>
          <w:color w:val="auto"/>
          <w:sz w:val="22"/>
          <w:szCs w:val="21"/>
        </w:rPr>
        <w:t>表3.6-1     码头装卸工艺管道工艺参数一览表</w:t>
      </w:r>
    </w:p>
    <w:tbl>
      <w:tblPr>
        <w:tblStyle w:val="62"/>
        <w:tblW w:w="901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8"/>
        <w:gridCol w:w="1289"/>
        <w:gridCol w:w="883"/>
        <w:gridCol w:w="1377"/>
        <w:gridCol w:w="1278"/>
        <w:gridCol w:w="993"/>
        <w:gridCol w:w="1278"/>
        <w:gridCol w:w="109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5" w:hRule="atLeast"/>
        </w:trPr>
        <w:tc>
          <w:tcPr>
            <w:tcW w:w="81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泊位及其他</w:t>
            </w: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装卸品名</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干管管径</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管道材质</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压力等级</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管道级别</w:t>
            </w:r>
          </w:p>
        </w:tc>
        <w:tc>
          <w:tcPr>
            <w:tcW w:w="2373" w:type="dxa"/>
            <w:gridSpan w:val="2"/>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装卸设备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818"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泊位</w:t>
            </w: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氯化钙</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SHC</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金属软管</w:t>
            </w:r>
          </w:p>
        </w:tc>
        <w:tc>
          <w:tcPr>
            <w:tcW w:w="1095"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软管吊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widowControl/>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98%硫酸</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b/>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SHA</w:t>
            </w:r>
          </w:p>
        </w:tc>
        <w:tc>
          <w:tcPr>
            <w:tcW w:w="1278"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金属软管</w:t>
            </w: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9"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32%液碱</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kern w:val="0"/>
                <w:sz w:val="18"/>
                <w:szCs w:val="18"/>
              </w:rPr>
              <w:t>304SS</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SHC</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金属软管</w:t>
            </w: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50%液碱</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kern w:val="0"/>
                <w:sz w:val="18"/>
                <w:szCs w:val="18"/>
              </w:rPr>
              <w:t>304SS</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SHC</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金属软管</w:t>
            </w: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818"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泊位</w:t>
            </w: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32%液碱</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kern w:val="0"/>
                <w:sz w:val="18"/>
                <w:szCs w:val="18"/>
              </w:rPr>
              <w:t>304SS</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SHC</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金属软管</w:t>
            </w:r>
          </w:p>
        </w:tc>
        <w:tc>
          <w:tcPr>
            <w:tcW w:w="1095"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软管吊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9"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50%液碱</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304SS</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SHC</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金属软管</w:t>
            </w: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8"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widowControl/>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98%硫酸</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b/>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SHA</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金属软管</w:t>
            </w: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818"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泊位</w:t>
            </w: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32%液碱</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kern w:val="0"/>
                <w:sz w:val="18"/>
                <w:szCs w:val="18"/>
              </w:rPr>
              <w:t>304SS</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SHC</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金属软管</w:t>
            </w:r>
          </w:p>
        </w:tc>
        <w:tc>
          <w:tcPr>
            <w:tcW w:w="1095"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软管吊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9"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50%液碱</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kern w:val="0"/>
                <w:sz w:val="18"/>
                <w:szCs w:val="18"/>
              </w:rPr>
              <w:t>304SS</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SHC</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金属软管</w:t>
            </w: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48%氢氧化钾</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SHC</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金属软管</w:t>
            </w: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8"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氯化钙</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SHC</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金属软管</w:t>
            </w: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818"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w:t>
            </w:r>
          </w:p>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泊位</w:t>
            </w: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乙醇</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SHB</w:t>
            </w:r>
          </w:p>
        </w:tc>
        <w:tc>
          <w:tcPr>
            <w:tcW w:w="2373" w:type="dxa"/>
            <w:gridSpan w:val="2"/>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装卸臂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乙二醇</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SHB</w:t>
            </w:r>
          </w:p>
        </w:tc>
        <w:tc>
          <w:tcPr>
            <w:tcW w:w="2373" w:type="dxa"/>
            <w:gridSpan w:val="2"/>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植物油</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SHB</w:t>
            </w:r>
          </w:p>
        </w:tc>
        <w:tc>
          <w:tcPr>
            <w:tcW w:w="2373" w:type="dxa"/>
            <w:gridSpan w:val="2"/>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9"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氯化钙</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DN200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b/>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SHC</w:t>
            </w:r>
          </w:p>
        </w:tc>
        <w:tc>
          <w:tcPr>
            <w:tcW w:w="2373" w:type="dxa"/>
            <w:gridSpan w:val="2"/>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818"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w:t>
            </w:r>
          </w:p>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泊位</w:t>
            </w: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92#汽油</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SHB</w:t>
            </w:r>
          </w:p>
        </w:tc>
        <w:tc>
          <w:tcPr>
            <w:tcW w:w="2373" w:type="dxa"/>
            <w:gridSpan w:val="2"/>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装卸臂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95#汽油</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SHB</w:t>
            </w:r>
          </w:p>
        </w:tc>
        <w:tc>
          <w:tcPr>
            <w:tcW w:w="2373" w:type="dxa"/>
            <w:gridSpan w:val="2"/>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9"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-10#车用柴油</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SHB</w:t>
            </w:r>
          </w:p>
        </w:tc>
        <w:tc>
          <w:tcPr>
            <w:tcW w:w="2373" w:type="dxa"/>
            <w:gridSpan w:val="2"/>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8"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0#柴油</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SHB</w:t>
            </w:r>
          </w:p>
        </w:tc>
        <w:tc>
          <w:tcPr>
            <w:tcW w:w="2373" w:type="dxa"/>
            <w:gridSpan w:val="2"/>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818"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6#～7#</w:t>
            </w:r>
          </w:p>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泊位</w:t>
            </w: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92#汽油</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SHB</w:t>
            </w:r>
          </w:p>
        </w:tc>
        <w:tc>
          <w:tcPr>
            <w:tcW w:w="2373" w:type="dxa"/>
            <w:gridSpan w:val="2"/>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装卸臂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9"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95#汽油</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SHB</w:t>
            </w:r>
          </w:p>
        </w:tc>
        <w:tc>
          <w:tcPr>
            <w:tcW w:w="2373" w:type="dxa"/>
            <w:gridSpan w:val="2"/>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-10#车用柴油</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SHB</w:t>
            </w:r>
          </w:p>
        </w:tc>
        <w:tc>
          <w:tcPr>
            <w:tcW w:w="2373" w:type="dxa"/>
            <w:gridSpan w:val="2"/>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8" w:hRule="atLeast"/>
        </w:trPr>
        <w:tc>
          <w:tcPr>
            <w:tcW w:w="818"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28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0#柴油</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DN150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SHB</w:t>
            </w:r>
          </w:p>
        </w:tc>
        <w:tc>
          <w:tcPr>
            <w:tcW w:w="2373" w:type="dxa"/>
            <w:gridSpan w:val="2"/>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818" w:type="dxa"/>
            <w:vMerge w:val="restart"/>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气管线</w:t>
            </w:r>
          </w:p>
        </w:tc>
        <w:tc>
          <w:tcPr>
            <w:tcW w:w="1289" w:type="dxa"/>
            <w:vAlign w:val="center"/>
          </w:tcPr>
          <w:p>
            <w:pPr>
              <w:widowControl/>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氮气</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SHC</w:t>
            </w:r>
          </w:p>
        </w:tc>
        <w:tc>
          <w:tcPr>
            <w:tcW w:w="1278"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w:t>
            </w:r>
          </w:p>
        </w:tc>
        <w:tc>
          <w:tcPr>
            <w:tcW w:w="1095" w:type="dxa"/>
            <w:vAlign w:val="center"/>
          </w:tcPr>
          <w:p>
            <w:pPr>
              <w:adjustRightInd/>
              <w:spacing w:line="240" w:lineRule="auto"/>
              <w:ind w:firstLine="0" w:firstLineChars="0"/>
              <w:jc w:val="center"/>
              <w:rPr>
                <w:rFonts w:ascii="Times New Roman" w:hAnsi="Times New Roman"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818"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1289" w:type="dxa"/>
            <w:vAlign w:val="center"/>
          </w:tcPr>
          <w:p>
            <w:pPr>
              <w:widowControl/>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废气</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SHC</w:t>
            </w:r>
          </w:p>
        </w:tc>
        <w:tc>
          <w:tcPr>
            <w:tcW w:w="1278"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w:t>
            </w:r>
          </w:p>
        </w:tc>
        <w:tc>
          <w:tcPr>
            <w:tcW w:w="1095" w:type="dxa"/>
            <w:vAlign w:val="center"/>
          </w:tcPr>
          <w:p>
            <w:pPr>
              <w:adjustRightInd/>
              <w:spacing w:line="240" w:lineRule="auto"/>
              <w:ind w:firstLine="0" w:firstLineChars="0"/>
              <w:jc w:val="center"/>
              <w:rPr>
                <w:rFonts w:ascii="Times New Roman" w:hAnsi="Times New Roman"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818"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1289" w:type="dxa"/>
            <w:vAlign w:val="center"/>
          </w:tcPr>
          <w:p>
            <w:pPr>
              <w:widowControl/>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仪表风</w:t>
            </w:r>
          </w:p>
        </w:tc>
        <w:tc>
          <w:tcPr>
            <w:tcW w:w="8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DN50</w:t>
            </w:r>
          </w:p>
        </w:tc>
        <w:tc>
          <w:tcPr>
            <w:tcW w:w="1377"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278"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1.6MPa</w:t>
            </w:r>
          </w:p>
        </w:tc>
        <w:tc>
          <w:tcPr>
            <w:tcW w:w="99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SHC</w:t>
            </w:r>
          </w:p>
        </w:tc>
        <w:tc>
          <w:tcPr>
            <w:tcW w:w="1278"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w:t>
            </w:r>
          </w:p>
        </w:tc>
        <w:tc>
          <w:tcPr>
            <w:tcW w:w="1095" w:type="dxa"/>
            <w:vAlign w:val="center"/>
          </w:tcPr>
          <w:p>
            <w:pPr>
              <w:adjustRightInd/>
              <w:spacing w:line="240" w:lineRule="auto"/>
              <w:ind w:firstLine="0" w:firstLineChars="0"/>
              <w:jc w:val="center"/>
              <w:rPr>
                <w:rFonts w:ascii="Times New Roman" w:hAnsi="Times New Roman" w:cs="Times New Roman"/>
                <w:color w:val="auto"/>
                <w:kern w:val="0"/>
                <w:sz w:val="18"/>
                <w:szCs w:val="18"/>
              </w:rPr>
            </w:pPr>
          </w:p>
        </w:tc>
      </w:tr>
    </w:tbl>
    <w:p>
      <w:pPr>
        <w:spacing w:line="240" w:lineRule="auto"/>
        <w:ind w:firstLine="442"/>
        <w:jc w:val="center"/>
        <w:rPr>
          <w:rFonts w:ascii="Times New Roman" w:hAnsi="Times New Roman" w:cs="Times New Roman"/>
          <w:color w:val="auto"/>
          <w:szCs w:val="24"/>
        </w:rPr>
      </w:pPr>
      <w:r>
        <w:rPr>
          <w:rFonts w:ascii="Times New Roman" w:hAnsi="Times New Roman" w:cs="Times New Roman"/>
          <w:b/>
          <w:color w:val="auto"/>
          <w:sz w:val="22"/>
          <w:szCs w:val="21"/>
        </w:rPr>
        <w:t>表3.6-2     码头装卸机械配备一览表</w:t>
      </w:r>
    </w:p>
    <w:tbl>
      <w:tblPr>
        <w:tblStyle w:val="62"/>
        <w:tblW w:w="903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24"/>
        <w:gridCol w:w="2930"/>
        <w:gridCol w:w="2875"/>
        <w:gridCol w:w="1276"/>
        <w:gridCol w:w="113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rPr>
        <w:tc>
          <w:tcPr>
            <w:tcW w:w="824" w:type="dxa"/>
            <w:vAlign w:val="center"/>
          </w:tcPr>
          <w:p>
            <w:pPr>
              <w:adjustRightInd/>
              <w:snapToGrid/>
              <w:spacing w:line="240" w:lineRule="auto"/>
              <w:ind w:firstLine="0" w:firstLineChars="0"/>
              <w:jc w:val="center"/>
              <w:rPr>
                <w:rFonts w:ascii="Times New Roman" w:hAnsi="Times New Roman" w:cs="Times New Roman"/>
                <w:b/>
                <w:color w:val="auto"/>
                <w:sz w:val="20"/>
                <w:szCs w:val="20"/>
              </w:rPr>
            </w:pPr>
            <w:r>
              <w:rPr>
                <w:rFonts w:ascii="Times New Roman" w:hAnsi="Times New Roman" w:cs="Times New Roman"/>
                <w:b/>
                <w:color w:val="auto"/>
                <w:sz w:val="20"/>
                <w:szCs w:val="20"/>
              </w:rPr>
              <w:t>序号</w:t>
            </w:r>
          </w:p>
        </w:tc>
        <w:tc>
          <w:tcPr>
            <w:tcW w:w="2930" w:type="dxa"/>
            <w:vAlign w:val="center"/>
          </w:tcPr>
          <w:p>
            <w:pPr>
              <w:adjustRightInd/>
              <w:snapToGrid/>
              <w:spacing w:line="240" w:lineRule="auto"/>
              <w:ind w:firstLine="0" w:firstLineChars="0"/>
              <w:jc w:val="center"/>
              <w:rPr>
                <w:rFonts w:ascii="Times New Roman" w:hAnsi="Times New Roman" w:cs="Times New Roman"/>
                <w:b/>
                <w:color w:val="auto"/>
                <w:sz w:val="20"/>
                <w:szCs w:val="20"/>
              </w:rPr>
            </w:pPr>
            <w:r>
              <w:rPr>
                <w:rFonts w:ascii="Times New Roman" w:hAnsi="Times New Roman" w:cs="Times New Roman"/>
                <w:b/>
                <w:color w:val="auto"/>
                <w:sz w:val="20"/>
                <w:szCs w:val="20"/>
              </w:rPr>
              <w:t>设备名称</w:t>
            </w:r>
          </w:p>
        </w:tc>
        <w:tc>
          <w:tcPr>
            <w:tcW w:w="2875" w:type="dxa"/>
            <w:vAlign w:val="center"/>
          </w:tcPr>
          <w:p>
            <w:pPr>
              <w:adjustRightInd/>
              <w:snapToGrid/>
              <w:spacing w:line="240" w:lineRule="auto"/>
              <w:ind w:firstLine="0" w:firstLineChars="0"/>
              <w:jc w:val="center"/>
              <w:rPr>
                <w:rFonts w:ascii="Times New Roman" w:hAnsi="Times New Roman" w:cs="Times New Roman"/>
                <w:b/>
                <w:color w:val="auto"/>
                <w:sz w:val="20"/>
                <w:szCs w:val="20"/>
              </w:rPr>
            </w:pPr>
            <w:r>
              <w:rPr>
                <w:rFonts w:ascii="Times New Roman" w:hAnsi="Times New Roman" w:cs="Times New Roman"/>
                <w:b/>
                <w:color w:val="auto"/>
                <w:sz w:val="20"/>
                <w:szCs w:val="20"/>
              </w:rPr>
              <w:t>规格型号</w:t>
            </w:r>
          </w:p>
        </w:tc>
        <w:tc>
          <w:tcPr>
            <w:tcW w:w="1276" w:type="dxa"/>
            <w:vAlign w:val="center"/>
          </w:tcPr>
          <w:p>
            <w:pPr>
              <w:adjustRightInd/>
              <w:snapToGrid/>
              <w:spacing w:line="240" w:lineRule="auto"/>
              <w:ind w:firstLine="0" w:firstLineChars="0"/>
              <w:jc w:val="center"/>
              <w:rPr>
                <w:rFonts w:ascii="Times New Roman" w:hAnsi="Times New Roman" w:cs="Times New Roman"/>
                <w:b/>
                <w:color w:val="auto"/>
                <w:sz w:val="20"/>
                <w:szCs w:val="20"/>
              </w:rPr>
            </w:pPr>
            <w:r>
              <w:rPr>
                <w:rFonts w:ascii="Times New Roman" w:hAnsi="Times New Roman" w:cs="Times New Roman"/>
                <w:b/>
                <w:color w:val="auto"/>
                <w:sz w:val="20"/>
                <w:szCs w:val="20"/>
              </w:rPr>
              <w:t>单位</w:t>
            </w:r>
          </w:p>
        </w:tc>
        <w:tc>
          <w:tcPr>
            <w:tcW w:w="1132" w:type="dxa"/>
            <w:vAlign w:val="center"/>
          </w:tcPr>
          <w:p>
            <w:pPr>
              <w:adjustRightInd/>
              <w:snapToGrid/>
              <w:spacing w:line="240" w:lineRule="auto"/>
              <w:ind w:firstLine="0" w:firstLineChars="0"/>
              <w:jc w:val="center"/>
              <w:rPr>
                <w:rFonts w:ascii="Times New Roman" w:hAnsi="Times New Roman" w:cs="Times New Roman"/>
                <w:b/>
                <w:color w:val="auto"/>
                <w:sz w:val="20"/>
                <w:szCs w:val="20"/>
              </w:rPr>
            </w:pPr>
            <w:r>
              <w:rPr>
                <w:rFonts w:ascii="Times New Roman" w:hAnsi="Times New Roman" w:cs="Times New Roman"/>
                <w:b/>
                <w:color w:val="auto"/>
                <w:sz w:val="20"/>
                <w:szCs w:val="20"/>
              </w:rPr>
              <w:t>数量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rPr>
        <w:tc>
          <w:tcPr>
            <w:tcW w:w="824" w:type="dxa"/>
            <w:vAlign w:val="center"/>
          </w:tcPr>
          <w:p>
            <w:pPr>
              <w:adjustRightInd/>
              <w:snapToGrid/>
              <w:spacing w:line="240" w:lineRule="auto"/>
              <w:ind w:firstLine="0" w:firstLineChars="0"/>
              <w:jc w:val="center"/>
              <w:rPr>
                <w:rFonts w:ascii="Times New Roman" w:hAnsi="Times New Roman" w:cs="Times New Roman"/>
                <w:color w:val="auto"/>
                <w:sz w:val="20"/>
                <w:szCs w:val="20"/>
              </w:rPr>
            </w:pPr>
            <w:r>
              <w:rPr>
                <w:rFonts w:ascii="Times New Roman" w:hAnsi="Times New Roman" w:cs="Times New Roman"/>
                <w:color w:val="auto"/>
                <w:sz w:val="20"/>
                <w:szCs w:val="20"/>
              </w:rPr>
              <w:t>1</w:t>
            </w:r>
          </w:p>
        </w:tc>
        <w:tc>
          <w:tcPr>
            <w:tcW w:w="2930" w:type="dxa"/>
            <w:vAlign w:val="center"/>
          </w:tcPr>
          <w:p>
            <w:pPr>
              <w:adjustRightInd/>
              <w:snapToGrid/>
              <w:spacing w:line="240" w:lineRule="auto"/>
              <w:ind w:firstLine="0" w:firstLineChars="0"/>
              <w:jc w:val="left"/>
              <w:rPr>
                <w:rFonts w:ascii="Times New Roman" w:hAnsi="Times New Roman" w:cs="Times New Roman"/>
                <w:color w:val="auto"/>
                <w:sz w:val="20"/>
                <w:szCs w:val="20"/>
              </w:rPr>
            </w:pPr>
            <w:r>
              <w:rPr>
                <w:rFonts w:ascii="Times New Roman" w:hAnsi="Times New Roman" w:cs="Times New Roman"/>
                <w:color w:val="auto"/>
                <w:sz w:val="20"/>
                <w:szCs w:val="20"/>
              </w:rPr>
              <w:t>装卸臂</w:t>
            </w:r>
          </w:p>
        </w:tc>
        <w:tc>
          <w:tcPr>
            <w:tcW w:w="2875" w:type="dxa"/>
            <w:vAlign w:val="center"/>
          </w:tcPr>
          <w:p>
            <w:pPr>
              <w:adjustRightInd/>
              <w:snapToGrid/>
              <w:spacing w:line="240" w:lineRule="auto"/>
              <w:ind w:firstLine="0" w:firstLineChars="0"/>
              <w:jc w:val="center"/>
              <w:rPr>
                <w:rFonts w:ascii="Times New Roman" w:hAnsi="Times New Roman" w:cs="Times New Roman"/>
                <w:color w:val="auto"/>
                <w:sz w:val="20"/>
                <w:szCs w:val="20"/>
              </w:rPr>
            </w:pPr>
            <w:r>
              <w:rPr>
                <w:rFonts w:ascii="Times New Roman" w:hAnsi="Times New Roman" w:cs="Times New Roman"/>
                <w:color w:val="auto"/>
                <w:sz w:val="20"/>
                <w:szCs w:val="20"/>
              </w:rPr>
              <w:t>6” PN1.6</w:t>
            </w:r>
          </w:p>
        </w:tc>
        <w:tc>
          <w:tcPr>
            <w:tcW w:w="1276" w:type="dxa"/>
            <w:vAlign w:val="center"/>
          </w:tcPr>
          <w:p>
            <w:pPr>
              <w:adjustRightInd/>
              <w:snapToGrid/>
              <w:spacing w:line="240" w:lineRule="auto"/>
              <w:ind w:firstLine="0" w:firstLineChars="0"/>
              <w:jc w:val="center"/>
              <w:rPr>
                <w:rFonts w:ascii="Times New Roman" w:hAnsi="Times New Roman" w:cs="Times New Roman"/>
                <w:color w:val="auto"/>
                <w:sz w:val="20"/>
                <w:szCs w:val="20"/>
              </w:rPr>
            </w:pPr>
            <w:r>
              <w:rPr>
                <w:rFonts w:ascii="Times New Roman" w:hAnsi="Times New Roman" w:cs="Times New Roman"/>
                <w:color w:val="auto"/>
                <w:sz w:val="20"/>
                <w:szCs w:val="20"/>
              </w:rPr>
              <w:t>台</w:t>
            </w:r>
          </w:p>
        </w:tc>
        <w:tc>
          <w:tcPr>
            <w:tcW w:w="1132" w:type="dxa"/>
            <w:vAlign w:val="center"/>
          </w:tcPr>
          <w:p>
            <w:pPr>
              <w:adjustRightInd/>
              <w:snapToGrid/>
              <w:spacing w:line="240" w:lineRule="auto"/>
              <w:ind w:firstLine="0" w:firstLineChars="0"/>
              <w:jc w:val="center"/>
              <w:rPr>
                <w:rFonts w:ascii="Times New Roman" w:hAnsi="Times New Roman" w:cs="Times New Roman"/>
                <w:color w:val="auto"/>
                <w:sz w:val="20"/>
                <w:szCs w:val="20"/>
              </w:rPr>
            </w:pPr>
            <w:r>
              <w:rPr>
                <w:rFonts w:ascii="Times New Roman" w:hAnsi="Times New Roman" w:cs="Times New Roman"/>
                <w:color w:val="auto"/>
                <w:sz w:val="20"/>
                <w:szCs w:val="20"/>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rPr>
        <w:tc>
          <w:tcPr>
            <w:tcW w:w="824" w:type="dxa"/>
            <w:vAlign w:val="center"/>
          </w:tcPr>
          <w:p>
            <w:pPr>
              <w:adjustRightInd/>
              <w:snapToGrid/>
              <w:spacing w:line="240" w:lineRule="auto"/>
              <w:ind w:firstLine="0" w:firstLineChars="0"/>
              <w:jc w:val="center"/>
              <w:rPr>
                <w:rFonts w:ascii="Times New Roman" w:hAnsi="Times New Roman" w:cs="Times New Roman"/>
                <w:color w:val="auto"/>
                <w:sz w:val="20"/>
                <w:szCs w:val="20"/>
              </w:rPr>
            </w:pPr>
            <w:r>
              <w:rPr>
                <w:rFonts w:ascii="Times New Roman" w:hAnsi="Times New Roman" w:cs="Times New Roman"/>
                <w:color w:val="auto"/>
                <w:sz w:val="20"/>
                <w:szCs w:val="20"/>
              </w:rPr>
              <w:t>2</w:t>
            </w:r>
          </w:p>
        </w:tc>
        <w:tc>
          <w:tcPr>
            <w:tcW w:w="2930" w:type="dxa"/>
            <w:vAlign w:val="center"/>
          </w:tcPr>
          <w:p>
            <w:pPr>
              <w:adjustRightInd/>
              <w:snapToGrid/>
              <w:spacing w:line="240" w:lineRule="auto"/>
              <w:ind w:firstLine="0" w:firstLineChars="0"/>
              <w:jc w:val="left"/>
              <w:rPr>
                <w:rFonts w:ascii="Times New Roman" w:hAnsi="Times New Roman" w:cs="Times New Roman"/>
                <w:color w:val="auto"/>
                <w:sz w:val="20"/>
                <w:szCs w:val="20"/>
              </w:rPr>
            </w:pPr>
            <w:r>
              <w:rPr>
                <w:rFonts w:ascii="Times New Roman" w:hAnsi="Times New Roman" w:cs="Times New Roman"/>
                <w:color w:val="auto"/>
                <w:sz w:val="20"/>
                <w:szCs w:val="20"/>
              </w:rPr>
              <w:t>金属/复合软管</w:t>
            </w:r>
          </w:p>
        </w:tc>
        <w:tc>
          <w:tcPr>
            <w:tcW w:w="2875" w:type="dxa"/>
            <w:vAlign w:val="center"/>
          </w:tcPr>
          <w:p>
            <w:pPr>
              <w:adjustRightInd/>
              <w:snapToGrid/>
              <w:spacing w:line="240" w:lineRule="auto"/>
              <w:ind w:firstLine="0" w:firstLineChars="0"/>
              <w:jc w:val="center"/>
              <w:rPr>
                <w:rFonts w:ascii="Times New Roman" w:hAnsi="Times New Roman" w:cs="Times New Roman"/>
                <w:color w:val="auto"/>
                <w:sz w:val="20"/>
                <w:szCs w:val="20"/>
              </w:rPr>
            </w:pPr>
            <w:r>
              <w:rPr>
                <w:rFonts w:ascii="Times New Roman" w:hAnsi="Times New Roman" w:cs="Times New Roman"/>
                <w:color w:val="auto"/>
                <w:sz w:val="20"/>
                <w:szCs w:val="20"/>
              </w:rPr>
              <w:t>PN1.6 DN150 L=10m</w:t>
            </w:r>
          </w:p>
        </w:tc>
        <w:tc>
          <w:tcPr>
            <w:tcW w:w="1276" w:type="dxa"/>
            <w:vAlign w:val="center"/>
          </w:tcPr>
          <w:p>
            <w:pPr>
              <w:adjustRightInd/>
              <w:snapToGrid/>
              <w:spacing w:line="240" w:lineRule="auto"/>
              <w:ind w:firstLine="0" w:firstLineChars="0"/>
              <w:jc w:val="center"/>
              <w:rPr>
                <w:rFonts w:ascii="Times New Roman" w:hAnsi="Times New Roman" w:cs="Times New Roman"/>
                <w:color w:val="auto"/>
                <w:sz w:val="20"/>
                <w:szCs w:val="20"/>
              </w:rPr>
            </w:pPr>
            <w:r>
              <w:rPr>
                <w:rFonts w:ascii="Times New Roman" w:hAnsi="Times New Roman" w:cs="Times New Roman"/>
                <w:color w:val="auto"/>
                <w:sz w:val="20"/>
                <w:szCs w:val="20"/>
              </w:rPr>
              <w:t>根</w:t>
            </w:r>
          </w:p>
        </w:tc>
        <w:tc>
          <w:tcPr>
            <w:tcW w:w="1132" w:type="dxa"/>
            <w:vAlign w:val="center"/>
          </w:tcPr>
          <w:p>
            <w:pPr>
              <w:adjustRightInd/>
              <w:snapToGrid/>
              <w:spacing w:line="240" w:lineRule="auto"/>
              <w:ind w:firstLine="0" w:firstLineChars="0"/>
              <w:jc w:val="center"/>
              <w:rPr>
                <w:rFonts w:ascii="Times New Roman" w:hAnsi="Times New Roman" w:cs="Times New Roman"/>
                <w:color w:val="auto"/>
                <w:sz w:val="20"/>
                <w:szCs w:val="20"/>
              </w:rPr>
            </w:pPr>
            <w:r>
              <w:rPr>
                <w:rFonts w:ascii="Times New Roman" w:hAnsi="Times New Roman" w:cs="Times New Roman"/>
                <w:color w:val="auto"/>
                <w:sz w:val="20"/>
                <w:szCs w:val="20"/>
              </w:rPr>
              <w:t>13/4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23" w:hRule="atLeast"/>
        </w:trPr>
        <w:tc>
          <w:tcPr>
            <w:tcW w:w="824" w:type="dxa"/>
            <w:vAlign w:val="center"/>
          </w:tcPr>
          <w:p>
            <w:pPr>
              <w:adjustRightInd/>
              <w:snapToGrid/>
              <w:spacing w:line="240" w:lineRule="auto"/>
              <w:ind w:firstLine="0" w:firstLineChars="0"/>
              <w:jc w:val="center"/>
              <w:rPr>
                <w:rFonts w:ascii="Times New Roman" w:hAnsi="Times New Roman" w:cs="Times New Roman"/>
                <w:color w:val="auto"/>
                <w:sz w:val="20"/>
                <w:szCs w:val="20"/>
              </w:rPr>
            </w:pPr>
            <w:r>
              <w:rPr>
                <w:rFonts w:ascii="Times New Roman" w:hAnsi="Times New Roman" w:cs="Times New Roman"/>
                <w:color w:val="auto"/>
                <w:sz w:val="20"/>
                <w:szCs w:val="20"/>
              </w:rPr>
              <w:t>3</w:t>
            </w:r>
          </w:p>
        </w:tc>
        <w:tc>
          <w:tcPr>
            <w:tcW w:w="2930" w:type="dxa"/>
            <w:vAlign w:val="center"/>
          </w:tcPr>
          <w:p>
            <w:pPr>
              <w:adjustRightInd/>
              <w:snapToGrid/>
              <w:spacing w:line="240" w:lineRule="auto"/>
              <w:ind w:firstLine="0" w:firstLineChars="0"/>
              <w:jc w:val="left"/>
              <w:rPr>
                <w:rFonts w:ascii="Times New Roman" w:hAnsi="Times New Roman" w:cs="Times New Roman"/>
                <w:color w:val="auto"/>
                <w:sz w:val="20"/>
                <w:szCs w:val="20"/>
              </w:rPr>
            </w:pPr>
            <w:r>
              <w:rPr>
                <w:rFonts w:ascii="Times New Roman" w:hAnsi="Times New Roman" w:cs="Times New Roman"/>
                <w:color w:val="auto"/>
                <w:sz w:val="20"/>
                <w:szCs w:val="20"/>
              </w:rPr>
              <w:t>软管吊</w:t>
            </w:r>
          </w:p>
        </w:tc>
        <w:tc>
          <w:tcPr>
            <w:tcW w:w="2875" w:type="dxa"/>
            <w:vAlign w:val="center"/>
          </w:tcPr>
          <w:p>
            <w:pPr>
              <w:adjustRightInd/>
              <w:snapToGrid/>
              <w:spacing w:line="240" w:lineRule="auto"/>
              <w:ind w:firstLine="0" w:firstLineChars="0"/>
              <w:jc w:val="center"/>
              <w:rPr>
                <w:rFonts w:ascii="Times New Roman" w:hAnsi="Times New Roman" w:cs="Times New Roman"/>
                <w:color w:val="auto"/>
                <w:sz w:val="20"/>
                <w:szCs w:val="20"/>
              </w:rPr>
            </w:pPr>
            <w:r>
              <w:rPr>
                <w:rFonts w:ascii="Times New Roman" w:hAnsi="Times New Roman" w:cs="Times New Roman"/>
                <w:color w:val="auto"/>
                <w:sz w:val="20"/>
                <w:szCs w:val="20"/>
              </w:rPr>
              <w:t>1.5t-12m</w:t>
            </w:r>
          </w:p>
        </w:tc>
        <w:tc>
          <w:tcPr>
            <w:tcW w:w="1276" w:type="dxa"/>
            <w:vAlign w:val="center"/>
          </w:tcPr>
          <w:p>
            <w:pPr>
              <w:adjustRightInd/>
              <w:snapToGrid/>
              <w:spacing w:line="240" w:lineRule="auto"/>
              <w:ind w:firstLine="0" w:firstLineChars="0"/>
              <w:jc w:val="center"/>
              <w:rPr>
                <w:rFonts w:ascii="Times New Roman" w:hAnsi="Times New Roman" w:cs="Times New Roman"/>
                <w:color w:val="auto"/>
                <w:sz w:val="20"/>
                <w:szCs w:val="20"/>
              </w:rPr>
            </w:pPr>
            <w:r>
              <w:rPr>
                <w:rFonts w:ascii="Times New Roman" w:hAnsi="Times New Roman" w:cs="Times New Roman"/>
                <w:color w:val="auto"/>
                <w:sz w:val="20"/>
                <w:szCs w:val="20"/>
              </w:rPr>
              <w:t>台</w:t>
            </w:r>
          </w:p>
        </w:tc>
        <w:tc>
          <w:tcPr>
            <w:tcW w:w="1132" w:type="dxa"/>
            <w:vAlign w:val="center"/>
          </w:tcPr>
          <w:p>
            <w:pPr>
              <w:adjustRightInd/>
              <w:snapToGrid/>
              <w:spacing w:line="240" w:lineRule="auto"/>
              <w:ind w:firstLine="0" w:firstLineChars="0"/>
              <w:jc w:val="center"/>
              <w:rPr>
                <w:rFonts w:ascii="Times New Roman" w:hAnsi="Times New Roman" w:cs="Times New Roman"/>
                <w:color w:val="auto"/>
                <w:sz w:val="20"/>
                <w:szCs w:val="20"/>
              </w:rPr>
            </w:pPr>
            <w:r>
              <w:rPr>
                <w:rFonts w:ascii="Times New Roman" w:hAnsi="Times New Roman" w:cs="Times New Roman"/>
                <w:color w:val="auto"/>
                <w:sz w:val="20"/>
                <w:szCs w:val="20"/>
              </w:rPr>
              <w:t>3</w:t>
            </w:r>
          </w:p>
        </w:tc>
      </w:tr>
    </w:tbl>
    <w:p>
      <w:pPr>
        <w:tabs>
          <w:tab w:val="left" w:pos="1440"/>
        </w:tabs>
        <w:ind w:right="-175" w:rightChars="-73" w:firstLine="482"/>
        <w:jc w:val="left"/>
        <w:rPr>
          <w:rFonts w:ascii="Times New Roman" w:hAnsi="Times New Roman" w:cs="Times New Roman"/>
          <w:b/>
          <w:bCs/>
          <w:color w:val="auto"/>
          <w:szCs w:val="24"/>
        </w:rPr>
      </w:pPr>
      <w:r>
        <w:rPr>
          <w:rFonts w:ascii="Times New Roman" w:hAnsi="Times New Roman" w:cs="Times New Roman"/>
          <w:b/>
          <w:bCs/>
          <w:color w:val="auto"/>
          <w:szCs w:val="24"/>
        </w:rPr>
        <w:t>（2）汽车装卸区</w:t>
      </w:r>
    </w:p>
    <w:p>
      <w:pPr>
        <w:ind w:firstLine="482" w:firstLineChars="0"/>
        <w:rPr>
          <w:rFonts w:ascii="Times New Roman" w:hAnsi="Times New Roman" w:cs="Times New Roman"/>
          <w:color w:val="auto"/>
          <w:szCs w:val="24"/>
        </w:rPr>
      </w:pPr>
      <w:r>
        <w:rPr>
          <w:rFonts w:ascii="Times New Roman" w:hAnsi="Times New Roman" w:cs="Times New Roman"/>
          <w:color w:val="auto"/>
          <w:szCs w:val="24"/>
        </w:rPr>
        <w:t>1）发油鹤管布置</w:t>
      </w:r>
    </w:p>
    <w:p>
      <w:pPr>
        <w:adjustRightInd/>
        <w:snapToGrid/>
        <w:ind w:firstLine="480"/>
        <w:rPr>
          <w:rFonts w:ascii="Times New Roman" w:hAnsi="Times New Roman" w:cs="Times New Roman"/>
          <w:color w:val="auto"/>
          <w:szCs w:val="24"/>
        </w:rPr>
      </w:pPr>
      <w:r>
        <w:rPr>
          <w:rFonts w:hint="eastAsia" w:ascii="宋体" w:hAnsi="宋体" w:cs="宋体"/>
          <w:color w:val="auto"/>
          <w:szCs w:val="24"/>
        </w:rPr>
        <w:t>①</w:t>
      </w:r>
      <w:r>
        <w:rPr>
          <w:rFonts w:ascii="Times New Roman" w:hAnsi="Times New Roman" w:cs="Times New Roman"/>
          <w:color w:val="auto"/>
          <w:szCs w:val="24"/>
        </w:rPr>
        <w:t xml:space="preserve"> 成品油装车岛上鹤管布置</w:t>
      </w:r>
    </w:p>
    <w:p>
      <w:pPr>
        <w:ind w:firstLine="442"/>
        <w:jc w:val="center"/>
        <w:rPr>
          <w:rFonts w:ascii="Times New Roman" w:hAnsi="Times New Roman" w:cs="Times New Roman"/>
          <w:b/>
          <w:color w:val="auto"/>
          <w:sz w:val="22"/>
          <w:szCs w:val="21"/>
        </w:rPr>
      </w:pPr>
      <w:r>
        <w:rPr>
          <w:rFonts w:ascii="Times New Roman" w:hAnsi="Times New Roman" w:cs="Times New Roman"/>
          <w:b/>
          <w:color w:val="auto"/>
          <w:sz w:val="22"/>
          <w:szCs w:val="21"/>
        </w:rPr>
        <w:t>表3.6-3    成品油装车岛上鹤管布置明细表</w:t>
      </w:r>
    </w:p>
    <w:tbl>
      <w:tblPr>
        <w:tblStyle w:val="62"/>
        <w:tblW w:w="905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60"/>
        <w:gridCol w:w="1115"/>
        <w:gridCol w:w="1798"/>
        <w:gridCol w:w="1436"/>
        <w:gridCol w:w="1454"/>
        <w:gridCol w:w="129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6" w:hRule="atLeast"/>
        </w:trPr>
        <w:tc>
          <w:tcPr>
            <w:tcW w:w="1960"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类别</w:t>
            </w:r>
          </w:p>
        </w:tc>
        <w:tc>
          <w:tcPr>
            <w:tcW w:w="1115"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装车岛</w:t>
            </w:r>
          </w:p>
        </w:tc>
        <w:tc>
          <w:tcPr>
            <w:tcW w:w="179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油品布置</w:t>
            </w:r>
          </w:p>
        </w:tc>
        <w:tc>
          <w:tcPr>
            <w:tcW w:w="143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鹤管形式</w:t>
            </w:r>
          </w:p>
        </w:tc>
        <w:tc>
          <w:tcPr>
            <w:tcW w:w="1454"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年装车能力</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×10</w:t>
            </w:r>
            <w:r>
              <w:rPr>
                <w:rFonts w:ascii="Times New Roman" w:hAnsi="Times New Roman" w:cs="Times New Roman"/>
                <w:color w:val="auto"/>
                <w:kern w:val="24"/>
                <w:sz w:val="18"/>
                <w:szCs w:val="18"/>
                <w:vertAlign w:val="superscript"/>
              </w:rPr>
              <w:t>4</w:t>
            </w:r>
            <w:r>
              <w:rPr>
                <w:rFonts w:ascii="Times New Roman" w:hAnsi="Times New Roman" w:cs="Times New Roman"/>
                <w:color w:val="auto"/>
                <w:kern w:val="24"/>
                <w:sz w:val="18"/>
                <w:szCs w:val="18"/>
              </w:rPr>
              <w:t>t/年</w:t>
            </w:r>
          </w:p>
        </w:tc>
        <w:tc>
          <w:tcPr>
            <w:tcW w:w="129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6" w:hRule="atLeast"/>
        </w:trPr>
        <w:tc>
          <w:tcPr>
            <w:tcW w:w="1960" w:type="dxa"/>
            <w:vMerge w:val="restart"/>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（汽油下装，1~3仓车均有；柴油单仓车，上下装均有）</w:t>
            </w:r>
          </w:p>
        </w:tc>
        <w:tc>
          <w:tcPr>
            <w:tcW w:w="1115"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179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0#</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-10#</w:t>
            </w:r>
          </w:p>
        </w:tc>
        <w:tc>
          <w:tcPr>
            <w:tcW w:w="143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下装/上装</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下装/上装</w:t>
            </w:r>
          </w:p>
        </w:tc>
        <w:tc>
          <w:tcPr>
            <w:tcW w:w="1454"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17.6</w:t>
            </w:r>
          </w:p>
        </w:tc>
        <w:tc>
          <w:tcPr>
            <w:tcW w:w="129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双侧装车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6" w:hRule="atLeast"/>
        </w:trPr>
        <w:tc>
          <w:tcPr>
            <w:tcW w:w="1960" w:type="dxa"/>
            <w:vMerge w:val="continue"/>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p>
        </w:tc>
        <w:tc>
          <w:tcPr>
            <w:tcW w:w="1115"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179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0#/-10#</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0#/-10#</w:t>
            </w:r>
          </w:p>
        </w:tc>
        <w:tc>
          <w:tcPr>
            <w:tcW w:w="143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tc>
        <w:tc>
          <w:tcPr>
            <w:tcW w:w="1454"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8.8</w:t>
            </w:r>
          </w:p>
        </w:tc>
        <w:tc>
          <w:tcPr>
            <w:tcW w:w="129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单侧装车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6" w:hRule="atLeast"/>
        </w:trPr>
        <w:tc>
          <w:tcPr>
            <w:tcW w:w="1960" w:type="dxa"/>
            <w:vMerge w:val="continue"/>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p>
        </w:tc>
        <w:tc>
          <w:tcPr>
            <w:tcW w:w="1115"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w:t>
            </w:r>
          </w:p>
        </w:tc>
        <w:tc>
          <w:tcPr>
            <w:tcW w:w="179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E92#</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E92#/E95#</w:t>
            </w:r>
          </w:p>
        </w:tc>
        <w:tc>
          <w:tcPr>
            <w:tcW w:w="143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tc>
        <w:tc>
          <w:tcPr>
            <w:tcW w:w="1454"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7.6</w:t>
            </w:r>
          </w:p>
        </w:tc>
        <w:tc>
          <w:tcPr>
            <w:tcW w:w="129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单侧装车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6" w:hRule="atLeast"/>
        </w:trPr>
        <w:tc>
          <w:tcPr>
            <w:tcW w:w="1960" w:type="dxa"/>
            <w:vMerge w:val="restart"/>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（汽油、柴油下装，1~3仓车均有）</w:t>
            </w:r>
          </w:p>
        </w:tc>
        <w:tc>
          <w:tcPr>
            <w:tcW w:w="1115"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4#</w:t>
            </w:r>
          </w:p>
        </w:tc>
        <w:tc>
          <w:tcPr>
            <w:tcW w:w="179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0#</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-10#</w:t>
            </w:r>
          </w:p>
        </w:tc>
        <w:tc>
          <w:tcPr>
            <w:tcW w:w="143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tc>
        <w:tc>
          <w:tcPr>
            <w:tcW w:w="1454"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17.6</w:t>
            </w:r>
          </w:p>
        </w:tc>
        <w:tc>
          <w:tcPr>
            <w:tcW w:w="129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单侧装车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6" w:hRule="atLeast"/>
        </w:trPr>
        <w:tc>
          <w:tcPr>
            <w:tcW w:w="1960" w:type="dxa"/>
            <w:vMerge w:val="continue"/>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p>
        </w:tc>
        <w:tc>
          <w:tcPr>
            <w:tcW w:w="1115"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w:t>
            </w:r>
          </w:p>
        </w:tc>
        <w:tc>
          <w:tcPr>
            <w:tcW w:w="179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0#</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-10#</w:t>
            </w:r>
          </w:p>
        </w:tc>
        <w:tc>
          <w:tcPr>
            <w:tcW w:w="143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tc>
        <w:tc>
          <w:tcPr>
            <w:tcW w:w="1454"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17.6</w:t>
            </w:r>
          </w:p>
        </w:tc>
        <w:tc>
          <w:tcPr>
            <w:tcW w:w="129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单侧装车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6" w:hRule="atLeast"/>
        </w:trPr>
        <w:tc>
          <w:tcPr>
            <w:tcW w:w="1960" w:type="dxa"/>
            <w:vMerge w:val="continue"/>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p>
        </w:tc>
        <w:tc>
          <w:tcPr>
            <w:tcW w:w="1115"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6#</w:t>
            </w:r>
          </w:p>
        </w:tc>
        <w:tc>
          <w:tcPr>
            <w:tcW w:w="179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E92#</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E95#/E92#</w:t>
            </w:r>
          </w:p>
        </w:tc>
        <w:tc>
          <w:tcPr>
            <w:tcW w:w="143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tc>
        <w:tc>
          <w:tcPr>
            <w:tcW w:w="1454"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15.3</w:t>
            </w:r>
          </w:p>
        </w:tc>
        <w:tc>
          <w:tcPr>
            <w:tcW w:w="129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单侧装车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6" w:hRule="atLeast"/>
        </w:trPr>
        <w:tc>
          <w:tcPr>
            <w:tcW w:w="1960" w:type="dxa"/>
            <w:vMerge w:val="continue"/>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p>
        </w:tc>
        <w:tc>
          <w:tcPr>
            <w:tcW w:w="1115"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7#</w:t>
            </w:r>
          </w:p>
        </w:tc>
        <w:tc>
          <w:tcPr>
            <w:tcW w:w="179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E98#</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E92#/E95#</w:t>
            </w:r>
          </w:p>
        </w:tc>
        <w:tc>
          <w:tcPr>
            <w:tcW w:w="143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tc>
        <w:tc>
          <w:tcPr>
            <w:tcW w:w="1454"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15.3</w:t>
            </w:r>
          </w:p>
        </w:tc>
        <w:tc>
          <w:tcPr>
            <w:tcW w:w="129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单侧装车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6" w:hRule="atLeast"/>
        </w:trPr>
        <w:tc>
          <w:tcPr>
            <w:tcW w:w="1960" w:type="dxa"/>
            <w:vMerge w:val="restart"/>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（柴油双仓，下装为主，保留一个上装；汽油下装）</w:t>
            </w:r>
          </w:p>
        </w:tc>
        <w:tc>
          <w:tcPr>
            <w:tcW w:w="1115"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8#</w:t>
            </w:r>
          </w:p>
        </w:tc>
        <w:tc>
          <w:tcPr>
            <w:tcW w:w="179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0#</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-10#</w:t>
            </w:r>
          </w:p>
        </w:tc>
        <w:tc>
          <w:tcPr>
            <w:tcW w:w="143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下装/上装</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tc>
        <w:tc>
          <w:tcPr>
            <w:tcW w:w="1454"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8.8</w:t>
            </w:r>
          </w:p>
        </w:tc>
        <w:tc>
          <w:tcPr>
            <w:tcW w:w="129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单侧装车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6" w:hRule="atLeast"/>
        </w:trPr>
        <w:tc>
          <w:tcPr>
            <w:tcW w:w="1960" w:type="dxa"/>
            <w:vMerge w:val="continue"/>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p>
        </w:tc>
        <w:tc>
          <w:tcPr>
            <w:tcW w:w="1115"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w:t>
            </w:r>
          </w:p>
        </w:tc>
        <w:tc>
          <w:tcPr>
            <w:tcW w:w="179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92#</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95#</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92#</w:t>
            </w:r>
          </w:p>
        </w:tc>
        <w:tc>
          <w:tcPr>
            <w:tcW w:w="143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tc>
        <w:tc>
          <w:tcPr>
            <w:tcW w:w="1454"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7.6</w:t>
            </w:r>
          </w:p>
        </w:tc>
        <w:tc>
          <w:tcPr>
            <w:tcW w:w="129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单侧装车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6" w:hRule="atLeast"/>
        </w:trPr>
        <w:tc>
          <w:tcPr>
            <w:tcW w:w="1960"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预  留</w:t>
            </w:r>
          </w:p>
        </w:tc>
        <w:tc>
          <w:tcPr>
            <w:tcW w:w="1115"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10#</w:t>
            </w:r>
          </w:p>
        </w:tc>
        <w:tc>
          <w:tcPr>
            <w:tcW w:w="179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92#</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95#</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航煤</w:t>
            </w:r>
          </w:p>
        </w:tc>
        <w:tc>
          <w:tcPr>
            <w:tcW w:w="143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下装</w:t>
            </w:r>
          </w:p>
        </w:tc>
        <w:tc>
          <w:tcPr>
            <w:tcW w:w="1454"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15.3</w:t>
            </w:r>
          </w:p>
        </w:tc>
        <w:tc>
          <w:tcPr>
            <w:tcW w:w="129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单侧装车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6" w:hRule="atLeast"/>
        </w:trPr>
        <w:tc>
          <w:tcPr>
            <w:tcW w:w="9059" w:type="dxa"/>
            <w:gridSpan w:val="6"/>
            <w:shd w:val="clear" w:color="auto" w:fill="auto"/>
            <w:vAlign w:val="center"/>
          </w:tcPr>
          <w:p>
            <w:pPr>
              <w:adjustRightInd/>
              <w:spacing w:line="240" w:lineRule="auto"/>
              <w:ind w:firstLine="0" w:firstLineChars="0"/>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注：装车罩棚自西向东依次为1#~10#装车岛。</w:t>
            </w:r>
          </w:p>
          <w:p>
            <w:pPr>
              <w:adjustRightInd/>
              <w:spacing w:line="240" w:lineRule="auto"/>
              <w:ind w:firstLine="360"/>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年装车量按照每天净工作3小时，每年工作350d计算。</w:t>
            </w:r>
          </w:p>
        </w:tc>
      </w:tr>
    </w:tbl>
    <w:p>
      <w:pPr>
        <w:spacing w:before="120" w:beforeLines="50" w:line="240" w:lineRule="auto"/>
        <w:ind w:firstLine="442"/>
        <w:jc w:val="center"/>
        <w:rPr>
          <w:rFonts w:ascii="Times New Roman" w:hAnsi="Times New Roman" w:cs="Times New Roman"/>
          <w:b/>
          <w:color w:val="auto"/>
          <w:sz w:val="22"/>
          <w:szCs w:val="21"/>
        </w:rPr>
      </w:pPr>
      <w:r>
        <w:rPr>
          <w:rFonts w:ascii="Times New Roman" w:hAnsi="Times New Roman" w:cs="Times New Roman"/>
          <w:b/>
          <w:color w:val="auto"/>
          <w:sz w:val="22"/>
          <w:szCs w:val="21"/>
        </w:rPr>
        <w:t>表3.6-4     化工品装车岛上鹤管布置明细表</w:t>
      </w:r>
    </w:p>
    <w:tbl>
      <w:tblPr>
        <w:tblStyle w:val="62"/>
        <w:tblW w:w="89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040"/>
        <w:gridCol w:w="1134"/>
        <w:gridCol w:w="1843"/>
        <w:gridCol w:w="1417"/>
        <w:gridCol w:w="1418"/>
        <w:gridCol w:w="11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2040"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类别</w:t>
            </w: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装车岛</w:t>
            </w:r>
          </w:p>
        </w:tc>
        <w:tc>
          <w:tcPr>
            <w:tcW w:w="184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油品布置</w:t>
            </w:r>
          </w:p>
        </w:tc>
        <w:tc>
          <w:tcPr>
            <w:tcW w:w="141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鹤管形式</w:t>
            </w:r>
          </w:p>
        </w:tc>
        <w:tc>
          <w:tcPr>
            <w:tcW w:w="1418"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年装车量</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×10</w:t>
            </w:r>
            <w:r>
              <w:rPr>
                <w:rFonts w:ascii="Times New Roman" w:hAnsi="Times New Roman" w:cs="Times New Roman"/>
                <w:color w:val="auto"/>
                <w:kern w:val="24"/>
                <w:sz w:val="18"/>
                <w:szCs w:val="18"/>
                <w:vertAlign w:val="superscript"/>
              </w:rPr>
              <w:t>4</w:t>
            </w:r>
            <w:r>
              <w:rPr>
                <w:rFonts w:ascii="Times New Roman" w:hAnsi="Times New Roman" w:cs="Times New Roman"/>
                <w:color w:val="auto"/>
                <w:kern w:val="24"/>
                <w:sz w:val="18"/>
                <w:szCs w:val="18"/>
              </w:rPr>
              <w:t>t/年</w:t>
            </w: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2040" w:type="dxa"/>
            <w:vMerge w:val="restart"/>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（均为上装）</w:t>
            </w: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184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硫酸</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硫酸</w:t>
            </w:r>
          </w:p>
        </w:tc>
        <w:tc>
          <w:tcPr>
            <w:tcW w:w="141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tc>
        <w:tc>
          <w:tcPr>
            <w:tcW w:w="1418"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9.6</w:t>
            </w: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双侧装车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2040" w:type="dxa"/>
            <w:vMerge w:val="continue"/>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184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30%氯化钙</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30%氯化钙</w:t>
            </w:r>
          </w:p>
        </w:tc>
        <w:tc>
          <w:tcPr>
            <w:tcW w:w="141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tc>
        <w:tc>
          <w:tcPr>
            <w:tcW w:w="1418"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7.9</w:t>
            </w: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双侧装车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0" w:hRule="atLeast"/>
          <w:jc w:val="center"/>
        </w:trPr>
        <w:tc>
          <w:tcPr>
            <w:tcW w:w="2040" w:type="dxa"/>
            <w:vMerge w:val="continue"/>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w:t>
            </w:r>
          </w:p>
        </w:tc>
        <w:tc>
          <w:tcPr>
            <w:tcW w:w="184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32%氢氧化钠</w:t>
            </w:r>
          </w:p>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color w:val="auto"/>
                <w:kern w:val="24"/>
                <w:sz w:val="18"/>
                <w:szCs w:val="18"/>
              </w:rPr>
              <w:t>32%氢氧化钠</w:t>
            </w:r>
          </w:p>
        </w:tc>
        <w:tc>
          <w:tcPr>
            <w:tcW w:w="141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tc>
        <w:tc>
          <w:tcPr>
            <w:tcW w:w="1418"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7.1</w:t>
            </w: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双侧装车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2040" w:type="dxa"/>
            <w:vMerge w:val="continue"/>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4#</w:t>
            </w:r>
          </w:p>
        </w:tc>
        <w:tc>
          <w:tcPr>
            <w:tcW w:w="184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32%氢氧化钠</w:t>
            </w:r>
          </w:p>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color w:val="auto"/>
                <w:kern w:val="24"/>
                <w:sz w:val="18"/>
                <w:szCs w:val="18"/>
              </w:rPr>
              <w:t>32%氢氧化钠</w:t>
            </w:r>
          </w:p>
        </w:tc>
        <w:tc>
          <w:tcPr>
            <w:tcW w:w="141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tc>
        <w:tc>
          <w:tcPr>
            <w:tcW w:w="1418"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7.1</w:t>
            </w: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双侧装车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2040" w:type="dxa"/>
            <w:vMerge w:val="continue"/>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w:t>
            </w:r>
          </w:p>
        </w:tc>
        <w:tc>
          <w:tcPr>
            <w:tcW w:w="184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32%氢氧化钠</w:t>
            </w:r>
          </w:p>
          <w:p>
            <w:pPr>
              <w:adjustRightInd/>
              <w:snapToGrid/>
              <w:spacing w:line="240" w:lineRule="auto"/>
              <w:ind w:firstLine="0" w:firstLineChars="0"/>
              <w:jc w:val="center"/>
              <w:rPr>
                <w:rFonts w:ascii="Times New Roman" w:hAnsi="Times New Roman" w:cs="Times New Roman"/>
                <w:b/>
                <w:color w:val="auto"/>
                <w:kern w:val="24"/>
                <w:sz w:val="18"/>
                <w:szCs w:val="18"/>
              </w:rPr>
            </w:pPr>
            <w:r>
              <w:rPr>
                <w:rFonts w:ascii="Times New Roman" w:hAnsi="Times New Roman" w:cs="Times New Roman"/>
                <w:color w:val="auto"/>
                <w:kern w:val="24"/>
                <w:sz w:val="18"/>
                <w:szCs w:val="18"/>
              </w:rPr>
              <w:t>32%氢氧化钠</w:t>
            </w:r>
          </w:p>
        </w:tc>
        <w:tc>
          <w:tcPr>
            <w:tcW w:w="141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tc>
        <w:tc>
          <w:tcPr>
            <w:tcW w:w="1418"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7.1</w:t>
            </w: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双侧装车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2040" w:type="dxa"/>
            <w:vMerge w:val="continue"/>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6#</w:t>
            </w:r>
          </w:p>
        </w:tc>
        <w:tc>
          <w:tcPr>
            <w:tcW w:w="184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50%氢氧化钠</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48%氢氧化钾</w:t>
            </w:r>
          </w:p>
        </w:tc>
        <w:tc>
          <w:tcPr>
            <w:tcW w:w="141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tc>
        <w:tc>
          <w:tcPr>
            <w:tcW w:w="1418"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3.9</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3.9</w:t>
            </w: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双侧装车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0" w:hRule="atLeast"/>
          <w:jc w:val="center"/>
        </w:trPr>
        <w:tc>
          <w:tcPr>
            <w:tcW w:w="2040" w:type="dxa"/>
            <w:vMerge w:val="restart"/>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预  留</w:t>
            </w: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7#</w:t>
            </w:r>
          </w:p>
        </w:tc>
        <w:tc>
          <w:tcPr>
            <w:tcW w:w="184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w:t>
            </w:r>
          </w:p>
        </w:tc>
        <w:tc>
          <w:tcPr>
            <w:tcW w:w="141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tc>
        <w:tc>
          <w:tcPr>
            <w:tcW w:w="1418"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w:t>
            </w: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双侧装车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2040" w:type="dxa"/>
            <w:vMerge w:val="continue"/>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8#</w:t>
            </w:r>
          </w:p>
        </w:tc>
        <w:tc>
          <w:tcPr>
            <w:tcW w:w="1843"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w:t>
            </w:r>
          </w:p>
        </w:tc>
        <w:tc>
          <w:tcPr>
            <w:tcW w:w="1417"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上装</w:t>
            </w:r>
          </w:p>
        </w:tc>
        <w:tc>
          <w:tcPr>
            <w:tcW w:w="1418"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w:t>
            </w:r>
          </w:p>
        </w:tc>
        <w:tc>
          <w:tcPr>
            <w:tcW w:w="1134" w:type="dxa"/>
            <w:shd w:val="clear" w:color="auto" w:fill="auto"/>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双侧装车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8986" w:type="dxa"/>
            <w:gridSpan w:val="6"/>
            <w:shd w:val="clear" w:color="auto" w:fill="auto"/>
            <w:vAlign w:val="center"/>
          </w:tcPr>
          <w:p>
            <w:pPr>
              <w:adjustRightInd/>
              <w:snapToGrid/>
              <w:spacing w:line="240" w:lineRule="auto"/>
              <w:ind w:firstLine="0" w:firstLineChars="0"/>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注：装车罩棚自西向东依次为1#~8#装车岛。</w:t>
            </w:r>
          </w:p>
          <w:p>
            <w:pPr>
              <w:adjustRightInd/>
              <w:snapToGrid/>
              <w:spacing w:line="240" w:lineRule="auto"/>
              <w:ind w:firstLine="360"/>
              <w:jc w:val="left"/>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年装车量按照每天净工作3小时，每年工作350d计算。</w:t>
            </w:r>
          </w:p>
        </w:tc>
      </w:tr>
      <w:bookmarkEnd w:id="203"/>
    </w:tbl>
    <w:p>
      <w:pPr>
        <w:pStyle w:val="3"/>
        <w:numPr>
          <w:ilvl w:val="0"/>
          <w:numId w:val="0"/>
        </w:numPr>
        <w:rPr>
          <w:rFonts w:ascii="Times New Roman" w:hAnsi="Times New Roman" w:cs="Times New Roman"/>
          <w:color w:val="auto"/>
        </w:rPr>
      </w:pPr>
      <w:bookmarkStart w:id="204" w:name="_Toc104733341"/>
      <w:bookmarkStart w:id="205" w:name="_Toc102984304"/>
      <w:bookmarkStart w:id="206" w:name="_Toc511117734"/>
      <w:bookmarkStart w:id="207" w:name="_Toc321302453"/>
      <w:r>
        <w:rPr>
          <w:rFonts w:ascii="Times New Roman" w:hAnsi="Times New Roman" w:cs="Times New Roman"/>
          <w:color w:val="auto"/>
        </w:rPr>
        <w:t>3.7配套工程</w:t>
      </w:r>
      <w:bookmarkEnd w:id="204"/>
      <w:bookmarkEnd w:id="205"/>
      <w:bookmarkEnd w:id="206"/>
      <w:bookmarkEnd w:id="207"/>
    </w:p>
    <w:p>
      <w:pPr>
        <w:ind w:firstLine="482"/>
        <w:rPr>
          <w:rFonts w:ascii="Times New Roman" w:hAnsi="Times New Roman" w:cs="Times New Roman"/>
          <w:b/>
          <w:bCs/>
          <w:color w:val="auto"/>
        </w:rPr>
      </w:pPr>
      <w:bookmarkStart w:id="208" w:name="_Toc102984305"/>
      <w:r>
        <w:rPr>
          <w:rFonts w:ascii="Times New Roman" w:hAnsi="Times New Roman" w:cs="Times New Roman"/>
          <w:b/>
          <w:bCs/>
          <w:color w:val="auto"/>
        </w:rPr>
        <w:t>1、供配电设施</w:t>
      </w:r>
      <w:bookmarkEnd w:id="208"/>
    </w:p>
    <w:p>
      <w:pPr>
        <w:ind w:firstLine="480"/>
        <w:rPr>
          <w:rFonts w:ascii="Times New Roman" w:hAnsi="Times New Roman" w:cs="Times New Roman"/>
          <w:color w:val="auto"/>
          <w:szCs w:val="24"/>
          <w:lang w:val="zh-CN"/>
        </w:rPr>
      </w:pPr>
      <w:r>
        <w:rPr>
          <w:rFonts w:ascii="Times New Roman" w:hAnsi="Times New Roman" w:cs="Times New Roman"/>
          <w:color w:val="auto"/>
          <w:szCs w:val="24"/>
          <w:lang w:val="zh-CN"/>
        </w:rPr>
        <w:t>主要包括新建储罐、消防泵房及变配电间、公路卸车泵棚、装车泵棚及配电间、办公楼、营业室、化验室、危废间、污水处理设施等。</w:t>
      </w:r>
    </w:p>
    <w:p>
      <w:pPr>
        <w:ind w:firstLine="480"/>
        <w:rPr>
          <w:rFonts w:ascii="Times New Roman" w:hAnsi="Times New Roman" w:cs="Times New Roman"/>
          <w:color w:val="auto"/>
          <w:szCs w:val="24"/>
        </w:rPr>
      </w:pPr>
      <w:r>
        <w:rPr>
          <w:rFonts w:ascii="Times New Roman" w:hAnsi="Times New Roman" w:cs="Times New Roman"/>
          <w:color w:val="auto"/>
          <w:szCs w:val="24"/>
          <w:lang w:val="zh-CN"/>
        </w:rPr>
        <w:t>电气设计范围为新建项目中的变配电系统，动力、照明及仪表供配电线路，防雷防静电接地系统，火灾自动报警及联动控制系统、综合布线系统、有线电视系统。</w:t>
      </w:r>
    </w:p>
    <w:p>
      <w:pPr>
        <w:ind w:firstLine="480"/>
        <w:rPr>
          <w:rFonts w:ascii="Times New Roman" w:hAnsi="Times New Roman" w:cs="Times New Roman"/>
          <w:color w:val="auto"/>
          <w:szCs w:val="24"/>
        </w:rPr>
      </w:pPr>
      <w:r>
        <w:rPr>
          <w:rFonts w:ascii="Times New Roman" w:hAnsi="Times New Roman" w:cs="Times New Roman"/>
          <w:color w:val="auto"/>
          <w:szCs w:val="24"/>
        </w:rPr>
        <w:t>本工程总供电电源拟从循环经济园化工园变电站接入罐区总变配电所。罐区外电源引入两路电源线路，供电电压采用10KV，其容量满足油库供电需求。罐区设置一座总变配电所，下设一座分变配电所，两座分配电间，一座箱式变电站。</w:t>
      </w:r>
    </w:p>
    <w:p>
      <w:pPr>
        <w:ind w:firstLine="480"/>
        <w:rPr>
          <w:rFonts w:ascii="Times New Roman" w:hAnsi="Times New Roman" w:cs="Times New Roman"/>
          <w:color w:val="auto"/>
          <w:szCs w:val="24"/>
        </w:rPr>
      </w:pPr>
      <w:r>
        <w:rPr>
          <w:rFonts w:ascii="Times New Roman" w:hAnsi="Times New Roman" w:cs="Times New Roman"/>
          <w:color w:val="auto"/>
          <w:szCs w:val="24"/>
        </w:rPr>
        <w:t>罐区内建一座10/0.4kV总变电所（消防泵房及变配电间），下设一座10/0.4kV 分变配电间（2#泵棚及配电间）、一座10/0.4kV 箱式变电站（办公楼用）、两座0.4KV配电间（1#泵棚及配电间、3#泵棚及配电间）。</w:t>
      </w:r>
    </w:p>
    <w:p>
      <w:pPr>
        <w:ind w:firstLine="480"/>
        <w:rPr>
          <w:rFonts w:ascii="Times New Roman" w:hAnsi="Times New Roman" w:cs="Times New Roman"/>
          <w:color w:val="auto"/>
          <w:szCs w:val="24"/>
        </w:rPr>
      </w:pPr>
      <w:r>
        <w:rPr>
          <w:rFonts w:ascii="Times New Roman" w:hAnsi="Times New Roman" w:cs="Times New Roman"/>
          <w:color w:val="auto"/>
          <w:szCs w:val="24"/>
        </w:rPr>
        <w:t>消防泵房变配电间内设置一台20KW EPS消防泵房内作为消防电动阀的备用电源；2#泵棚及变配电间内设置一台30KW EPS为罐区及码头消防负荷提供备用电源。</w:t>
      </w:r>
    </w:p>
    <w:p>
      <w:pPr>
        <w:ind w:firstLine="482"/>
        <w:rPr>
          <w:rFonts w:ascii="Times New Roman" w:hAnsi="Times New Roman" w:cs="Times New Roman"/>
          <w:b/>
          <w:bCs/>
          <w:color w:val="auto"/>
          <w:szCs w:val="24"/>
        </w:rPr>
      </w:pPr>
      <w:r>
        <w:rPr>
          <w:rFonts w:ascii="Times New Roman" w:hAnsi="Times New Roman" w:cs="Times New Roman"/>
          <w:b/>
          <w:bCs/>
          <w:color w:val="auto"/>
          <w:szCs w:val="24"/>
        </w:rPr>
        <w:t>2、给排水</w:t>
      </w:r>
    </w:p>
    <w:p>
      <w:pPr>
        <w:ind w:firstLine="480"/>
        <w:rPr>
          <w:rFonts w:ascii="Times New Roman" w:hAnsi="Times New Roman" w:cs="Times New Roman"/>
          <w:color w:val="auto"/>
          <w:szCs w:val="24"/>
        </w:rPr>
      </w:pPr>
      <w:r>
        <w:rPr>
          <w:rFonts w:ascii="Times New Roman" w:hAnsi="Times New Roman" w:cs="Times New Roman"/>
          <w:color w:val="auto"/>
          <w:szCs w:val="24"/>
        </w:rPr>
        <w:t>1）给水依托条件</w:t>
      </w:r>
    </w:p>
    <w:p>
      <w:pPr>
        <w:ind w:firstLine="480"/>
        <w:rPr>
          <w:rFonts w:ascii="Times New Roman" w:hAnsi="Times New Roman" w:cs="Times New Roman"/>
          <w:color w:val="auto"/>
          <w:szCs w:val="24"/>
        </w:rPr>
      </w:pPr>
      <w:r>
        <w:rPr>
          <w:rFonts w:ascii="Times New Roman" w:hAnsi="Times New Roman" w:cs="Times New Roman"/>
          <w:color w:val="auto"/>
          <w:szCs w:val="24"/>
        </w:rPr>
        <w:t>本项目供水为市政自来水管网，提供罐区所需的生产、消防和生活用水。接口处市政供水主管网管径DN250，流量不小于100m</w:t>
      </w:r>
      <w:r>
        <w:rPr>
          <w:rFonts w:ascii="Times New Roman" w:hAnsi="Times New Roman" w:cs="Times New Roman"/>
          <w:color w:val="auto"/>
          <w:szCs w:val="24"/>
          <w:vertAlign w:val="superscript"/>
        </w:rPr>
        <w:t>3</w:t>
      </w:r>
      <w:r>
        <w:rPr>
          <w:rFonts w:ascii="Times New Roman" w:hAnsi="Times New Roman" w:cs="Times New Roman"/>
          <w:color w:val="auto"/>
          <w:szCs w:val="24"/>
        </w:rPr>
        <w:t>/h，压力不低于0.30Mpa。油库自行接引DN200给水管线至罐区。码头前沿给水系统主要供给船舶上水和装卸区冲洗用水等。从后方陆域沿工艺管架引出DN150给水管道一根，沿管架敷设至码头各用水点。泊位设置冲洗水栓及洗眼器。</w:t>
      </w:r>
    </w:p>
    <w:p>
      <w:pPr>
        <w:ind w:firstLine="480"/>
        <w:rPr>
          <w:rFonts w:ascii="Times New Roman" w:hAnsi="Times New Roman" w:cs="Times New Roman"/>
          <w:color w:val="auto"/>
          <w:szCs w:val="24"/>
        </w:rPr>
      </w:pPr>
      <w:r>
        <w:rPr>
          <w:rFonts w:ascii="Times New Roman" w:hAnsi="Times New Roman" w:cs="Times New Roman"/>
          <w:color w:val="auto"/>
          <w:szCs w:val="24"/>
        </w:rPr>
        <w:t>2）污水依托条件</w:t>
      </w:r>
    </w:p>
    <w:p>
      <w:pPr>
        <w:ind w:firstLine="480"/>
        <w:rPr>
          <w:rFonts w:ascii="Times New Roman" w:hAnsi="Times New Roman" w:cs="Times New Roman"/>
          <w:color w:val="auto"/>
          <w:szCs w:val="24"/>
        </w:rPr>
      </w:pPr>
      <w:r>
        <w:rPr>
          <w:rFonts w:ascii="Times New Roman" w:hAnsi="Times New Roman" w:cs="Times New Roman"/>
          <w:color w:val="auto"/>
          <w:szCs w:val="24"/>
        </w:rPr>
        <w:t>依托港区外规划市政污水管线，污水管沿着</w:t>
      </w:r>
      <w:r>
        <w:rPr>
          <w:rFonts w:hint="eastAsia" w:ascii="Times New Roman" w:hAnsi="Times New Roman" w:cs="Times New Roman"/>
          <w:color w:val="auto"/>
          <w:szCs w:val="24"/>
        </w:rPr>
        <w:t>规划</w:t>
      </w:r>
      <w:r>
        <w:rPr>
          <w:rFonts w:ascii="Times New Roman" w:hAnsi="Times New Roman" w:cs="Times New Roman"/>
          <w:color w:val="auto"/>
          <w:szCs w:val="24"/>
        </w:rPr>
        <w:t>仙井路敷设，污水管主管管径为DN500。</w:t>
      </w:r>
    </w:p>
    <w:p>
      <w:pPr>
        <w:ind w:firstLine="480"/>
        <w:rPr>
          <w:rFonts w:ascii="Times New Roman" w:hAnsi="Times New Roman" w:cs="Times New Roman"/>
          <w:color w:val="auto"/>
          <w:szCs w:val="24"/>
        </w:rPr>
      </w:pPr>
      <w:r>
        <w:rPr>
          <w:rFonts w:ascii="Times New Roman" w:hAnsi="Times New Roman" w:cs="Times New Roman"/>
          <w:color w:val="auto"/>
          <w:szCs w:val="24"/>
        </w:rPr>
        <w:t>3）雨水依托条件</w:t>
      </w:r>
    </w:p>
    <w:p>
      <w:pPr>
        <w:ind w:firstLine="480"/>
        <w:rPr>
          <w:rFonts w:ascii="Times New Roman" w:hAnsi="Times New Roman" w:cs="Times New Roman"/>
          <w:color w:val="auto"/>
          <w:szCs w:val="24"/>
        </w:rPr>
      </w:pPr>
      <w:r>
        <w:rPr>
          <w:rFonts w:ascii="Times New Roman" w:hAnsi="Times New Roman" w:cs="Times New Roman"/>
          <w:color w:val="auto"/>
          <w:szCs w:val="24"/>
        </w:rPr>
        <w:t>托港区外规划市政雨水管线，雨水管沿着</w:t>
      </w:r>
      <w:r>
        <w:rPr>
          <w:rFonts w:hint="eastAsia" w:ascii="Times New Roman" w:hAnsi="Times New Roman" w:cs="Times New Roman"/>
          <w:color w:val="auto"/>
          <w:szCs w:val="24"/>
        </w:rPr>
        <w:t>规划</w:t>
      </w:r>
      <w:r>
        <w:rPr>
          <w:rFonts w:ascii="Times New Roman" w:hAnsi="Times New Roman" w:cs="Times New Roman"/>
          <w:color w:val="auto"/>
          <w:szCs w:val="24"/>
        </w:rPr>
        <w:t>仙井路敷设，雨水管主管管径为DN1200。</w:t>
      </w:r>
    </w:p>
    <w:p>
      <w:pPr>
        <w:ind w:firstLine="480"/>
        <w:rPr>
          <w:rFonts w:ascii="Times New Roman" w:hAnsi="Times New Roman" w:cs="Times New Roman"/>
          <w:color w:val="auto"/>
          <w:szCs w:val="24"/>
        </w:rPr>
      </w:pPr>
      <w:r>
        <w:rPr>
          <w:rFonts w:ascii="Times New Roman" w:hAnsi="Times New Roman" w:cs="Times New Roman"/>
          <w:color w:val="auto"/>
          <w:szCs w:val="24"/>
        </w:rPr>
        <w:t>（2）排水系统</w:t>
      </w:r>
    </w:p>
    <w:p>
      <w:pPr>
        <w:ind w:firstLine="482"/>
        <w:rPr>
          <w:rFonts w:ascii="Times New Roman" w:hAnsi="Times New Roman" w:cs="Times New Roman"/>
          <w:b/>
          <w:bCs/>
          <w:color w:val="auto"/>
          <w:szCs w:val="24"/>
        </w:rPr>
      </w:pPr>
      <w:r>
        <w:rPr>
          <w:rFonts w:ascii="Times New Roman" w:hAnsi="Times New Roman" w:cs="Times New Roman"/>
          <w:b/>
          <w:bCs/>
          <w:color w:val="auto"/>
          <w:szCs w:val="24"/>
        </w:rPr>
        <w:fldChar w:fldCharType="begin"/>
      </w:r>
      <w:r>
        <w:rPr>
          <w:rFonts w:ascii="Times New Roman" w:hAnsi="Times New Roman" w:cs="Times New Roman"/>
          <w:b/>
          <w:bCs/>
          <w:color w:val="auto"/>
          <w:szCs w:val="24"/>
        </w:rPr>
        <w:instrText xml:space="preserve"> = 1 \* GB3 </w:instrText>
      </w:r>
      <w:r>
        <w:rPr>
          <w:rFonts w:ascii="Times New Roman" w:hAnsi="Times New Roman" w:cs="Times New Roman"/>
          <w:b/>
          <w:bCs/>
          <w:color w:val="auto"/>
          <w:szCs w:val="24"/>
        </w:rPr>
        <w:fldChar w:fldCharType="separate"/>
      </w:r>
      <w:r>
        <w:rPr>
          <w:rFonts w:hint="eastAsia" w:ascii="宋体" w:hAnsi="宋体" w:cs="宋体"/>
          <w:b/>
          <w:bCs/>
          <w:color w:val="auto"/>
          <w:szCs w:val="24"/>
        </w:rPr>
        <w:t>①</w:t>
      </w:r>
      <w:r>
        <w:rPr>
          <w:rFonts w:ascii="Times New Roman" w:hAnsi="Times New Roman" w:cs="Times New Roman"/>
          <w:b/>
          <w:bCs/>
          <w:color w:val="auto"/>
          <w:szCs w:val="24"/>
        </w:rPr>
        <w:fldChar w:fldCharType="end"/>
      </w:r>
      <w:r>
        <w:rPr>
          <w:rFonts w:ascii="Times New Roman" w:hAnsi="Times New Roman" w:cs="Times New Roman"/>
          <w:b/>
          <w:bCs/>
          <w:color w:val="auto"/>
          <w:szCs w:val="24"/>
        </w:rPr>
        <w:t>码头区</w:t>
      </w:r>
    </w:p>
    <w:p>
      <w:pPr>
        <w:ind w:firstLine="480"/>
        <w:rPr>
          <w:rFonts w:ascii="Times New Roman" w:hAnsi="Times New Roman" w:cs="Times New Roman"/>
          <w:color w:val="auto"/>
          <w:szCs w:val="24"/>
        </w:rPr>
      </w:pPr>
      <w:r>
        <w:rPr>
          <w:rFonts w:ascii="Times New Roman" w:hAnsi="Times New Roman" w:cs="Times New Roman"/>
          <w:color w:val="auto"/>
          <w:szCs w:val="24"/>
        </w:rPr>
        <w:t>排水采用雨、污分流体制。码头平台每个泊位装卸装置四周均设置污水挡坎，即围堰，挡坎高25cm，宽20cm，挡坎围护面长30m，宽11.7m，围挡内设置污水明沟，用于收集码头平台初期雨水及日常冲洗废水，码头平台后缘沿分界围墙设置排水沟，排水沟采用钢筋砼结构，水沟宽度 400mm，水深 600mm，坡度按 1.5‰考虑，排水沟末端设置分流闸门，汇集至管廊位置处。汇集的污水通过排水沟排入集污池；设置 2座收集池（兼事故池，容积均为30m</w:t>
      </w:r>
      <w:r>
        <w:rPr>
          <w:rFonts w:ascii="Times New Roman" w:hAnsi="Times New Roman" w:cs="Times New Roman"/>
          <w:color w:val="auto"/>
          <w:szCs w:val="24"/>
          <w:vertAlign w:val="superscript"/>
        </w:rPr>
        <w:t>3</w:t>
      </w:r>
      <w:r>
        <w:rPr>
          <w:rFonts w:ascii="Times New Roman" w:hAnsi="Times New Roman" w:cs="Times New Roman"/>
          <w:color w:val="auto"/>
          <w:szCs w:val="24"/>
        </w:rPr>
        <w:t>），1~4#泊位事故池压力排水管管径DN100，流量20m³/h，出口压力 0.20MPa；5~7#泊位事故池压力排水管管径DN100，流量20m³/h，出口压力0.20MPa，接管位置位于码头管廊处。事故池内设置两套排水泵，一套用于排除雨水，一套用于排除事故原液。所有排水泵均采用防爆型。码头平台不考虑生活污水，码头冲洗废水排入排水沟，再排入罐区污水管网。压力排水管道采用钢丝网骨架PE管，电热熔连接。管道沿码头管廊铺设。</w:t>
      </w:r>
    </w:p>
    <w:p>
      <w:pPr>
        <w:ind w:firstLine="480"/>
        <w:rPr>
          <w:rFonts w:ascii="Times New Roman" w:hAnsi="Times New Roman" w:cs="Times New Roman"/>
          <w:color w:val="auto"/>
          <w:szCs w:val="24"/>
        </w:rPr>
      </w:pPr>
      <w:r>
        <w:rPr>
          <w:rFonts w:ascii="Times New Roman" w:hAnsi="Times New Roman" w:cs="Times New Roman"/>
          <w:color w:val="auto"/>
          <w:szCs w:val="24"/>
        </w:rPr>
        <w:t>正常情况下的污水，通过潜水泵经管廊架上污水管道排入后方陆域</w:t>
      </w:r>
      <w:r>
        <w:rPr>
          <w:rFonts w:hint="eastAsia" w:ascii="Times New Roman" w:hAnsi="Times New Roman" w:cs="Times New Roman"/>
          <w:color w:val="auto"/>
          <w:szCs w:val="24"/>
        </w:rPr>
        <w:t>含油</w:t>
      </w:r>
      <w:r>
        <w:rPr>
          <w:rFonts w:ascii="Times New Roman" w:hAnsi="Times New Roman" w:cs="Times New Roman"/>
          <w:color w:val="auto"/>
          <w:szCs w:val="24"/>
        </w:rPr>
        <w:t>污水处理设施</w:t>
      </w:r>
      <w:r>
        <w:rPr>
          <w:rFonts w:hint="eastAsia" w:ascii="Times New Roman" w:hAnsi="Times New Roman" w:cs="Times New Roman"/>
          <w:color w:val="auto"/>
          <w:szCs w:val="24"/>
        </w:rPr>
        <w:t>（6</w:t>
      </w:r>
      <w:r>
        <w:rPr>
          <w:rFonts w:ascii="Times New Roman" w:hAnsi="Times New Roman" w:cs="Times New Roman"/>
          <w:color w:val="auto"/>
          <w:szCs w:val="24"/>
        </w:rPr>
        <w:t>00</w:t>
      </w:r>
      <w:r>
        <w:rPr>
          <w:rFonts w:hint="eastAsia" w:ascii="Times New Roman" w:hAnsi="Times New Roman" w:cs="Times New Roman"/>
          <w:color w:val="auto"/>
          <w:szCs w:val="24"/>
        </w:rPr>
        <w:t>m</w:t>
      </w:r>
      <w:r>
        <w:rPr>
          <w:rFonts w:ascii="Times New Roman" w:hAnsi="Times New Roman" w:cs="Times New Roman"/>
          <w:color w:val="auto"/>
          <w:szCs w:val="24"/>
          <w:vertAlign w:val="superscript"/>
        </w:rPr>
        <w:t>3</w:t>
      </w:r>
      <w:r>
        <w:rPr>
          <w:rFonts w:hint="eastAsia" w:ascii="Times New Roman" w:hAnsi="Times New Roman" w:cs="Times New Roman"/>
          <w:color w:val="auto"/>
          <w:szCs w:val="24"/>
        </w:rPr>
        <w:t>密闭式含油污水收集池+</w:t>
      </w:r>
      <w:r>
        <w:rPr>
          <w:rFonts w:ascii="Times New Roman" w:hAnsi="Times New Roman" w:cs="Times New Roman"/>
          <w:color w:val="auto"/>
          <w:szCs w:val="24"/>
        </w:rPr>
        <w:t>10</w:t>
      </w:r>
      <w:r>
        <w:rPr>
          <w:rFonts w:hint="eastAsia" w:ascii="Times New Roman" w:hAnsi="Times New Roman" w:cs="Times New Roman"/>
          <w:color w:val="auto"/>
          <w:szCs w:val="24"/>
        </w:rPr>
        <w:t>m</w:t>
      </w:r>
      <w:r>
        <w:rPr>
          <w:rFonts w:ascii="Times New Roman" w:hAnsi="Times New Roman" w:cs="Times New Roman"/>
          <w:color w:val="auto"/>
          <w:szCs w:val="24"/>
          <w:vertAlign w:val="superscript"/>
        </w:rPr>
        <w:t>3</w:t>
      </w:r>
      <w:r>
        <w:rPr>
          <w:rFonts w:ascii="Times New Roman" w:hAnsi="Times New Roman" w:cs="Times New Roman"/>
          <w:color w:val="auto"/>
          <w:szCs w:val="24"/>
        </w:rPr>
        <w:t>/</w:t>
      </w:r>
      <w:r>
        <w:rPr>
          <w:rFonts w:hint="eastAsia" w:ascii="Times New Roman" w:hAnsi="Times New Roman" w:cs="Times New Roman"/>
          <w:color w:val="auto"/>
          <w:szCs w:val="24"/>
        </w:rPr>
        <w:t>h“</w:t>
      </w:r>
      <w:r>
        <w:rPr>
          <w:rFonts w:hint="eastAsia"/>
          <w:color w:val="FF0000"/>
          <w:szCs w:val="18"/>
        </w:rPr>
        <w:t>沉砂+隔油+气浮+</w:t>
      </w:r>
      <w:r>
        <w:rPr>
          <w:color w:val="FF0000"/>
          <w:szCs w:val="18"/>
        </w:rPr>
        <w:t>SBR+</w:t>
      </w:r>
      <w:r>
        <w:rPr>
          <w:rFonts w:hint="eastAsia"/>
          <w:color w:val="FF0000"/>
          <w:szCs w:val="18"/>
        </w:rPr>
        <w:t>精密过滤</w:t>
      </w:r>
      <w:r>
        <w:rPr>
          <w:rFonts w:hint="eastAsia" w:ascii="Times New Roman" w:hAnsi="Times New Roman" w:cs="Times New Roman"/>
          <w:color w:val="auto"/>
          <w:szCs w:val="24"/>
        </w:rPr>
        <w:t>”含油污水处理装置）</w:t>
      </w:r>
      <w:r>
        <w:rPr>
          <w:rFonts w:ascii="Times New Roman" w:hAnsi="Times New Roman" w:cs="Times New Roman"/>
          <w:color w:val="auto"/>
          <w:szCs w:val="24"/>
        </w:rPr>
        <w:t>处理，再通过市政污水管网，送至合肥循环经济园污水处理厂统一处理。</w:t>
      </w:r>
    </w:p>
    <w:p>
      <w:pPr>
        <w:ind w:firstLine="480"/>
        <w:rPr>
          <w:rFonts w:ascii="Times New Roman" w:hAnsi="Times New Roman" w:cs="Times New Roman"/>
          <w:color w:val="auto"/>
          <w:szCs w:val="24"/>
        </w:rPr>
      </w:pPr>
      <w:r>
        <w:rPr>
          <w:rFonts w:ascii="Times New Roman" w:hAnsi="Times New Roman" w:cs="Times New Roman"/>
          <w:color w:val="auto"/>
          <w:szCs w:val="24"/>
        </w:rPr>
        <w:t>事故状态下的泄露物料及消防废水等流入集污池，通过潜水泵经管廊架上污水管道排至后方陆域事故应急池，再经陆域</w:t>
      </w:r>
      <w:r>
        <w:rPr>
          <w:rFonts w:hint="eastAsia" w:ascii="Times New Roman" w:hAnsi="Times New Roman" w:cs="Times New Roman"/>
          <w:color w:val="auto"/>
          <w:szCs w:val="24"/>
        </w:rPr>
        <w:t>含油</w:t>
      </w:r>
      <w:r>
        <w:rPr>
          <w:rFonts w:ascii="Times New Roman" w:hAnsi="Times New Roman" w:cs="Times New Roman"/>
          <w:color w:val="auto"/>
          <w:szCs w:val="24"/>
        </w:rPr>
        <w:t>污水处理</w:t>
      </w:r>
      <w:r>
        <w:rPr>
          <w:rFonts w:hint="eastAsia" w:ascii="Times New Roman" w:hAnsi="Times New Roman" w:cs="Times New Roman"/>
          <w:color w:val="auto"/>
          <w:szCs w:val="24"/>
        </w:rPr>
        <w:t>设施</w:t>
      </w:r>
      <w:r>
        <w:rPr>
          <w:rFonts w:ascii="Times New Roman" w:hAnsi="Times New Roman" w:cs="Times New Roman"/>
          <w:color w:val="auto"/>
          <w:szCs w:val="24"/>
        </w:rPr>
        <w:t>处理达标后，送至合肥循环经济园污水处理厂统一处理。</w:t>
      </w:r>
    </w:p>
    <w:p>
      <w:pPr>
        <w:ind w:firstLine="480"/>
        <w:rPr>
          <w:rFonts w:ascii="Times New Roman" w:hAnsi="Times New Roman" w:cs="Times New Roman"/>
          <w:color w:val="auto"/>
          <w:szCs w:val="24"/>
        </w:rPr>
      </w:pPr>
      <w:r>
        <w:rPr>
          <w:rFonts w:ascii="Times New Roman" w:hAnsi="Times New Roman" w:cs="Times New Roman"/>
          <w:color w:val="auto"/>
          <w:szCs w:val="24"/>
        </w:rPr>
        <w:t>后期雨水排入后方罐区清洁雨水管网，最终排入市政雨水管网。</w:t>
      </w:r>
    </w:p>
    <w:p>
      <w:pPr>
        <w:ind w:firstLine="482"/>
        <w:rPr>
          <w:rFonts w:ascii="Times New Roman" w:hAnsi="Times New Roman" w:cs="Times New Roman"/>
          <w:b/>
          <w:bCs/>
          <w:color w:val="auto"/>
          <w:szCs w:val="24"/>
        </w:rPr>
      </w:pPr>
      <w:r>
        <w:rPr>
          <w:rFonts w:ascii="Times New Roman" w:hAnsi="Times New Roman" w:cs="Times New Roman"/>
          <w:b/>
          <w:bCs/>
          <w:color w:val="auto"/>
          <w:szCs w:val="24"/>
        </w:rPr>
        <w:fldChar w:fldCharType="begin"/>
      </w:r>
      <w:r>
        <w:rPr>
          <w:rFonts w:ascii="Times New Roman" w:hAnsi="Times New Roman" w:cs="Times New Roman"/>
          <w:b/>
          <w:bCs/>
          <w:color w:val="auto"/>
          <w:szCs w:val="24"/>
        </w:rPr>
        <w:instrText xml:space="preserve"> = 2 \* GB3 </w:instrText>
      </w:r>
      <w:r>
        <w:rPr>
          <w:rFonts w:ascii="Times New Roman" w:hAnsi="Times New Roman" w:cs="Times New Roman"/>
          <w:b/>
          <w:bCs/>
          <w:color w:val="auto"/>
          <w:szCs w:val="24"/>
        </w:rPr>
        <w:fldChar w:fldCharType="separate"/>
      </w:r>
      <w:r>
        <w:rPr>
          <w:rFonts w:hint="eastAsia" w:ascii="宋体" w:hAnsi="宋体" w:cs="宋体"/>
          <w:b/>
          <w:bCs/>
          <w:color w:val="auto"/>
          <w:szCs w:val="24"/>
        </w:rPr>
        <w:t>②</w:t>
      </w:r>
      <w:r>
        <w:rPr>
          <w:rFonts w:ascii="Times New Roman" w:hAnsi="Times New Roman" w:cs="Times New Roman"/>
          <w:b/>
          <w:bCs/>
          <w:color w:val="auto"/>
          <w:szCs w:val="24"/>
        </w:rPr>
        <w:fldChar w:fldCharType="end"/>
      </w:r>
      <w:r>
        <w:rPr>
          <w:rFonts w:ascii="Times New Roman" w:hAnsi="Times New Roman" w:cs="Times New Roman"/>
          <w:b/>
          <w:bCs/>
          <w:color w:val="auto"/>
          <w:szCs w:val="24"/>
        </w:rPr>
        <w:t>后方陆域</w:t>
      </w:r>
    </w:p>
    <w:p>
      <w:pPr>
        <w:ind w:firstLine="480"/>
        <w:rPr>
          <w:rFonts w:ascii="Times New Roman" w:hAnsi="Times New Roman" w:cs="Times New Roman"/>
          <w:color w:val="auto"/>
          <w:szCs w:val="24"/>
        </w:rPr>
      </w:pPr>
      <w:r>
        <w:rPr>
          <w:rFonts w:ascii="Times New Roman" w:hAnsi="Times New Roman" w:cs="Times New Roman"/>
          <w:color w:val="auto"/>
          <w:szCs w:val="24"/>
        </w:rPr>
        <w:t>后方陆域罐区建设含油污水</w:t>
      </w:r>
      <w:r>
        <w:rPr>
          <w:rFonts w:hint="eastAsia" w:ascii="Times New Roman" w:hAnsi="Times New Roman" w:cs="Times New Roman"/>
          <w:color w:val="auto"/>
          <w:szCs w:val="24"/>
        </w:rPr>
        <w:t>（切罐废水、冲洗水及初期雨水）</w:t>
      </w:r>
      <w:r>
        <w:rPr>
          <w:rFonts w:ascii="Times New Roman" w:hAnsi="Times New Roman" w:cs="Times New Roman"/>
          <w:color w:val="auto"/>
          <w:szCs w:val="24"/>
        </w:rPr>
        <w:t>收集管道及600m</w:t>
      </w:r>
      <w:r>
        <w:rPr>
          <w:rFonts w:ascii="Times New Roman" w:hAnsi="Times New Roman" w:cs="Times New Roman"/>
          <w:color w:val="auto"/>
          <w:szCs w:val="24"/>
          <w:vertAlign w:val="superscript"/>
        </w:rPr>
        <w:t>3</w:t>
      </w:r>
      <w:r>
        <w:rPr>
          <w:rFonts w:ascii="Times New Roman" w:hAnsi="Times New Roman" w:cs="Times New Roman"/>
          <w:color w:val="auto"/>
          <w:szCs w:val="24"/>
        </w:rPr>
        <w:t>密闭式</w:t>
      </w:r>
      <w:r>
        <w:rPr>
          <w:rFonts w:hint="eastAsia" w:ascii="Times New Roman" w:hAnsi="Times New Roman" w:cs="Times New Roman"/>
          <w:color w:val="auto"/>
          <w:szCs w:val="24"/>
        </w:rPr>
        <w:t>含油污水收集池</w:t>
      </w:r>
      <w:r>
        <w:rPr>
          <w:rFonts w:ascii="Times New Roman" w:hAnsi="Times New Roman" w:cs="Times New Roman"/>
          <w:color w:val="auto"/>
          <w:szCs w:val="24"/>
        </w:rPr>
        <w:t>，码头区、罐区及装卸区初期雨水经管道收集排至罐区密闭隔油池（码头区域排水罐区预留排水接口），含油污水经处理</w:t>
      </w:r>
      <w:r>
        <w:rPr>
          <w:rFonts w:hint="eastAsia" w:ascii="Times New Roman" w:hAnsi="Times New Roman" w:cs="Times New Roman"/>
          <w:color w:val="auto"/>
          <w:szCs w:val="24"/>
        </w:rPr>
        <w:t>能力</w:t>
      </w:r>
      <w:r>
        <w:rPr>
          <w:rFonts w:ascii="Times New Roman" w:hAnsi="Times New Roman" w:cs="Times New Roman"/>
          <w:color w:val="auto"/>
          <w:szCs w:val="24"/>
        </w:rPr>
        <w:t>为10m</w:t>
      </w:r>
      <w:r>
        <w:rPr>
          <w:rFonts w:ascii="Times New Roman" w:hAnsi="Times New Roman" w:cs="Times New Roman"/>
          <w:color w:val="auto"/>
          <w:szCs w:val="24"/>
          <w:vertAlign w:val="superscript"/>
        </w:rPr>
        <w:t>3</w:t>
      </w:r>
      <w:r>
        <w:rPr>
          <w:rFonts w:ascii="Times New Roman" w:hAnsi="Times New Roman" w:cs="Times New Roman"/>
          <w:color w:val="auto"/>
          <w:szCs w:val="24"/>
        </w:rPr>
        <w:t>/h的“</w:t>
      </w:r>
      <w:r>
        <w:rPr>
          <w:rFonts w:ascii="Times New Roman" w:hAnsi="Times New Roman" w:cs="Times New Roman"/>
          <w:color w:val="FF0000"/>
          <w:szCs w:val="18"/>
        </w:rPr>
        <w:t>沉砂+隔油+气浮+SBR+精密过滤</w:t>
      </w:r>
      <w:r>
        <w:rPr>
          <w:rFonts w:ascii="Times New Roman" w:hAnsi="Times New Roman" w:cs="Times New Roman"/>
          <w:color w:val="auto"/>
          <w:szCs w:val="24"/>
        </w:rPr>
        <w:t>”含油污水处理装置处理，达到合肥循环经济示范园污水处理厂接管标准后，排入市政污水管网。</w:t>
      </w:r>
    </w:p>
    <w:p>
      <w:pPr>
        <w:ind w:firstLine="480"/>
        <w:rPr>
          <w:rFonts w:ascii="Times New Roman" w:hAnsi="Times New Roman" w:cs="Times New Roman"/>
          <w:color w:val="auto"/>
          <w:szCs w:val="24"/>
        </w:rPr>
      </w:pPr>
      <w:r>
        <w:rPr>
          <w:rFonts w:ascii="Times New Roman" w:hAnsi="Times New Roman" w:cs="Times New Roman"/>
          <w:color w:val="auto"/>
          <w:szCs w:val="24"/>
        </w:rPr>
        <w:t>酸碱罐区产生的含酸、碱污水经管道收集，排至罐区100m³中和池，经中和处理后，排至含油污水处理装置</w:t>
      </w:r>
      <w:r>
        <w:rPr>
          <w:rFonts w:hint="eastAsia" w:ascii="Times New Roman" w:hAnsi="Times New Roman" w:cs="Times New Roman"/>
          <w:color w:val="auto"/>
          <w:szCs w:val="24"/>
        </w:rPr>
        <w:t>进行</w:t>
      </w:r>
      <w:r>
        <w:rPr>
          <w:rFonts w:ascii="Times New Roman" w:hAnsi="Times New Roman" w:cs="Times New Roman"/>
          <w:color w:val="auto"/>
          <w:szCs w:val="24"/>
        </w:rPr>
        <w:t>处理，达到《污水综合排放标准》GB8978-1996中二类污染物三级标准后，最终排至市政污水管网。</w:t>
      </w:r>
    </w:p>
    <w:p>
      <w:pPr>
        <w:ind w:firstLine="480"/>
        <w:rPr>
          <w:rFonts w:ascii="Times New Roman" w:hAnsi="Times New Roman" w:cs="Times New Roman"/>
          <w:color w:val="auto"/>
          <w:szCs w:val="24"/>
        </w:rPr>
      </w:pPr>
      <w:r>
        <w:rPr>
          <w:rFonts w:ascii="Times New Roman" w:hAnsi="Times New Roman" w:cs="Times New Roman"/>
          <w:color w:val="auto"/>
          <w:szCs w:val="24"/>
        </w:rPr>
        <w:t>陆域生活污水及</w:t>
      </w:r>
      <w:r>
        <w:rPr>
          <w:rFonts w:hint="eastAsia" w:ascii="Times New Roman" w:hAnsi="Times New Roman" w:cs="Times New Roman"/>
          <w:color w:val="auto"/>
          <w:szCs w:val="24"/>
        </w:rPr>
        <w:t>食堂</w:t>
      </w:r>
      <w:r>
        <w:rPr>
          <w:rFonts w:ascii="Times New Roman" w:hAnsi="Times New Roman" w:cs="Times New Roman"/>
          <w:color w:val="auto"/>
          <w:szCs w:val="24"/>
        </w:rPr>
        <w:t>餐饮废水经隔油池、化粪池初步处理后，达到《污水综合排放标准》GB8978-1996中二类污染物三级标准后，最终排至市政污水管网。</w:t>
      </w:r>
    </w:p>
    <w:p>
      <w:pPr>
        <w:ind w:firstLine="0" w:firstLineChars="0"/>
        <w:rPr>
          <w:rFonts w:ascii="Times New Roman" w:hAnsi="Times New Roman" w:cs="Times New Roman"/>
          <w:b/>
          <w:bCs/>
          <w:color w:val="auto"/>
        </w:rPr>
      </w:pPr>
      <w:bookmarkStart w:id="209" w:name="_Toc102984306"/>
      <w:r>
        <w:rPr>
          <w:rFonts w:ascii="Times New Roman" w:hAnsi="Times New Roman" w:cs="Times New Roman"/>
          <w:b/>
          <w:bCs/>
          <w:color w:val="auto"/>
        </w:rPr>
        <w:t>4、消防</w:t>
      </w:r>
      <w:bookmarkEnd w:id="209"/>
    </w:p>
    <w:p>
      <w:pPr>
        <w:ind w:firstLine="482"/>
        <w:rPr>
          <w:rFonts w:ascii="Times New Roman" w:hAnsi="Times New Roman" w:cs="Times New Roman"/>
          <w:b/>
          <w:bCs/>
          <w:color w:val="auto"/>
          <w:szCs w:val="24"/>
        </w:rPr>
      </w:pPr>
      <w:r>
        <w:rPr>
          <w:rFonts w:ascii="Times New Roman" w:hAnsi="Times New Roman" w:cs="Times New Roman"/>
          <w:b/>
          <w:bCs/>
          <w:color w:val="auto"/>
          <w:szCs w:val="24"/>
        </w:rPr>
        <w:t>（1）码头区消防设施</w:t>
      </w:r>
    </w:p>
    <w:p>
      <w:pPr>
        <w:ind w:firstLine="480"/>
        <w:rPr>
          <w:rFonts w:ascii="Times New Roman" w:hAnsi="Times New Roman" w:cs="Times New Roman"/>
          <w:color w:val="auto"/>
          <w:szCs w:val="24"/>
        </w:rPr>
      </w:pPr>
      <w:r>
        <w:rPr>
          <w:rFonts w:ascii="Times New Roman" w:hAnsi="Times New Roman" w:cs="Times New Roman"/>
          <w:color w:val="auto"/>
          <w:szCs w:val="24"/>
        </w:rPr>
        <w:fldChar w:fldCharType="begin"/>
      </w:r>
      <w:r>
        <w:rPr>
          <w:rFonts w:ascii="Times New Roman" w:hAnsi="Times New Roman" w:cs="Times New Roman"/>
          <w:color w:val="auto"/>
          <w:szCs w:val="24"/>
        </w:rPr>
        <w:instrText xml:space="preserve"> = 1 \* GB3 </w:instrText>
      </w:r>
      <w:r>
        <w:rPr>
          <w:rFonts w:ascii="Times New Roman" w:hAnsi="Times New Roman" w:cs="Times New Roman"/>
          <w:color w:val="auto"/>
          <w:szCs w:val="24"/>
        </w:rPr>
        <w:fldChar w:fldCharType="separate"/>
      </w:r>
      <w:r>
        <w:rPr>
          <w:rFonts w:hint="eastAsia" w:ascii="宋体" w:hAnsi="宋体" w:cs="宋体"/>
          <w:color w:val="auto"/>
          <w:szCs w:val="24"/>
        </w:rPr>
        <w:t>①</w:t>
      </w:r>
      <w:r>
        <w:rPr>
          <w:rFonts w:ascii="Times New Roman" w:hAnsi="Times New Roman" w:cs="Times New Roman"/>
          <w:color w:val="auto"/>
          <w:szCs w:val="24"/>
        </w:rPr>
        <w:fldChar w:fldCharType="end"/>
      </w:r>
      <w:r>
        <w:rPr>
          <w:rFonts w:ascii="Times New Roman" w:hAnsi="Times New Roman" w:cs="Times New Roman"/>
          <w:color w:val="auto"/>
          <w:szCs w:val="24"/>
        </w:rPr>
        <w:t>水源：码头泊位水源由后方罐区自设消防泵站供给。陆域罐区新建有效容积1800m³消防水罐2座，总储水量为3600m³，采用两路管道进水，配备电动消防泵3台（两备一用），设置消防稳压增压设备。消防水管、泡沫混合液管在引桥及码头上沿工艺管架敷设，工作平台上采用支架敷设。消防水管、泡沫混合液管采用无缝钢管，管道连接采用焊接。</w:t>
      </w:r>
    </w:p>
    <w:p>
      <w:pPr>
        <w:pStyle w:val="25"/>
        <w:ind w:firstLine="480"/>
        <w:rPr>
          <w:rFonts w:ascii="Times New Roman" w:hAnsi="Times New Roman" w:cs="Times New Roman"/>
        </w:rPr>
      </w:pPr>
      <w:r>
        <w:rPr>
          <w:rFonts w:ascii="Times New Roman" w:hAnsi="Times New Roman" w:cs="Times New Roman"/>
          <w:color w:val="auto"/>
          <w:szCs w:val="24"/>
        </w:rPr>
        <w:fldChar w:fldCharType="begin"/>
      </w:r>
      <w:r>
        <w:rPr>
          <w:rFonts w:ascii="Times New Roman" w:hAnsi="Times New Roman" w:cs="Times New Roman"/>
          <w:color w:val="auto"/>
          <w:szCs w:val="24"/>
        </w:rPr>
        <w:instrText xml:space="preserve"> = 2 \* GB3 </w:instrText>
      </w:r>
      <w:r>
        <w:rPr>
          <w:rFonts w:ascii="Times New Roman" w:hAnsi="Times New Roman" w:cs="Times New Roman"/>
          <w:color w:val="auto"/>
          <w:szCs w:val="24"/>
        </w:rPr>
        <w:fldChar w:fldCharType="separate"/>
      </w:r>
      <w:r>
        <w:rPr>
          <w:rFonts w:hint="eastAsia" w:ascii="宋体" w:hAnsi="宋体" w:cs="宋体"/>
          <w:color w:val="auto"/>
          <w:szCs w:val="24"/>
        </w:rPr>
        <w:t>②</w:t>
      </w:r>
      <w:r>
        <w:rPr>
          <w:rFonts w:ascii="Times New Roman" w:hAnsi="Times New Roman" w:cs="Times New Roman"/>
          <w:color w:val="auto"/>
          <w:szCs w:val="24"/>
        </w:rPr>
        <w:fldChar w:fldCharType="end"/>
      </w:r>
      <w:r>
        <w:rPr>
          <w:rFonts w:ascii="Times New Roman" w:hAnsi="Times New Roman" w:cs="Times New Roman"/>
          <w:color w:val="auto"/>
          <w:szCs w:val="24"/>
        </w:rPr>
        <w:t>消防设施及水量</w:t>
      </w:r>
    </w:p>
    <w:p>
      <w:pPr>
        <w:ind w:firstLine="480"/>
        <w:rPr>
          <w:rFonts w:ascii="Times New Roman" w:hAnsi="Times New Roman" w:cs="Times New Roman"/>
          <w:color w:val="auto"/>
          <w:szCs w:val="24"/>
        </w:rPr>
      </w:pPr>
      <w:r>
        <w:rPr>
          <w:rFonts w:ascii="Times New Roman" w:hAnsi="Times New Roman" w:cs="Times New Roman"/>
          <w:color w:val="auto"/>
          <w:szCs w:val="24"/>
        </w:rPr>
        <w:t>根据消防供水量及供水水压要求选择消防设施，4-7号泊位码头平台设置8台消防炮塔，上层平台为泡沫炮，下层平台为水炮，每个泊位设置2台炮塔，距离码头前沿线的距离不小于2.5m。水炮和泡沫炮的额定压力按0.8MPa考虑，额定压力下的喷射半径按50m考虑。4-7号泊位装卸区域前沿设置防火分隔水幕，沿管廊设置室外消火栓和泡沫消火栓，同时配备移动式消防水炮、泡沫炮，消防水枪及泡沫枪。</w:t>
      </w:r>
    </w:p>
    <w:p>
      <w:pPr>
        <w:ind w:firstLine="480"/>
        <w:rPr>
          <w:rFonts w:ascii="Times New Roman" w:hAnsi="Times New Roman" w:cs="Times New Roman"/>
          <w:color w:val="auto"/>
          <w:szCs w:val="24"/>
        </w:rPr>
      </w:pPr>
      <w:r>
        <w:rPr>
          <w:rFonts w:ascii="Times New Roman" w:hAnsi="Times New Roman" w:cs="Times New Roman"/>
          <w:color w:val="auto"/>
          <w:szCs w:val="24"/>
        </w:rPr>
        <w:t>码头平台设置推车式灭火器，采用磷酸盐干粉，布置间隔不大于18m，4-7号泊位共配置23具100kg磷酸铵盐干粉灭火器。室外消防管道采用无缝钢管，无缝钢管焊接链接，管道公称压力不小于 2.5MPa，外刷防腐漆防腐。</w:t>
      </w:r>
    </w:p>
    <w:p>
      <w:pPr>
        <w:ind w:firstLine="480"/>
        <w:rPr>
          <w:rFonts w:ascii="Times New Roman" w:hAnsi="Times New Roman" w:cs="Times New Roman"/>
          <w:color w:val="auto"/>
          <w:szCs w:val="24"/>
        </w:rPr>
      </w:pPr>
      <w:r>
        <w:rPr>
          <w:rFonts w:ascii="Times New Roman" w:hAnsi="Times New Roman" w:cs="Times New Roman"/>
          <w:color w:val="auto"/>
          <w:szCs w:val="24"/>
        </w:rPr>
        <w:t>码头平台消防水量包括水幕水和泡沫消防水量，码头区域泡沫混合液流量56L/s，连续供给时间60min，一次火灾需泡沫混合液用量221.6m</w:t>
      </w:r>
      <w:r>
        <w:rPr>
          <w:rFonts w:ascii="Times New Roman" w:hAnsi="Times New Roman" w:cs="Times New Roman"/>
          <w:color w:val="auto"/>
          <w:szCs w:val="24"/>
          <w:vertAlign w:val="superscript"/>
        </w:rPr>
        <w:t>3</w:t>
      </w:r>
      <w:r>
        <w:rPr>
          <w:rFonts w:ascii="Times New Roman" w:hAnsi="Times New Roman" w:cs="Times New Roman"/>
          <w:color w:val="auto"/>
          <w:szCs w:val="24"/>
        </w:rPr>
        <w:t>。由罐区泡沫站供给。</w:t>
      </w:r>
    </w:p>
    <w:p>
      <w:pPr>
        <w:ind w:firstLine="482"/>
        <w:rPr>
          <w:rFonts w:ascii="Times New Roman" w:hAnsi="Times New Roman" w:cs="Times New Roman"/>
          <w:b/>
          <w:bCs/>
          <w:color w:val="auto"/>
          <w:szCs w:val="24"/>
        </w:rPr>
      </w:pPr>
      <w:r>
        <w:rPr>
          <w:rFonts w:ascii="Times New Roman" w:hAnsi="Times New Roman" w:cs="Times New Roman"/>
          <w:b/>
          <w:bCs/>
          <w:color w:val="auto"/>
          <w:szCs w:val="24"/>
        </w:rPr>
        <w:t>（2）罐区消防设施</w:t>
      </w:r>
    </w:p>
    <w:p>
      <w:pPr>
        <w:ind w:firstLine="480"/>
        <w:rPr>
          <w:rFonts w:ascii="Times New Roman" w:hAnsi="Times New Roman" w:cs="Times New Roman"/>
          <w:color w:val="auto"/>
          <w:szCs w:val="24"/>
        </w:rPr>
      </w:pPr>
      <w:bookmarkStart w:id="210" w:name="_Toc202767413"/>
      <w:r>
        <w:rPr>
          <w:rFonts w:ascii="Times New Roman" w:hAnsi="Times New Roman" w:cs="Times New Roman"/>
          <w:color w:val="auto"/>
          <w:szCs w:val="24"/>
        </w:rPr>
        <w:fldChar w:fldCharType="begin"/>
      </w:r>
      <w:r>
        <w:rPr>
          <w:rFonts w:ascii="Times New Roman" w:hAnsi="Times New Roman" w:cs="Times New Roman"/>
          <w:color w:val="auto"/>
          <w:szCs w:val="24"/>
        </w:rPr>
        <w:instrText xml:space="preserve"> = 1 \* GB3 </w:instrText>
      </w:r>
      <w:r>
        <w:rPr>
          <w:rFonts w:ascii="Times New Roman" w:hAnsi="Times New Roman" w:cs="Times New Roman"/>
          <w:color w:val="auto"/>
          <w:szCs w:val="24"/>
        </w:rPr>
        <w:fldChar w:fldCharType="separate"/>
      </w:r>
      <w:r>
        <w:rPr>
          <w:rFonts w:hint="eastAsia" w:ascii="宋体" w:hAnsi="宋体" w:cs="宋体"/>
          <w:color w:val="auto"/>
          <w:szCs w:val="24"/>
        </w:rPr>
        <w:t>①</w:t>
      </w:r>
      <w:r>
        <w:rPr>
          <w:rFonts w:ascii="Times New Roman" w:hAnsi="Times New Roman" w:cs="Times New Roman"/>
          <w:color w:val="auto"/>
          <w:szCs w:val="24"/>
        </w:rPr>
        <w:fldChar w:fldCharType="end"/>
      </w:r>
      <w:r>
        <w:rPr>
          <w:rFonts w:ascii="Times New Roman" w:hAnsi="Times New Roman" w:cs="Times New Roman"/>
          <w:color w:val="auto"/>
          <w:szCs w:val="24"/>
        </w:rPr>
        <w:t>消防冷却水用量</w:t>
      </w:r>
      <w:bookmarkEnd w:id="210"/>
    </w:p>
    <w:p>
      <w:pPr>
        <w:ind w:firstLine="480"/>
        <w:rPr>
          <w:rFonts w:ascii="Times New Roman" w:hAnsi="Times New Roman" w:cs="Times New Roman"/>
          <w:color w:val="auto"/>
          <w:szCs w:val="24"/>
        </w:rPr>
      </w:pPr>
      <w:r>
        <w:rPr>
          <w:rFonts w:ascii="Times New Roman" w:hAnsi="Times New Roman" w:cs="Times New Roman"/>
          <w:color w:val="auto"/>
          <w:szCs w:val="24"/>
        </w:rPr>
        <w:t>罐区消防冷却水量最大按5000m</w:t>
      </w:r>
      <w:r>
        <w:rPr>
          <w:rFonts w:ascii="Times New Roman" w:hAnsi="Times New Roman" w:cs="Times New Roman"/>
          <w:color w:val="auto"/>
          <w:szCs w:val="24"/>
          <w:vertAlign w:val="superscript"/>
        </w:rPr>
        <w:t>3</w:t>
      </w:r>
      <w:r>
        <w:rPr>
          <w:rFonts w:ascii="Times New Roman" w:hAnsi="Times New Roman" w:cs="Times New Roman"/>
          <w:color w:val="auto"/>
          <w:szCs w:val="24"/>
        </w:rPr>
        <w:t>固定顶储罐（Φ19.5×17.84m）计算消防用水，储罐设固定式消防冷却水系统，消防用水量按1个5000m</w:t>
      </w:r>
      <w:r>
        <w:rPr>
          <w:rFonts w:ascii="Times New Roman" w:hAnsi="Times New Roman" w:cs="Times New Roman"/>
          <w:color w:val="auto"/>
          <w:szCs w:val="24"/>
          <w:vertAlign w:val="superscript"/>
        </w:rPr>
        <w:t>3</w:t>
      </w:r>
      <w:r>
        <w:rPr>
          <w:rFonts w:ascii="Times New Roman" w:hAnsi="Times New Roman" w:cs="Times New Roman"/>
          <w:color w:val="auto"/>
          <w:szCs w:val="24"/>
        </w:rPr>
        <w:t>储罐着火及3个5000m</w:t>
      </w:r>
      <w:r>
        <w:rPr>
          <w:rFonts w:ascii="Times New Roman" w:hAnsi="Times New Roman" w:cs="Times New Roman"/>
          <w:color w:val="auto"/>
          <w:szCs w:val="24"/>
          <w:vertAlign w:val="superscript"/>
        </w:rPr>
        <w:t>3</w:t>
      </w:r>
      <w:r>
        <w:rPr>
          <w:rFonts w:ascii="Times New Roman" w:hAnsi="Times New Roman" w:cs="Times New Roman"/>
          <w:color w:val="auto"/>
          <w:szCs w:val="24"/>
        </w:rPr>
        <w:t>储罐同时冷却计算；着火油罐的冷却水供给强度2.5L/min·m</w:t>
      </w:r>
      <w:r>
        <w:rPr>
          <w:rFonts w:ascii="Times New Roman" w:hAnsi="Times New Roman" w:cs="Times New Roman"/>
          <w:color w:val="auto"/>
          <w:szCs w:val="24"/>
          <w:vertAlign w:val="superscript"/>
        </w:rPr>
        <w:t>2</w:t>
      </w:r>
      <w:r>
        <w:rPr>
          <w:rFonts w:ascii="Times New Roman" w:hAnsi="Times New Roman" w:cs="Times New Roman"/>
          <w:color w:val="auto"/>
          <w:szCs w:val="24"/>
        </w:rPr>
        <w:t>，计算消防冷却水用水量为113.8L/s，根据喷头复核消防水量为125L/s，并根据《消防给水及消火栓系统技术规范》</w:t>
      </w:r>
      <w:r>
        <w:rPr>
          <w:rFonts w:hint="eastAsia" w:ascii="Times New Roman" w:hAnsi="Times New Roman" w:cs="Times New Roman"/>
          <w:color w:val="auto"/>
          <w:szCs w:val="24"/>
        </w:rPr>
        <w:t>（</w:t>
      </w:r>
      <w:r>
        <w:rPr>
          <w:rFonts w:ascii="Times New Roman" w:hAnsi="Times New Roman" w:cs="Times New Roman"/>
          <w:color w:val="auto"/>
          <w:szCs w:val="24"/>
        </w:rPr>
        <w:t>GB50974-2014</w:t>
      </w:r>
      <w:r>
        <w:rPr>
          <w:rFonts w:hint="eastAsia" w:ascii="Times New Roman" w:hAnsi="Times New Roman" w:cs="Times New Roman"/>
          <w:color w:val="auto"/>
          <w:szCs w:val="24"/>
        </w:rPr>
        <w:t>）</w:t>
      </w:r>
      <w:r>
        <w:rPr>
          <w:rFonts w:ascii="Times New Roman" w:hAnsi="Times New Roman" w:cs="Times New Roman"/>
          <w:color w:val="auto"/>
          <w:szCs w:val="24"/>
        </w:rPr>
        <w:t>中3.4.2条规定，罐区室外消火栓设计流量为15L/s，故消防水量为140L/s，冷却水供给时间6h。一次灭火需消防冷却水量约为3024m</w:t>
      </w:r>
      <w:r>
        <w:rPr>
          <w:rFonts w:ascii="Times New Roman" w:hAnsi="Times New Roman" w:cs="Times New Roman"/>
          <w:color w:val="auto"/>
          <w:szCs w:val="24"/>
          <w:vertAlign w:val="superscript"/>
        </w:rPr>
        <w:t>3</w:t>
      </w:r>
      <w:r>
        <w:rPr>
          <w:rFonts w:ascii="Times New Roman" w:hAnsi="Times New Roman" w:cs="Times New Roman"/>
          <w:color w:val="auto"/>
          <w:szCs w:val="24"/>
        </w:rPr>
        <w:t>。</w:t>
      </w:r>
    </w:p>
    <w:p>
      <w:pPr>
        <w:ind w:firstLine="480"/>
        <w:rPr>
          <w:rFonts w:ascii="Times New Roman" w:hAnsi="Times New Roman" w:cs="Times New Roman"/>
          <w:color w:val="auto"/>
          <w:szCs w:val="24"/>
        </w:rPr>
      </w:pPr>
      <w:r>
        <w:rPr>
          <w:rFonts w:ascii="Times New Roman" w:hAnsi="Times New Roman" w:cs="Times New Roman"/>
          <w:color w:val="auto"/>
          <w:szCs w:val="24"/>
        </w:rPr>
        <w:t>公路装卸车区消防供水流量30L/s，火灾延续时间2h，一次消防用水量为216m³。</w:t>
      </w:r>
    </w:p>
    <w:p>
      <w:pPr>
        <w:ind w:firstLine="480"/>
        <w:rPr>
          <w:rFonts w:ascii="Times New Roman" w:hAnsi="Times New Roman" w:cs="Times New Roman"/>
          <w:color w:val="auto"/>
          <w:szCs w:val="24"/>
        </w:rPr>
      </w:pPr>
      <w:r>
        <w:rPr>
          <w:rFonts w:ascii="Times New Roman" w:hAnsi="Times New Roman" w:cs="Times New Roman"/>
          <w:color w:val="auto"/>
          <w:szCs w:val="24"/>
        </w:rPr>
        <w:t>公路装卸区消防供水流量30L/s（5岛），火灾延续时间2h，一次消防用水量为216m³。</w:t>
      </w:r>
    </w:p>
    <w:p>
      <w:pPr>
        <w:ind w:firstLine="480"/>
        <w:rPr>
          <w:rFonts w:ascii="Times New Roman" w:hAnsi="Times New Roman" w:cs="Times New Roman"/>
          <w:color w:val="auto"/>
          <w:szCs w:val="24"/>
        </w:rPr>
      </w:pPr>
      <w:r>
        <w:rPr>
          <w:rFonts w:ascii="Times New Roman" w:hAnsi="Times New Roman" w:cs="Times New Roman"/>
          <w:color w:val="auto"/>
          <w:szCs w:val="24"/>
        </w:rPr>
        <w:t>办公楼室外消火栓流量40L/s，室内消火栓流量15L/s，火灾延续时间2h；办公楼喷淋流量30L/s，喷淋时间1h。一次消防用水量为504m³。</w:t>
      </w:r>
    </w:p>
    <w:p>
      <w:pPr>
        <w:ind w:firstLine="480"/>
        <w:rPr>
          <w:rFonts w:ascii="Times New Roman" w:hAnsi="Times New Roman" w:cs="Times New Roman"/>
          <w:color w:val="auto"/>
          <w:szCs w:val="24"/>
        </w:rPr>
      </w:pPr>
      <w:r>
        <w:rPr>
          <w:rFonts w:ascii="Times New Roman" w:hAnsi="Times New Roman" w:cs="Times New Roman"/>
          <w:color w:val="auto"/>
          <w:szCs w:val="24"/>
        </w:rPr>
        <w:t>综合上述计算，油库最大一次消防冷却水用量为140L/s，设计选用消防泵流量为140L/s，消防冷却水干管管径为DN300，流速1.916m/s。</w:t>
      </w:r>
    </w:p>
    <w:p>
      <w:pPr>
        <w:ind w:firstLine="480"/>
        <w:rPr>
          <w:rFonts w:ascii="Times New Roman" w:hAnsi="Times New Roman" w:cs="Times New Roman"/>
          <w:color w:val="auto"/>
          <w:szCs w:val="24"/>
        </w:rPr>
      </w:pPr>
      <w:r>
        <w:rPr>
          <w:rFonts w:ascii="Times New Roman" w:hAnsi="Times New Roman" w:cs="Times New Roman"/>
          <w:color w:val="auto"/>
          <w:szCs w:val="24"/>
        </w:rPr>
        <w:fldChar w:fldCharType="begin"/>
      </w:r>
      <w:r>
        <w:rPr>
          <w:rFonts w:ascii="Times New Roman" w:hAnsi="Times New Roman" w:cs="Times New Roman"/>
          <w:color w:val="auto"/>
          <w:szCs w:val="24"/>
        </w:rPr>
        <w:instrText xml:space="preserve"> = 2 \* GB3 </w:instrText>
      </w:r>
      <w:r>
        <w:rPr>
          <w:rFonts w:ascii="Times New Roman" w:hAnsi="Times New Roman" w:cs="Times New Roman"/>
          <w:color w:val="auto"/>
          <w:szCs w:val="24"/>
        </w:rPr>
        <w:fldChar w:fldCharType="separate"/>
      </w:r>
      <w:r>
        <w:rPr>
          <w:rFonts w:hint="eastAsia" w:ascii="宋体" w:hAnsi="宋体" w:cs="宋体"/>
          <w:color w:val="auto"/>
          <w:szCs w:val="24"/>
        </w:rPr>
        <w:t>②</w:t>
      </w:r>
      <w:r>
        <w:rPr>
          <w:rFonts w:ascii="Times New Roman" w:hAnsi="Times New Roman" w:cs="Times New Roman"/>
          <w:color w:val="auto"/>
          <w:szCs w:val="24"/>
        </w:rPr>
        <w:fldChar w:fldCharType="end"/>
      </w:r>
      <w:r>
        <w:rPr>
          <w:rFonts w:ascii="Times New Roman" w:hAnsi="Times New Roman" w:cs="Times New Roman"/>
          <w:color w:val="auto"/>
          <w:szCs w:val="24"/>
        </w:rPr>
        <w:t>消防冷却水管网</w:t>
      </w:r>
    </w:p>
    <w:p>
      <w:pPr>
        <w:ind w:firstLine="480"/>
        <w:rPr>
          <w:rFonts w:ascii="Times New Roman" w:hAnsi="Times New Roman" w:cs="Times New Roman"/>
          <w:color w:val="auto"/>
          <w:szCs w:val="24"/>
        </w:rPr>
      </w:pPr>
      <w:r>
        <w:rPr>
          <w:rFonts w:ascii="Times New Roman" w:hAnsi="Times New Roman" w:cs="Times New Roman"/>
          <w:color w:val="auto"/>
          <w:szCs w:val="24"/>
        </w:rPr>
        <w:t>消防泵房至罐区布置2条消防冷却水供水管线，每条供水管线管径DN300，罐区消防冷却水管环状布置，地上敷设，设置适量SS100/65-1.6型地上式消火栓。从罐区外环状管网接消防支管线引至储罐上固定消防喷淋装置，且能通过地上式减压稳压消火栓直接向水枪供水，不需消防车加压。确保火灾发生时及时冷却着火罐，以保证油罐不发生严重变形或破裂，得以控制火势。为确保火灾发生时及时灵活的灭火，管网上设置一定数量的地上式消火栓，间距不超过60m。保护半径不大于120m。</w:t>
      </w:r>
    </w:p>
    <w:p>
      <w:pPr>
        <w:ind w:firstLine="480"/>
        <w:rPr>
          <w:rFonts w:ascii="Times New Roman" w:hAnsi="Times New Roman" w:cs="Times New Roman"/>
          <w:color w:val="auto"/>
          <w:szCs w:val="24"/>
        </w:rPr>
      </w:pPr>
      <w:r>
        <w:rPr>
          <w:rFonts w:ascii="Times New Roman" w:hAnsi="Times New Roman" w:cs="Times New Roman"/>
          <w:color w:val="auto"/>
          <w:szCs w:val="24"/>
        </w:rPr>
        <w:t>罐区敷设2路DN250消防水管线至码头区域围墙外1m，码头部分消防水系统由码头院设计。</w:t>
      </w:r>
    </w:p>
    <w:p>
      <w:pPr>
        <w:ind w:firstLine="480"/>
        <w:rPr>
          <w:rFonts w:ascii="Times New Roman" w:hAnsi="Times New Roman" w:cs="Times New Roman"/>
          <w:color w:val="auto"/>
          <w:szCs w:val="24"/>
        </w:rPr>
      </w:pPr>
      <w:r>
        <w:rPr>
          <w:rFonts w:ascii="Times New Roman" w:hAnsi="Times New Roman" w:cs="Times New Roman"/>
          <w:color w:val="auto"/>
          <w:szCs w:val="24"/>
        </w:rPr>
        <w:t>罐区环状消防管网敷设2路DN150消防水至办公楼室内消火栓系统，敷设1路DN150消防水管线至办公楼喷淋系统，办公楼室内设置室内消火栓系统，供水主管径DN150</w:t>
      </w:r>
      <w:r>
        <w:rPr>
          <w:rFonts w:hint="eastAsia" w:ascii="Times New Roman" w:hAnsi="Times New Roman" w:cs="Times New Roman"/>
          <w:color w:val="auto"/>
          <w:szCs w:val="24"/>
        </w:rPr>
        <w:t>，</w:t>
      </w:r>
      <w:r>
        <w:rPr>
          <w:rFonts w:ascii="Times New Roman" w:hAnsi="Times New Roman" w:cs="Times New Roman"/>
          <w:color w:val="auto"/>
          <w:szCs w:val="24"/>
        </w:rPr>
        <w:t>地下车库设置喷淋系统，供水主管径DN150。</w:t>
      </w:r>
    </w:p>
    <w:p>
      <w:pPr>
        <w:ind w:firstLine="480"/>
        <w:rPr>
          <w:rFonts w:ascii="Times New Roman" w:hAnsi="Times New Roman" w:cs="Times New Roman"/>
          <w:color w:val="auto"/>
          <w:szCs w:val="24"/>
        </w:rPr>
      </w:pPr>
      <w:r>
        <w:rPr>
          <w:rFonts w:ascii="Times New Roman" w:hAnsi="Times New Roman" w:cs="Times New Roman"/>
          <w:color w:val="auto"/>
          <w:szCs w:val="24"/>
        </w:rPr>
        <w:fldChar w:fldCharType="begin"/>
      </w:r>
      <w:r>
        <w:rPr>
          <w:rFonts w:ascii="Times New Roman" w:hAnsi="Times New Roman" w:cs="Times New Roman"/>
          <w:color w:val="auto"/>
          <w:szCs w:val="24"/>
        </w:rPr>
        <w:instrText xml:space="preserve"> = 3 \* GB3 </w:instrText>
      </w:r>
      <w:r>
        <w:rPr>
          <w:rFonts w:ascii="Times New Roman" w:hAnsi="Times New Roman" w:cs="Times New Roman"/>
          <w:color w:val="auto"/>
          <w:szCs w:val="24"/>
        </w:rPr>
        <w:fldChar w:fldCharType="separate"/>
      </w:r>
      <w:r>
        <w:rPr>
          <w:rFonts w:hint="eastAsia" w:ascii="宋体" w:hAnsi="宋体" w:cs="宋体"/>
          <w:color w:val="auto"/>
          <w:szCs w:val="24"/>
        </w:rPr>
        <w:t>③</w:t>
      </w:r>
      <w:r>
        <w:rPr>
          <w:rFonts w:ascii="Times New Roman" w:hAnsi="Times New Roman" w:cs="Times New Roman"/>
          <w:color w:val="auto"/>
          <w:szCs w:val="24"/>
        </w:rPr>
        <w:fldChar w:fldCharType="end"/>
      </w:r>
      <w:r>
        <w:rPr>
          <w:rFonts w:ascii="Times New Roman" w:hAnsi="Times New Roman" w:cs="Times New Roman"/>
          <w:color w:val="auto"/>
          <w:szCs w:val="24"/>
        </w:rPr>
        <w:t>水喷淋（喷雾）消防系统</w:t>
      </w:r>
    </w:p>
    <w:p>
      <w:pPr>
        <w:ind w:firstLine="480"/>
        <w:rPr>
          <w:rFonts w:ascii="Times New Roman" w:hAnsi="Times New Roman" w:cs="Times New Roman"/>
          <w:color w:val="auto"/>
          <w:szCs w:val="24"/>
        </w:rPr>
      </w:pPr>
      <w:r>
        <w:rPr>
          <w:rFonts w:ascii="Times New Roman" w:hAnsi="Times New Roman" w:cs="Times New Roman"/>
          <w:color w:val="auto"/>
          <w:szCs w:val="24"/>
        </w:rPr>
        <w:t>储罐喷淋：油罐均按固定冷却考虑，设置固定式消防冷却水喷淋系统，即火灾情况下，消防水通过消防冷却水管网直接向油罐上的固定消防喷淋冷却装置供水，固定消防喷淋冷却装置由喷淋环管、上罐立管、水幕式喷头等组成，喷头处给水压力0.20MPa。防火堤外支管接出端处设电动阀门。</w:t>
      </w:r>
    </w:p>
    <w:p>
      <w:pPr>
        <w:ind w:firstLine="480"/>
        <w:rPr>
          <w:rFonts w:ascii="Times New Roman" w:hAnsi="Times New Roman" w:cs="Times New Roman"/>
          <w:color w:val="auto"/>
          <w:szCs w:val="24"/>
        </w:rPr>
      </w:pPr>
      <w:r>
        <w:rPr>
          <w:rFonts w:ascii="Times New Roman" w:hAnsi="Times New Roman" w:cs="Times New Roman"/>
          <w:color w:val="auto"/>
          <w:szCs w:val="24"/>
        </w:rPr>
        <w:t>建筑室内喷淋：消防泵房内设置湿式报警阀，每个报警阀担负的喷洒头不超过800个。自动喷水灭火系统每个防火分区或每层均设信号阀和水流指示器，停车库采用直立式喷头。</w:t>
      </w:r>
    </w:p>
    <w:p>
      <w:pPr>
        <w:ind w:firstLine="480"/>
        <w:rPr>
          <w:rFonts w:ascii="Times New Roman" w:hAnsi="Times New Roman" w:cs="Times New Roman"/>
          <w:color w:val="auto"/>
          <w:szCs w:val="24"/>
        </w:rPr>
      </w:pPr>
      <w:r>
        <w:rPr>
          <w:rFonts w:ascii="Times New Roman" w:hAnsi="Times New Roman" w:cs="Times New Roman"/>
          <w:color w:val="auto"/>
          <w:szCs w:val="24"/>
        </w:rPr>
        <w:fldChar w:fldCharType="begin"/>
      </w:r>
      <w:r>
        <w:rPr>
          <w:rFonts w:ascii="Times New Roman" w:hAnsi="Times New Roman" w:cs="Times New Roman"/>
          <w:color w:val="auto"/>
          <w:szCs w:val="24"/>
        </w:rPr>
        <w:instrText xml:space="preserve"> = 4 \* GB3 </w:instrText>
      </w:r>
      <w:r>
        <w:rPr>
          <w:rFonts w:ascii="Times New Roman" w:hAnsi="Times New Roman" w:cs="Times New Roman"/>
          <w:color w:val="auto"/>
          <w:szCs w:val="24"/>
        </w:rPr>
        <w:fldChar w:fldCharType="separate"/>
      </w:r>
      <w:r>
        <w:rPr>
          <w:rFonts w:hint="eastAsia" w:ascii="宋体" w:hAnsi="宋体" w:cs="宋体"/>
          <w:color w:val="auto"/>
          <w:szCs w:val="24"/>
        </w:rPr>
        <w:t>④</w:t>
      </w:r>
      <w:r>
        <w:rPr>
          <w:rFonts w:ascii="Times New Roman" w:hAnsi="Times New Roman" w:cs="Times New Roman"/>
          <w:color w:val="auto"/>
          <w:szCs w:val="24"/>
        </w:rPr>
        <w:fldChar w:fldCharType="end"/>
      </w:r>
      <w:r>
        <w:rPr>
          <w:rFonts w:ascii="Times New Roman" w:hAnsi="Times New Roman" w:cs="Times New Roman"/>
          <w:color w:val="auto"/>
          <w:szCs w:val="24"/>
        </w:rPr>
        <w:t>室内消火栓系统</w:t>
      </w:r>
    </w:p>
    <w:p>
      <w:pPr>
        <w:ind w:firstLine="480"/>
        <w:rPr>
          <w:rFonts w:ascii="Times New Roman" w:hAnsi="Times New Roman" w:cs="Times New Roman"/>
          <w:color w:val="auto"/>
          <w:szCs w:val="24"/>
        </w:rPr>
      </w:pPr>
      <w:r>
        <w:rPr>
          <w:rFonts w:ascii="Times New Roman" w:hAnsi="Times New Roman" w:cs="Times New Roman"/>
          <w:color w:val="auto"/>
          <w:szCs w:val="24"/>
        </w:rPr>
        <w:t>办公楼设置室内消火栓给水系统，依托罐区消防给水管网。建筑物内各层设消火栓进行保护。其布置保证室内任何一处均有2股水柱同时到达。灭火水枪的充实水柱为10m。</w:t>
      </w:r>
    </w:p>
    <w:p>
      <w:pPr>
        <w:ind w:firstLine="480"/>
        <w:rPr>
          <w:rFonts w:ascii="Times New Roman" w:hAnsi="Times New Roman" w:cs="Times New Roman"/>
          <w:color w:val="auto"/>
          <w:szCs w:val="24"/>
        </w:rPr>
      </w:pPr>
      <w:r>
        <w:rPr>
          <w:rFonts w:ascii="Times New Roman" w:hAnsi="Times New Roman" w:cs="Times New Roman"/>
          <w:color w:val="auto"/>
          <w:szCs w:val="24"/>
        </w:rPr>
        <w:t>屋面高位消防水箱消火栓出水管上设流量计压力开关。室内消防管网竖向不分区，室内消火栓栓口压力超过0.50MPa时采用减压稳压型消火栓。每一消火栓箱内设DN65消火栓、Φ19水枪、25m长麻质衬胶水带(DN65) 、25m长消防软管卷盘(DN25)各一支(条)。所有消火栓处均消防报警按钮一个。消火栓布置使任一着火点有2股充实水柱到达，水枪充实水柱不小于10m。消火栓设计出口压力控制在0.35~0.5MPa。</w:t>
      </w:r>
    </w:p>
    <w:p>
      <w:pPr>
        <w:ind w:firstLine="480"/>
        <w:rPr>
          <w:rFonts w:ascii="Times New Roman" w:hAnsi="Times New Roman" w:cs="Times New Roman"/>
          <w:color w:val="auto"/>
          <w:szCs w:val="24"/>
        </w:rPr>
      </w:pPr>
      <w:r>
        <w:rPr>
          <w:rFonts w:ascii="Times New Roman" w:hAnsi="Times New Roman" w:cs="Times New Roman"/>
          <w:color w:val="auto"/>
          <w:szCs w:val="24"/>
        </w:rPr>
        <w:fldChar w:fldCharType="begin"/>
      </w:r>
      <w:r>
        <w:rPr>
          <w:rFonts w:ascii="Times New Roman" w:hAnsi="Times New Roman" w:cs="Times New Roman"/>
          <w:color w:val="auto"/>
          <w:szCs w:val="24"/>
        </w:rPr>
        <w:instrText xml:space="preserve"> = 5 \* GB3 </w:instrText>
      </w:r>
      <w:r>
        <w:rPr>
          <w:rFonts w:ascii="Times New Roman" w:hAnsi="Times New Roman" w:cs="Times New Roman"/>
          <w:color w:val="auto"/>
          <w:szCs w:val="24"/>
        </w:rPr>
        <w:fldChar w:fldCharType="separate"/>
      </w:r>
      <w:r>
        <w:rPr>
          <w:rFonts w:hint="eastAsia" w:ascii="宋体" w:hAnsi="宋体" w:cs="宋体"/>
          <w:color w:val="auto"/>
          <w:szCs w:val="24"/>
        </w:rPr>
        <w:t>⑤</w:t>
      </w:r>
      <w:r>
        <w:rPr>
          <w:rFonts w:ascii="Times New Roman" w:hAnsi="Times New Roman" w:cs="Times New Roman"/>
          <w:color w:val="auto"/>
          <w:szCs w:val="24"/>
        </w:rPr>
        <w:fldChar w:fldCharType="end"/>
      </w:r>
      <w:r>
        <w:rPr>
          <w:rFonts w:ascii="Times New Roman" w:hAnsi="Times New Roman" w:cs="Times New Roman"/>
          <w:color w:val="auto"/>
          <w:szCs w:val="24"/>
        </w:rPr>
        <w:t>消防加压泵站</w:t>
      </w:r>
    </w:p>
    <w:p>
      <w:pPr>
        <w:ind w:firstLine="480"/>
        <w:rPr>
          <w:rFonts w:ascii="Times New Roman" w:hAnsi="Times New Roman" w:cs="Times New Roman"/>
          <w:color w:val="auto"/>
          <w:szCs w:val="24"/>
        </w:rPr>
      </w:pPr>
      <w:r>
        <w:rPr>
          <w:rFonts w:ascii="Times New Roman" w:hAnsi="Times New Roman" w:cs="Times New Roman"/>
          <w:color w:val="auto"/>
          <w:szCs w:val="24"/>
        </w:rPr>
        <w:t>新建消防泵房一座，框架结构。消防泵房内设2台消防水泵，一用一备，一台电动消防水泵（主用），一台柴油机消防水泵（备用）。电动消防冷却水泵供水能力Q=140L/s，H=120m，电动机功率315kw；柴油机消防冷却水泵供水能力Q=140L/s，H=120m，柴油机功率353kw。消防泵房内设2台电动喷淋水泵（办公楼用），一用一备，电动喷淋水泵供水能力Q=30L/s，H=45m，电动机功率37kw。</w:t>
      </w:r>
    </w:p>
    <w:p>
      <w:pPr>
        <w:ind w:firstLine="480"/>
        <w:rPr>
          <w:rFonts w:ascii="Times New Roman" w:hAnsi="Times New Roman" w:cs="Times New Roman"/>
          <w:color w:val="auto"/>
          <w:szCs w:val="24"/>
        </w:rPr>
      </w:pPr>
      <w:r>
        <w:rPr>
          <w:rFonts w:ascii="Times New Roman" w:hAnsi="Times New Roman" w:cs="Times New Roman"/>
          <w:color w:val="auto"/>
          <w:szCs w:val="24"/>
        </w:rPr>
        <w:fldChar w:fldCharType="begin"/>
      </w:r>
      <w:r>
        <w:rPr>
          <w:rFonts w:ascii="Times New Roman" w:hAnsi="Times New Roman" w:cs="Times New Roman"/>
          <w:color w:val="auto"/>
          <w:szCs w:val="24"/>
        </w:rPr>
        <w:instrText xml:space="preserve"> = 6 \* GB3 </w:instrText>
      </w:r>
      <w:r>
        <w:rPr>
          <w:rFonts w:ascii="Times New Roman" w:hAnsi="Times New Roman" w:cs="Times New Roman"/>
          <w:color w:val="auto"/>
          <w:szCs w:val="24"/>
        </w:rPr>
        <w:fldChar w:fldCharType="separate"/>
      </w:r>
      <w:r>
        <w:rPr>
          <w:rFonts w:hint="eastAsia" w:ascii="宋体" w:hAnsi="宋体" w:cs="宋体"/>
          <w:color w:val="auto"/>
          <w:szCs w:val="24"/>
        </w:rPr>
        <w:t>⑥</w:t>
      </w:r>
      <w:r>
        <w:rPr>
          <w:rFonts w:ascii="Times New Roman" w:hAnsi="Times New Roman" w:cs="Times New Roman"/>
          <w:color w:val="auto"/>
          <w:szCs w:val="24"/>
        </w:rPr>
        <w:fldChar w:fldCharType="end"/>
      </w:r>
      <w:r>
        <w:rPr>
          <w:rFonts w:ascii="Times New Roman" w:hAnsi="Times New Roman" w:cs="Times New Roman"/>
          <w:color w:val="auto"/>
          <w:szCs w:val="24"/>
        </w:rPr>
        <w:t>消防储水量</w:t>
      </w:r>
    </w:p>
    <w:p>
      <w:pPr>
        <w:ind w:firstLine="480"/>
        <w:rPr>
          <w:rFonts w:ascii="Times New Roman" w:hAnsi="Times New Roman" w:cs="Times New Roman"/>
          <w:color w:val="auto"/>
          <w:szCs w:val="24"/>
        </w:rPr>
      </w:pPr>
      <w:r>
        <w:rPr>
          <w:rFonts w:ascii="Times New Roman" w:hAnsi="Times New Roman" w:cs="Times New Roman"/>
          <w:color w:val="auto"/>
          <w:szCs w:val="24"/>
        </w:rPr>
        <w:t>本工程最大一次消防水量为3042m</w:t>
      </w:r>
      <w:r>
        <w:rPr>
          <w:rFonts w:ascii="Times New Roman" w:hAnsi="Times New Roman" w:cs="Times New Roman"/>
          <w:color w:val="auto"/>
          <w:szCs w:val="24"/>
          <w:vertAlign w:val="superscript"/>
        </w:rPr>
        <w:t>3</w:t>
      </w:r>
      <w:r>
        <w:rPr>
          <w:rFonts w:ascii="Times New Roman" w:hAnsi="Times New Roman" w:cs="Times New Roman"/>
          <w:color w:val="auto"/>
          <w:szCs w:val="24"/>
        </w:rPr>
        <w:t>，陆域罐区新建有效容积1800m³消防水罐2座，总储水量为3600m³，满足库内消防使用要求。消防补水取自市政供水管网，消防补水量不小于45m</w:t>
      </w:r>
      <w:r>
        <w:rPr>
          <w:rFonts w:ascii="Times New Roman" w:hAnsi="Times New Roman" w:cs="Times New Roman"/>
          <w:color w:val="auto"/>
          <w:szCs w:val="24"/>
          <w:vertAlign w:val="superscript"/>
        </w:rPr>
        <w:t>3</w:t>
      </w:r>
      <w:r>
        <w:rPr>
          <w:rFonts w:ascii="Times New Roman" w:hAnsi="Times New Roman" w:cs="Times New Roman"/>
          <w:color w:val="auto"/>
          <w:szCs w:val="24"/>
        </w:rPr>
        <w:t>/h，保证96小时内注满。在消防水罐上设置供消防车取水用的消防车取水口。</w:t>
      </w:r>
    </w:p>
    <w:p>
      <w:pPr>
        <w:ind w:firstLine="480"/>
        <w:rPr>
          <w:rFonts w:ascii="Times New Roman" w:hAnsi="Times New Roman" w:cs="Times New Roman"/>
          <w:color w:val="auto"/>
          <w:szCs w:val="24"/>
        </w:rPr>
      </w:pPr>
      <w:r>
        <w:rPr>
          <w:rFonts w:ascii="Times New Roman" w:hAnsi="Times New Roman" w:cs="Times New Roman"/>
          <w:color w:val="auto"/>
          <w:szCs w:val="24"/>
        </w:rPr>
        <w:fldChar w:fldCharType="begin"/>
      </w:r>
      <w:r>
        <w:rPr>
          <w:rFonts w:ascii="Times New Roman" w:hAnsi="Times New Roman" w:cs="Times New Roman"/>
          <w:color w:val="auto"/>
          <w:szCs w:val="24"/>
        </w:rPr>
        <w:instrText xml:space="preserve"> = 7 \* GB3 </w:instrText>
      </w:r>
      <w:r>
        <w:rPr>
          <w:rFonts w:ascii="Times New Roman" w:hAnsi="Times New Roman" w:cs="Times New Roman"/>
          <w:color w:val="auto"/>
          <w:szCs w:val="24"/>
        </w:rPr>
        <w:fldChar w:fldCharType="separate"/>
      </w:r>
      <w:r>
        <w:rPr>
          <w:rFonts w:hint="eastAsia" w:ascii="宋体" w:hAnsi="宋体" w:cs="宋体"/>
          <w:color w:val="auto"/>
          <w:szCs w:val="24"/>
        </w:rPr>
        <w:t>⑦</w:t>
      </w:r>
      <w:r>
        <w:rPr>
          <w:rFonts w:ascii="Times New Roman" w:hAnsi="Times New Roman" w:cs="Times New Roman"/>
          <w:color w:val="auto"/>
          <w:szCs w:val="24"/>
        </w:rPr>
        <w:fldChar w:fldCharType="end"/>
      </w:r>
      <w:r>
        <w:rPr>
          <w:rFonts w:ascii="Times New Roman" w:hAnsi="Times New Roman" w:cs="Times New Roman"/>
          <w:color w:val="auto"/>
          <w:szCs w:val="24"/>
        </w:rPr>
        <w:t>泡沫站布置</w:t>
      </w:r>
    </w:p>
    <w:p>
      <w:pPr>
        <w:ind w:firstLine="480"/>
        <w:rPr>
          <w:rFonts w:ascii="Times New Roman" w:hAnsi="Times New Roman" w:cs="Times New Roman"/>
          <w:color w:val="auto"/>
          <w:szCs w:val="24"/>
        </w:rPr>
      </w:pPr>
      <w:r>
        <w:rPr>
          <w:rFonts w:ascii="Times New Roman" w:hAnsi="Times New Roman" w:cs="Times New Roman"/>
          <w:color w:val="auto"/>
          <w:szCs w:val="24"/>
        </w:rPr>
        <w:t>罐区内设置泡沫泵站和消防泵房合建，结合《泡沫灭火系统技术标准》GB50151-2021第7.1.3条规定，消防泵房内设2台泡沫供水水泵，一用一备，一台电动泡沫水泵（主用），一台柴油机泡沫水泵（备用）。电动泡沫水泵供水能力Q=70L/s，H=120m，电动机功率160kw；柴油机泡沫水泵供水能力Q=70L/s，H=120m，柴油机功率235kw。油库单独设置泡沫站1座，设置1套平衡式泡沫比例混合灭火装置PHP3/80，泡沫罐容积10000L，混合液流量24～80L/s，按2倍富裕量考虑，设置泡沫液混合比为3%环保型水成膜泡沫液8.4m³。泵房设置电动插桶泵一台，为泡沫罐添加泡沫液。电动插桶泵扬程H=9m，流量Q=2.34-3.54L/s。</w:t>
      </w:r>
    </w:p>
    <w:p>
      <w:pPr>
        <w:ind w:firstLine="480"/>
        <w:rPr>
          <w:rFonts w:ascii="Times New Roman" w:hAnsi="Times New Roman" w:cs="Times New Roman"/>
          <w:color w:val="auto"/>
          <w:sz w:val="22"/>
        </w:rPr>
      </w:pPr>
      <w:r>
        <w:rPr>
          <w:rFonts w:ascii="Times New Roman" w:hAnsi="Times New Roman" w:cs="Times New Roman"/>
          <w:szCs w:val="24"/>
        </w:rPr>
        <w:t>泡沫站设计选用消防泵为70L/s，消防泡沫混合液干管管径为DN200。流速1.764m/s，最不利点距消防泵房的距离约450m，消防泡沫混合液到达最不利点时间约4.7min(含泡沫泵启动时间55s)。</w:t>
      </w:r>
    </w:p>
    <w:p>
      <w:pPr>
        <w:ind w:firstLine="480"/>
        <w:rPr>
          <w:rFonts w:ascii="Times New Roman" w:hAnsi="Times New Roman" w:cs="Times New Roman"/>
          <w:color w:val="auto"/>
          <w:szCs w:val="24"/>
        </w:rPr>
      </w:pPr>
      <w:r>
        <w:rPr>
          <w:rFonts w:ascii="Times New Roman" w:hAnsi="Times New Roman" w:cs="Times New Roman"/>
          <w:color w:val="auto"/>
          <w:szCs w:val="24"/>
        </w:rPr>
        <w:t>（3）消防外援：油库消防依合肥市危险化学品应急救援队红四方中队位于肥东县循环经济园撮镇镇，距本工程约6.2km，接警后约10分钟能够达到现场进行应急救援；肥东县消防救援大队位于合肥市肥东县长江东路与桥头集路交口，距本工程约11.7km，接警后约22分钟能够达到现场进行应急救援，因此油库火灾情况下主要以自救为主。园区消防队可作为外部救援力量。</w:t>
      </w:r>
    </w:p>
    <w:p>
      <w:pPr>
        <w:ind w:firstLine="482"/>
        <w:rPr>
          <w:rFonts w:ascii="Times New Roman" w:hAnsi="Times New Roman" w:cs="Times New Roman"/>
          <w:b/>
          <w:bCs/>
        </w:rPr>
      </w:pPr>
      <w:r>
        <w:rPr>
          <w:rFonts w:ascii="Times New Roman" w:hAnsi="Times New Roman" w:cs="Times New Roman"/>
          <w:b/>
          <w:bCs/>
        </w:rPr>
        <w:t>5、消防报警系统</w:t>
      </w:r>
    </w:p>
    <w:p>
      <w:pPr>
        <w:ind w:firstLine="480"/>
        <w:rPr>
          <w:rFonts w:ascii="Times New Roman" w:hAnsi="Times New Roman" w:cs="Times New Roman"/>
        </w:rPr>
      </w:pPr>
      <w:r>
        <w:rPr>
          <w:rFonts w:ascii="Times New Roman" w:hAnsi="Times New Roman" w:cs="Times New Roman"/>
        </w:rPr>
        <w:t>新增火灾报警系统一套，新增消防火灾报警系统采用手动方式，由手动火灾报警按钮、火灾报警控制器和火灾显示盘组成。</w:t>
      </w:r>
    </w:p>
    <w:p>
      <w:pPr>
        <w:ind w:firstLine="480"/>
        <w:rPr>
          <w:rFonts w:ascii="Times New Roman" w:hAnsi="Times New Roman" w:cs="Times New Roman"/>
        </w:rPr>
      </w:pPr>
      <w:r>
        <w:rPr>
          <w:rFonts w:ascii="Times New Roman" w:hAnsi="Times New Roman" w:cs="Times New Roman"/>
        </w:rPr>
        <w:t>在罐区共设置37处火灾报警按钮，分别设置在罐区17处、装车区2处、公路卸车区1处、橇装加油设备1处、固废暂存间1处、油气回收装置1处、</w:t>
      </w:r>
      <w:r>
        <w:rPr>
          <w:rFonts w:hint="eastAsia" w:ascii="Times New Roman" w:hAnsi="Times New Roman" w:cs="Times New Roman"/>
        </w:rPr>
        <w:t>密闭式含油污水收集池</w:t>
      </w:r>
      <w:r>
        <w:rPr>
          <w:rFonts w:ascii="Times New Roman" w:hAnsi="Times New Roman" w:cs="Times New Roman"/>
        </w:rPr>
        <w:t>1处、配电间4处、化验室1处、营业室1处、码头7处（每个泊位1处）。火灾显示盘设置在中心控制室。</w:t>
      </w:r>
    </w:p>
    <w:p>
      <w:pPr>
        <w:ind w:firstLine="480"/>
        <w:rPr>
          <w:rFonts w:ascii="Times New Roman" w:hAnsi="Times New Roman" w:cs="Times New Roman"/>
        </w:rPr>
      </w:pPr>
      <w:r>
        <w:rPr>
          <w:rFonts w:ascii="Times New Roman" w:hAnsi="Times New Roman" w:cs="Times New Roman"/>
        </w:rPr>
        <w:t>火灾报警控制器采用柜式安装在消防控制室。当现场出现火情时，工作人员按下手动报警按钮发出警报，火灾报警控制器提供声光报警，并与报警点附近的摄像机联锁，使摄像机转到地预置位，摄像机将现场视频上传至安防操作站，提示消防工作人员采取相应措施。同时报警控制器可通过通讯接口将报警信息上传到消防DCS，通过消防监控操作站显示手动报警区域的位置。</w:t>
      </w:r>
    </w:p>
    <w:p>
      <w:pPr>
        <w:ind w:firstLine="0" w:firstLineChars="0"/>
        <w:rPr>
          <w:rFonts w:ascii="Times New Roman" w:hAnsi="Times New Roman" w:cs="Times New Roman"/>
          <w:b/>
          <w:bCs/>
          <w:color w:val="auto"/>
        </w:rPr>
      </w:pPr>
      <w:bookmarkStart w:id="211" w:name="_Toc102984307"/>
      <w:r>
        <w:rPr>
          <w:rFonts w:ascii="Times New Roman" w:hAnsi="Times New Roman" w:cs="Times New Roman"/>
          <w:b/>
          <w:bCs/>
          <w:color w:val="auto"/>
        </w:rPr>
        <w:t>6、通信</w:t>
      </w:r>
      <w:bookmarkEnd w:id="211"/>
    </w:p>
    <w:p>
      <w:pPr>
        <w:ind w:firstLine="482"/>
        <w:rPr>
          <w:rFonts w:ascii="Times New Roman" w:hAnsi="Times New Roman" w:cs="Times New Roman"/>
          <w:b/>
          <w:bCs/>
        </w:rPr>
      </w:pPr>
      <w:r>
        <w:rPr>
          <w:rFonts w:ascii="Times New Roman" w:hAnsi="Times New Roman" w:cs="Times New Roman"/>
          <w:b/>
          <w:bCs/>
        </w:rPr>
        <w:t>（1）码头</w:t>
      </w:r>
    </w:p>
    <w:p>
      <w:pPr>
        <w:ind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cs="宋体"/>
        </w:rPr>
        <w:t>①</w:t>
      </w:r>
      <w:r>
        <w:rPr>
          <w:rFonts w:ascii="Times New Roman" w:hAnsi="Times New Roman" w:cs="Times New Roman"/>
        </w:rPr>
        <w:fldChar w:fldCharType="end"/>
      </w:r>
      <w:r>
        <w:rPr>
          <w:rFonts w:ascii="Times New Roman" w:hAnsi="Times New Roman" w:cs="Times New Roman"/>
          <w:b/>
          <w:bCs/>
        </w:rPr>
        <w:t>船岸通信：</w:t>
      </w:r>
      <w:r>
        <w:rPr>
          <w:rFonts w:ascii="Times New Roman" w:hAnsi="Times New Roman" w:cs="Times New Roman"/>
        </w:rPr>
        <w:t>为了保证近距离的船、岸通信，在侯工楼处设置甚高频（VHF）话台，甚高频话台采用水上工作频率，按一用一备配置，其功率不大于25瓦，甚高频话台安装在侯工楼内，话台天线安装在侯工楼屋顶。甚高频的设置需要得到当地无线电管理委员会的批准。</w:t>
      </w:r>
    </w:p>
    <w:p>
      <w:pPr>
        <w:ind w:firstLine="480"/>
        <w:rPr>
          <w:rFonts w:ascii="Times New Roman" w:hAnsi="Times New Roman" w:cs="Times New Roman"/>
        </w:rPr>
      </w:pPr>
      <w:r>
        <w:rPr>
          <w:rFonts w:ascii="Times New Roman" w:hAnsi="Times New Roman" w:cs="Times New Roman"/>
        </w:rPr>
        <w:t>为便于码头移动作业人员与船舶通信，本工程配置本安型防爆手持VHF 对讲机。手持VHF对讲机采用水上专用频道，其功率不大于3瓦，对讲机的设置需得到当地无线电管理委员会的批准。</w:t>
      </w:r>
    </w:p>
    <w:p>
      <w:pPr>
        <w:ind w:firstLine="482"/>
        <w:rPr>
          <w:rFonts w:ascii="Times New Roman" w:hAnsi="Times New Roman" w:cs="Times New Roman"/>
          <w:b/>
          <w:bCs/>
        </w:rPr>
      </w:pPr>
      <w:r>
        <w:rPr>
          <w:rFonts w:ascii="Times New Roman" w:hAnsi="Times New Roman" w:cs="Times New Roman"/>
          <w:b/>
          <w:bCs/>
        </w:rPr>
        <w:fldChar w:fldCharType="begin"/>
      </w:r>
      <w:r>
        <w:rPr>
          <w:rFonts w:ascii="Times New Roman" w:hAnsi="Times New Roman" w:cs="Times New Roman"/>
          <w:b/>
          <w:bCs/>
        </w:rPr>
        <w:instrText xml:space="preserve"> = 2 \* GB3 </w:instrText>
      </w:r>
      <w:r>
        <w:rPr>
          <w:rFonts w:ascii="Times New Roman" w:hAnsi="Times New Roman" w:cs="Times New Roman"/>
          <w:b/>
          <w:bCs/>
        </w:rPr>
        <w:fldChar w:fldCharType="separate"/>
      </w:r>
      <w:r>
        <w:rPr>
          <w:rFonts w:hint="eastAsia" w:ascii="宋体" w:hAnsi="宋体" w:cs="宋体"/>
          <w:b/>
          <w:bCs/>
        </w:rPr>
        <w:t>②</w:t>
      </w:r>
      <w:r>
        <w:rPr>
          <w:rFonts w:ascii="Times New Roman" w:hAnsi="Times New Roman" w:cs="Times New Roman"/>
          <w:b/>
          <w:bCs/>
        </w:rPr>
        <w:fldChar w:fldCharType="end"/>
      </w:r>
      <w:r>
        <w:rPr>
          <w:rFonts w:ascii="Times New Roman" w:hAnsi="Times New Roman" w:cs="Times New Roman"/>
          <w:b/>
          <w:bCs/>
        </w:rPr>
        <w:t>工业电视监控系统</w:t>
      </w:r>
    </w:p>
    <w:p>
      <w:pPr>
        <w:ind w:firstLine="480"/>
        <w:rPr>
          <w:rFonts w:ascii="Times New Roman" w:hAnsi="Times New Roman" w:cs="Times New Roman"/>
        </w:rPr>
      </w:pPr>
      <w:r>
        <w:rPr>
          <w:rFonts w:ascii="Times New Roman" w:hAnsi="Times New Roman" w:cs="Times New Roman"/>
        </w:rPr>
        <w:t>工业电视监控系统主要用于监视码头平台尤其是装卸区域的作业情况，并能实现码头周界防范监控。通过工业电视系统可以随时了解全港区的生产作业过程，辅助实施生产调动分配任务，并对特殊情况进行重点录像作为备忘。</w:t>
      </w:r>
    </w:p>
    <w:p>
      <w:pPr>
        <w:ind w:firstLine="480"/>
        <w:rPr>
          <w:rFonts w:ascii="Times New Roman" w:hAnsi="Times New Roman" w:cs="Times New Roman"/>
        </w:rPr>
      </w:pPr>
      <w:r>
        <w:rPr>
          <w:rFonts w:ascii="Times New Roman" w:hAnsi="Times New Roman" w:cs="Times New Roman"/>
        </w:rPr>
        <w:t>工业电视系统主要包括现场前端监视设备和室内监控设备。现场前端监视设备包括网络摄像机、解码器、电动云台、全天候防护罩、各种防雷设备等；室内监控设备包括主机系统、多画面处理器、彩色监视器、大屏幕显示器、数字录像设备、操作键盘等。相关设备放置于控制室或管理房内。</w:t>
      </w:r>
    </w:p>
    <w:p>
      <w:pPr>
        <w:ind w:firstLine="480"/>
        <w:rPr>
          <w:rFonts w:ascii="Times New Roman" w:hAnsi="Times New Roman" w:cs="Times New Roman"/>
        </w:rPr>
      </w:pPr>
      <w:r>
        <w:rPr>
          <w:rFonts w:ascii="Times New Roman" w:hAnsi="Times New Roman" w:cs="Times New Roman"/>
        </w:rPr>
        <w:t>工业电视系统具有智能化的管理功能、权限控制功能、数字录像和回放功能、灵活的显示功能和多媒体分控网络功能等。</w:t>
      </w:r>
    </w:p>
    <w:p>
      <w:pPr>
        <w:ind w:firstLine="482"/>
        <w:rPr>
          <w:rFonts w:ascii="Times New Roman" w:hAnsi="Times New Roman" w:cs="Times New Roman"/>
          <w:b/>
          <w:bCs/>
        </w:rPr>
      </w:pPr>
      <w:r>
        <w:rPr>
          <w:rFonts w:ascii="Times New Roman" w:hAnsi="Times New Roman" w:cs="Times New Roman"/>
          <w:b/>
          <w:bCs/>
        </w:rPr>
        <w:fldChar w:fldCharType="begin"/>
      </w:r>
      <w:r>
        <w:rPr>
          <w:rFonts w:ascii="Times New Roman" w:hAnsi="Times New Roman" w:cs="Times New Roman"/>
          <w:b/>
          <w:bCs/>
        </w:rPr>
        <w:instrText xml:space="preserve"> = 3 \* GB3 </w:instrText>
      </w:r>
      <w:r>
        <w:rPr>
          <w:rFonts w:ascii="Times New Roman" w:hAnsi="Times New Roman" w:cs="Times New Roman"/>
          <w:b/>
          <w:bCs/>
        </w:rPr>
        <w:fldChar w:fldCharType="separate"/>
      </w:r>
      <w:r>
        <w:rPr>
          <w:rFonts w:hint="eastAsia" w:ascii="宋体" w:hAnsi="宋体" w:cs="宋体"/>
          <w:b/>
          <w:bCs/>
        </w:rPr>
        <w:t>③</w:t>
      </w:r>
      <w:r>
        <w:rPr>
          <w:rFonts w:ascii="Times New Roman" w:hAnsi="Times New Roman" w:cs="Times New Roman"/>
          <w:b/>
          <w:bCs/>
        </w:rPr>
        <w:fldChar w:fldCharType="end"/>
      </w:r>
      <w:r>
        <w:rPr>
          <w:rFonts w:ascii="Times New Roman" w:hAnsi="Times New Roman" w:cs="Times New Roman"/>
          <w:b/>
          <w:bCs/>
        </w:rPr>
        <w:t>雷达防撞系统</w:t>
      </w:r>
    </w:p>
    <w:p>
      <w:pPr>
        <w:ind w:firstLine="480"/>
        <w:rPr>
          <w:rFonts w:ascii="Times New Roman" w:hAnsi="Times New Roman" w:cs="Times New Roman"/>
        </w:rPr>
      </w:pPr>
      <w:r>
        <w:rPr>
          <w:rFonts w:ascii="Times New Roman" w:hAnsi="Times New Roman" w:cs="Times New Roman"/>
        </w:rPr>
        <w:t>液体化工码头防撞监测报警系统，是采用国际上最前沿的相控阵雷达技术为核心，综合运用光电跟踪、电子海图及地理信息系统（GIS）、自动识别系统（AIS）、声光报警、计算机模拟、多媒体、宽带网络、通信等多种技术相结合的一种智能哨兵预警和监测系统。通过多雷达融合处理、多目标关联处理、多摄像机联动处理、多声光报警器协同处理、人工智能等创新技术，获得在码头水域复杂环境下运动目标的可靠检测，实现对通航船只目标的自动探测、自动跟踪、智能分析、自动告警、视频联动、自动抓拍、自动警示，以及遥控管理和无人值守的功能，达到船舶动态监测、偏航告警、告警复核、防撞风险分析、智能化管控的目的。</w:t>
      </w:r>
    </w:p>
    <w:p>
      <w:pPr>
        <w:ind w:firstLine="480"/>
        <w:rPr>
          <w:rFonts w:ascii="Times New Roman" w:hAnsi="Times New Roman" w:cs="Times New Roman"/>
        </w:rPr>
      </w:pPr>
      <w:r>
        <w:rPr>
          <w:rFonts w:ascii="Times New Roman" w:hAnsi="Times New Roman" w:cs="Times New Roman"/>
        </w:rPr>
        <w:t>该系统可全天时、全天候对码头水域航行船舶进行实时探测与跟踪，标绘其运动轨迹，判定其威胁程度，并指挥光电设备对目标进行联动跟踪、识别、抓拍取证，以及通过定向广播、声光警示、VHF 呼叫等方式进行驱离。系统覆盖区域范围大，监控目标数量多、监测速度快、协同摄像头数量多，不受雨天、雾霾、夜晚、沙尘的影响。系统自动化程度高，可靠性高，效率高，能有效降低人工值班的工作强度，对液体化工码头安全监测报警提供了良好的解决方案。</w:t>
      </w:r>
    </w:p>
    <w:p>
      <w:pPr>
        <w:ind w:firstLine="482"/>
        <w:rPr>
          <w:rFonts w:ascii="Times New Roman" w:hAnsi="Times New Roman" w:cs="Times New Roman"/>
          <w:b/>
          <w:bCs/>
        </w:rPr>
      </w:pPr>
      <w:r>
        <w:rPr>
          <w:rFonts w:ascii="Times New Roman" w:hAnsi="Times New Roman" w:cs="Times New Roman"/>
          <w:b/>
          <w:bCs/>
        </w:rPr>
        <w:t>（2）陆域罐区</w:t>
      </w:r>
    </w:p>
    <w:p>
      <w:pPr>
        <w:ind w:firstLine="480"/>
        <w:rPr>
          <w:rFonts w:ascii="Times New Roman" w:hAnsi="Times New Roman" w:cs="Times New Roman"/>
          <w:color w:val="auto"/>
          <w:szCs w:val="24"/>
        </w:rPr>
      </w:pPr>
      <w:r>
        <w:rPr>
          <w:rFonts w:ascii="Times New Roman" w:hAnsi="Times New Roman" w:cs="Times New Roman"/>
          <w:color w:val="auto"/>
          <w:szCs w:val="24"/>
        </w:rPr>
        <w:t>为了保证罐区安全、可靠、平稳、高效、经济地运行，生产过程控制系统统采用分散型控制系统（DCS），作为过程控制系统的核心，DCS提供了生产过程的基本控制、数据采集、生产报表打印、历史数据的记录，操作人员通过人机界面对油库的生产过程进行监视、控制和操作。其它控制系统均具有与 DCS的通讯能力，重要信息都将传送到DCS监视。</w:t>
      </w:r>
    </w:p>
    <w:p>
      <w:pPr>
        <w:ind w:firstLine="480"/>
        <w:rPr>
          <w:rFonts w:ascii="Times New Roman" w:hAnsi="Times New Roman" w:cs="Times New Roman"/>
          <w:color w:val="auto"/>
          <w:szCs w:val="24"/>
        </w:rPr>
      </w:pPr>
      <w:r>
        <w:rPr>
          <w:rFonts w:ascii="Times New Roman" w:hAnsi="Times New Roman" w:cs="Times New Roman"/>
          <w:color w:val="auto"/>
          <w:szCs w:val="24"/>
        </w:rPr>
        <w:t>陆域综合楼二层设置中心控制室，内设储运DCS控制系统、消防DCS控制系统、安全仪表系统、气体报警系统、安防系统、油气回收系统。</w:t>
      </w:r>
    </w:p>
    <w:p>
      <w:pPr>
        <w:ind w:firstLine="480"/>
        <w:rPr>
          <w:rFonts w:ascii="Times New Roman" w:hAnsi="Times New Roman" w:cs="Times New Roman"/>
          <w:color w:val="auto"/>
          <w:szCs w:val="24"/>
        </w:rPr>
      </w:pPr>
      <w:r>
        <w:rPr>
          <w:rFonts w:ascii="Times New Roman" w:hAnsi="Times New Roman" w:cs="Times New Roman"/>
          <w:color w:val="auto"/>
          <w:szCs w:val="24"/>
        </w:rPr>
        <w:t>定量装车控制器、工艺现场仪表、消防现场仪表信号等主要过程变量接入相应的DCS控制系统；参与安全联锁功能的变量接入SIS控制系统；罐区内可燃气体检测器信号接入GDS控制系统。</w:t>
      </w:r>
    </w:p>
    <w:p>
      <w:pPr>
        <w:ind w:firstLine="480"/>
        <w:rPr>
          <w:rFonts w:ascii="Times New Roman" w:hAnsi="Times New Roman" w:cs="Times New Roman"/>
          <w:color w:val="auto"/>
          <w:szCs w:val="24"/>
        </w:rPr>
      </w:pPr>
      <w:r>
        <w:rPr>
          <w:rFonts w:ascii="Times New Roman" w:hAnsi="Times New Roman" w:cs="Times New Roman"/>
          <w:color w:val="auto"/>
          <w:szCs w:val="24"/>
        </w:rPr>
        <w:t>DCS服务器均采用双机互备方式，内置罐区全套的自动化控制软件，可通过任意一台操作站实现对罐区各自动化系统的远程监控及管理。每个操作站配置标准冗余网络接口（TCP/IP）和PLC控制站连接，实现集中管理和数据共享。</w:t>
      </w:r>
    </w:p>
    <w:p>
      <w:pPr>
        <w:ind w:firstLine="480"/>
        <w:rPr>
          <w:rFonts w:ascii="Times New Roman" w:hAnsi="Times New Roman" w:cs="Times New Roman"/>
          <w:color w:val="auto"/>
          <w:szCs w:val="24"/>
        </w:rPr>
      </w:pPr>
      <w:r>
        <w:rPr>
          <w:rFonts w:ascii="Times New Roman" w:hAnsi="Times New Roman" w:cs="Times New Roman"/>
          <w:color w:val="auto"/>
          <w:szCs w:val="24"/>
        </w:rPr>
        <w:t>罐区的网络架构按二层结构设置，分为罐区办公网和罐区生产控制网。罐区办公网与生产控制网采用网络防火墙和网闸进行物理隔离；生产控制网采用冗余以太网（TCP/IP 通讯协议），通讯速率不低于1000Mbps。</w:t>
      </w:r>
    </w:p>
    <w:p>
      <w:pPr>
        <w:ind w:firstLine="480"/>
        <w:rPr>
          <w:rFonts w:ascii="Times New Roman" w:hAnsi="Times New Roman" w:cs="Times New Roman"/>
          <w:b/>
          <w:bCs/>
          <w:color w:val="auto"/>
          <w:szCs w:val="24"/>
        </w:rPr>
      </w:pPr>
      <w:r>
        <w:rPr>
          <w:rFonts w:ascii="Times New Roman" w:hAnsi="Times New Roman" w:cs="Times New Roman"/>
          <w:color w:val="auto"/>
          <w:szCs w:val="24"/>
        </w:rPr>
        <w:fldChar w:fldCharType="begin"/>
      </w:r>
      <w:r>
        <w:rPr>
          <w:rFonts w:ascii="Times New Roman" w:hAnsi="Times New Roman" w:cs="Times New Roman"/>
          <w:color w:val="auto"/>
          <w:szCs w:val="24"/>
        </w:rPr>
        <w:instrText xml:space="preserve"> = 1 \* GB3 </w:instrText>
      </w:r>
      <w:r>
        <w:rPr>
          <w:rFonts w:ascii="Times New Roman" w:hAnsi="Times New Roman" w:cs="Times New Roman"/>
          <w:color w:val="auto"/>
          <w:szCs w:val="24"/>
        </w:rPr>
        <w:fldChar w:fldCharType="separate"/>
      </w:r>
      <w:r>
        <w:rPr>
          <w:rFonts w:hint="eastAsia" w:ascii="宋体" w:hAnsi="宋体" w:cs="宋体"/>
          <w:color w:val="auto"/>
          <w:szCs w:val="24"/>
        </w:rPr>
        <w:t>①</w:t>
      </w:r>
      <w:r>
        <w:rPr>
          <w:rFonts w:ascii="Times New Roman" w:hAnsi="Times New Roman" w:cs="Times New Roman"/>
          <w:color w:val="auto"/>
          <w:szCs w:val="24"/>
        </w:rPr>
        <w:fldChar w:fldCharType="end"/>
      </w:r>
      <w:r>
        <w:rPr>
          <w:rFonts w:ascii="Times New Roman" w:hAnsi="Times New Roman" w:cs="Times New Roman"/>
          <w:b/>
          <w:bCs/>
          <w:color w:val="auto"/>
          <w:szCs w:val="24"/>
        </w:rPr>
        <w:t>工业电视监控系统</w:t>
      </w:r>
    </w:p>
    <w:p>
      <w:pPr>
        <w:ind w:firstLine="480"/>
        <w:rPr>
          <w:rFonts w:ascii="Times New Roman" w:hAnsi="Times New Roman" w:cs="Times New Roman"/>
          <w:color w:val="auto"/>
          <w:szCs w:val="24"/>
        </w:rPr>
      </w:pPr>
      <w:r>
        <w:rPr>
          <w:rFonts w:ascii="Times New Roman" w:hAnsi="Times New Roman" w:cs="Times New Roman"/>
          <w:color w:val="auto"/>
          <w:szCs w:val="24"/>
        </w:rPr>
        <w:t>工业电视监控系统由网络高清摄像机、网络硬盘录像机、视频网络机柜及视频监控操作站等组成。</w:t>
      </w:r>
    </w:p>
    <w:p>
      <w:pPr>
        <w:ind w:firstLine="480"/>
        <w:rPr>
          <w:rFonts w:ascii="Times New Roman" w:hAnsi="Times New Roman" w:cs="Times New Roman"/>
          <w:color w:val="auto"/>
          <w:szCs w:val="24"/>
        </w:rPr>
      </w:pPr>
      <w:r>
        <w:rPr>
          <w:rFonts w:ascii="Times New Roman" w:hAnsi="Times New Roman" w:cs="Times New Roman"/>
          <w:color w:val="auto"/>
          <w:szCs w:val="24"/>
        </w:rPr>
        <w:t>视频网络机柜分别设置在中心控制室机柜间和现场机柜间，网络硬盘录像机设置在中心控制室机柜间内视频网络机柜内，视频监控操作站设置在中心控制室，消防值班室设置视频终端。</w:t>
      </w:r>
    </w:p>
    <w:p>
      <w:pPr>
        <w:ind w:firstLine="480"/>
        <w:rPr>
          <w:rFonts w:ascii="Times New Roman" w:hAnsi="Times New Roman" w:cs="Times New Roman"/>
          <w:color w:val="auto"/>
          <w:szCs w:val="24"/>
        </w:rPr>
      </w:pPr>
      <w:r>
        <w:rPr>
          <w:rFonts w:ascii="Times New Roman" w:hAnsi="Times New Roman" w:cs="Times New Roman"/>
          <w:color w:val="auto"/>
          <w:szCs w:val="24"/>
        </w:rPr>
        <w:t>工程在油库重点部位共设置网络摄像机77点，分别布置在油品装车区10台、化工品装车区16台、泵棚3台、油气回收装置2台（含预留油气回收）、隔油池1台、罐区1台、公路卸车泵区2台、橇装加油区2台；发油区进出口2台、发油场区5台、办公区出入口1台、罐区11台（6点可覆盖罐顶）、停车场出入口1台、停车场区6台、公路卸车出入口1台、公路卸车区1台；中心控制室机柜间1台、配电室1台、空压机间1台、消防泵房1台、配电间3台、现场机柜间1台、泡沫间1台、应急物资库房2台、营业室1台。网络摄像机通过网线或光纤将信号传输至就近的视频网络机柜内的网络交换机，网络交换机再将信号传输至网络硬盘录像机。</w:t>
      </w:r>
    </w:p>
    <w:p>
      <w:pPr>
        <w:ind w:firstLine="480"/>
        <w:rPr>
          <w:rFonts w:ascii="Times New Roman" w:hAnsi="Times New Roman" w:cs="Times New Roman"/>
          <w:color w:val="auto"/>
          <w:szCs w:val="24"/>
        </w:rPr>
      </w:pPr>
      <w:r>
        <w:rPr>
          <w:rFonts w:ascii="Times New Roman" w:hAnsi="Times New Roman" w:cs="Times New Roman"/>
          <w:color w:val="auto"/>
          <w:szCs w:val="24"/>
        </w:rPr>
        <w:t>装车岛、油气回收区域和泵棚选用防爆枪式网络摄像机；室内选用半球型网络摄像机；其它区域选用一体化网络球型摄像机。</w:t>
      </w:r>
    </w:p>
    <w:p>
      <w:pPr>
        <w:ind w:firstLine="480"/>
        <w:rPr>
          <w:rFonts w:ascii="Times New Roman" w:hAnsi="Times New Roman" w:cs="Times New Roman"/>
          <w:color w:val="auto"/>
          <w:szCs w:val="24"/>
        </w:rPr>
      </w:pPr>
      <w:r>
        <w:rPr>
          <w:rFonts w:ascii="Times New Roman" w:hAnsi="Times New Roman" w:cs="Times New Roman"/>
          <w:color w:val="auto"/>
          <w:szCs w:val="24"/>
        </w:rPr>
        <w:t>网络硬盘录像机可连续存储不小于90天的视频录像，摄像监视信息可通过网络实现远程浏览。通过监控操作站可调整各摄像机的焦距、光圈以及镜头朝向。</w:t>
      </w:r>
    </w:p>
    <w:p>
      <w:pPr>
        <w:ind w:firstLine="480"/>
        <w:rPr>
          <w:rFonts w:ascii="Times New Roman" w:hAnsi="Times New Roman" w:cs="Times New Roman"/>
          <w:color w:val="auto"/>
          <w:szCs w:val="24"/>
        </w:rPr>
      </w:pPr>
      <w:r>
        <w:rPr>
          <w:rFonts w:ascii="Times New Roman" w:hAnsi="Times New Roman" w:cs="Times New Roman"/>
          <w:color w:val="auto"/>
          <w:szCs w:val="24"/>
        </w:rPr>
        <w:t>工业电视监控系统应与库内的火灾报警系统进行联动。</w:t>
      </w:r>
    </w:p>
    <w:p>
      <w:pPr>
        <w:ind w:firstLine="482"/>
        <w:rPr>
          <w:rFonts w:ascii="Times New Roman" w:hAnsi="Times New Roman" w:cs="Times New Roman"/>
          <w:b/>
          <w:bCs/>
          <w:color w:val="auto"/>
          <w:szCs w:val="24"/>
        </w:rPr>
      </w:pPr>
      <w:r>
        <w:rPr>
          <w:rFonts w:ascii="Times New Roman" w:hAnsi="Times New Roman" w:cs="Times New Roman"/>
          <w:b/>
          <w:bCs/>
          <w:color w:val="auto"/>
          <w:szCs w:val="24"/>
        </w:rPr>
        <w:fldChar w:fldCharType="begin"/>
      </w:r>
      <w:r>
        <w:rPr>
          <w:rFonts w:ascii="Times New Roman" w:hAnsi="Times New Roman" w:cs="Times New Roman"/>
          <w:b/>
          <w:bCs/>
          <w:color w:val="auto"/>
          <w:szCs w:val="24"/>
        </w:rPr>
        <w:instrText xml:space="preserve"> = 2 \* GB3 </w:instrText>
      </w:r>
      <w:r>
        <w:rPr>
          <w:rFonts w:ascii="Times New Roman" w:hAnsi="Times New Roman" w:cs="Times New Roman"/>
          <w:b/>
          <w:bCs/>
          <w:color w:val="auto"/>
          <w:szCs w:val="24"/>
        </w:rPr>
        <w:fldChar w:fldCharType="separate"/>
      </w:r>
      <w:r>
        <w:rPr>
          <w:rFonts w:hint="eastAsia" w:ascii="宋体" w:hAnsi="宋体" w:cs="宋体"/>
          <w:b/>
          <w:bCs/>
          <w:color w:val="auto"/>
          <w:szCs w:val="24"/>
        </w:rPr>
        <w:t>②</w:t>
      </w:r>
      <w:r>
        <w:rPr>
          <w:rFonts w:ascii="Times New Roman" w:hAnsi="Times New Roman" w:cs="Times New Roman"/>
          <w:b/>
          <w:bCs/>
          <w:color w:val="auto"/>
          <w:szCs w:val="24"/>
        </w:rPr>
        <w:fldChar w:fldCharType="end"/>
      </w:r>
      <w:r>
        <w:rPr>
          <w:rFonts w:ascii="Times New Roman" w:hAnsi="Times New Roman" w:cs="Times New Roman"/>
          <w:b/>
          <w:bCs/>
          <w:color w:val="auto"/>
          <w:szCs w:val="24"/>
        </w:rPr>
        <w:t>罐区液位计量和阀门控制系统</w:t>
      </w:r>
    </w:p>
    <w:p>
      <w:pPr>
        <w:ind w:firstLine="480"/>
        <w:rPr>
          <w:rFonts w:ascii="Times New Roman" w:hAnsi="Times New Roman" w:cs="Times New Roman"/>
          <w:color w:val="auto"/>
          <w:szCs w:val="24"/>
        </w:rPr>
      </w:pPr>
      <w:r>
        <w:rPr>
          <w:rFonts w:ascii="Times New Roman" w:hAnsi="Times New Roman" w:cs="Times New Roman"/>
          <w:color w:val="auto"/>
          <w:szCs w:val="24"/>
        </w:rPr>
        <w:t>罐区液位计量和阀门控制系统采用DCS控制方式，包括罐区操作站、储运DCS控制站、储运DCS I/O站及现场仪表等部分。</w:t>
      </w:r>
    </w:p>
    <w:p>
      <w:pPr>
        <w:ind w:firstLine="480"/>
        <w:rPr>
          <w:rFonts w:ascii="Times New Roman" w:hAnsi="Times New Roman" w:cs="Times New Roman"/>
          <w:color w:val="auto"/>
          <w:szCs w:val="24"/>
        </w:rPr>
      </w:pPr>
      <w:r>
        <w:rPr>
          <w:rFonts w:ascii="Times New Roman" w:hAnsi="Times New Roman" w:cs="Times New Roman"/>
          <w:color w:val="auto"/>
          <w:szCs w:val="24"/>
        </w:rPr>
        <w:t>罐区监控操作站设置在中心控制室，选用商用计算机，用于监测储罐液位、油品多点温度、平均温度（汽油、柴油、乙醇储罐）、单点温度（化工品储罐）及密度测量实时显示功能，具有油品泄漏、质量、存量、进油量、出油量、总容积、实际容积、空容积的实时显示、监测、管理功能。可自动记录报警时间和报警储罐，并根据采集到的工艺参数，依照工艺过程的要求完成远程控制等功能；还可以进行历史趋势记录、液位趋势、罐区报表的显示和打印、高液位、低液位报警等，实现液位的采集、监测和数据管理功能。</w:t>
      </w:r>
    </w:p>
    <w:p>
      <w:pPr>
        <w:ind w:firstLine="480"/>
        <w:rPr>
          <w:rFonts w:ascii="Times New Roman" w:hAnsi="Times New Roman" w:cs="Times New Roman"/>
          <w:color w:val="auto"/>
          <w:szCs w:val="24"/>
        </w:rPr>
      </w:pPr>
      <w:r>
        <w:rPr>
          <w:rFonts w:ascii="Times New Roman" w:hAnsi="Times New Roman" w:cs="Times New Roman"/>
          <w:color w:val="auto"/>
          <w:szCs w:val="24"/>
        </w:rPr>
        <w:t>储运DCS控制站设置在中心控制室机柜间，由冗余配置控制器、接口模块、过程I/O及功能模块组成，储运DCS I/O站设置在现场机柜间，由冗余配置的接口模块、过程I/O及功能模块组成，储运DCS控制站和储运DCS I/O站用于实时采集现场仪表返回的信号及状态。</w:t>
      </w:r>
    </w:p>
    <w:p>
      <w:pPr>
        <w:ind w:firstLine="480"/>
        <w:rPr>
          <w:rFonts w:ascii="Times New Roman" w:hAnsi="Times New Roman" w:cs="Times New Roman"/>
          <w:color w:val="auto"/>
          <w:szCs w:val="24"/>
        </w:rPr>
      </w:pPr>
      <w:r>
        <w:rPr>
          <w:rFonts w:ascii="Times New Roman" w:hAnsi="Times New Roman" w:cs="Times New Roman"/>
          <w:color w:val="auto"/>
          <w:szCs w:val="24"/>
        </w:rPr>
        <w:t>在每座汽油、柴油、乙醇储罐分别安装伺服液位计(含多点温度计)、差压变送器，罐底设置罐旁表；在每座化工品储罐分别安装雷达液位计、单点温度计、差压变送器，罐底设置罐旁表。差压变送器与液位计应相互校验，以保证系统的稳定性。</w:t>
      </w:r>
    </w:p>
    <w:p>
      <w:pPr>
        <w:ind w:firstLine="482"/>
        <w:rPr>
          <w:rFonts w:ascii="Times New Roman" w:hAnsi="Times New Roman" w:cs="Times New Roman"/>
          <w:b/>
          <w:color w:val="auto"/>
          <w:szCs w:val="24"/>
        </w:rPr>
      </w:pPr>
      <w:bookmarkStart w:id="212" w:name="_Toc92719724"/>
      <w:bookmarkStart w:id="213" w:name="_Toc420996786"/>
      <w:r>
        <w:rPr>
          <w:rFonts w:ascii="Times New Roman" w:hAnsi="Times New Roman" w:cs="Times New Roman"/>
          <w:b/>
          <w:bCs/>
          <w:color w:val="auto"/>
          <w:szCs w:val="24"/>
        </w:rPr>
        <w:fldChar w:fldCharType="begin"/>
      </w:r>
      <w:r>
        <w:rPr>
          <w:rFonts w:ascii="Times New Roman" w:hAnsi="Times New Roman" w:cs="Times New Roman"/>
          <w:b/>
          <w:bCs/>
          <w:color w:val="auto"/>
          <w:szCs w:val="24"/>
        </w:rPr>
        <w:instrText xml:space="preserve"> = 3 \* GB3 </w:instrText>
      </w:r>
      <w:r>
        <w:rPr>
          <w:rFonts w:ascii="Times New Roman" w:hAnsi="Times New Roman" w:cs="Times New Roman"/>
          <w:b/>
          <w:bCs/>
          <w:color w:val="auto"/>
          <w:szCs w:val="24"/>
        </w:rPr>
        <w:fldChar w:fldCharType="separate"/>
      </w:r>
      <w:r>
        <w:rPr>
          <w:rFonts w:hint="eastAsia" w:ascii="宋体" w:hAnsi="宋体" w:cs="宋体"/>
          <w:b/>
          <w:bCs/>
          <w:color w:val="auto"/>
          <w:szCs w:val="24"/>
        </w:rPr>
        <w:t>③</w:t>
      </w:r>
      <w:r>
        <w:rPr>
          <w:rFonts w:ascii="Times New Roman" w:hAnsi="Times New Roman" w:cs="Times New Roman"/>
          <w:b/>
          <w:bCs/>
          <w:color w:val="auto"/>
          <w:szCs w:val="24"/>
        </w:rPr>
        <w:fldChar w:fldCharType="end"/>
      </w:r>
      <w:r>
        <w:rPr>
          <w:rFonts w:ascii="Times New Roman" w:hAnsi="Times New Roman" w:cs="Times New Roman"/>
          <w:b/>
          <w:color w:val="auto"/>
          <w:szCs w:val="24"/>
        </w:rPr>
        <w:t>火灾报警系统</w:t>
      </w:r>
      <w:bookmarkEnd w:id="212"/>
    </w:p>
    <w:p>
      <w:pPr>
        <w:ind w:firstLine="480"/>
        <w:rPr>
          <w:rFonts w:ascii="Times New Roman" w:hAnsi="Times New Roman" w:cs="Times New Roman"/>
          <w:color w:val="auto"/>
          <w:szCs w:val="24"/>
        </w:rPr>
      </w:pPr>
      <w:r>
        <w:rPr>
          <w:rFonts w:ascii="Times New Roman" w:hAnsi="Times New Roman" w:cs="Times New Roman"/>
          <w:color w:val="auto"/>
          <w:szCs w:val="24"/>
        </w:rPr>
        <w:t>在罐区共设置37处火灾报警按钮，分别设置在罐区17处、装车区2处、公路卸车区1处、橇装加油设备1处、固废暂存间1处、油气回收装置1处、隔油池1处、配电间4处、化验室1处、营业室1处、码头7处。火灾显示盘设置在中心控制室。</w:t>
      </w:r>
    </w:p>
    <w:p>
      <w:pPr>
        <w:ind w:firstLine="480"/>
        <w:rPr>
          <w:rFonts w:ascii="Times New Roman" w:hAnsi="Times New Roman" w:cs="Times New Roman"/>
          <w:color w:val="auto"/>
          <w:sz w:val="28"/>
          <w:szCs w:val="28"/>
        </w:rPr>
      </w:pPr>
      <w:r>
        <w:rPr>
          <w:rFonts w:ascii="Times New Roman" w:hAnsi="Times New Roman" w:cs="Times New Roman"/>
          <w:color w:val="auto"/>
          <w:szCs w:val="24"/>
        </w:rPr>
        <w:t>火灾报警控制器采用柜式安装在消防控制室。当现场出现火情时，工作人员按下手动报警按钮发出警报，火灾报警控制器提供声光报警，并与报警点附近的摄像机联锁，使摄像机转到地预置位，摄像机将现场视频上传至安防操作站，提示消防工作人员采取相应措施。同时报警控制器可通过通讯接口将报警信息上传到消防DCS，通过消防监控操作站显示手动报警区域的位置。</w:t>
      </w:r>
    </w:p>
    <w:bookmarkEnd w:id="213"/>
    <w:p>
      <w:pPr>
        <w:ind w:firstLine="482"/>
        <w:rPr>
          <w:rFonts w:ascii="Times New Roman" w:hAnsi="Times New Roman" w:cs="Times New Roman"/>
          <w:b/>
          <w:color w:val="auto"/>
          <w:szCs w:val="24"/>
        </w:rPr>
      </w:pPr>
      <w:bookmarkStart w:id="214" w:name="_Toc92719727"/>
      <w:r>
        <w:rPr>
          <w:rFonts w:ascii="Times New Roman" w:hAnsi="Times New Roman" w:cs="Times New Roman"/>
          <w:b/>
          <w:bCs/>
          <w:color w:val="auto"/>
          <w:szCs w:val="24"/>
        </w:rPr>
        <w:fldChar w:fldCharType="begin"/>
      </w:r>
      <w:r>
        <w:rPr>
          <w:rFonts w:ascii="Times New Roman" w:hAnsi="Times New Roman" w:cs="Times New Roman"/>
          <w:b/>
          <w:bCs/>
          <w:color w:val="auto"/>
          <w:szCs w:val="24"/>
        </w:rPr>
        <w:instrText xml:space="preserve"> = 3 \* GB3 </w:instrText>
      </w:r>
      <w:r>
        <w:rPr>
          <w:rFonts w:ascii="Times New Roman" w:hAnsi="Times New Roman" w:cs="Times New Roman"/>
          <w:b/>
          <w:bCs/>
          <w:color w:val="auto"/>
          <w:szCs w:val="24"/>
        </w:rPr>
        <w:fldChar w:fldCharType="separate"/>
      </w:r>
      <w:r>
        <w:rPr>
          <w:rFonts w:hint="eastAsia" w:ascii="宋体" w:hAnsi="宋体" w:cs="宋体"/>
          <w:b/>
          <w:bCs/>
          <w:color w:val="auto"/>
          <w:szCs w:val="24"/>
        </w:rPr>
        <w:t>③</w:t>
      </w:r>
      <w:r>
        <w:rPr>
          <w:rFonts w:ascii="Times New Roman" w:hAnsi="Times New Roman" w:cs="Times New Roman"/>
          <w:b/>
          <w:bCs/>
          <w:color w:val="auto"/>
          <w:szCs w:val="24"/>
        </w:rPr>
        <w:fldChar w:fldCharType="end"/>
      </w:r>
      <w:r>
        <w:rPr>
          <w:rFonts w:ascii="Times New Roman" w:hAnsi="Times New Roman" w:cs="Times New Roman"/>
          <w:b/>
          <w:color w:val="auto"/>
          <w:szCs w:val="24"/>
        </w:rPr>
        <w:t>周界报警系统</w:t>
      </w:r>
      <w:bookmarkEnd w:id="214"/>
    </w:p>
    <w:p>
      <w:pPr>
        <w:ind w:firstLine="480"/>
        <w:rPr>
          <w:rFonts w:ascii="Times New Roman" w:hAnsi="Times New Roman" w:cs="Times New Roman"/>
          <w:color w:val="auto"/>
          <w:szCs w:val="24"/>
        </w:rPr>
      </w:pPr>
      <w:r>
        <w:rPr>
          <w:rFonts w:ascii="Times New Roman" w:hAnsi="Times New Roman" w:cs="Times New Roman"/>
          <w:color w:val="auto"/>
          <w:szCs w:val="24"/>
        </w:rPr>
        <w:t>为了保障正常的日常生产工作、提高安保人员的工作效率，并根据罐区的地形条件、气象条件等因素，周界报警选用张力式电子围栏系统，该系统由智能张力主机控制键盘、张力主机、控制杆、支撑杆、轴承杆、受力杆、张力线等组成。</w:t>
      </w:r>
    </w:p>
    <w:p>
      <w:pPr>
        <w:ind w:firstLine="480"/>
        <w:rPr>
          <w:rFonts w:ascii="Times New Roman" w:hAnsi="Times New Roman" w:cs="Times New Roman"/>
          <w:color w:val="auto"/>
          <w:sz w:val="28"/>
          <w:szCs w:val="28"/>
        </w:rPr>
      </w:pPr>
      <w:r>
        <w:rPr>
          <w:rFonts w:ascii="Times New Roman" w:hAnsi="Times New Roman" w:cs="Times New Roman"/>
          <w:color w:val="auto"/>
          <w:szCs w:val="24"/>
        </w:rPr>
        <w:t>通过张力主机控制键盘以及前端设备，实现对罐区界区的无死角监控，一旦发生异常，张力主机控制键盘立即显示出该防区所在位置。同时张力主机控制键盘与安防操作站实时通讯，完成集中管理和监测</w:t>
      </w:r>
      <w:r>
        <w:rPr>
          <w:rFonts w:ascii="Times New Roman" w:hAnsi="Times New Roman" w:cs="Times New Roman"/>
          <w:color w:val="auto"/>
          <w:sz w:val="28"/>
          <w:szCs w:val="28"/>
        </w:rPr>
        <w:t>。</w:t>
      </w:r>
    </w:p>
    <w:p>
      <w:pPr>
        <w:ind w:firstLine="482"/>
        <w:rPr>
          <w:rFonts w:ascii="Times New Roman" w:hAnsi="Times New Roman" w:cs="Times New Roman"/>
          <w:b/>
          <w:bCs/>
          <w:color w:val="auto"/>
          <w:szCs w:val="24"/>
        </w:rPr>
      </w:pPr>
      <w:r>
        <w:rPr>
          <w:rFonts w:ascii="Times New Roman" w:hAnsi="Times New Roman" w:cs="Times New Roman"/>
          <w:b/>
          <w:bCs/>
          <w:color w:val="auto"/>
          <w:szCs w:val="24"/>
        </w:rPr>
        <w:fldChar w:fldCharType="begin"/>
      </w:r>
      <w:r>
        <w:rPr>
          <w:rFonts w:ascii="Times New Roman" w:hAnsi="Times New Roman" w:cs="Times New Roman"/>
          <w:b/>
          <w:bCs/>
          <w:color w:val="auto"/>
          <w:szCs w:val="24"/>
        </w:rPr>
        <w:instrText xml:space="preserve"> = 4 \* GB3 </w:instrText>
      </w:r>
      <w:r>
        <w:rPr>
          <w:rFonts w:ascii="Times New Roman" w:hAnsi="Times New Roman" w:cs="Times New Roman"/>
          <w:b/>
          <w:bCs/>
          <w:color w:val="auto"/>
          <w:szCs w:val="24"/>
        </w:rPr>
        <w:fldChar w:fldCharType="separate"/>
      </w:r>
      <w:r>
        <w:rPr>
          <w:rFonts w:hint="eastAsia" w:ascii="宋体" w:hAnsi="宋体" w:cs="宋体"/>
          <w:b/>
          <w:bCs/>
          <w:color w:val="auto"/>
          <w:szCs w:val="24"/>
        </w:rPr>
        <w:t>④</w:t>
      </w:r>
      <w:r>
        <w:rPr>
          <w:rFonts w:ascii="Times New Roman" w:hAnsi="Times New Roman" w:cs="Times New Roman"/>
          <w:b/>
          <w:bCs/>
          <w:color w:val="auto"/>
          <w:szCs w:val="24"/>
        </w:rPr>
        <w:fldChar w:fldCharType="end"/>
      </w:r>
      <w:r>
        <w:rPr>
          <w:rFonts w:ascii="Times New Roman" w:hAnsi="Times New Roman" w:cs="Times New Roman"/>
          <w:b/>
          <w:bCs/>
          <w:color w:val="auto"/>
          <w:szCs w:val="24"/>
        </w:rPr>
        <w:t>消防远程控制系统</w:t>
      </w:r>
    </w:p>
    <w:p>
      <w:pPr>
        <w:ind w:firstLine="480"/>
        <w:rPr>
          <w:rFonts w:ascii="Times New Roman" w:hAnsi="Times New Roman" w:cs="Times New Roman"/>
          <w:color w:val="auto"/>
          <w:szCs w:val="24"/>
        </w:rPr>
      </w:pPr>
      <w:r>
        <w:rPr>
          <w:rFonts w:ascii="Times New Roman" w:hAnsi="Times New Roman" w:cs="Times New Roman"/>
          <w:color w:val="auto"/>
          <w:szCs w:val="24"/>
        </w:rPr>
        <w:t>消防远程控制系统采用远程手动一键启动的程序控制方式，由消防监控操作站、消防DCS控制站、消防DCS I/O站和现场仪表等部分组成。</w:t>
      </w:r>
    </w:p>
    <w:p>
      <w:pPr>
        <w:ind w:firstLine="480"/>
        <w:rPr>
          <w:rFonts w:ascii="Times New Roman" w:hAnsi="Times New Roman" w:cs="Times New Roman"/>
          <w:color w:val="auto"/>
          <w:szCs w:val="24"/>
        </w:rPr>
      </w:pPr>
      <w:r>
        <w:rPr>
          <w:rFonts w:ascii="Times New Roman" w:hAnsi="Times New Roman" w:cs="Times New Roman"/>
          <w:color w:val="auto"/>
          <w:szCs w:val="24"/>
        </w:rPr>
        <w:t>消防监控操作站设置在中心控制室，选用商用计算机，用于显示消防控制流程、仪表参数，监测消防系统的运行，执行控制过程的操作指令，完成数据存储及各种管理报表的查询、打印。</w:t>
      </w:r>
    </w:p>
    <w:p>
      <w:pPr>
        <w:ind w:firstLine="480"/>
        <w:rPr>
          <w:rFonts w:ascii="Times New Roman" w:hAnsi="Times New Roman" w:cs="Times New Roman"/>
          <w:color w:val="auto"/>
          <w:szCs w:val="24"/>
        </w:rPr>
      </w:pPr>
      <w:r>
        <w:rPr>
          <w:rFonts w:ascii="Times New Roman" w:hAnsi="Times New Roman" w:cs="Times New Roman"/>
          <w:color w:val="auto"/>
          <w:szCs w:val="24"/>
        </w:rPr>
        <w:t>消防DCS控制站设置在中心控制室机柜间，由冗余配置控制器、接口模块、过程I/O及功能模块组成，消防DCS I/O站设置在现场机柜间，由冗余配置控制器、接口模块、过程I/O及功能模块组成，消防DCS控制站和消防DCS I/O站用于实时采集现场仪表返回的信号及状态，与火灾报警控制器通讯，并对消防设备和阀门进行程序控制，实现消防远程监控和管理。</w:t>
      </w:r>
    </w:p>
    <w:p>
      <w:pPr>
        <w:ind w:firstLine="480"/>
        <w:rPr>
          <w:rFonts w:ascii="Times New Roman" w:hAnsi="Times New Roman" w:cs="Times New Roman"/>
          <w:color w:val="auto"/>
          <w:szCs w:val="24"/>
        </w:rPr>
      </w:pPr>
      <w:r>
        <w:rPr>
          <w:rFonts w:ascii="Times New Roman" w:hAnsi="Times New Roman" w:cs="Times New Roman"/>
          <w:color w:val="auto"/>
          <w:szCs w:val="24"/>
        </w:rPr>
        <w:t>在每座消防水罐设置单法兰液位变送器，消防值班室设置液位显示二次表，液位显示二次表通讯接入至消防DCS控制站，当系统检测到消防水罐液位过低时可自动联锁启动补水阀门进行补水。</w:t>
      </w:r>
    </w:p>
    <w:p>
      <w:pPr>
        <w:ind w:firstLine="480"/>
        <w:rPr>
          <w:rFonts w:ascii="Times New Roman" w:hAnsi="Times New Roman" w:cs="Times New Roman"/>
          <w:color w:val="auto"/>
          <w:szCs w:val="24"/>
        </w:rPr>
      </w:pPr>
      <w:r>
        <w:rPr>
          <w:rFonts w:ascii="Times New Roman" w:hAnsi="Times New Roman" w:cs="Times New Roman"/>
          <w:color w:val="auto"/>
          <w:szCs w:val="24"/>
        </w:rPr>
        <w:t>消防管线上安装智能开关型电动阀门和压力变送器，消防系统实时检测阀门及管线压力状态，并根据系统指令对阀门和电动消防泵的起停进行控制。</w:t>
      </w:r>
    </w:p>
    <w:p>
      <w:pPr>
        <w:ind w:firstLine="480"/>
        <w:rPr>
          <w:rFonts w:ascii="Times New Roman" w:hAnsi="Times New Roman" w:cs="Times New Roman"/>
          <w:color w:val="auto"/>
          <w:szCs w:val="24"/>
        </w:rPr>
      </w:pPr>
      <w:r>
        <w:rPr>
          <w:rFonts w:ascii="Times New Roman" w:hAnsi="Times New Roman" w:cs="Times New Roman"/>
          <w:color w:val="auto"/>
          <w:szCs w:val="24"/>
        </w:rPr>
        <w:t>当现场出现火情时，工作人员按下手动报警按钮发出警报，火灾报警控制器提供声光报警，并与报警点附近的摄像机联锁，使摄像机转到地预置位，摄像机将现场视频上传至视频监控操作站，提示消防工作人员采取相应措施。同时利用火灾报警控制器通讯接口将报警信息上传到消防DCS控制站，通过消防监控操作站显示手动报警区域的位置，监控界面应设消防确认按钮，控制室的操作人员接收报警信号，火灾确认后，远程手动启动消防控制程序。</w:t>
      </w:r>
    </w:p>
    <w:p>
      <w:pPr>
        <w:ind w:firstLine="480"/>
        <w:rPr>
          <w:rFonts w:ascii="Times New Roman" w:hAnsi="Times New Roman" w:cs="Times New Roman"/>
          <w:color w:val="auto"/>
          <w:szCs w:val="24"/>
        </w:rPr>
      </w:pPr>
      <w:r>
        <w:rPr>
          <w:rFonts w:ascii="Times New Roman" w:hAnsi="Times New Roman" w:cs="Times New Roman"/>
          <w:color w:val="auto"/>
          <w:szCs w:val="24"/>
        </w:rPr>
        <w:t>火灾报警按钮可与视频监控系统联动，数字摄像机具备预置位功能，当某火灾报警按钮被触动后，其临近的摄像机可自动将镜头转向该报警区域。</w:t>
      </w:r>
    </w:p>
    <w:p>
      <w:pPr>
        <w:ind w:firstLine="480"/>
        <w:rPr>
          <w:rFonts w:ascii="Times New Roman" w:hAnsi="Times New Roman" w:cs="Times New Roman"/>
          <w:color w:val="auto"/>
          <w:szCs w:val="24"/>
        </w:rPr>
      </w:pPr>
      <w:r>
        <w:rPr>
          <w:rFonts w:ascii="Times New Roman" w:hAnsi="Times New Roman" w:cs="Times New Roman"/>
          <w:color w:val="auto"/>
          <w:szCs w:val="24"/>
        </w:rPr>
        <w:t>在消防值班室放置一台消防监控终端，供工作人员观察罐区的消防情况并对突发事件采取相应的措施。</w:t>
      </w:r>
    </w:p>
    <w:p>
      <w:pPr>
        <w:ind w:firstLine="480"/>
        <w:rPr>
          <w:rFonts w:ascii="Times New Roman" w:hAnsi="Times New Roman" w:cs="Times New Roman"/>
          <w:color w:val="auto"/>
          <w:sz w:val="22"/>
        </w:rPr>
      </w:pPr>
      <w:r>
        <w:rPr>
          <w:rFonts w:ascii="Times New Roman" w:hAnsi="Times New Roman" w:cs="Times New Roman"/>
          <w:color w:val="auto"/>
          <w:szCs w:val="24"/>
        </w:rPr>
        <w:t>为了确保消防系统可靠执行，在中心控制室还设置手操盘，用于脱离DCS系统和人机界面操控，保证消防机泵和阀门启动工作。</w:t>
      </w:r>
    </w:p>
    <w:p>
      <w:pPr>
        <w:ind w:firstLine="482"/>
        <w:rPr>
          <w:rFonts w:ascii="Times New Roman" w:hAnsi="Times New Roman" w:cs="Times New Roman"/>
          <w:b/>
          <w:bCs/>
          <w:color w:val="auto"/>
          <w:szCs w:val="24"/>
        </w:rPr>
      </w:pPr>
      <w:r>
        <w:rPr>
          <w:rFonts w:ascii="Times New Roman" w:hAnsi="Times New Roman" w:cs="Times New Roman"/>
          <w:b/>
          <w:bCs/>
          <w:color w:val="auto"/>
          <w:szCs w:val="24"/>
        </w:rPr>
        <w:fldChar w:fldCharType="begin"/>
      </w:r>
      <w:r>
        <w:rPr>
          <w:rFonts w:ascii="Times New Roman" w:hAnsi="Times New Roman" w:cs="Times New Roman"/>
          <w:b/>
          <w:bCs/>
          <w:color w:val="auto"/>
          <w:szCs w:val="24"/>
        </w:rPr>
        <w:instrText xml:space="preserve"> = 5 \* GB3 </w:instrText>
      </w:r>
      <w:r>
        <w:rPr>
          <w:rFonts w:ascii="Times New Roman" w:hAnsi="Times New Roman" w:cs="Times New Roman"/>
          <w:b/>
          <w:bCs/>
          <w:color w:val="auto"/>
          <w:szCs w:val="24"/>
        </w:rPr>
        <w:fldChar w:fldCharType="separate"/>
      </w:r>
      <w:r>
        <w:rPr>
          <w:rFonts w:hint="eastAsia" w:ascii="宋体" w:hAnsi="宋体" w:cs="宋体"/>
          <w:b/>
          <w:bCs/>
          <w:color w:val="auto"/>
          <w:szCs w:val="24"/>
        </w:rPr>
        <w:t>⑤</w:t>
      </w:r>
      <w:r>
        <w:rPr>
          <w:rFonts w:ascii="Times New Roman" w:hAnsi="Times New Roman" w:cs="Times New Roman"/>
          <w:b/>
          <w:bCs/>
          <w:color w:val="auto"/>
          <w:szCs w:val="24"/>
        </w:rPr>
        <w:fldChar w:fldCharType="end"/>
      </w:r>
      <w:r>
        <w:rPr>
          <w:rFonts w:ascii="Times New Roman" w:hAnsi="Times New Roman" w:cs="Times New Roman"/>
          <w:b/>
          <w:bCs/>
          <w:color w:val="auto"/>
          <w:szCs w:val="24"/>
        </w:rPr>
        <w:t>气象监测系统</w:t>
      </w:r>
    </w:p>
    <w:p>
      <w:pPr>
        <w:ind w:firstLine="480"/>
        <w:rPr>
          <w:rFonts w:ascii="Times New Roman" w:hAnsi="Times New Roman" w:cs="Times New Roman"/>
          <w:color w:val="auto"/>
          <w:szCs w:val="24"/>
        </w:rPr>
      </w:pPr>
      <w:r>
        <w:rPr>
          <w:rFonts w:ascii="Times New Roman" w:hAnsi="Times New Roman" w:cs="Times New Roman"/>
          <w:color w:val="auto"/>
          <w:szCs w:val="24"/>
        </w:rPr>
        <w:t>根据安监总局下发《危险化学品重大危险源罐区现场安全监控装备设施规范》AQ3036-2010相关要求，建立小型气象监测站。</w:t>
      </w:r>
    </w:p>
    <w:p>
      <w:pPr>
        <w:ind w:firstLine="480"/>
        <w:rPr>
          <w:rFonts w:ascii="Times New Roman" w:hAnsi="Times New Roman" w:cs="Times New Roman"/>
          <w:color w:val="auto"/>
          <w:szCs w:val="24"/>
        </w:rPr>
      </w:pPr>
      <w:r>
        <w:rPr>
          <w:rFonts w:ascii="Times New Roman" w:hAnsi="Times New Roman" w:cs="Times New Roman"/>
          <w:color w:val="auto"/>
          <w:szCs w:val="24"/>
        </w:rPr>
        <w:t>小型气象监测站设置在现场机柜间外，可测量风速、风向、气温、气压等气象数据，同时将气象数据通过标准RS485信号传输至控制室串口服务器，实现集中管理和监测。</w:t>
      </w:r>
    </w:p>
    <w:p>
      <w:pPr>
        <w:pStyle w:val="3"/>
        <w:numPr>
          <w:ilvl w:val="0"/>
          <w:numId w:val="0"/>
        </w:numPr>
        <w:rPr>
          <w:rFonts w:ascii="Times New Roman" w:hAnsi="Times New Roman" w:cs="Times New Roman"/>
          <w:color w:val="auto"/>
        </w:rPr>
      </w:pPr>
      <w:bookmarkStart w:id="215" w:name="_Toc104733342"/>
      <w:r>
        <w:rPr>
          <w:rFonts w:ascii="Times New Roman" w:hAnsi="Times New Roman" w:cs="Times New Roman"/>
          <w:color w:val="auto"/>
        </w:rPr>
        <w:t>3.8辅助设施</w:t>
      </w:r>
      <w:bookmarkEnd w:id="215"/>
    </w:p>
    <w:p>
      <w:pPr>
        <w:ind w:firstLine="482"/>
        <w:rPr>
          <w:rFonts w:ascii="Times New Roman" w:hAnsi="Times New Roman" w:cs="Times New Roman"/>
          <w:b/>
          <w:bCs/>
          <w:szCs w:val="24"/>
        </w:rPr>
      </w:pPr>
      <w:r>
        <w:rPr>
          <w:rFonts w:ascii="Times New Roman" w:hAnsi="Times New Roman" w:cs="Times New Roman"/>
          <w:b/>
          <w:bCs/>
          <w:szCs w:val="24"/>
        </w:rPr>
        <w:t>（1）综合楼</w:t>
      </w:r>
    </w:p>
    <w:p>
      <w:pPr>
        <w:ind w:firstLine="480"/>
        <w:rPr>
          <w:rFonts w:ascii="Times New Roman" w:hAnsi="Times New Roman" w:cs="Times New Roman"/>
          <w:sz w:val="22"/>
        </w:rPr>
      </w:pPr>
      <w:r>
        <w:rPr>
          <w:rFonts w:ascii="Times New Roman" w:hAnsi="Times New Roman" w:cs="Times New Roman"/>
          <w:szCs w:val="24"/>
        </w:rPr>
        <w:t>总建筑面积14722.80m²，其中地下室建筑面积2380.74m²，地上建筑面积12342.06m²，层数为6层（含地下一层），建筑总高度为24.35m；根据功能设置</w:t>
      </w:r>
      <w:r>
        <w:rPr>
          <w:rFonts w:ascii="Times New Roman" w:hAnsi="Times New Roman" w:cs="Times New Roman"/>
          <w:szCs w:val="24"/>
          <w:lang w:val="zh-CN"/>
        </w:rPr>
        <w:t>地下车库、生活泵房、排烟机房、弱电机房、办公室、会议室、宿舍、消防控制室、活动室、中心控制室、机柜间、档案室、厨房、餐厅、卫生间、</w:t>
      </w:r>
      <w:r>
        <w:rPr>
          <w:rFonts w:ascii="Times New Roman" w:hAnsi="Times New Roman" w:cs="Times New Roman"/>
          <w:szCs w:val="24"/>
        </w:rPr>
        <w:t>楼梯间、电梯</w:t>
      </w:r>
      <w:r>
        <w:rPr>
          <w:rFonts w:ascii="Times New Roman" w:hAnsi="Times New Roman" w:cs="Times New Roman"/>
          <w:szCs w:val="24"/>
          <w:lang w:val="zh-CN"/>
        </w:rPr>
        <w:t>等功能开间</w:t>
      </w:r>
      <w:r>
        <w:rPr>
          <w:rFonts w:ascii="Times New Roman" w:hAnsi="Times New Roman" w:cs="Times New Roman"/>
          <w:szCs w:val="24"/>
        </w:rPr>
        <w:t>；本建筑结构形式采用框架结构。</w:t>
      </w:r>
    </w:p>
    <w:p>
      <w:pPr>
        <w:ind w:firstLine="482"/>
        <w:rPr>
          <w:rFonts w:ascii="Times New Roman" w:hAnsi="Times New Roman" w:cs="Times New Roman"/>
          <w:b/>
          <w:bCs/>
          <w:szCs w:val="24"/>
        </w:rPr>
      </w:pPr>
      <w:r>
        <w:rPr>
          <w:rFonts w:ascii="Times New Roman" w:hAnsi="Times New Roman" w:cs="Times New Roman"/>
          <w:b/>
          <w:bCs/>
          <w:szCs w:val="24"/>
        </w:rPr>
        <w:t>（2）化验室</w:t>
      </w:r>
    </w:p>
    <w:p>
      <w:pPr>
        <w:ind w:firstLine="480"/>
        <w:rPr>
          <w:rFonts w:ascii="Times New Roman" w:hAnsi="Times New Roman" w:cs="Times New Roman"/>
          <w:szCs w:val="24"/>
        </w:rPr>
      </w:pPr>
      <w:r>
        <w:rPr>
          <w:rFonts w:ascii="Times New Roman" w:hAnsi="Times New Roman" w:cs="Times New Roman"/>
          <w:szCs w:val="24"/>
        </w:rPr>
        <w:t>化验室位于后方陆域，为2F独立建筑，主要从事油品及化学品的质检工作。建筑面积:1385.94m²，层数为2层，建筑总高度为8.750m；一层内设、配电间、器材室、分析室、储藏间、高温室、门卫室、办公室、卫生间等功能房间；二层内分析室、高温室、洗涤间、办公室、会议室、卫生间等功能房间；建筑结构形式采用框架结构。</w:t>
      </w:r>
    </w:p>
    <w:p>
      <w:pPr>
        <w:ind w:firstLine="480"/>
        <w:rPr>
          <w:rFonts w:ascii="Times New Roman" w:hAnsi="Times New Roman" w:cs="Times New Roman"/>
          <w:szCs w:val="24"/>
        </w:rPr>
      </w:pPr>
      <w:r>
        <w:rPr>
          <w:rFonts w:ascii="Times New Roman" w:hAnsi="Times New Roman" w:cs="Times New Roman"/>
          <w:szCs w:val="24"/>
        </w:rPr>
        <w:t>化验室的检测工作在分析室内的通风橱内进行，检测废气经通风橱排放进入二级活性炭吸附装置处理后经所在建筑顶部15m高（DA004）排气筒排放。</w:t>
      </w:r>
    </w:p>
    <w:p>
      <w:pPr>
        <w:ind w:firstLine="480"/>
        <w:rPr>
          <w:rFonts w:ascii="Times New Roman" w:hAnsi="Times New Roman" w:cs="Times New Roman"/>
          <w:szCs w:val="24"/>
        </w:rPr>
      </w:pPr>
      <w:r>
        <w:rPr>
          <w:rFonts w:ascii="Times New Roman" w:hAnsi="Times New Roman" w:cs="Times New Roman"/>
          <w:szCs w:val="24"/>
        </w:rPr>
        <w:t>化验室内产生的化验废水（检测废液及设备清洗废水）经收集暂存后，交有资质单位进行处置。</w:t>
      </w:r>
    </w:p>
    <w:p>
      <w:pPr>
        <w:adjustRightInd/>
        <w:snapToGrid/>
        <w:ind w:firstLine="482"/>
        <w:rPr>
          <w:rFonts w:ascii="Times New Roman" w:hAnsi="Times New Roman" w:cs="Times New Roman"/>
          <w:b/>
          <w:bCs/>
          <w:color w:val="auto"/>
          <w:szCs w:val="24"/>
        </w:rPr>
      </w:pPr>
      <w:r>
        <w:rPr>
          <w:rFonts w:ascii="Times New Roman" w:hAnsi="Times New Roman" w:cs="Times New Roman"/>
          <w:b/>
          <w:bCs/>
          <w:color w:val="auto"/>
          <w:szCs w:val="24"/>
        </w:rPr>
        <w:t>（3）营业室</w:t>
      </w:r>
    </w:p>
    <w:p>
      <w:pPr>
        <w:adjustRightInd/>
        <w:snapToGrid/>
        <w:ind w:firstLine="480"/>
        <w:rPr>
          <w:rFonts w:ascii="Times New Roman" w:hAnsi="Times New Roman" w:cs="Times New Roman"/>
          <w:color w:val="auto"/>
          <w:szCs w:val="24"/>
        </w:rPr>
      </w:pPr>
      <w:r>
        <w:rPr>
          <w:rFonts w:ascii="Times New Roman" w:hAnsi="Times New Roman" w:cs="Times New Roman"/>
          <w:color w:val="auto"/>
          <w:szCs w:val="24"/>
        </w:rPr>
        <w:t>建筑面积221.85m²，层数为1层，建筑总高度为5.150m；一层内设营业厅/司机休息室、办公室、值班室、配电间室、储藏间、门卫室、卫生间等功能房间；本建筑结构形式采用框架结构。</w:t>
      </w:r>
    </w:p>
    <w:p>
      <w:pPr>
        <w:adjustRightInd/>
        <w:snapToGrid/>
        <w:ind w:firstLine="482"/>
        <w:rPr>
          <w:rFonts w:ascii="Times New Roman" w:hAnsi="Times New Roman" w:cs="Times New Roman"/>
          <w:b/>
          <w:bCs/>
          <w:color w:val="auto"/>
          <w:szCs w:val="24"/>
        </w:rPr>
      </w:pPr>
      <w:r>
        <w:rPr>
          <w:rFonts w:ascii="Times New Roman" w:hAnsi="Times New Roman" w:cs="Times New Roman"/>
          <w:b/>
          <w:bCs/>
          <w:color w:val="auto"/>
          <w:szCs w:val="24"/>
        </w:rPr>
        <w:t>（4）消防泵房及变配电间</w:t>
      </w:r>
    </w:p>
    <w:p>
      <w:pPr>
        <w:adjustRightInd/>
        <w:snapToGrid/>
        <w:ind w:firstLine="480"/>
        <w:rPr>
          <w:rFonts w:ascii="Times New Roman" w:hAnsi="Times New Roman" w:cs="Times New Roman"/>
          <w:color w:val="auto"/>
          <w:szCs w:val="24"/>
        </w:rPr>
      </w:pPr>
      <w:r>
        <w:rPr>
          <w:rFonts w:ascii="Times New Roman" w:hAnsi="Times New Roman" w:cs="Times New Roman"/>
          <w:color w:val="auto"/>
          <w:szCs w:val="24"/>
        </w:rPr>
        <w:t>建筑面积580.86m²，层数为1层，建筑总高度6.050m，内部设有消防泵房、变配电间、库房、换热站、值班室、卫生间；结构形式采用框架结构。</w:t>
      </w:r>
    </w:p>
    <w:p>
      <w:pPr>
        <w:adjustRightInd/>
        <w:snapToGrid/>
        <w:ind w:firstLine="480"/>
        <w:rPr>
          <w:rFonts w:ascii="Times New Roman" w:hAnsi="Times New Roman" w:cs="Times New Roman"/>
          <w:color w:val="auto"/>
          <w:szCs w:val="24"/>
        </w:rPr>
      </w:pPr>
      <w:r>
        <w:rPr>
          <w:rFonts w:ascii="Times New Roman" w:hAnsi="Times New Roman" w:cs="Times New Roman"/>
          <w:color w:val="auto"/>
          <w:szCs w:val="24"/>
        </w:rPr>
        <w:t>消防泵房内设2台消防水泵，一用一备，一台电动消防水泵（主用），一台柴油机消防水泵（备用）。电动消防冷却水泵供水能力Q=140L/s，H=120m，电动机功率315kw；柴油机消防冷却水泵供水能力Q=140L/s，H=120m，柴油机功率353kw。消防泵房内设2台电动喷淋水泵（办公楼用），一用一备，电动喷淋水泵供水能力Q=30L/s，H=45m，电动机功率37kw。</w:t>
      </w:r>
    </w:p>
    <w:p>
      <w:pPr>
        <w:adjustRightInd/>
        <w:snapToGrid/>
        <w:ind w:firstLine="480"/>
        <w:rPr>
          <w:rFonts w:ascii="Times New Roman" w:hAnsi="Times New Roman" w:cs="Times New Roman"/>
          <w:color w:val="auto"/>
          <w:szCs w:val="24"/>
        </w:rPr>
      </w:pPr>
      <w:r>
        <w:rPr>
          <w:rFonts w:ascii="Times New Roman" w:hAnsi="Times New Roman" w:cs="Times New Roman"/>
          <w:color w:val="auto"/>
          <w:szCs w:val="24"/>
        </w:rPr>
        <w:t>变配电间与消防泵房合建，为消防泵房、化验室、营业室、公路油气回收、2#泵棚及配电间、3#泵棚及配电间、办公楼提供电源。变配电间内设13台KYN28-12型高压柜、2台800kVA干式变压器、14台GCS型低压配电柜（其中2台进线柜、1台母联柜，2台低压无功补偿柜，9台馈电柜）、3台直流屏、EPS及电池柜，低压配电柜采用面对面布置，800kVA干式变压器与低压配电柜并列安装。</w:t>
      </w:r>
    </w:p>
    <w:p>
      <w:pPr>
        <w:adjustRightInd/>
        <w:snapToGrid/>
        <w:ind w:firstLine="482"/>
        <w:rPr>
          <w:rFonts w:ascii="Times New Roman" w:hAnsi="Times New Roman" w:cs="Times New Roman"/>
          <w:b/>
          <w:bCs/>
          <w:color w:val="auto"/>
          <w:szCs w:val="24"/>
        </w:rPr>
      </w:pPr>
      <w:r>
        <w:rPr>
          <w:rFonts w:ascii="Times New Roman" w:hAnsi="Times New Roman" w:cs="Times New Roman"/>
          <w:b/>
          <w:bCs/>
          <w:color w:val="auto"/>
          <w:szCs w:val="24"/>
        </w:rPr>
        <w:t>（5）制氮机间</w:t>
      </w:r>
    </w:p>
    <w:p>
      <w:pPr>
        <w:spacing w:line="336" w:lineRule="auto"/>
        <w:ind w:left="1" w:firstLine="480"/>
        <w:rPr>
          <w:rFonts w:ascii="Times New Roman" w:hAnsi="Times New Roman" w:cs="Times New Roman"/>
          <w:color w:val="auto"/>
          <w:szCs w:val="20"/>
          <w:lang w:val="zh-CN"/>
        </w:rPr>
      </w:pPr>
      <w:r>
        <w:rPr>
          <w:rFonts w:ascii="Times New Roman" w:hAnsi="Times New Roman" w:cs="Times New Roman"/>
          <w:color w:val="auto"/>
          <w:szCs w:val="24"/>
        </w:rPr>
        <w:t>建筑面积为109.89 m²，层数为1层，建筑总高度6.05m，结构形式采用框架结构。制氮机采用PSA制氮机，PSA制氮装置，是一种新型的空气分离的高新技术设备，以压缩空气为原料，碳分子筛为吸附剂，采用变压吸附流程制取氮气。PSA制氮机利用空气中的氧和氮在碳分子筛表面的吸附量的差异及氧和氮在碳分子筛中的扩散速率不同,通过可编程序控制器控制气动阀的启闭，实现加压吸附、减压脱附的过程，完成氧、氮分离，得到所需纯度氮气。</w:t>
      </w:r>
      <w:r>
        <w:rPr>
          <w:rFonts w:ascii="Times New Roman" w:hAnsi="Times New Roman" w:cs="Times New Roman"/>
          <w:color w:val="auto"/>
          <w:szCs w:val="20"/>
          <w:lang w:val="zh-CN"/>
        </w:rPr>
        <w:t>选择1套1000Nm</w:t>
      </w:r>
      <w:r>
        <w:rPr>
          <w:rFonts w:ascii="Times New Roman" w:hAnsi="Times New Roman" w:cs="Times New Roman"/>
          <w:color w:val="auto"/>
          <w:szCs w:val="20"/>
          <w:vertAlign w:val="superscript"/>
          <w:lang w:val="zh-CN"/>
        </w:rPr>
        <w:t>3</w:t>
      </w:r>
      <w:r>
        <w:rPr>
          <w:rFonts w:ascii="Times New Roman" w:hAnsi="Times New Roman" w:cs="Times New Roman"/>
          <w:color w:val="auto"/>
          <w:szCs w:val="20"/>
          <w:lang w:val="zh-CN"/>
        </w:rPr>
        <w:t>/h制氮机组。用一台50m</w:t>
      </w:r>
      <w:r>
        <w:rPr>
          <w:rFonts w:ascii="Times New Roman" w:hAnsi="Times New Roman" w:cs="Times New Roman"/>
          <w:color w:val="auto"/>
          <w:szCs w:val="20"/>
          <w:vertAlign w:val="superscript"/>
          <w:lang w:val="zh-CN"/>
        </w:rPr>
        <w:t>3</w:t>
      </w:r>
      <w:r>
        <w:rPr>
          <w:rFonts w:ascii="Times New Roman" w:hAnsi="Times New Roman" w:cs="Times New Roman"/>
          <w:color w:val="auto"/>
          <w:szCs w:val="20"/>
          <w:lang w:val="zh-CN"/>
        </w:rPr>
        <w:t>液氮储罐作为备用氮气气源。</w:t>
      </w:r>
    </w:p>
    <w:p>
      <w:pPr>
        <w:adjustRightInd/>
        <w:snapToGrid/>
        <w:ind w:firstLine="482"/>
        <w:rPr>
          <w:rFonts w:ascii="Times New Roman" w:hAnsi="Times New Roman" w:cs="Times New Roman"/>
          <w:b/>
          <w:bCs/>
          <w:color w:val="auto"/>
          <w:szCs w:val="24"/>
        </w:rPr>
      </w:pPr>
      <w:r>
        <w:rPr>
          <w:rFonts w:ascii="Times New Roman" w:hAnsi="Times New Roman" w:cs="Times New Roman"/>
          <w:b/>
          <w:bCs/>
          <w:color w:val="auto"/>
          <w:szCs w:val="24"/>
        </w:rPr>
        <w:t>（6）应急物资库房</w:t>
      </w:r>
    </w:p>
    <w:p>
      <w:pPr>
        <w:adjustRightInd/>
        <w:snapToGrid/>
        <w:ind w:firstLine="480"/>
        <w:rPr>
          <w:rFonts w:ascii="Times New Roman" w:hAnsi="Times New Roman" w:cs="Times New Roman"/>
          <w:color w:val="auto"/>
          <w:szCs w:val="24"/>
        </w:rPr>
      </w:pPr>
      <w:r>
        <w:rPr>
          <w:rFonts w:ascii="Times New Roman" w:hAnsi="Times New Roman" w:cs="Times New Roman"/>
          <w:color w:val="auto"/>
          <w:szCs w:val="24"/>
        </w:rPr>
        <w:t>根据《港口码头水上污染事故应急防备能力要求》（JT/T 451-2017），本项目需设置水上污染事故应急物资储备库房，为独立建筑，建筑面积211.41m²，层数为1层，建筑总高度5.150m，内部设有应急物资库房；结构形式采用框架结构。</w:t>
      </w:r>
    </w:p>
    <w:p>
      <w:pPr>
        <w:pStyle w:val="3"/>
        <w:numPr>
          <w:ilvl w:val="0"/>
          <w:numId w:val="0"/>
        </w:numPr>
        <w:rPr>
          <w:rFonts w:ascii="Times New Roman" w:hAnsi="Times New Roman" w:cs="Times New Roman"/>
          <w:color w:val="auto"/>
        </w:rPr>
      </w:pPr>
      <w:bookmarkStart w:id="216" w:name="_Toc102984308"/>
      <w:bookmarkStart w:id="217" w:name="_Toc104733343"/>
      <w:r>
        <w:rPr>
          <w:rFonts w:ascii="Times New Roman" w:hAnsi="Times New Roman" w:cs="Times New Roman"/>
          <w:color w:val="auto"/>
        </w:rPr>
        <w:t>3.9油气回收</w:t>
      </w:r>
      <w:bookmarkEnd w:id="216"/>
      <w:bookmarkEnd w:id="217"/>
    </w:p>
    <w:p>
      <w:pPr>
        <w:ind w:firstLine="480"/>
        <w:rPr>
          <w:rFonts w:ascii="Times New Roman" w:hAnsi="Times New Roman" w:cs="Times New Roman"/>
          <w:color w:val="auto"/>
        </w:rPr>
      </w:pPr>
      <w:r>
        <w:rPr>
          <w:rFonts w:ascii="Times New Roman" w:hAnsi="Times New Roman" w:cs="Times New Roman"/>
          <w:color w:val="auto"/>
        </w:rPr>
        <w:t>为保护环境、节能减排、保障码头安全，</w:t>
      </w:r>
      <w:r>
        <w:rPr>
          <w:rFonts w:ascii="Times New Roman" w:hAnsi="Times New Roman" w:cs="Times New Roman"/>
          <w:b/>
          <w:bCs/>
          <w:color w:val="auto"/>
        </w:rPr>
        <w:t>本工程需对装船及装车过程中汽油、航空煤油及乙醇</w:t>
      </w:r>
      <w:r>
        <w:rPr>
          <w:rFonts w:ascii="Times New Roman" w:hAnsi="Times New Roman" w:cs="Times New Roman"/>
          <w:color w:val="auto"/>
        </w:rPr>
        <w:t>产生的挥发气体进行回收。码头油气回收系统共分两部分，分别为</w:t>
      </w:r>
      <w:r>
        <w:rPr>
          <w:rFonts w:ascii="Times New Roman" w:hAnsi="Times New Roman" w:cs="Times New Roman"/>
          <w:color w:val="auto"/>
          <w:szCs w:val="24"/>
        </w:rPr>
        <w:t>船岸界面安全装置</w:t>
      </w:r>
      <w:r>
        <w:rPr>
          <w:rFonts w:ascii="Times New Roman" w:hAnsi="Times New Roman" w:cs="Times New Roman"/>
          <w:color w:val="auto"/>
        </w:rPr>
        <w:t>和油气回收装置。</w:t>
      </w:r>
    </w:p>
    <w:p>
      <w:pPr>
        <w:ind w:firstLine="480"/>
        <w:rPr>
          <w:rFonts w:ascii="Times New Roman" w:hAnsi="Times New Roman" w:cs="Times New Roman"/>
          <w:color w:val="auto"/>
        </w:rPr>
      </w:pPr>
      <w:bookmarkStart w:id="218" w:name="_Toc102984309"/>
      <w:r>
        <w:rPr>
          <w:rFonts w:ascii="Times New Roman" w:hAnsi="Times New Roman" w:cs="Times New Roman"/>
          <w:color w:val="auto"/>
        </w:rPr>
        <w:t>1、平面布置</w:t>
      </w:r>
      <w:bookmarkEnd w:id="218"/>
    </w:p>
    <w:p>
      <w:pPr>
        <w:ind w:firstLine="480"/>
        <w:rPr>
          <w:rFonts w:ascii="Times New Roman" w:hAnsi="Times New Roman" w:cs="Times New Roman"/>
          <w:color w:val="auto"/>
        </w:rPr>
      </w:pPr>
      <w:r>
        <w:rPr>
          <w:rFonts w:ascii="Times New Roman" w:hAnsi="Times New Roman" w:cs="Times New Roman"/>
          <w:color w:val="auto"/>
        </w:rPr>
        <w:t>将码头及汽车装车平台的</w:t>
      </w:r>
      <w:r>
        <w:rPr>
          <w:rFonts w:ascii="Times New Roman" w:hAnsi="Times New Roman" w:cs="Times New Roman"/>
          <w:b/>
          <w:bCs/>
          <w:color w:val="auto"/>
        </w:rPr>
        <w:t>汽油、航空煤油及乙醇</w:t>
      </w:r>
      <w:r>
        <w:rPr>
          <w:rFonts w:ascii="Times New Roman" w:hAnsi="Times New Roman" w:cs="Times New Roman"/>
          <w:color w:val="auto"/>
        </w:rPr>
        <w:t>气相管线接入油气回收装置，气相管线通过软管与船舶及汽车罐车的气相接口相连。</w:t>
      </w:r>
    </w:p>
    <w:p>
      <w:pPr>
        <w:ind w:firstLine="480"/>
        <w:rPr>
          <w:rFonts w:ascii="Times New Roman" w:hAnsi="Times New Roman" w:cs="Times New Roman"/>
          <w:color w:val="auto"/>
        </w:rPr>
      </w:pPr>
      <w:r>
        <w:rPr>
          <w:rFonts w:ascii="Times New Roman" w:hAnsi="Times New Roman" w:cs="Times New Roman"/>
          <w:color w:val="auto"/>
        </w:rPr>
        <w:t>泊位软管后侧设置1套DN200的船岸安全界面系统，用于监测装船过程中回收油气的压力、温度、氧含量、流量等数据，并对超出值做出反应，包括直接切断和调整油气输送，保护船舶和码头、罐区的工艺系统安全。</w:t>
      </w:r>
    </w:p>
    <w:p>
      <w:pPr>
        <w:ind w:firstLine="480"/>
        <w:rPr>
          <w:rFonts w:ascii="Times New Roman" w:hAnsi="Times New Roman" w:cs="Times New Roman"/>
          <w:color w:val="auto"/>
        </w:rPr>
      </w:pPr>
      <w:r>
        <w:rPr>
          <w:rFonts w:ascii="Times New Roman" w:hAnsi="Times New Roman" w:cs="Times New Roman"/>
          <w:color w:val="auto"/>
        </w:rPr>
        <w:t>本工程在陆域罐区设置2套油气回收装置，一套用于处理码头发汽油产生的汽油油气，另一套用于处理公路发汽油</w:t>
      </w:r>
      <w:r>
        <w:rPr>
          <w:rFonts w:hint="eastAsia" w:ascii="Times New Roman" w:hAnsi="Times New Roman" w:cs="Times New Roman"/>
          <w:color w:val="auto"/>
        </w:rPr>
        <w:t>、</w:t>
      </w:r>
      <w:r>
        <w:rPr>
          <w:rFonts w:ascii="Times New Roman" w:hAnsi="Times New Roman" w:cs="Times New Roman"/>
          <w:color w:val="auto"/>
        </w:rPr>
        <w:t>航煤</w:t>
      </w:r>
      <w:r>
        <w:rPr>
          <w:rFonts w:hint="eastAsia" w:ascii="Times New Roman" w:hAnsi="Times New Roman" w:cs="Times New Roman"/>
          <w:color w:val="auto"/>
        </w:rPr>
        <w:t>及乙醇</w:t>
      </w:r>
      <w:r>
        <w:rPr>
          <w:rFonts w:ascii="Times New Roman" w:hAnsi="Times New Roman" w:cs="Times New Roman"/>
          <w:color w:val="auto"/>
        </w:rPr>
        <w:t>产生的油气。</w:t>
      </w:r>
    </w:p>
    <w:p>
      <w:pPr>
        <w:ind w:firstLine="480"/>
        <w:rPr>
          <w:rFonts w:ascii="Times New Roman" w:hAnsi="Times New Roman" w:cs="Times New Roman"/>
          <w:color w:val="auto"/>
        </w:rPr>
      </w:pPr>
      <w:r>
        <w:rPr>
          <w:rFonts w:ascii="Times New Roman" w:hAnsi="Times New Roman" w:cs="Times New Roman"/>
          <w:color w:val="auto"/>
        </w:rPr>
        <w:t>（1）油气回收处理规模</w:t>
      </w:r>
    </w:p>
    <w:p>
      <w:pPr>
        <w:ind w:firstLine="480"/>
        <w:rPr>
          <w:rFonts w:ascii="Times New Roman" w:hAnsi="Times New Roman" w:cs="Times New Roman"/>
          <w:color w:val="auto"/>
        </w:rPr>
      </w:pPr>
      <w:r>
        <w:rPr>
          <w:rFonts w:ascii="Times New Roman" w:hAnsi="Times New Roman" w:cs="Times New Roman"/>
          <w:color w:val="auto"/>
        </w:rPr>
        <w:t>油气回收设施的规模宜为最大装车体积流量的1.25倍。油气产生于汽油装油过程中体积置换量和少量的挥发油气；密闭微正压装油过程中装油量和产生油气量的比约为1：1. 1（V/V）左右。</w:t>
      </w:r>
    </w:p>
    <w:p>
      <w:pPr>
        <w:ind w:firstLine="480"/>
        <w:rPr>
          <w:rFonts w:ascii="Times New Roman" w:hAnsi="Times New Roman" w:cs="Times New Roman"/>
          <w:color w:val="auto"/>
        </w:rPr>
      </w:pPr>
      <w:r>
        <w:rPr>
          <w:rFonts w:ascii="Times New Roman" w:hAnsi="Times New Roman" w:cs="Times New Roman"/>
          <w:color w:val="auto"/>
        </w:rPr>
        <w:t xml:space="preserve"> 码头装船用油气回收装置</w:t>
      </w:r>
    </w:p>
    <w:p>
      <w:pPr>
        <w:ind w:firstLine="480"/>
        <w:rPr>
          <w:rFonts w:ascii="Times New Roman" w:hAnsi="Times New Roman" w:cs="Times New Roman"/>
          <w:color w:val="auto"/>
        </w:rPr>
      </w:pPr>
      <w:r>
        <w:rPr>
          <w:rFonts w:ascii="Times New Roman" w:hAnsi="Times New Roman" w:cs="Times New Roman"/>
          <w:color w:val="auto"/>
        </w:rPr>
        <w:t>装船泵流量200m³/h，产生油气量为220Nm³/h，选用</w:t>
      </w:r>
      <w:r>
        <w:rPr>
          <w:rFonts w:hint="eastAsia" w:ascii="Times New Roman" w:hAnsi="Times New Roman" w:cs="Times New Roman"/>
          <w:color w:val="auto"/>
        </w:rPr>
        <w:t>1套</w:t>
      </w:r>
      <w:r>
        <w:rPr>
          <w:rFonts w:ascii="Times New Roman" w:hAnsi="Times New Roman" w:cs="Times New Roman"/>
          <w:color w:val="auto"/>
        </w:rPr>
        <w:t>处理能力250m³/h的</w:t>
      </w:r>
      <w:r>
        <w:rPr>
          <w:rFonts w:hint="eastAsia" w:ascii="Times New Roman" w:hAnsi="Times New Roman" w:cs="Times New Roman"/>
          <w:color w:val="auto"/>
        </w:rPr>
        <w:t>2</w:t>
      </w:r>
      <w:r>
        <w:rPr>
          <w:rFonts w:ascii="Times New Roman" w:hAnsi="Times New Roman" w:cs="Times New Roman"/>
          <w:color w:val="auto"/>
        </w:rPr>
        <w:t>00</w:t>
      </w:r>
      <w:r>
        <w:rPr>
          <w:rFonts w:hint="eastAsia" w:ascii="Times New Roman" w:hAnsi="Times New Roman" w:cs="Times New Roman"/>
          <w:color w:val="auto"/>
        </w:rPr>
        <w:t>型</w:t>
      </w:r>
      <w:r>
        <w:rPr>
          <w:rFonts w:ascii="Times New Roman" w:hAnsi="Times New Roman" w:cs="Times New Roman"/>
          <w:color w:val="auto"/>
        </w:rPr>
        <w:t>油气回收装置满足汽油装船油气回收的需求。</w:t>
      </w:r>
    </w:p>
    <w:p>
      <w:pPr>
        <w:ind w:firstLine="480"/>
        <w:rPr>
          <w:rFonts w:ascii="Times New Roman" w:hAnsi="Times New Roman" w:cs="Times New Roman"/>
          <w:color w:val="auto"/>
        </w:rPr>
      </w:pPr>
      <w:r>
        <w:rPr>
          <w:rFonts w:ascii="Times New Roman" w:hAnsi="Times New Roman" w:cs="Times New Roman"/>
          <w:color w:val="auto"/>
        </w:rPr>
        <w:t xml:space="preserve"> 公路装车用油气回收装置</w:t>
      </w:r>
    </w:p>
    <w:p>
      <w:pPr>
        <w:ind w:firstLine="480"/>
        <w:rPr>
          <w:rFonts w:ascii="Times New Roman" w:hAnsi="Times New Roman" w:cs="Times New Roman"/>
          <w:color w:val="auto"/>
        </w:rPr>
      </w:pPr>
      <w:r>
        <w:rPr>
          <w:rFonts w:ascii="Times New Roman" w:hAnsi="Times New Roman" w:cs="Times New Roman"/>
          <w:color w:val="auto"/>
        </w:rPr>
        <w:t>公路装车共设置9套汽油鹤管，预留2套汽油鹤管、1套航煤鹤管；汽油单鹤管装车流量为111m³/h（含乙醇调合），产生油气量为122Nm³/h，航煤单鹤管装车流量为100m³/h，产生油气量为110Nm³/h，考虑同时工作系数0.6，（9+2）*122*0.6+110*0.6=871Nm³/h，选用</w:t>
      </w:r>
      <w:r>
        <w:rPr>
          <w:rFonts w:hint="eastAsia" w:ascii="Times New Roman" w:hAnsi="Times New Roman" w:cs="Times New Roman"/>
          <w:color w:val="auto"/>
        </w:rPr>
        <w:t>1套</w:t>
      </w:r>
      <w:r>
        <w:rPr>
          <w:rFonts w:ascii="Times New Roman" w:hAnsi="Times New Roman" w:cs="Times New Roman"/>
          <w:color w:val="auto"/>
        </w:rPr>
        <w:t>处理能力880m³/h的800型汽油油气回收装置满足汽油装车油气</w:t>
      </w:r>
      <w:r>
        <w:rPr>
          <w:rFonts w:hint="eastAsia" w:ascii="Times New Roman" w:hAnsi="Times New Roman" w:cs="Times New Roman"/>
          <w:color w:val="auto"/>
        </w:rPr>
        <w:t>、航煤及乙醇的</w:t>
      </w:r>
      <w:r>
        <w:rPr>
          <w:rFonts w:ascii="Times New Roman" w:hAnsi="Times New Roman" w:cs="Times New Roman"/>
          <w:color w:val="auto"/>
        </w:rPr>
        <w:t>回收需求。</w:t>
      </w:r>
    </w:p>
    <w:p>
      <w:pPr>
        <w:ind w:firstLine="482"/>
        <w:rPr>
          <w:rFonts w:ascii="Times New Roman" w:hAnsi="Times New Roman" w:cs="Times New Roman"/>
          <w:b/>
          <w:color w:val="auto"/>
          <w:szCs w:val="24"/>
        </w:rPr>
      </w:pPr>
      <w:r>
        <w:rPr>
          <w:rFonts w:ascii="Times New Roman" w:hAnsi="Times New Roman" w:cs="Times New Roman"/>
          <w:b/>
          <w:color w:val="auto"/>
          <w:szCs w:val="24"/>
        </w:rPr>
        <w:t xml:space="preserve">2、船岸界面安全装置 </w:t>
      </w:r>
    </w:p>
    <w:p>
      <w:pPr>
        <w:ind w:firstLine="480"/>
        <w:rPr>
          <w:rFonts w:ascii="Times New Roman" w:hAnsi="Times New Roman" w:cs="Times New Roman"/>
          <w:color w:val="auto"/>
        </w:rPr>
      </w:pPr>
      <w:r>
        <w:rPr>
          <w:rFonts w:ascii="Times New Roman" w:hAnsi="Times New Roman" w:cs="Times New Roman"/>
          <w:color w:val="auto"/>
        </w:rPr>
        <w:t>船岸界面安全装置为整个油气回收系统的一个组成部分，其控制应与该系统内其它装置协同作业。根据《码头油气回收船岸安全装置》（JT/T-1333-2020）为保护船舶、码头和油气回收装置安全,设于油气收集装置和油气输送装置之间的装置，一般由管道、手动切断阀、止回装置、惰化调节阀、压力传感器、高速透气/真空阀或压力/真空释放阀、电动卸载阀、电动切断阀、气液分离器、氧含量传感器、阻爆轰型阻火器、气体流量计、防爆控制箱、控制系统等构成。</w:t>
      </w:r>
    </w:p>
    <w:p>
      <w:pPr>
        <w:ind w:firstLine="141" w:firstLineChars="59"/>
        <w:rPr>
          <w:rFonts w:ascii="Times New Roman" w:hAnsi="Times New Roman" w:cs="Times New Roman"/>
        </w:rPr>
      </w:pPr>
      <w:r>
        <w:rPr>
          <w:rFonts w:ascii="Times New Roman" w:hAnsi="Times New Roman" w:cs="Times New Roman"/>
        </w:rPr>
        <w:drawing>
          <wp:inline distT="0" distB="0" distL="0" distR="0">
            <wp:extent cx="5582285" cy="3509010"/>
            <wp:effectExtent l="0" t="0" r="0" b="0"/>
            <wp:docPr id="27"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true" noChangeArrowheads="true"/>
                    </pic:cNvPicPr>
                  </pic:nvPicPr>
                  <pic:blipFill>
                    <a:blip r:embed="rId66"/>
                    <a:srcRect/>
                    <a:stretch>
                      <a:fillRect/>
                    </a:stretch>
                  </pic:blipFill>
                  <pic:spPr>
                    <a:xfrm>
                      <a:off x="0" y="0"/>
                      <a:ext cx="5582285" cy="3509010"/>
                    </a:xfrm>
                    <a:prstGeom prst="rect">
                      <a:avLst/>
                    </a:prstGeom>
                    <a:noFill/>
                    <a:ln>
                      <a:noFill/>
                    </a:ln>
                  </pic:spPr>
                </pic:pic>
              </a:graphicData>
            </a:graphic>
          </wp:inline>
        </w:drawing>
      </w:r>
    </w:p>
    <w:p>
      <w:pPr>
        <w:ind w:firstLine="482"/>
        <w:jc w:val="center"/>
        <w:rPr>
          <w:rFonts w:ascii="Times New Roman" w:hAnsi="Times New Roman" w:cs="Times New Roman"/>
          <w:b/>
          <w:bCs/>
          <w:color w:val="auto"/>
        </w:rPr>
      </w:pPr>
      <w:r>
        <w:rPr>
          <w:rFonts w:ascii="Times New Roman" w:hAnsi="Times New Roman" w:cs="Times New Roman"/>
          <w:b/>
          <w:bCs/>
        </w:rPr>
        <w:t>图3.9-1  船岸安全装置示意图</w:t>
      </w:r>
    </w:p>
    <w:p>
      <w:pPr>
        <w:ind w:firstLine="480"/>
        <w:rPr>
          <w:rFonts w:ascii="Times New Roman" w:hAnsi="Times New Roman" w:cs="Times New Roman"/>
          <w:color w:val="auto"/>
        </w:rPr>
      </w:pPr>
      <w:r>
        <w:rPr>
          <w:rFonts w:ascii="Times New Roman" w:hAnsi="Times New Roman" w:cs="Times New Roman"/>
          <w:color w:val="auto"/>
        </w:rPr>
        <w:t>当码头进行装船作业时，液体化学品、汽油油品装入船舱，油气/空气/惰性气体从液体船舱中挤出，通过船舶的油气管路进行收集。由于装船时船舱和油气管路中有一定压力，正压推动油气通过船舶的管路和与船舶管路相连的回气管道进入船岸界面安全装置中。船岸界面安全装置的主要功能用于保护船舶和油气回收系统内的其它装置，以避免收气管道产生的高压、负压和回火造成的损害。</w:t>
      </w:r>
    </w:p>
    <w:p>
      <w:pPr>
        <w:ind w:firstLine="480"/>
        <w:rPr>
          <w:rFonts w:ascii="Times New Roman" w:hAnsi="Times New Roman" w:cs="Times New Roman"/>
          <w:color w:val="auto"/>
        </w:rPr>
      </w:pPr>
      <w:r>
        <w:rPr>
          <w:rFonts w:ascii="Times New Roman" w:hAnsi="Times New Roman" w:cs="Times New Roman"/>
          <w:color w:val="auto"/>
        </w:rPr>
        <w:t>船岸界面安全装置技术要求如下：</w:t>
      </w:r>
    </w:p>
    <w:p>
      <w:pPr>
        <w:ind w:firstLine="480"/>
        <w:rPr>
          <w:rFonts w:ascii="Times New Roman" w:hAnsi="Times New Roman" w:cs="Times New Roman"/>
          <w:color w:val="auto"/>
        </w:rPr>
      </w:pPr>
      <w:r>
        <w:rPr>
          <w:rFonts w:ascii="Times New Roman" w:hAnsi="Times New Roman" w:cs="Times New Roman"/>
          <w:color w:val="auto"/>
        </w:rPr>
        <w:t>（1）本项目船岸界面安全装置设施为整体撬装设备，通过船岸界面安全装置输送至油气回收装置。应充分考虑防风沙、防腐、防盐雾腐蚀、防爆等，以适应项目所在地的环境要求。运行方式为间隙式。</w:t>
      </w:r>
    </w:p>
    <w:p>
      <w:pPr>
        <w:ind w:firstLine="480"/>
        <w:rPr>
          <w:rFonts w:ascii="Times New Roman" w:hAnsi="Times New Roman" w:cs="Times New Roman"/>
          <w:color w:val="auto"/>
        </w:rPr>
      </w:pPr>
      <w:r>
        <w:rPr>
          <w:rFonts w:ascii="Times New Roman" w:hAnsi="Times New Roman" w:cs="Times New Roman"/>
          <w:color w:val="auto"/>
        </w:rPr>
        <w:t>（2）船岸界面安全装置的油气浓度、含氧量、压力、温度、流量等监测信号，以及紧急切断阀、压力/真空释放阀、气液分离器、防轰爆型阻火器等工作状态信号，应与油气回收总控制系统通讯和联锁。船岸界面安全装置可根据要求采集其他保障装置安全的信号。</w:t>
      </w:r>
    </w:p>
    <w:p>
      <w:pPr>
        <w:ind w:firstLine="480"/>
        <w:rPr>
          <w:rFonts w:ascii="Times New Roman" w:hAnsi="Times New Roman" w:cs="Times New Roman"/>
          <w:color w:val="auto"/>
        </w:rPr>
      </w:pPr>
      <w:r>
        <w:rPr>
          <w:rFonts w:ascii="Times New Roman" w:hAnsi="Times New Roman" w:cs="Times New Roman"/>
          <w:color w:val="auto"/>
        </w:rPr>
        <w:t>（3）船岸界面安全装置可预留船舱溢流信号接收防爆接头插座，用于连接船舱溢流信号线。</w:t>
      </w:r>
    </w:p>
    <w:p>
      <w:pPr>
        <w:ind w:firstLine="480"/>
        <w:rPr>
          <w:rFonts w:ascii="Times New Roman" w:hAnsi="Times New Roman" w:cs="Times New Roman"/>
          <w:color w:val="auto"/>
        </w:rPr>
      </w:pPr>
      <w:r>
        <w:rPr>
          <w:rFonts w:ascii="Times New Roman" w:hAnsi="Times New Roman" w:cs="Times New Roman"/>
          <w:color w:val="auto"/>
        </w:rPr>
        <w:t>（4）船岸界面安全装置的自动控制系统、监测报警系统应能自控或遥控，对油气回收系统开启和关闭、船舶压力和含氧量异常、油气回收系统故障、人员误操作、静电等有应急控制动作。装置的控制应满足以下规定：</w:t>
      </w:r>
    </w:p>
    <w:p>
      <w:pPr>
        <w:ind w:firstLine="480"/>
        <w:rPr>
          <w:rFonts w:ascii="Times New Roman" w:hAnsi="Times New Roman" w:cs="Times New Roman"/>
          <w:color w:val="auto"/>
        </w:rPr>
      </w:pPr>
      <w:r>
        <w:rPr>
          <w:rFonts w:ascii="Times New Roman" w:hAnsi="Times New Roman" w:cs="Times New Roman"/>
          <w:color w:val="auto"/>
        </w:rPr>
        <w:t>管道运行压力高于或低于船舶设定的超压或超真空状态规定时，压力/真空释放阀泄压，延时超压时自动关闭切断阀，同时开启电磁阀实施紧急排放。压力/真空释放阀设定压力为14kPa/-3.5kPa。</w:t>
      </w:r>
    </w:p>
    <w:p>
      <w:pPr>
        <w:ind w:firstLine="480"/>
        <w:rPr>
          <w:rFonts w:ascii="Times New Roman" w:hAnsi="Times New Roman" w:cs="Times New Roman"/>
          <w:color w:val="auto"/>
        </w:rPr>
      </w:pPr>
      <w:r>
        <w:rPr>
          <w:rFonts w:ascii="Times New Roman" w:hAnsi="Times New Roman" w:cs="Times New Roman"/>
          <w:color w:val="auto"/>
        </w:rPr>
        <w:t>管道内油气含氧量体积比高于6%时报警。含氧量体积比高于8%时，系统自动关闭切断阀，同时开启电磁阀实施紧急排放。</w:t>
      </w:r>
    </w:p>
    <w:p>
      <w:pPr>
        <w:ind w:firstLine="480"/>
        <w:rPr>
          <w:rFonts w:ascii="Times New Roman" w:hAnsi="Times New Roman" w:cs="Times New Roman"/>
          <w:color w:val="auto"/>
        </w:rPr>
      </w:pPr>
      <w:r>
        <w:rPr>
          <w:rFonts w:ascii="Times New Roman" w:hAnsi="Times New Roman" w:cs="Times New Roman"/>
          <w:color w:val="auto"/>
        </w:rPr>
        <w:t>电动切断阀在30s内完成关闭/开启。船舶溢油等事故处置信号可实现联锁。</w:t>
      </w:r>
    </w:p>
    <w:p>
      <w:pPr>
        <w:ind w:firstLine="480"/>
        <w:rPr>
          <w:rFonts w:ascii="Times New Roman" w:hAnsi="Times New Roman" w:cs="Times New Roman"/>
          <w:color w:val="auto"/>
        </w:rPr>
      </w:pPr>
      <w:r>
        <w:rPr>
          <w:rFonts w:ascii="Times New Roman" w:hAnsi="Times New Roman" w:cs="Times New Roman"/>
          <w:color w:val="auto"/>
        </w:rPr>
        <w:t>（5）船岸界面安全装置靠近进气端设置一个压力传感装置，且该装置应满足：</w:t>
      </w:r>
    </w:p>
    <w:p>
      <w:pPr>
        <w:ind w:firstLine="480"/>
        <w:rPr>
          <w:rFonts w:ascii="Times New Roman" w:hAnsi="Times New Roman" w:cs="Times New Roman"/>
          <w:color w:val="auto"/>
        </w:rPr>
      </w:pPr>
      <w:r>
        <w:rPr>
          <w:rFonts w:ascii="Times New Roman" w:hAnsi="Times New Roman" w:cs="Times New Roman"/>
          <w:color w:val="auto"/>
        </w:rPr>
        <w:t>液货船货舱压力超出给定压力范围（或较低的预定设定压力要求，或较高的预定设定的真空压力要求）之前动作，并触发报警。</w:t>
      </w:r>
    </w:p>
    <w:p>
      <w:pPr>
        <w:ind w:firstLine="480"/>
        <w:rPr>
          <w:rFonts w:ascii="Times New Roman" w:hAnsi="Times New Roman" w:cs="Times New Roman"/>
          <w:color w:val="auto"/>
        </w:rPr>
      </w:pPr>
      <w:r>
        <w:rPr>
          <w:rFonts w:ascii="Times New Roman" w:hAnsi="Times New Roman" w:cs="Times New Roman"/>
          <w:color w:val="auto"/>
        </w:rPr>
        <w:t>应发出超压声光报警信号。</w:t>
      </w:r>
    </w:p>
    <w:p>
      <w:pPr>
        <w:ind w:firstLine="480"/>
        <w:rPr>
          <w:rFonts w:ascii="Times New Roman" w:hAnsi="Times New Roman" w:cs="Times New Roman"/>
          <w:color w:val="auto"/>
        </w:rPr>
      </w:pPr>
      <w:r>
        <w:rPr>
          <w:rFonts w:ascii="Times New Roman" w:hAnsi="Times New Roman" w:cs="Times New Roman"/>
          <w:color w:val="auto"/>
        </w:rPr>
        <w:t>向总控制系统提供信号，用于总控系统有序控制关闭引风机或切断阀。</w:t>
      </w:r>
    </w:p>
    <w:p>
      <w:pPr>
        <w:ind w:firstLine="480"/>
        <w:rPr>
          <w:rFonts w:ascii="Times New Roman" w:hAnsi="Times New Roman" w:cs="Times New Roman"/>
          <w:color w:val="auto"/>
        </w:rPr>
      </w:pPr>
      <w:r>
        <w:rPr>
          <w:rFonts w:ascii="Times New Roman" w:hAnsi="Times New Roman" w:cs="Times New Roman"/>
          <w:color w:val="auto"/>
        </w:rPr>
        <w:t>当位于装置油气进气端的压力超过船舶最大允许压力（14kPa）的80%时，会引发声光报警。当达到船舶最大允许压力（14kPa）的100%时，压力释放阀打开释放压力，压力传感装置应提供连续的压力信号；压力继续提高状况下，压力传感器应提供报警信号。</w:t>
      </w:r>
    </w:p>
    <w:p>
      <w:pPr>
        <w:ind w:firstLine="480"/>
        <w:rPr>
          <w:rFonts w:ascii="Times New Roman" w:hAnsi="Times New Roman" w:cs="Times New Roman"/>
          <w:color w:val="auto"/>
        </w:rPr>
      </w:pPr>
      <w:r>
        <w:rPr>
          <w:rFonts w:ascii="Times New Roman" w:hAnsi="Times New Roman" w:cs="Times New Roman"/>
          <w:color w:val="auto"/>
        </w:rPr>
        <w:t>控制位于装置油气接受处真空压力值不超过-7kPa，当真空压力超过-3.5kPa（或较低的预定设定的真空压力要求）时，压力传感装置应发出报警信号。</w:t>
      </w:r>
    </w:p>
    <w:p>
      <w:pPr>
        <w:ind w:firstLine="480"/>
        <w:rPr>
          <w:rFonts w:ascii="Times New Roman" w:hAnsi="Times New Roman" w:cs="Times New Roman"/>
          <w:color w:val="auto"/>
        </w:rPr>
      </w:pPr>
      <w:r>
        <w:rPr>
          <w:rFonts w:ascii="Times New Roman" w:hAnsi="Times New Roman" w:cs="Times New Roman"/>
          <w:color w:val="auto"/>
        </w:rPr>
        <w:t>压力传感器应设置在本装置止回阀和切断阀之间的位置上。</w:t>
      </w:r>
    </w:p>
    <w:p>
      <w:pPr>
        <w:ind w:firstLine="480"/>
        <w:rPr>
          <w:rFonts w:ascii="Times New Roman" w:hAnsi="Times New Roman" w:cs="Times New Roman"/>
          <w:color w:val="auto"/>
        </w:rPr>
      </w:pPr>
      <w:r>
        <w:rPr>
          <w:rFonts w:ascii="Times New Roman" w:hAnsi="Times New Roman" w:cs="Times New Roman"/>
          <w:color w:val="auto"/>
        </w:rPr>
        <w:t>应设计监测油气输送管道中压力数据的指示装置。</w:t>
      </w:r>
    </w:p>
    <w:p>
      <w:pPr>
        <w:ind w:firstLine="480"/>
        <w:rPr>
          <w:rFonts w:ascii="Times New Roman" w:hAnsi="Times New Roman" w:cs="Times New Roman"/>
          <w:color w:val="auto"/>
        </w:rPr>
      </w:pPr>
      <w:r>
        <w:rPr>
          <w:rFonts w:ascii="Times New Roman" w:hAnsi="Times New Roman" w:cs="Times New Roman"/>
          <w:color w:val="auto"/>
        </w:rPr>
        <w:t>（6）船岸界面安全装置应在进气端压力传感器和切断阀之间布置排气管。排气管顶端应安装压力/真空释放阀和电动卸载阀，并应符合以下规定：</w:t>
      </w:r>
    </w:p>
    <w:p>
      <w:pPr>
        <w:ind w:firstLine="480"/>
        <w:rPr>
          <w:rFonts w:ascii="Times New Roman" w:hAnsi="Times New Roman" w:cs="Times New Roman"/>
          <w:color w:val="auto"/>
        </w:rPr>
      </w:pPr>
      <w:r>
        <w:rPr>
          <w:rFonts w:ascii="Times New Roman" w:hAnsi="Times New Roman" w:cs="Times New Roman"/>
          <w:color w:val="auto"/>
        </w:rPr>
        <w:t>压力/真空释放阀排气口、电动卸载阀排气管口采用法兰连接，集中接至高点进行排放。</w:t>
      </w:r>
    </w:p>
    <w:p>
      <w:pPr>
        <w:ind w:firstLine="480"/>
        <w:rPr>
          <w:rFonts w:ascii="Times New Roman" w:hAnsi="Times New Roman" w:cs="Times New Roman"/>
          <w:color w:val="auto"/>
        </w:rPr>
      </w:pPr>
      <w:r>
        <w:rPr>
          <w:rFonts w:ascii="Times New Roman" w:hAnsi="Times New Roman" w:cs="Times New Roman"/>
          <w:color w:val="auto"/>
        </w:rPr>
        <w:t>采用软管进行油气收集的油码头，排气口高度距码头地面不少于3m。</w:t>
      </w:r>
    </w:p>
    <w:p>
      <w:pPr>
        <w:ind w:firstLine="480"/>
        <w:rPr>
          <w:rFonts w:ascii="Times New Roman" w:hAnsi="Times New Roman" w:cs="Times New Roman"/>
          <w:color w:val="auto"/>
        </w:rPr>
      </w:pPr>
      <w:r>
        <w:rPr>
          <w:rFonts w:ascii="Times New Roman" w:hAnsi="Times New Roman" w:cs="Times New Roman"/>
          <w:color w:val="auto"/>
        </w:rPr>
        <w:t>压力/真空释放阀开启时任何时间排气速度不小于30m/s。</w:t>
      </w:r>
    </w:p>
    <w:p>
      <w:pPr>
        <w:ind w:firstLine="480"/>
        <w:rPr>
          <w:rFonts w:ascii="Times New Roman" w:hAnsi="Times New Roman" w:cs="Times New Roman"/>
          <w:color w:val="auto"/>
        </w:rPr>
      </w:pPr>
      <w:r>
        <w:rPr>
          <w:rFonts w:ascii="Times New Roman" w:hAnsi="Times New Roman" w:cs="Times New Roman"/>
          <w:color w:val="auto"/>
        </w:rPr>
        <w:t>（7）船岸安全装置惰化系统：</w:t>
      </w:r>
    </w:p>
    <w:p>
      <w:pPr>
        <w:ind w:firstLine="480"/>
        <w:rPr>
          <w:rFonts w:ascii="Times New Roman" w:hAnsi="Times New Roman" w:cs="Times New Roman"/>
          <w:color w:val="auto"/>
        </w:rPr>
      </w:pPr>
      <w:r>
        <w:rPr>
          <w:rFonts w:ascii="Times New Roman" w:hAnsi="Times New Roman" w:cs="Times New Roman"/>
          <w:color w:val="auto"/>
        </w:rPr>
        <w:t>向油气管路供给足够的惰化气体以确保本装置出气端氧浓度低于8.0%的体积浓度；</w:t>
      </w:r>
    </w:p>
    <w:p>
      <w:pPr>
        <w:ind w:firstLine="480"/>
        <w:rPr>
          <w:rFonts w:ascii="Times New Roman" w:hAnsi="Times New Roman" w:cs="Times New Roman"/>
          <w:color w:val="auto"/>
        </w:rPr>
      </w:pPr>
      <w:r>
        <w:rPr>
          <w:rFonts w:ascii="Times New Roman" w:hAnsi="Times New Roman" w:cs="Times New Roman"/>
          <w:color w:val="auto"/>
        </w:rPr>
        <w:t>当油气收集管线内的氧体积浓度超过6.0%时触发报警；</w:t>
      </w:r>
    </w:p>
    <w:p>
      <w:pPr>
        <w:ind w:firstLine="480"/>
        <w:rPr>
          <w:rFonts w:ascii="Times New Roman" w:hAnsi="Times New Roman" w:cs="Times New Roman"/>
          <w:color w:val="auto"/>
        </w:rPr>
      </w:pPr>
      <w:r>
        <w:rPr>
          <w:rFonts w:ascii="Times New Roman" w:hAnsi="Times New Roman" w:cs="Times New Roman"/>
          <w:color w:val="auto"/>
        </w:rPr>
        <w:t>当油气收集管线内的氧体积浓度超过8.0%时关闭本装置货物油气切断阀；</w:t>
      </w:r>
    </w:p>
    <w:p>
      <w:pPr>
        <w:ind w:firstLine="480"/>
        <w:rPr>
          <w:rFonts w:ascii="Times New Roman" w:hAnsi="Times New Roman" w:cs="Times New Roman"/>
          <w:color w:val="auto"/>
        </w:rPr>
      </w:pPr>
      <w:r>
        <w:rPr>
          <w:rFonts w:ascii="Times New Roman" w:hAnsi="Times New Roman" w:cs="Times New Roman"/>
          <w:color w:val="auto"/>
        </w:rPr>
        <w:t>（8）船岸界面安全装置的设计和安装，应最大限度的消除对液货船造成的潜在溢流、超压或负压、静电、雷电等风险，杜绝货源，对于有特殊设计要求的装置应评估风险源并在设计和安装中提出新的保护措施。</w:t>
      </w:r>
    </w:p>
    <w:p>
      <w:pPr>
        <w:ind w:firstLine="480"/>
        <w:rPr>
          <w:rFonts w:ascii="Times New Roman" w:hAnsi="Times New Roman" w:cs="Times New Roman"/>
          <w:color w:val="auto"/>
        </w:rPr>
      </w:pPr>
      <w:r>
        <w:rPr>
          <w:rFonts w:ascii="Times New Roman" w:hAnsi="Times New Roman" w:cs="Times New Roman"/>
          <w:color w:val="auto"/>
        </w:rPr>
        <w:t>（9）船岸界面安全装置邻近进气端和出气端法兰部位，应采用绝缘法兰。</w:t>
      </w:r>
    </w:p>
    <w:p>
      <w:pPr>
        <w:ind w:firstLine="480"/>
        <w:rPr>
          <w:rFonts w:ascii="Times New Roman" w:hAnsi="Times New Roman" w:cs="Times New Roman"/>
          <w:color w:val="auto"/>
        </w:rPr>
      </w:pPr>
      <w:r>
        <w:rPr>
          <w:rFonts w:ascii="Times New Roman" w:hAnsi="Times New Roman" w:cs="Times New Roman"/>
          <w:color w:val="auto"/>
        </w:rPr>
        <w:t>（10）在火灾情况下所有密封性能应不失效。</w:t>
      </w:r>
    </w:p>
    <w:p>
      <w:pPr>
        <w:ind w:firstLine="480"/>
        <w:rPr>
          <w:rFonts w:ascii="Times New Roman" w:hAnsi="Times New Roman" w:cs="Times New Roman"/>
          <w:color w:val="auto"/>
        </w:rPr>
      </w:pPr>
      <w:r>
        <w:rPr>
          <w:rFonts w:ascii="Times New Roman" w:hAnsi="Times New Roman" w:cs="Times New Roman"/>
          <w:color w:val="auto"/>
        </w:rPr>
        <w:t>（11）油气管路的焊接应符合《现场设备、工业管道焊接工程施工规范》（GB50236-2011）和《现场设备、工业管道焊接工程施工质量验收规范》（GB50683-2011）的要求。</w:t>
      </w:r>
    </w:p>
    <w:p>
      <w:pPr>
        <w:ind w:firstLine="480"/>
        <w:rPr>
          <w:rFonts w:ascii="Times New Roman" w:hAnsi="Times New Roman" w:cs="Times New Roman"/>
          <w:color w:val="auto"/>
        </w:rPr>
      </w:pPr>
      <w:r>
        <w:rPr>
          <w:rFonts w:ascii="Times New Roman" w:hAnsi="Times New Roman" w:cs="Times New Roman"/>
          <w:color w:val="auto"/>
        </w:rPr>
        <w:t>（12）船岸界面安全装置的设计压力应不低于2.0MPa，管路、配件应满足最小许可压力为2.0MPa的要求，阀和法兰的压力等级至少为2.0MPa。船岸界面安全装置安全设备和外部管道采用法兰连接，法兰标准为HG/T20592，密封面为突面（RF-WN），公称压力为2.5 Mpa。</w:t>
      </w:r>
    </w:p>
    <w:p>
      <w:pPr>
        <w:ind w:firstLine="480"/>
        <w:rPr>
          <w:rFonts w:ascii="Times New Roman" w:hAnsi="Times New Roman" w:cs="Times New Roman"/>
          <w:color w:val="auto"/>
        </w:rPr>
      </w:pPr>
      <w:r>
        <w:rPr>
          <w:rFonts w:ascii="Times New Roman" w:hAnsi="Times New Roman" w:cs="Times New Roman"/>
          <w:color w:val="auto"/>
        </w:rPr>
        <w:t>（13）船岸界面安全装置内配有气液分离器，分离罐大小应根据设备具体情况确定。凝液分离罐应设置液位计。</w:t>
      </w:r>
    </w:p>
    <w:p>
      <w:pPr>
        <w:ind w:firstLine="480"/>
        <w:rPr>
          <w:rFonts w:ascii="Times New Roman" w:hAnsi="Times New Roman" w:cs="Times New Roman"/>
          <w:color w:val="auto"/>
        </w:rPr>
      </w:pPr>
      <w:r>
        <w:rPr>
          <w:rFonts w:ascii="Times New Roman" w:hAnsi="Times New Roman" w:cs="Times New Roman"/>
          <w:color w:val="auto"/>
        </w:rPr>
        <w:t>（14）船岸界面安全装置出口应配有阻爆器，一旦船舶、油气回收管线或者后续的油气处理系统发生火险，阻爆器可以起到阻止火焰传播的作用，阻止风险的进一步扩散。</w:t>
      </w:r>
    </w:p>
    <w:p>
      <w:pPr>
        <w:ind w:firstLine="480"/>
        <w:rPr>
          <w:rFonts w:ascii="Times New Roman" w:hAnsi="Times New Roman" w:cs="Times New Roman"/>
          <w:color w:val="auto"/>
        </w:rPr>
      </w:pPr>
      <w:r>
        <w:rPr>
          <w:rFonts w:ascii="Times New Roman" w:hAnsi="Times New Roman" w:cs="Times New Roman"/>
          <w:color w:val="auto"/>
        </w:rPr>
        <w:t>（15）阻火器：满足《阻火器性能要求》（ISO16852）和国家现行标准《石油气体管道阻火器》（GB/T13347）规定的测试要求。</w:t>
      </w:r>
    </w:p>
    <w:p>
      <w:pPr>
        <w:ind w:firstLine="480"/>
        <w:rPr>
          <w:rFonts w:ascii="Times New Roman" w:hAnsi="Times New Roman" w:cs="Times New Roman"/>
          <w:color w:val="auto"/>
        </w:rPr>
      </w:pPr>
      <w:r>
        <w:rPr>
          <w:rFonts w:ascii="Times New Roman" w:hAnsi="Times New Roman" w:cs="Times New Roman"/>
          <w:color w:val="auto"/>
        </w:rPr>
        <w:t>（16）船岸界面安全装置设施整体使用寿命不少于15年。</w:t>
      </w:r>
    </w:p>
    <w:p>
      <w:pPr>
        <w:ind w:firstLine="482"/>
        <w:rPr>
          <w:rFonts w:ascii="Times New Roman" w:hAnsi="Times New Roman" w:cs="Times New Roman"/>
          <w:b/>
          <w:color w:val="auto"/>
          <w:szCs w:val="24"/>
        </w:rPr>
      </w:pPr>
      <w:r>
        <w:rPr>
          <w:rFonts w:ascii="Times New Roman" w:hAnsi="Times New Roman" w:cs="Times New Roman"/>
          <w:b/>
          <w:color w:val="auto"/>
          <w:szCs w:val="24"/>
        </w:rPr>
        <w:t xml:space="preserve">3、引气风机 </w:t>
      </w:r>
    </w:p>
    <w:p>
      <w:pPr>
        <w:ind w:firstLine="480"/>
        <w:rPr>
          <w:rFonts w:ascii="Times New Roman" w:hAnsi="Times New Roman" w:cs="Times New Roman"/>
          <w:color w:val="auto"/>
        </w:rPr>
      </w:pPr>
      <w:r>
        <w:rPr>
          <w:rFonts w:ascii="Times New Roman" w:hAnsi="Times New Roman" w:cs="Times New Roman"/>
          <w:color w:val="auto"/>
        </w:rPr>
        <w:t>（1） 数量：2台，风机过流件采用不锈钢304材质。整机防爆等级要求Ex dⅡBT4。</w:t>
      </w:r>
    </w:p>
    <w:p>
      <w:pPr>
        <w:ind w:firstLine="480"/>
        <w:rPr>
          <w:rFonts w:ascii="Times New Roman" w:hAnsi="Times New Roman" w:cs="Times New Roman"/>
          <w:color w:val="auto"/>
        </w:rPr>
      </w:pPr>
      <w:r>
        <w:rPr>
          <w:rFonts w:ascii="Times New Roman" w:hAnsi="Times New Roman" w:cs="Times New Roman"/>
          <w:color w:val="auto"/>
        </w:rPr>
        <w:t>（2）防爆风机机壳、侧板、墙板材质为不锈钢，叶轮材质为铜。</w:t>
      </w:r>
    </w:p>
    <w:p>
      <w:pPr>
        <w:ind w:firstLine="480"/>
        <w:rPr>
          <w:rFonts w:ascii="Times New Roman" w:hAnsi="Times New Roman" w:cs="Times New Roman"/>
          <w:color w:val="auto"/>
        </w:rPr>
      </w:pPr>
      <w:r>
        <w:rPr>
          <w:rFonts w:ascii="Times New Roman" w:hAnsi="Times New Roman" w:cs="Times New Roman"/>
          <w:color w:val="auto"/>
        </w:rPr>
        <w:t>（3）防爆风机整机使用寿命不少于20年。</w:t>
      </w:r>
    </w:p>
    <w:p>
      <w:pPr>
        <w:ind w:firstLine="480"/>
        <w:rPr>
          <w:rFonts w:ascii="Times New Roman" w:hAnsi="Times New Roman" w:cs="Times New Roman"/>
          <w:color w:val="auto"/>
        </w:rPr>
      </w:pPr>
      <w:r>
        <w:rPr>
          <w:rFonts w:ascii="Times New Roman" w:hAnsi="Times New Roman" w:cs="Times New Roman"/>
          <w:color w:val="auto"/>
        </w:rPr>
        <w:t>（4）应保证风机转动件与静止件碰擦不产生火花。</w:t>
      </w:r>
    </w:p>
    <w:p>
      <w:pPr>
        <w:ind w:firstLine="480"/>
        <w:rPr>
          <w:rFonts w:ascii="Times New Roman" w:hAnsi="Times New Roman" w:cs="Times New Roman"/>
          <w:color w:val="auto"/>
        </w:rPr>
      </w:pPr>
      <w:r>
        <w:rPr>
          <w:rFonts w:ascii="Times New Roman" w:hAnsi="Times New Roman" w:cs="Times New Roman"/>
          <w:color w:val="auto"/>
        </w:rPr>
        <w:t>（5）风机在正常工况运行时，应能防止气体泄漏形成爆炸性气体环境。</w:t>
      </w:r>
    </w:p>
    <w:p>
      <w:pPr>
        <w:ind w:firstLine="480"/>
        <w:rPr>
          <w:rFonts w:ascii="Times New Roman" w:hAnsi="Times New Roman" w:cs="Times New Roman"/>
          <w:color w:val="auto"/>
        </w:rPr>
      </w:pPr>
      <w:r>
        <w:rPr>
          <w:rFonts w:ascii="Times New Roman" w:hAnsi="Times New Roman" w:cs="Times New Roman"/>
          <w:color w:val="auto"/>
        </w:rPr>
        <w:t>（6）风机及配套件材质应满足输送气体及其压力、温度、环境等的要求，与输送气体接触时，不会产生危险的反应。</w:t>
      </w:r>
    </w:p>
    <w:p>
      <w:pPr>
        <w:ind w:firstLine="480"/>
        <w:rPr>
          <w:rFonts w:ascii="Times New Roman" w:hAnsi="Times New Roman" w:cs="Times New Roman"/>
          <w:color w:val="auto"/>
        </w:rPr>
      </w:pPr>
      <w:r>
        <w:rPr>
          <w:rFonts w:ascii="Times New Roman" w:hAnsi="Times New Roman" w:cs="Times New Roman"/>
          <w:color w:val="auto"/>
        </w:rPr>
        <w:t>（7）风机应设置必要的压力、温度检测仪表，并设置报警及停机等保护控制措施。</w:t>
      </w:r>
    </w:p>
    <w:p>
      <w:pPr>
        <w:ind w:firstLine="480"/>
        <w:rPr>
          <w:rFonts w:ascii="Times New Roman" w:hAnsi="Times New Roman" w:cs="Times New Roman"/>
          <w:color w:val="auto"/>
        </w:rPr>
      </w:pPr>
      <w:r>
        <w:rPr>
          <w:rFonts w:ascii="Times New Roman" w:hAnsi="Times New Roman" w:cs="Times New Roman"/>
          <w:color w:val="auto"/>
        </w:rPr>
        <w:t>（8）应在风机排气管路上安装止回阀或其他装置，以防止风机出口气体倒流，避免风机转子异常逆转。</w:t>
      </w:r>
    </w:p>
    <w:p>
      <w:pPr>
        <w:ind w:firstLine="480"/>
        <w:rPr>
          <w:rFonts w:ascii="Times New Roman" w:hAnsi="Times New Roman" w:cs="Times New Roman"/>
          <w:color w:val="auto"/>
        </w:rPr>
      </w:pPr>
      <w:r>
        <w:rPr>
          <w:rFonts w:ascii="Times New Roman" w:hAnsi="Times New Roman" w:cs="Times New Roman"/>
          <w:color w:val="auto"/>
        </w:rPr>
        <w:t>（9）风机旁应设置紧急停机装置，风机与管路之间应配备截断阀门。</w:t>
      </w:r>
    </w:p>
    <w:p>
      <w:pPr>
        <w:ind w:firstLine="480"/>
        <w:rPr>
          <w:rFonts w:ascii="Times New Roman" w:hAnsi="Times New Roman" w:cs="Times New Roman"/>
          <w:color w:val="auto"/>
        </w:rPr>
      </w:pPr>
      <w:r>
        <w:rPr>
          <w:rFonts w:ascii="Times New Roman" w:hAnsi="Times New Roman" w:cs="Times New Roman"/>
          <w:color w:val="auto"/>
        </w:rPr>
        <w:t>（10）风机及附件外表温度超过80℃时应有安全警告提示或具有安全防护措施。</w:t>
      </w:r>
    </w:p>
    <w:p>
      <w:pPr>
        <w:ind w:firstLine="480"/>
        <w:rPr>
          <w:rFonts w:ascii="Times New Roman" w:hAnsi="Times New Roman" w:cs="Times New Roman"/>
          <w:color w:val="auto"/>
        </w:rPr>
      </w:pPr>
      <w:r>
        <w:rPr>
          <w:rFonts w:ascii="Times New Roman" w:hAnsi="Times New Roman" w:cs="Times New Roman"/>
          <w:color w:val="auto"/>
        </w:rPr>
        <w:t>（11）风机应具有永久性的可靠接地装置和接地标志。</w:t>
      </w:r>
    </w:p>
    <w:p>
      <w:pPr>
        <w:ind w:firstLine="480"/>
        <w:rPr>
          <w:rFonts w:ascii="Times New Roman" w:hAnsi="Times New Roman" w:cs="Times New Roman"/>
          <w:color w:val="auto"/>
        </w:rPr>
      </w:pPr>
      <w:r>
        <w:rPr>
          <w:rFonts w:ascii="Times New Roman" w:hAnsi="Times New Roman" w:cs="Times New Roman"/>
          <w:color w:val="auto"/>
        </w:rPr>
        <w:t>（12）风机应设计有避免内部爆炸的措施。</w:t>
      </w:r>
    </w:p>
    <w:p>
      <w:pPr>
        <w:ind w:firstLine="480"/>
        <w:rPr>
          <w:rFonts w:ascii="Times New Roman" w:hAnsi="Times New Roman" w:cs="Times New Roman"/>
          <w:color w:val="auto"/>
        </w:rPr>
      </w:pPr>
      <w:r>
        <w:rPr>
          <w:rFonts w:ascii="Times New Roman" w:hAnsi="Times New Roman" w:cs="Times New Roman"/>
          <w:color w:val="auto"/>
        </w:rPr>
        <w:t>（13）风机零部件清洁度应符合JB/T8941.1的规定。</w:t>
      </w:r>
    </w:p>
    <w:p>
      <w:pPr>
        <w:ind w:firstLine="480"/>
        <w:rPr>
          <w:rFonts w:ascii="Times New Roman" w:hAnsi="Times New Roman" w:cs="Times New Roman"/>
          <w:color w:val="auto"/>
        </w:rPr>
      </w:pPr>
      <w:r>
        <w:rPr>
          <w:rFonts w:ascii="Times New Roman" w:hAnsi="Times New Roman" w:cs="Times New Roman"/>
          <w:color w:val="auto"/>
        </w:rPr>
        <w:t>（14）电机防护等级IP55，接线盒IP56，电压380V，绝缘等级F级，户外防腐等级WF2，TH湿热型，B级温升，防爆等级为ExdⅡBT4，采用自扇冷却（不带独立风扇），所有接口均带防爆接头。要求按照变频标准制造，在铭牌标明运转频率范围，如20-50HZ。</w:t>
      </w:r>
    </w:p>
    <w:p>
      <w:pPr>
        <w:ind w:firstLine="480"/>
        <w:rPr>
          <w:rFonts w:ascii="Times New Roman" w:hAnsi="Times New Roman" w:cs="Times New Roman"/>
          <w:color w:val="auto"/>
        </w:rPr>
      </w:pPr>
      <w:r>
        <w:rPr>
          <w:rFonts w:ascii="Times New Roman" w:hAnsi="Times New Roman" w:cs="Times New Roman"/>
          <w:color w:val="auto"/>
        </w:rPr>
        <w:t>（15）变频驱动的电机轴承采用绝缘结构或者绝缘轴承，电机绕组按照变频电机相关标准制造，加强绝缘，充分考虑谐波、低速运转所导致的温升，确保电机在调速范围内，外壳温度不超过电机本身防爆等级所规定的温度级别。</w:t>
      </w:r>
    </w:p>
    <w:p>
      <w:pPr>
        <w:ind w:firstLine="480"/>
        <w:rPr>
          <w:rFonts w:ascii="Times New Roman" w:hAnsi="Times New Roman" w:cs="Times New Roman"/>
          <w:color w:val="auto"/>
        </w:rPr>
      </w:pPr>
      <w:r>
        <w:rPr>
          <w:rFonts w:ascii="Times New Roman" w:hAnsi="Times New Roman" w:cs="Times New Roman"/>
          <w:color w:val="auto"/>
        </w:rPr>
        <w:t>（16）电机及其他附属电气设备的电气防爆性能应符合GB3836.1的规定，并符合AQ3009中的安全要求。电气设备应具有防爆电气设备检验合格证。</w:t>
      </w:r>
    </w:p>
    <w:p>
      <w:pPr>
        <w:ind w:firstLine="480"/>
        <w:rPr>
          <w:rFonts w:ascii="Times New Roman" w:hAnsi="Times New Roman" w:cs="Times New Roman"/>
          <w:color w:val="auto"/>
        </w:rPr>
      </w:pPr>
      <w:r>
        <w:rPr>
          <w:rFonts w:ascii="Times New Roman" w:hAnsi="Times New Roman" w:cs="Times New Roman"/>
          <w:color w:val="auto"/>
        </w:rPr>
        <w:t>（17）变频器的安装形式优先选择安装在变电所低压柜内，变频器与控制单元采用分体式，控制单元装配到开关柜门面上，便于巡检人员日常检查、观察和调整。如现场不具备条件，变频器可安装到室外电气控制柜内，但必须配有冷却设备。</w:t>
      </w:r>
    </w:p>
    <w:p>
      <w:pPr>
        <w:ind w:firstLine="480"/>
        <w:rPr>
          <w:rFonts w:ascii="Times New Roman" w:hAnsi="Times New Roman" w:cs="Times New Roman"/>
          <w:color w:val="auto"/>
        </w:rPr>
      </w:pPr>
      <w:r>
        <w:rPr>
          <w:rFonts w:ascii="Times New Roman" w:hAnsi="Times New Roman" w:cs="Times New Roman"/>
          <w:color w:val="auto"/>
        </w:rPr>
        <w:t>（18）所有电动机优先按照一级能耗且不低于二级能耗选型。</w:t>
      </w:r>
    </w:p>
    <w:p>
      <w:pPr>
        <w:ind w:firstLine="482"/>
        <w:rPr>
          <w:rFonts w:ascii="Times New Roman" w:hAnsi="Times New Roman" w:cs="Times New Roman"/>
          <w:b/>
          <w:color w:val="auto"/>
          <w:szCs w:val="24"/>
        </w:rPr>
      </w:pPr>
      <w:r>
        <w:rPr>
          <w:rFonts w:ascii="Times New Roman" w:hAnsi="Times New Roman" w:cs="Times New Roman"/>
          <w:b/>
          <w:color w:val="auto"/>
          <w:szCs w:val="24"/>
        </w:rPr>
        <w:t>4、油气回收装置</w:t>
      </w:r>
    </w:p>
    <w:p>
      <w:pPr>
        <w:ind w:firstLine="480"/>
        <w:rPr>
          <w:rFonts w:ascii="Times New Roman" w:hAnsi="Times New Roman" w:cs="Times New Roman"/>
          <w:color w:val="auto"/>
        </w:rPr>
      </w:pPr>
      <w:r>
        <w:rPr>
          <w:rFonts w:ascii="Times New Roman" w:hAnsi="Times New Roman" w:cs="Times New Roman"/>
          <w:color w:val="auto"/>
        </w:rPr>
        <w:t>（1）冷凝部分</w:t>
      </w:r>
    </w:p>
    <w:p>
      <w:pPr>
        <w:ind w:firstLine="480"/>
        <w:rPr>
          <w:rFonts w:ascii="Times New Roman" w:hAnsi="Times New Roman" w:cs="Times New Roman"/>
          <w:color w:val="auto"/>
        </w:rPr>
      </w:pPr>
      <w:r>
        <w:rPr>
          <w:rFonts w:ascii="Times New Roman" w:hAnsi="Times New Roman" w:cs="Times New Roman"/>
          <w:color w:val="auto"/>
        </w:rPr>
        <w:t>a. 制冷系统应设置融霜装置，冷凝过程中机组应设置有气液及油雾分离装置，防止冰堵的发生。冷凝器应采用风冷，不得采用水冷凝器。制冷系统应采取保冷措施。</w:t>
      </w:r>
    </w:p>
    <w:p>
      <w:pPr>
        <w:ind w:firstLine="480"/>
        <w:rPr>
          <w:rFonts w:ascii="Times New Roman" w:hAnsi="Times New Roman" w:cs="Times New Roman"/>
          <w:color w:val="auto"/>
        </w:rPr>
      </w:pPr>
      <w:r>
        <w:rPr>
          <w:rFonts w:ascii="Times New Roman" w:hAnsi="Times New Roman" w:cs="Times New Roman"/>
          <w:color w:val="auto"/>
        </w:rPr>
        <w:t>b. 冷凝系统中应设置有用于冷量循环利用的工艺流程，应能有效利用冷凝散热量和油气冷量，用来降低能耗。制冷系统低温部分或凝露部分均全程采用保冷措施。</w:t>
      </w:r>
    </w:p>
    <w:p>
      <w:pPr>
        <w:ind w:firstLine="480"/>
        <w:rPr>
          <w:rFonts w:ascii="Times New Roman" w:hAnsi="Times New Roman" w:cs="Times New Roman"/>
          <w:color w:val="auto"/>
        </w:rPr>
      </w:pPr>
      <w:r>
        <w:rPr>
          <w:rFonts w:ascii="Times New Roman" w:hAnsi="Times New Roman" w:cs="Times New Roman"/>
          <w:color w:val="auto"/>
        </w:rPr>
        <w:t>c. 冷凝后的液体自流至冷凝机组内置的储液罐中。冷凝机组应内设加热措施，合理控制油品温度，保证输液管和储液罐不会产生堵塞。此外，输液管路及储液罐上需缠绕电伴热加热带，防止油水混合液中残留的水结冰。</w:t>
      </w:r>
    </w:p>
    <w:p>
      <w:pPr>
        <w:ind w:firstLine="480"/>
        <w:rPr>
          <w:rFonts w:ascii="Times New Roman" w:hAnsi="Times New Roman" w:cs="Times New Roman"/>
          <w:color w:val="auto"/>
        </w:rPr>
      </w:pPr>
      <w:r>
        <w:rPr>
          <w:rFonts w:ascii="Times New Roman" w:hAnsi="Times New Roman" w:cs="Times New Roman"/>
          <w:color w:val="auto"/>
        </w:rPr>
        <w:t>d. 冷凝系统中应有专门应对措施用于处理蒸发器中产生的“油雾”，令其可以妥善汇入凝液罐，并且不会进入下一级制冷过程。不会因为油雾带水产生冰堵而损坏换热器。</w:t>
      </w:r>
    </w:p>
    <w:p>
      <w:pPr>
        <w:ind w:firstLine="480"/>
        <w:rPr>
          <w:rFonts w:ascii="Times New Roman" w:hAnsi="Times New Roman" w:cs="Times New Roman"/>
          <w:color w:val="auto"/>
        </w:rPr>
      </w:pPr>
      <w:r>
        <w:rPr>
          <w:rFonts w:ascii="Times New Roman" w:hAnsi="Times New Roman" w:cs="Times New Roman"/>
          <w:color w:val="auto"/>
        </w:rPr>
        <w:t>e. 当冷凝机组内置的储液罐到达高液位时，输油泵自动启动，使所回收油品输送到买方指定接口，当储液罐到达低液位时，输油泵自动关闭。油品外输温度应高于-20℃。</w:t>
      </w:r>
    </w:p>
    <w:p>
      <w:pPr>
        <w:ind w:firstLine="480"/>
        <w:rPr>
          <w:rFonts w:ascii="Times New Roman" w:hAnsi="Times New Roman" w:cs="Times New Roman"/>
          <w:color w:val="auto"/>
        </w:rPr>
      </w:pPr>
      <w:r>
        <w:rPr>
          <w:rFonts w:ascii="Times New Roman" w:hAnsi="Times New Roman" w:cs="Times New Roman"/>
          <w:color w:val="auto"/>
        </w:rPr>
        <w:t>f. 冷凝机组入口应设置有气液分离器，减少冰堵的发生，三级制冷出口应设置油雾分离装置，防止产生凝液进入下一级</w:t>
      </w:r>
      <w:r>
        <w:rPr>
          <w:rFonts w:hint="eastAsia" w:ascii="Times New Roman" w:hAnsi="Times New Roman" w:cs="Times New Roman"/>
          <w:color w:val="FF0000"/>
        </w:rPr>
        <w:t>活性炭吸附</w:t>
      </w:r>
      <w:r>
        <w:rPr>
          <w:rFonts w:ascii="Times New Roman" w:hAnsi="Times New Roman" w:cs="Times New Roman"/>
          <w:color w:val="auto"/>
        </w:rPr>
        <w:t>单元。冷凝器采用风冷设置，空冷散热风机采用整机防爆型，冷凝器采用高防腐铜管铜翅片设计。</w:t>
      </w:r>
    </w:p>
    <w:p>
      <w:pPr>
        <w:ind w:firstLine="480"/>
        <w:rPr>
          <w:rFonts w:ascii="Times New Roman" w:hAnsi="Times New Roman" w:cs="Times New Roman"/>
          <w:color w:val="auto"/>
        </w:rPr>
      </w:pPr>
      <w:r>
        <w:rPr>
          <w:rFonts w:ascii="Times New Roman" w:hAnsi="Times New Roman" w:cs="Times New Roman"/>
          <w:color w:val="auto"/>
        </w:rPr>
        <w:t>g. 为防止在非油品输送期间，用户储罐/管道内的油倒流进回收设备，应设置有防油品倒流系统，包括双重防止油品倒流的措施。</w:t>
      </w:r>
    </w:p>
    <w:p>
      <w:pPr>
        <w:ind w:firstLine="480"/>
        <w:rPr>
          <w:rFonts w:ascii="Times New Roman" w:hAnsi="Times New Roman" w:cs="Times New Roman"/>
          <w:color w:val="auto"/>
        </w:rPr>
      </w:pPr>
      <w:r>
        <w:rPr>
          <w:rFonts w:ascii="Times New Roman" w:hAnsi="Times New Roman" w:cs="Times New Roman"/>
          <w:color w:val="auto"/>
        </w:rPr>
        <w:t>h. 油气回收设备的冷凝单元为双气路通道，当一边气路压降达到设定值时，系统自动切换到另一待机系统工作，同时冰堵通道进入融霜过程，融冰结束后可根据指令自动快速地恢复冷场，处于恒温状态。确保发船过程溢出气体的持续回收。</w:t>
      </w:r>
    </w:p>
    <w:p>
      <w:pPr>
        <w:ind w:firstLine="480"/>
        <w:rPr>
          <w:rFonts w:ascii="Times New Roman" w:hAnsi="Times New Roman" w:cs="Times New Roman"/>
          <w:color w:val="auto"/>
        </w:rPr>
      </w:pPr>
      <w:r>
        <w:rPr>
          <w:rFonts w:ascii="Times New Roman" w:hAnsi="Times New Roman" w:cs="Times New Roman"/>
          <w:color w:val="auto"/>
        </w:rPr>
        <w:t>i. 制冷系统选用无氯环保型制冷剂，符合国家关于大气臭氧层保护的相关规定。</w:t>
      </w:r>
    </w:p>
    <w:p>
      <w:pPr>
        <w:ind w:firstLine="480"/>
        <w:rPr>
          <w:rFonts w:ascii="Times New Roman" w:hAnsi="Times New Roman" w:cs="Times New Roman"/>
          <w:color w:val="auto"/>
        </w:rPr>
      </w:pPr>
      <w:r>
        <w:rPr>
          <w:rFonts w:ascii="Times New Roman" w:hAnsi="Times New Roman" w:cs="Times New Roman"/>
          <w:color w:val="auto"/>
        </w:rPr>
        <w:t>j．蒸发器（油气换热器）采用压力容器结构，管壳式设计，壳程走油气，管程走冷媒，满足GB150要求。</w:t>
      </w:r>
    </w:p>
    <w:p>
      <w:pPr>
        <w:ind w:firstLine="480"/>
        <w:rPr>
          <w:rFonts w:ascii="Times New Roman" w:hAnsi="Times New Roman" w:cs="Times New Roman"/>
          <w:color w:val="auto"/>
        </w:rPr>
      </w:pPr>
      <w:r>
        <w:rPr>
          <w:rFonts w:ascii="Times New Roman" w:hAnsi="Times New Roman" w:cs="Times New Roman"/>
          <w:color w:val="auto"/>
        </w:rPr>
        <w:t>一系统，壳管式换热器，壳程设计压力为1.0MPa，壳程走油气，管程走冷媒，材质为碳钢。</w:t>
      </w:r>
    </w:p>
    <w:p>
      <w:pPr>
        <w:ind w:firstLine="480"/>
        <w:rPr>
          <w:rFonts w:ascii="Times New Roman" w:hAnsi="Times New Roman" w:cs="Times New Roman"/>
          <w:color w:val="auto"/>
        </w:rPr>
      </w:pPr>
      <w:r>
        <w:rPr>
          <w:rFonts w:ascii="Times New Roman" w:hAnsi="Times New Roman" w:cs="Times New Roman"/>
          <w:color w:val="auto"/>
        </w:rPr>
        <w:t>二系统，壳管式换热器，壳程设计压力为1.0MPa，壳程走油气，管程走冷媒，材质为304。</w:t>
      </w:r>
    </w:p>
    <w:p>
      <w:pPr>
        <w:ind w:firstLine="480"/>
        <w:rPr>
          <w:rFonts w:ascii="Times New Roman" w:hAnsi="Times New Roman" w:cs="Times New Roman"/>
          <w:color w:val="auto"/>
        </w:rPr>
      </w:pPr>
      <w:r>
        <w:rPr>
          <w:rFonts w:ascii="Times New Roman" w:hAnsi="Times New Roman" w:cs="Times New Roman"/>
          <w:color w:val="auto"/>
        </w:rPr>
        <w:t>三系统，壳管式换热器，壳程设计压力为1.0MPa，壳程走油气，管程走冷媒，材质为304。(处理苯设备不带3级系统)</w:t>
      </w:r>
    </w:p>
    <w:p>
      <w:pPr>
        <w:ind w:firstLine="480"/>
        <w:rPr>
          <w:rFonts w:ascii="Times New Roman" w:hAnsi="Times New Roman" w:cs="Times New Roman"/>
          <w:color w:val="auto"/>
        </w:rPr>
      </w:pPr>
      <w:r>
        <w:rPr>
          <w:rFonts w:ascii="Times New Roman" w:hAnsi="Times New Roman" w:cs="Times New Roman"/>
          <w:color w:val="auto"/>
        </w:rPr>
        <w:t>k.储液罐采用压力容器结构，满足GB150要求，设计压力1.0MPa。</w:t>
      </w:r>
    </w:p>
    <w:p>
      <w:pPr>
        <w:ind w:firstLine="480"/>
        <w:rPr>
          <w:rFonts w:ascii="Times New Roman" w:hAnsi="Times New Roman" w:cs="Times New Roman"/>
          <w:color w:val="auto"/>
        </w:rPr>
      </w:pPr>
      <w:r>
        <w:rPr>
          <w:rFonts w:ascii="Times New Roman" w:hAnsi="Times New Roman" w:cs="Times New Roman"/>
          <w:color w:val="auto"/>
        </w:rPr>
        <w:t>l.冷凝机组为整体撬装结构，采用独立的风冷，采用海军标准的防腐，可满足码头盐雾环境需求。</w:t>
      </w:r>
    </w:p>
    <w:p>
      <w:pPr>
        <w:ind w:firstLine="480"/>
        <w:rPr>
          <w:rFonts w:ascii="Times New Roman" w:hAnsi="Times New Roman" w:cs="Times New Roman"/>
          <w:color w:val="auto"/>
        </w:rPr>
      </w:pPr>
      <w:r>
        <w:rPr>
          <w:rFonts w:ascii="Times New Roman" w:hAnsi="Times New Roman" w:cs="Times New Roman"/>
          <w:color w:val="auto"/>
        </w:rPr>
        <w:t>3）机组性能保证</w:t>
      </w:r>
    </w:p>
    <w:p>
      <w:pPr>
        <w:ind w:firstLine="480"/>
        <w:rPr>
          <w:rFonts w:ascii="Times New Roman" w:hAnsi="Times New Roman" w:cs="Times New Roman"/>
          <w:color w:val="auto"/>
        </w:rPr>
      </w:pPr>
      <w:r>
        <w:rPr>
          <w:rFonts w:ascii="Times New Roman" w:hAnsi="Times New Roman" w:cs="Times New Roman"/>
          <w:color w:val="auto"/>
        </w:rPr>
        <w:t>a.冷凝机组为连续运行装置，必须保证其在长时间连续运行时的稳定性；</w:t>
      </w:r>
    </w:p>
    <w:p>
      <w:pPr>
        <w:ind w:firstLine="480"/>
        <w:rPr>
          <w:rFonts w:ascii="Times New Roman" w:hAnsi="Times New Roman" w:cs="Times New Roman"/>
          <w:color w:val="auto"/>
        </w:rPr>
      </w:pPr>
      <w:r>
        <w:rPr>
          <w:rFonts w:ascii="Times New Roman" w:hAnsi="Times New Roman" w:cs="Times New Roman"/>
          <w:color w:val="auto"/>
        </w:rPr>
        <w:t>b.油气在冷凝机组内采用三级冷凝，最低冷凝温度要求长期达到-75℃，且制冷剂的最低蒸发温度保证在-80℃以下；</w:t>
      </w:r>
    </w:p>
    <w:p>
      <w:pPr>
        <w:ind w:firstLine="480"/>
        <w:rPr>
          <w:rFonts w:ascii="Times New Roman" w:hAnsi="Times New Roman" w:cs="Times New Roman"/>
          <w:color w:val="auto"/>
        </w:rPr>
      </w:pPr>
      <w:r>
        <w:rPr>
          <w:rFonts w:ascii="Times New Roman" w:hAnsi="Times New Roman" w:cs="Times New Roman"/>
          <w:color w:val="auto"/>
        </w:rPr>
        <w:t>c.考虑冷凝机组连续运行下的除霜功能，在采用双通道切换的情况下，保证单边运行时间不小于2h；且在双通道切换过程均能保证冷凝机组可连续稳定运行，不产生波动。</w:t>
      </w:r>
    </w:p>
    <w:p>
      <w:pPr>
        <w:ind w:firstLine="480"/>
        <w:rPr>
          <w:rFonts w:ascii="Times New Roman" w:hAnsi="Times New Roman" w:cs="Times New Roman"/>
          <w:color w:val="auto"/>
        </w:rPr>
      </w:pPr>
      <w:r>
        <w:rPr>
          <w:rFonts w:ascii="Times New Roman" w:hAnsi="Times New Roman" w:cs="Times New Roman"/>
          <w:color w:val="auto"/>
        </w:rPr>
        <w:t>d.考虑冷凝机组在除霜及预冷阶段，油气冷凝受到的影响，必须保证在此两个阶段内油气冷凝温度达到-60℃以下；</w:t>
      </w:r>
    </w:p>
    <w:p>
      <w:pPr>
        <w:ind w:firstLine="480"/>
        <w:rPr>
          <w:rFonts w:ascii="Times New Roman" w:hAnsi="Times New Roman" w:cs="Times New Roman"/>
          <w:color w:val="auto"/>
        </w:rPr>
      </w:pPr>
      <w:r>
        <w:rPr>
          <w:rFonts w:ascii="Times New Roman" w:hAnsi="Times New Roman" w:cs="Times New Roman"/>
          <w:color w:val="auto"/>
        </w:rPr>
        <w:t>e.冷凝机组三级冷却后的油气通过冷量回收后的出口温度在10~20度范围内。</w:t>
      </w:r>
    </w:p>
    <w:p>
      <w:pPr>
        <w:ind w:firstLine="480"/>
        <w:rPr>
          <w:rFonts w:ascii="Times New Roman" w:hAnsi="Times New Roman" w:cs="Times New Roman"/>
          <w:color w:val="auto"/>
        </w:rPr>
      </w:pPr>
      <w:r>
        <w:rPr>
          <w:rFonts w:ascii="Times New Roman" w:hAnsi="Times New Roman" w:cs="Times New Roman"/>
          <w:color w:val="auto"/>
        </w:rPr>
        <w:t>4）安全保障</w:t>
      </w:r>
    </w:p>
    <w:p>
      <w:pPr>
        <w:ind w:firstLine="480"/>
        <w:rPr>
          <w:rFonts w:ascii="Times New Roman" w:hAnsi="Times New Roman" w:cs="Times New Roman"/>
          <w:color w:val="auto"/>
        </w:rPr>
      </w:pPr>
      <w:r>
        <w:rPr>
          <w:rFonts w:ascii="Times New Roman" w:hAnsi="Times New Roman" w:cs="Times New Roman"/>
          <w:color w:val="auto"/>
        </w:rPr>
        <w:t>a.所有组件包括压缩机均为EX防爆组件，并取得防爆合格证；</w:t>
      </w:r>
    </w:p>
    <w:p>
      <w:pPr>
        <w:ind w:firstLine="480"/>
        <w:rPr>
          <w:rFonts w:ascii="Times New Roman" w:hAnsi="Times New Roman" w:cs="Times New Roman"/>
          <w:color w:val="auto"/>
        </w:rPr>
      </w:pPr>
      <w:r>
        <w:rPr>
          <w:rFonts w:ascii="Times New Roman" w:hAnsi="Times New Roman" w:cs="Times New Roman"/>
          <w:color w:val="auto"/>
        </w:rPr>
        <w:t>b.设备设有防爆、压力、温度等监控装置，对系统本身和关键设备出现的任何异常都可采取相应的安全保护措施（例如制冷系统运行方面，排油方面，油气冷凝是否堵塞方面，可燃气体泄漏方面等）；</w:t>
      </w:r>
    </w:p>
    <w:p>
      <w:pPr>
        <w:ind w:firstLine="480"/>
        <w:rPr>
          <w:rFonts w:ascii="Times New Roman" w:hAnsi="Times New Roman" w:cs="Times New Roman"/>
          <w:color w:val="auto"/>
        </w:rPr>
      </w:pPr>
      <w:r>
        <w:rPr>
          <w:rFonts w:ascii="Times New Roman" w:hAnsi="Times New Roman" w:cs="Times New Roman"/>
          <w:color w:val="auto"/>
        </w:rPr>
        <w:t>c.设备的关键部位还安装有控制器、电磁阀和安全阀，可在装置出现突然停电、停气、停油采取相应的检测和防护措施。</w:t>
      </w:r>
    </w:p>
    <w:p>
      <w:pPr>
        <w:ind w:firstLine="480"/>
        <w:rPr>
          <w:rFonts w:ascii="Times New Roman" w:hAnsi="Times New Roman" w:cs="Times New Roman"/>
          <w:color w:val="auto"/>
        </w:rPr>
      </w:pPr>
      <w:r>
        <w:rPr>
          <w:rFonts w:ascii="Times New Roman" w:hAnsi="Times New Roman" w:cs="Times New Roman"/>
          <w:color w:val="auto"/>
        </w:rPr>
        <w:t>d.蒸发换热器、储油罐采用压力容器结构设计，保障整个设备的安全性。</w:t>
      </w:r>
    </w:p>
    <w:p>
      <w:pPr>
        <w:ind w:firstLine="480"/>
        <w:rPr>
          <w:rFonts w:ascii="Times New Roman" w:hAnsi="Times New Roman" w:cs="Times New Roman"/>
          <w:color w:val="auto"/>
        </w:rPr>
      </w:pPr>
      <w:r>
        <w:rPr>
          <w:rFonts w:ascii="Times New Roman" w:hAnsi="Times New Roman" w:cs="Times New Roman"/>
          <w:color w:val="auto"/>
        </w:rPr>
        <w:t>5）冷凝设备合格指标</w:t>
      </w:r>
    </w:p>
    <w:p>
      <w:pPr>
        <w:ind w:firstLine="480"/>
        <w:rPr>
          <w:rFonts w:ascii="Times New Roman" w:hAnsi="Times New Roman" w:cs="Times New Roman"/>
          <w:color w:val="auto"/>
        </w:rPr>
      </w:pPr>
      <w:r>
        <w:rPr>
          <w:rFonts w:ascii="Times New Roman" w:hAnsi="Times New Roman" w:cs="Times New Roman"/>
          <w:color w:val="auto"/>
        </w:rPr>
        <w:t>冷凝机组调试完成后运行12个月以内，稳定运行一个月后由买方组织安排时间标定考核，卖方配合相关工作，考核时间为72小时。年开工时数 8400小时，在50～110%的操作弹性下，设备平稳运行。</w:t>
      </w:r>
    </w:p>
    <w:p>
      <w:pPr>
        <w:ind w:firstLine="480"/>
        <w:rPr>
          <w:rFonts w:ascii="Times New Roman" w:hAnsi="Times New Roman" w:cs="Times New Roman"/>
          <w:color w:val="auto"/>
        </w:rPr>
      </w:pPr>
      <w:r>
        <w:rPr>
          <w:rFonts w:ascii="Times New Roman" w:hAnsi="Times New Roman" w:cs="Times New Roman"/>
          <w:color w:val="auto"/>
        </w:rPr>
        <w:t>制冷机组各级排放口废气温度如下：</w:t>
      </w:r>
    </w:p>
    <w:p>
      <w:pPr>
        <w:ind w:firstLine="480"/>
        <w:rPr>
          <w:rFonts w:ascii="Times New Roman" w:hAnsi="Times New Roman" w:cs="Times New Roman"/>
          <w:color w:val="auto"/>
        </w:rPr>
      </w:pPr>
      <w:r>
        <w:rPr>
          <w:rFonts w:ascii="Times New Roman" w:hAnsi="Times New Roman" w:cs="Times New Roman"/>
          <w:color w:val="auto"/>
        </w:rPr>
        <w:t>一级：5℃ </w:t>
      </w:r>
    </w:p>
    <w:p>
      <w:pPr>
        <w:ind w:firstLine="480"/>
        <w:rPr>
          <w:rFonts w:ascii="Times New Roman" w:hAnsi="Times New Roman" w:cs="Times New Roman"/>
          <w:color w:val="auto"/>
        </w:rPr>
      </w:pPr>
      <w:r>
        <w:rPr>
          <w:rFonts w:ascii="Times New Roman" w:hAnsi="Times New Roman" w:cs="Times New Roman"/>
          <w:color w:val="auto"/>
        </w:rPr>
        <w:t>二级：-30℃</w:t>
      </w:r>
    </w:p>
    <w:p>
      <w:pPr>
        <w:ind w:firstLine="480"/>
        <w:rPr>
          <w:rFonts w:ascii="Times New Roman" w:hAnsi="Times New Roman" w:cs="Times New Roman"/>
          <w:color w:val="auto"/>
        </w:rPr>
      </w:pPr>
      <w:r>
        <w:rPr>
          <w:rFonts w:ascii="Times New Roman" w:hAnsi="Times New Roman" w:cs="Times New Roman"/>
          <w:color w:val="auto"/>
        </w:rPr>
        <w:t>三级：-70℃</w:t>
      </w:r>
    </w:p>
    <w:p>
      <w:pPr>
        <w:ind w:firstLine="480"/>
        <w:rPr>
          <w:rFonts w:ascii="Times New Roman" w:hAnsi="Times New Roman" w:cs="Times New Roman"/>
          <w:color w:val="auto"/>
        </w:rPr>
      </w:pPr>
      <w:r>
        <w:rPr>
          <w:rFonts w:ascii="Times New Roman" w:hAnsi="Times New Roman" w:cs="Times New Roman"/>
          <w:color w:val="auto"/>
        </w:rPr>
        <w:t>设备启动后1个小时内从常温达到温度设定值。</w:t>
      </w:r>
    </w:p>
    <w:p>
      <w:pPr>
        <w:ind w:firstLine="480"/>
        <w:rPr>
          <w:rFonts w:ascii="Times New Roman" w:hAnsi="Times New Roman" w:cs="Times New Roman"/>
          <w:color w:val="auto"/>
        </w:rPr>
      </w:pPr>
      <w:r>
        <w:rPr>
          <w:rFonts w:ascii="Times New Roman" w:hAnsi="Times New Roman" w:cs="Times New Roman"/>
          <w:color w:val="auto"/>
        </w:rPr>
        <w:t>（2）吸附部分</w:t>
      </w:r>
    </w:p>
    <w:p>
      <w:pPr>
        <w:ind w:firstLine="480"/>
        <w:rPr>
          <w:rFonts w:ascii="Times New Roman" w:hAnsi="Times New Roman" w:cs="Times New Roman"/>
          <w:color w:val="auto"/>
        </w:rPr>
      </w:pPr>
      <w:r>
        <w:rPr>
          <w:rFonts w:ascii="Times New Roman" w:hAnsi="Times New Roman" w:cs="Times New Roman"/>
          <w:color w:val="auto"/>
        </w:rPr>
        <w:t>吸附部分由两台吸附罐、一台真空泵、排气筒及配套设施组成，与冷凝部分一起成撬。</w:t>
      </w:r>
    </w:p>
    <w:p>
      <w:pPr>
        <w:ind w:firstLine="480"/>
        <w:rPr>
          <w:rFonts w:ascii="Times New Roman" w:hAnsi="Times New Roman" w:cs="Times New Roman"/>
          <w:color w:val="auto"/>
        </w:rPr>
      </w:pPr>
      <w:r>
        <w:rPr>
          <w:rFonts w:ascii="Times New Roman" w:hAnsi="Times New Roman" w:cs="Times New Roman"/>
          <w:color w:val="auto"/>
        </w:rPr>
        <w:t>1）吸附单元采用变压吸附工艺，满足装置连续运行的需要，吸附出口气体满足排放指标要求。</w:t>
      </w:r>
    </w:p>
    <w:p>
      <w:pPr>
        <w:ind w:firstLine="480"/>
        <w:rPr>
          <w:rFonts w:ascii="Times New Roman" w:hAnsi="Times New Roman" w:cs="Times New Roman"/>
          <w:color w:val="auto"/>
        </w:rPr>
      </w:pPr>
      <w:r>
        <w:rPr>
          <w:rFonts w:ascii="Times New Roman" w:hAnsi="Times New Roman" w:cs="Times New Roman"/>
          <w:color w:val="auto"/>
        </w:rPr>
        <w:t>2）吸附剂的吸附/脱附性能稳定，寿命5年以上。</w:t>
      </w:r>
    </w:p>
    <w:p>
      <w:pPr>
        <w:ind w:firstLine="480"/>
        <w:rPr>
          <w:rFonts w:ascii="Times New Roman" w:hAnsi="Times New Roman" w:cs="Times New Roman"/>
          <w:color w:val="auto"/>
        </w:rPr>
      </w:pPr>
      <w:r>
        <w:rPr>
          <w:rFonts w:ascii="Times New Roman" w:hAnsi="Times New Roman" w:cs="Times New Roman"/>
          <w:color w:val="auto"/>
        </w:rPr>
        <w:t>3）吸附塔设计压力1.0/-0.1MPa.G，材质为Q345R。</w:t>
      </w:r>
    </w:p>
    <w:p>
      <w:pPr>
        <w:ind w:firstLine="480"/>
        <w:rPr>
          <w:rFonts w:ascii="Times New Roman" w:hAnsi="Times New Roman" w:cs="Times New Roman"/>
          <w:color w:val="auto"/>
        </w:rPr>
      </w:pPr>
      <w:r>
        <w:rPr>
          <w:rFonts w:ascii="Times New Roman" w:hAnsi="Times New Roman" w:cs="Times New Roman"/>
          <w:color w:val="auto"/>
        </w:rPr>
        <w:t>4）吸附塔采用圆筒形结构，气体进入吸附塔后应确保分布均匀，避免出现死角，影响吸附效率。</w:t>
      </w:r>
    </w:p>
    <w:p>
      <w:pPr>
        <w:ind w:firstLine="480"/>
        <w:rPr>
          <w:rFonts w:ascii="Times New Roman" w:hAnsi="Times New Roman" w:cs="Times New Roman"/>
          <w:color w:val="auto"/>
        </w:rPr>
      </w:pPr>
      <w:r>
        <w:rPr>
          <w:rFonts w:ascii="Times New Roman" w:hAnsi="Times New Roman" w:cs="Times New Roman"/>
          <w:color w:val="auto"/>
        </w:rPr>
        <w:t>5）为方便吸附剂的装填，吸附塔的封头采用大法兰连接。</w:t>
      </w:r>
    </w:p>
    <w:p>
      <w:pPr>
        <w:ind w:firstLine="480"/>
        <w:rPr>
          <w:rFonts w:ascii="Times New Roman" w:hAnsi="Times New Roman" w:cs="Times New Roman"/>
          <w:color w:val="auto"/>
        </w:rPr>
      </w:pPr>
      <w:r>
        <w:rPr>
          <w:rFonts w:ascii="Times New Roman" w:hAnsi="Times New Roman" w:cs="Times New Roman"/>
          <w:color w:val="auto"/>
        </w:rPr>
        <w:t>6）吸附系统应有防止吸附剂床层温度过高的安全措施，且每个吸附塔床层必须设置两个及以上远传温度仪表。</w:t>
      </w:r>
    </w:p>
    <w:p>
      <w:pPr>
        <w:ind w:firstLine="480"/>
        <w:rPr>
          <w:rFonts w:ascii="Times New Roman" w:hAnsi="Times New Roman" w:cs="Times New Roman"/>
          <w:color w:val="auto"/>
        </w:rPr>
      </w:pPr>
      <w:r>
        <w:rPr>
          <w:rFonts w:ascii="Times New Roman" w:hAnsi="Times New Roman" w:cs="Times New Roman"/>
          <w:color w:val="auto"/>
        </w:rPr>
        <w:t>7）吸附系统开关阀门启闭速度不大于10S，密封等级不低于V级，使用寿命不少于质保期。</w:t>
      </w:r>
    </w:p>
    <w:p>
      <w:pPr>
        <w:ind w:firstLine="480"/>
        <w:rPr>
          <w:rFonts w:ascii="Times New Roman" w:hAnsi="Times New Roman" w:cs="Times New Roman"/>
          <w:color w:val="auto"/>
        </w:rPr>
      </w:pPr>
      <w:r>
        <w:rPr>
          <w:rFonts w:ascii="Times New Roman" w:hAnsi="Times New Roman" w:cs="Times New Roman"/>
          <w:color w:val="auto"/>
        </w:rPr>
        <w:t>8）吸附单元采用干式真空泵脱附，脱附真空度不低于92KPa。</w:t>
      </w:r>
    </w:p>
    <w:p>
      <w:pPr>
        <w:ind w:firstLine="480"/>
        <w:rPr>
          <w:rFonts w:ascii="Times New Roman" w:hAnsi="Times New Roman" w:cs="Times New Roman"/>
          <w:color w:val="auto"/>
        </w:rPr>
      </w:pPr>
      <w:r>
        <w:rPr>
          <w:rFonts w:ascii="Times New Roman" w:hAnsi="Times New Roman" w:cs="Times New Roman"/>
          <w:color w:val="auto"/>
        </w:rPr>
        <w:t>9）真空泵入口设置过滤器，应有效防止吸附剂粉末进入到真空泵中。真空泵入口设远传压力变送器，泵体设远程温度变送器。</w:t>
      </w:r>
    </w:p>
    <w:p>
      <w:pPr>
        <w:ind w:firstLine="480"/>
        <w:rPr>
          <w:rFonts w:ascii="Times New Roman" w:hAnsi="Times New Roman" w:cs="Times New Roman"/>
          <w:color w:val="auto"/>
        </w:rPr>
      </w:pPr>
      <w:r>
        <w:rPr>
          <w:rFonts w:ascii="Times New Roman" w:hAnsi="Times New Roman" w:cs="Times New Roman"/>
          <w:color w:val="auto"/>
        </w:rPr>
        <w:t>10）吸附单元操作过程中，脱附操作结束后，吸附罐升压阶段禁止采用空气作为升压气体。</w:t>
      </w:r>
    </w:p>
    <w:p>
      <w:pPr>
        <w:ind w:firstLine="480"/>
        <w:rPr>
          <w:rFonts w:ascii="Times New Roman" w:hAnsi="Times New Roman" w:cs="Times New Roman"/>
          <w:color w:val="auto"/>
        </w:rPr>
      </w:pPr>
      <w:r>
        <w:rPr>
          <w:rFonts w:ascii="Times New Roman" w:hAnsi="Times New Roman" w:cs="Times New Roman"/>
          <w:color w:val="auto"/>
        </w:rPr>
        <w:t>11）尾气进入排气筒前设置阻爆轰型阻火器，且阻火器进出口设置压差变送器，排气筒设防雷、接地、取样口及取样平台。</w:t>
      </w:r>
    </w:p>
    <w:p>
      <w:pPr>
        <w:ind w:firstLine="482"/>
        <w:rPr>
          <w:rFonts w:ascii="Times New Roman" w:hAnsi="Times New Roman" w:cs="Times New Roman"/>
          <w:b/>
          <w:color w:val="auto"/>
          <w:szCs w:val="28"/>
        </w:rPr>
      </w:pPr>
      <w:r>
        <w:rPr>
          <w:rFonts w:ascii="Times New Roman" w:hAnsi="Times New Roman" w:cs="Times New Roman"/>
          <w:b/>
          <w:color w:val="auto"/>
          <w:szCs w:val="28"/>
        </w:rPr>
        <w:t>5、</w:t>
      </w:r>
      <w:r>
        <w:rPr>
          <w:rFonts w:ascii="Times New Roman" w:hAnsi="Times New Roman" w:cs="Times New Roman"/>
          <w:b/>
          <w:color w:val="auto"/>
          <w:spacing w:val="4"/>
          <w:kern w:val="0"/>
          <w:szCs w:val="28"/>
        </w:rPr>
        <w:t>设计</w:t>
      </w:r>
      <w:r>
        <w:rPr>
          <w:rFonts w:ascii="Times New Roman" w:hAnsi="Times New Roman" w:cs="Times New Roman"/>
          <w:b/>
          <w:color w:val="auto"/>
          <w:szCs w:val="28"/>
        </w:rPr>
        <w:t>基础数据</w:t>
      </w:r>
    </w:p>
    <w:p>
      <w:pPr>
        <w:ind w:firstLine="442"/>
        <w:jc w:val="center"/>
        <w:rPr>
          <w:rFonts w:ascii="Times New Roman" w:hAnsi="Times New Roman" w:cs="Times New Roman"/>
          <w:color w:val="auto"/>
          <w:sz w:val="22"/>
          <w:szCs w:val="21"/>
        </w:rPr>
      </w:pPr>
      <w:r>
        <w:rPr>
          <w:rFonts w:ascii="Times New Roman" w:hAnsi="Times New Roman" w:eastAsia="黑体" w:cs="Times New Roman"/>
          <w:b/>
          <w:color w:val="auto"/>
          <w:sz w:val="22"/>
          <w:szCs w:val="21"/>
        </w:rPr>
        <w:t>表3.9-1  800型油气回收系统主要参数</w:t>
      </w:r>
    </w:p>
    <w:tbl>
      <w:tblPr>
        <w:tblStyle w:val="62"/>
        <w:tblW w:w="8714" w:type="dxa"/>
        <w:tblInd w:w="113"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39"/>
        <w:gridCol w:w="2383"/>
        <w:gridCol w:w="3872"/>
        <w:gridCol w:w="893"/>
        <w:gridCol w:w="82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序号</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名称</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规格</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数量</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7"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船岸界面安全装置</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DN200</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1套</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油气风机单元</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9"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1）</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油气缓冲罐</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V≥1.5m</w:t>
            </w:r>
            <w:r>
              <w:rPr>
                <w:rFonts w:ascii="Times New Roman" w:hAnsi="Times New Roman" w:cs="Times New Roman"/>
                <w:color w:val="auto"/>
                <w:kern w:val="24"/>
                <w:sz w:val="18"/>
                <w:szCs w:val="18"/>
                <w:vertAlign w:val="superscript"/>
              </w:rPr>
              <w:t>3</w:t>
            </w:r>
            <w:r>
              <w:rPr>
                <w:rFonts w:ascii="Times New Roman" w:hAnsi="Times New Roman" w:cs="Times New Roman"/>
                <w:color w:val="auto"/>
                <w:kern w:val="24"/>
                <w:sz w:val="18"/>
                <w:szCs w:val="18"/>
              </w:rPr>
              <w:t>，Q345R（含连锁切断阀、压力变送器、阻火器等）</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1套</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7"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2）</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风机</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Q≥880m</w:t>
            </w:r>
            <w:r>
              <w:rPr>
                <w:rFonts w:ascii="Times New Roman" w:hAnsi="Times New Roman" w:cs="Times New Roman"/>
                <w:color w:val="auto"/>
                <w:kern w:val="24"/>
                <w:sz w:val="18"/>
                <w:szCs w:val="18"/>
                <w:vertAlign w:val="superscript"/>
              </w:rPr>
              <w:t>3</w:t>
            </w:r>
            <w:r>
              <w:rPr>
                <w:rFonts w:ascii="Times New Roman" w:hAnsi="Times New Roman" w:cs="Times New Roman"/>
                <w:color w:val="auto"/>
                <w:kern w:val="24"/>
                <w:sz w:val="18"/>
                <w:szCs w:val="18"/>
              </w:rPr>
              <w:t>，800 m</w:t>
            </w:r>
            <w:r>
              <w:rPr>
                <w:rFonts w:ascii="Times New Roman" w:hAnsi="Times New Roman" w:cs="Times New Roman"/>
                <w:color w:val="auto"/>
                <w:kern w:val="24"/>
                <w:sz w:val="18"/>
                <w:szCs w:val="18"/>
                <w:vertAlign w:val="superscript"/>
              </w:rPr>
              <w:t>3</w:t>
            </w:r>
            <w:r>
              <w:rPr>
                <w:rFonts w:ascii="Times New Roman" w:hAnsi="Times New Roman" w:cs="Times New Roman"/>
                <w:color w:val="auto"/>
                <w:kern w:val="24"/>
                <w:sz w:val="18"/>
                <w:szCs w:val="18"/>
              </w:rPr>
              <w:t>升压按计算值，变频</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1台</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防爆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3）</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阻火器</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壳体材质304，风机出入口</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2台</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油气冷凝单元</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9"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1）</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冷凝系统</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含制冷压缩机、冷凝器、换热器、过滤器、膨胀阀等</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1套</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7"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2）</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集油罐</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V≥6.0m</w:t>
            </w:r>
            <w:r>
              <w:rPr>
                <w:rFonts w:ascii="Times New Roman" w:hAnsi="Times New Roman" w:cs="Times New Roman"/>
                <w:color w:val="auto"/>
                <w:kern w:val="24"/>
                <w:sz w:val="18"/>
                <w:szCs w:val="18"/>
                <w:vertAlign w:val="superscript"/>
              </w:rPr>
              <w:t>3</w:t>
            </w:r>
            <w:r>
              <w:rPr>
                <w:rFonts w:ascii="Times New Roman" w:hAnsi="Times New Roman" w:cs="Times New Roman"/>
                <w:color w:val="auto"/>
                <w:kern w:val="24"/>
                <w:sz w:val="18"/>
                <w:szCs w:val="18"/>
              </w:rPr>
              <w:t>，材质304</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1套</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3）</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油泵</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屏蔽泵</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1台</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防爆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7"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4）</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预冷换热器</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材质304</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1台</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吸附单元</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7"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1）</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吸附塔</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Q345R（含配套仪表、阀门）</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2套</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2）</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吸附剂</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带吸湿功能</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1宗</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3）</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真空泵</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Q≥880m</w:t>
            </w:r>
            <w:r>
              <w:rPr>
                <w:rFonts w:ascii="Times New Roman" w:hAnsi="Times New Roman" w:cs="Times New Roman"/>
                <w:color w:val="auto"/>
                <w:kern w:val="24"/>
                <w:sz w:val="18"/>
                <w:szCs w:val="18"/>
                <w:vertAlign w:val="superscript"/>
              </w:rPr>
              <w:t>3</w:t>
            </w:r>
            <w:r>
              <w:rPr>
                <w:rFonts w:ascii="Times New Roman" w:hAnsi="Times New Roman" w:cs="Times New Roman"/>
                <w:color w:val="auto"/>
                <w:kern w:val="24"/>
                <w:sz w:val="18"/>
                <w:szCs w:val="18"/>
              </w:rPr>
              <w:t>，最低绝压≤5KPa</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1台</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7"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4）</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排气筒</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H≥15m，材质304</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1台</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bl>
    <w:p>
      <w:pPr>
        <w:ind w:firstLine="442"/>
        <w:jc w:val="center"/>
        <w:rPr>
          <w:rFonts w:ascii="Times New Roman" w:hAnsi="Times New Roman" w:cs="Times New Roman"/>
          <w:color w:val="auto"/>
          <w:sz w:val="22"/>
          <w:szCs w:val="21"/>
        </w:rPr>
      </w:pPr>
      <w:r>
        <w:rPr>
          <w:rFonts w:ascii="Times New Roman" w:hAnsi="Times New Roman" w:eastAsia="黑体" w:cs="Times New Roman"/>
          <w:b/>
          <w:color w:val="auto"/>
          <w:sz w:val="22"/>
          <w:szCs w:val="21"/>
        </w:rPr>
        <w:t>表3.9-2  200型油气回收系统主要参数</w:t>
      </w:r>
    </w:p>
    <w:tbl>
      <w:tblPr>
        <w:tblStyle w:val="62"/>
        <w:tblW w:w="8714" w:type="dxa"/>
        <w:tblInd w:w="113"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39"/>
        <w:gridCol w:w="2383"/>
        <w:gridCol w:w="3872"/>
        <w:gridCol w:w="893"/>
        <w:gridCol w:w="82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序号</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名称</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规格</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数量</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17"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船岸界面安全装置</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DN200</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1套</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油气风机单元</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49"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1）</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油气缓冲罐</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V≥1.5m</w:t>
            </w:r>
            <w:r>
              <w:rPr>
                <w:rFonts w:ascii="Times New Roman" w:hAnsi="Times New Roman" w:cs="Times New Roman"/>
                <w:color w:val="auto"/>
                <w:kern w:val="24"/>
                <w:sz w:val="18"/>
                <w:szCs w:val="18"/>
                <w:vertAlign w:val="superscript"/>
              </w:rPr>
              <w:t>3</w:t>
            </w:r>
            <w:r>
              <w:rPr>
                <w:rFonts w:ascii="Times New Roman" w:hAnsi="Times New Roman" w:cs="Times New Roman"/>
                <w:color w:val="auto"/>
                <w:kern w:val="24"/>
                <w:sz w:val="18"/>
                <w:szCs w:val="18"/>
              </w:rPr>
              <w:t>，Q345R（含连锁切断阀、压力变送器、阻火器等）</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1套</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17"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2）</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风机</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Q≥250m</w:t>
            </w:r>
            <w:r>
              <w:rPr>
                <w:rFonts w:ascii="Times New Roman" w:hAnsi="Times New Roman" w:cs="Times New Roman"/>
                <w:color w:val="auto"/>
                <w:kern w:val="24"/>
                <w:sz w:val="18"/>
                <w:szCs w:val="18"/>
                <w:vertAlign w:val="superscript"/>
              </w:rPr>
              <w:t>3</w:t>
            </w:r>
            <w:r>
              <w:rPr>
                <w:rFonts w:ascii="Times New Roman" w:hAnsi="Times New Roman" w:cs="Times New Roman"/>
                <w:color w:val="auto"/>
                <w:kern w:val="24"/>
                <w:sz w:val="18"/>
                <w:szCs w:val="18"/>
              </w:rPr>
              <w:t>，200m</w:t>
            </w:r>
            <w:r>
              <w:rPr>
                <w:rFonts w:ascii="Times New Roman" w:hAnsi="Times New Roman" w:cs="Times New Roman"/>
                <w:color w:val="auto"/>
                <w:kern w:val="24"/>
                <w:sz w:val="18"/>
                <w:szCs w:val="18"/>
                <w:vertAlign w:val="superscript"/>
              </w:rPr>
              <w:t>3</w:t>
            </w:r>
            <w:r>
              <w:rPr>
                <w:rFonts w:ascii="Times New Roman" w:hAnsi="Times New Roman" w:cs="Times New Roman"/>
                <w:color w:val="auto"/>
                <w:kern w:val="24"/>
                <w:sz w:val="18"/>
                <w:szCs w:val="18"/>
              </w:rPr>
              <w:t>升压按计算值，变频</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1台</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防爆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3）</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阻火器</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壳体材质304，风机出入口</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2台</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油气冷凝单元</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49"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1）</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冷凝系统</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含制冷压缩机、冷凝器、换热器、过滤器、膨胀阀等</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1套</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17"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2）</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集油罐</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V≥1.5m</w:t>
            </w:r>
            <w:r>
              <w:rPr>
                <w:rFonts w:ascii="Times New Roman" w:hAnsi="Times New Roman" w:cs="Times New Roman"/>
                <w:color w:val="auto"/>
                <w:kern w:val="24"/>
                <w:sz w:val="18"/>
                <w:szCs w:val="18"/>
                <w:vertAlign w:val="superscript"/>
              </w:rPr>
              <w:t>3</w:t>
            </w:r>
            <w:r>
              <w:rPr>
                <w:rFonts w:ascii="Times New Roman" w:hAnsi="Times New Roman" w:cs="Times New Roman"/>
                <w:color w:val="auto"/>
                <w:kern w:val="24"/>
                <w:sz w:val="18"/>
                <w:szCs w:val="18"/>
              </w:rPr>
              <w:t>，材质304</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1套</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3）</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油泵</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屏蔽泵</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1台</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防爆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17"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4）</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预冷换热器</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材质304</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1台</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吸附单元</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17"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1）</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吸附塔</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Q345R（含配套仪表、阀门）</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2套</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2）</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吸附剂</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带吸湿功能</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1宗</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1"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3）</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真空泵</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Q≥250m</w:t>
            </w:r>
            <w:r>
              <w:rPr>
                <w:rFonts w:ascii="Times New Roman" w:hAnsi="Times New Roman" w:cs="Times New Roman"/>
                <w:color w:val="auto"/>
                <w:kern w:val="24"/>
                <w:sz w:val="18"/>
                <w:szCs w:val="18"/>
                <w:vertAlign w:val="superscript"/>
              </w:rPr>
              <w:t>3</w:t>
            </w:r>
            <w:r>
              <w:rPr>
                <w:rFonts w:ascii="Times New Roman" w:hAnsi="Times New Roman" w:cs="Times New Roman"/>
                <w:color w:val="auto"/>
                <w:kern w:val="24"/>
                <w:sz w:val="18"/>
                <w:szCs w:val="18"/>
              </w:rPr>
              <w:t>，最低绝压≤5KPa</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1台</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17" w:hRule="atLeast"/>
        </w:trPr>
        <w:tc>
          <w:tcPr>
            <w:tcW w:w="739"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 xml:space="preserve">   4）</w:t>
            </w:r>
          </w:p>
        </w:tc>
        <w:tc>
          <w:tcPr>
            <w:tcW w:w="238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排气筒</w:t>
            </w:r>
          </w:p>
        </w:tc>
        <w:tc>
          <w:tcPr>
            <w:tcW w:w="3872"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H≥15m，材质304</w:t>
            </w:r>
          </w:p>
        </w:tc>
        <w:tc>
          <w:tcPr>
            <w:tcW w:w="893"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1台</w:t>
            </w:r>
          </w:p>
        </w:tc>
        <w:tc>
          <w:tcPr>
            <w:tcW w:w="827" w:type="dxa"/>
            <w:vAlign w:val="center"/>
          </w:tcPr>
          <w:p>
            <w:pPr>
              <w:adjustRightInd/>
              <w:snapToGrid/>
              <w:spacing w:line="240" w:lineRule="auto"/>
              <w:ind w:firstLine="0" w:firstLineChars="0"/>
              <w:jc w:val="center"/>
              <w:rPr>
                <w:rFonts w:ascii="Times New Roman" w:hAnsi="Times New Roman" w:cs="Times New Roman"/>
                <w:color w:val="auto"/>
                <w:kern w:val="24"/>
                <w:sz w:val="18"/>
                <w:szCs w:val="18"/>
              </w:rPr>
            </w:pPr>
          </w:p>
        </w:tc>
      </w:tr>
    </w:tbl>
    <w:p>
      <w:pPr>
        <w:ind w:firstLine="480"/>
        <w:rPr>
          <w:rFonts w:ascii="Times New Roman" w:hAnsi="Times New Roman" w:cs="Times New Roman"/>
          <w:color w:val="auto"/>
        </w:rPr>
        <w:sectPr>
          <w:headerReference r:id="rId18" w:type="default"/>
          <w:pgSz w:w="11910" w:h="16840"/>
          <w:pgMar w:top="1420" w:right="1560" w:bottom="1340" w:left="1560" w:header="872" w:footer="1150" w:gutter="0"/>
          <w:cols w:space="720" w:num="1"/>
        </w:sectPr>
      </w:pPr>
    </w:p>
    <w:p>
      <w:pPr>
        <w:ind w:firstLine="480"/>
        <w:jc w:val="center"/>
        <w:rPr>
          <w:rFonts w:ascii="Times New Roman" w:hAnsi="Times New Roman" w:cs="Times New Roman"/>
        </w:rPr>
      </w:pPr>
      <w:r>
        <w:rPr>
          <w:rFonts w:ascii="Times New Roman" w:hAnsi="Times New Roman" w:cs="Times New Roman"/>
          <w:color w:val="FF0000"/>
        </w:rPr>
        <mc:AlternateContent>
          <mc:Choice Requires="wps">
            <w:drawing>
              <wp:anchor distT="0" distB="0" distL="114300" distR="114300" simplePos="0" relativeHeight="251617280" behindDoc="0" locked="0" layoutInCell="1" allowOverlap="1">
                <wp:simplePos x="0" y="0"/>
                <wp:positionH relativeFrom="column">
                  <wp:posOffset>1939925</wp:posOffset>
                </wp:positionH>
                <wp:positionV relativeFrom="paragraph">
                  <wp:posOffset>4324985</wp:posOffset>
                </wp:positionV>
                <wp:extent cx="1295400" cy="542925"/>
                <wp:effectExtent l="0" t="933450" r="723900" b="0"/>
                <wp:wrapNone/>
                <wp:docPr id="246" name="AutoShape 2424"/>
                <wp:cNvGraphicFramePr/>
                <a:graphic xmlns:a="http://schemas.openxmlformats.org/drawingml/2006/main">
                  <a:graphicData uri="http://schemas.microsoft.com/office/word/2010/wordprocessingShape">
                    <wps:wsp>
                      <wps:cNvSpPr>
                        <a:spLocks noChangeArrowheads="true"/>
                      </wps:cNvSpPr>
                      <wps:spPr bwMode="auto">
                        <a:xfrm>
                          <a:off x="0" y="0"/>
                          <a:ext cx="1295400" cy="542925"/>
                        </a:xfrm>
                        <a:prstGeom prst="wedgeRoundRectCallout">
                          <a:avLst>
                            <a:gd name="adj1" fmla="val 105537"/>
                            <a:gd name="adj2" fmla="val -220176"/>
                            <a:gd name="adj3" fmla="val 16667"/>
                          </a:avLst>
                        </a:prstGeom>
                        <a:solidFill>
                          <a:srgbClr val="FFFFFF"/>
                        </a:solidFill>
                        <a:ln>
                          <a:noFill/>
                        </a:ln>
                      </wps:spPr>
                      <wps:txbx>
                        <w:txbxContent>
                          <w:p>
                            <w:pPr>
                              <w:spacing w:line="240" w:lineRule="auto"/>
                              <w:ind w:firstLine="0" w:firstLineChars="0"/>
                              <w:jc w:val="center"/>
                              <w:rPr>
                                <w:b/>
                                <w:bCs/>
                                <w:color w:val="FF0000"/>
                              </w:rPr>
                            </w:pPr>
                            <w:r>
                              <w:rPr>
                                <w:b/>
                                <w:bCs/>
                                <w:color w:val="FF0000"/>
                                <w:sz w:val="21"/>
                                <w:szCs w:val="20"/>
                              </w:rPr>
                              <w:t>2#</w:t>
                            </w:r>
                            <w:r>
                              <w:rPr>
                                <w:rFonts w:hint="eastAsia"/>
                                <w:b/>
                                <w:bCs/>
                                <w:color w:val="FF0000"/>
                                <w:sz w:val="21"/>
                                <w:szCs w:val="20"/>
                              </w:rPr>
                              <w:t>油气回收装置（装车</w:t>
                            </w:r>
                            <w:r>
                              <w:rPr>
                                <w:rFonts w:hint="eastAsia"/>
                                <w:b/>
                                <w:bCs/>
                                <w:color w:val="FF0000"/>
                              </w:rPr>
                              <w:t>）</w:t>
                            </w:r>
                          </w:p>
                        </w:txbxContent>
                      </wps:txbx>
                      <wps:bodyPr rot="0" vert="horz" wrap="square" lIns="91440" tIns="45720" rIns="91440" bIns="45720" anchor="t" anchorCtr="false" upright="true">
                        <a:noAutofit/>
                      </wps:bodyPr>
                    </wps:wsp>
                  </a:graphicData>
                </a:graphic>
              </wp:anchor>
            </w:drawing>
          </mc:Choice>
          <mc:Fallback>
            <w:pict>
              <v:shape id="AutoShape 2424" o:spid="_x0000_s1026" o:spt="62" type="#_x0000_t62" style="position:absolute;left:0pt;margin-left:152.75pt;margin-top:340.55pt;height:42.75pt;width:102pt;z-index:251617280;mso-width-relative:page;mso-height-relative:page;" fillcolor="#FFFFFF" filled="t" stroked="f" coordsize="21600,21600" o:gfxdata="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FgAAAGRycy9QSwECFAAUAAAACACHTuJA4uialdkA&#10;AAALAQAADwAAAAAAAAABACAAAAA4AAAAZHJzL2Rvd25yZXYueG1sUEsBAhQAFAAAAAgAh07iQGcg&#10;mQxBAgAAfgQAAA4AAAAAAAAAAQAgAAAAPgEAAGRycy9lMm9Eb2MueG1sUEsFBgAAAAAGAAYAWQEA&#10;APEFAAAAAA==&#10;" adj="33596,0,14400">
                <v:fill on="t" focussize="0,0"/>
                <v:stroke on="f"/>
                <v:imagedata o:title=""/>
                <o:lock v:ext="edit" aspectratio="f"/>
                <v:textbox>
                  <w:txbxContent>
                    <w:p>
                      <w:pPr>
                        <w:spacing w:line="240" w:lineRule="auto"/>
                        <w:ind w:firstLine="0" w:firstLineChars="0"/>
                        <w:jc w:val="center"/>
                        <w:rPr>
                          <w:b/>
                          <w:bCs/>
                          <w:color w:val="FF0000"/>
                        </w:rPr>
                      </w:pPr>
                      <w:r>
                        <w:rPr>
                          <w:b/>
                          <w:bCs/>
                          <w:color w:val="FF0000"/>
                          <w:sz w:val="21"/>
                          <w:szCs w:val="20"/>
                        </w:rPr>
                        <w:t>2#</w:t>
                      </w:r>
                      <w:r>
                        <w:rPr>
                          <w:rFonts w:hint="eastAsia"/>
                          <w:b/>
                          <w:bCs/>
                          <w:color w:val="FF0000"/>
                          <w:sz w:val="21"/>
                          <w:szCs w:val="20"/>
                        </w:rPr>
                        <w:t>油气回收装置（装车</w:t>
                      </w:r>
                      <w:r>
                        <w:rPr>
                          <w:rFonts w:hint="eastAsia"/>
                          <w:b/>
                          <w:bCs/>
                          <w:color w:val="FF0000"/>
                        </w:rPr>
                        <w:t>）</w:t>
                      </w:r>
                    </w:p>
                  </w:txbxContent>
                </v:textbox>
              </v:shape>
            </w:pict>
          </mc:Fallback>
        </mc:AlternateContent>
      </w:r>
      <w:r>
        <w:rPr>
          <w:rFonts w:ascii="Times New Roman" w:hAnsi="Times New Roman" w:cs="Times New Roman"/>
          <w:color w:val="FF0000"/>
        </w:rPr>
        <mc:AlternateContent>
          <mc:Choice Requires="wps">
            <w:drawing>
              <wp:anchor distT="0" distB="0" distL="114300" distR="114300" simplePos="0" relativeHeight="251618304" behindDoc="0" locked="0" layoutInCell="1" allowOverlap="1">
                <wp:simplePos x="0" y="0"/>
                <wp:positionH relativeFrom="column">
                  <wp:posOffset>3873500</wp:posOffset>
                </wp:positionH>
                <wp:positionV relativeFrom="paragraph">
                  <wp:posOffset>3362960</wp:posOffset>
                </wp:positionV>
                <wp:extent cx="171450" cy="90805"/>
                <wp:effectExtent l="19050" t="19050" r="19050" b="23495"/>
                <wp:wrapNone/>
                <wp:docPr id="243" name="Rectangle 2421"/>
                <wp:cNvGraphicFramePr/>
                <a:graphic xmlns:a="http://schemas.openxmlformats.org/drawingml/2006/main">
                  <a:graphicData uri="http://schemas.microsoft.com/office/word/2010/wordprocessingShape">
                    <wps:wsp>
                      <wps:cNvSpPr>
                        <a:spLocks noChangeArrowheads="true"/>
                      </wps:cNvSpPr>
                      <wps:spPr bwMode="auto">
                        <a:xfrm>
                          <a:off x="0" y="0"/>
                          <a:ext cx="171450" cy="90805"/>
                        </a:xfrm>
                        <a:prstGeom prst="rect">
                          <a:avLst/>
                        </a:prstGeom>
                        <a:noFill/>
                        <a:ln w="28575">
                          <a:solidFill>
                            <a:srgbClr val="FF0000"/>
                          </a:solidFill>
                          <a:miter lim="800000"/>
                        </a:ln>
                      </wps:spPr>
                      <wps:bodyPr rot="0" vert="horz" wrap="square" lIns="91440" tIns="45720" rIns="91440" bIns="45720" anchor="t" anchorCtr="false" upright="true">
                        <a:noAutofit/>
                      </wps:bodyPr>
                    </wps:wsp>
                  </a:graphicData>
                </a:graphic>
              </wp:anchor>
            </w:drawing>
          </mc:Choice>
          <mc:Fallback>
            <w:pict>
              <v:rect id="Rectangle 2421" o:spid="_x0000_s1026" o:spt="1" style="position:absolute;left:0pt;margin-left:305pt;margin-top:264.8pt;height:7.15pt;width:13.5pt;z-index:251618304;mso-width-relative:page;mso-height-relative:page;" filled="f" stroked="t" coordsize="21600,21600" o:gfxdata="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FgAAAGRycy9QSwECFAAUAAAACACH&#10;TuJAaYRjQNgAAAALAQAADwAAAAAAAAABACAAAAA4AAAAZHJzL2Rvd25yZXYueG1sUEsBAhQAFAAA&#10;AAgAh07iQNW3qK8SAgAACQQAAA4AAAAAAAAAAQAgAAAAPQEAAGRycy9lMm9Eb2MueG1sUEsFBgAA&#10;AAAGAAYAWQEAAMEFAAAAAA==&#10;">
                <v:fill on="f" focussize="0,0"/>
                <v:stroke weight="2.25pt" color="#FF0000" miterlimit="8" joinstyle="miter"/>
                <v:imagedata o:title=""/>
                <o:lock v:ext="edit" aspectratio="f"/>
              </v:rect>
            </w:pict>
          </mc:Fallback>
        </mc:AlternateContent>
      </w:r>
      <w:r>
        <w:rPr>
          <w:rFonts w:ascii="Times New Roman" w:hAnsi="Times New Roman" w:cs="Times New Roman"/>
          <w:color w:val="FF0000"/>
        </w:rPr>
        <mc:AlternateContent>
          <mc:Choice Requires="wps">
            <w:drawing>
              <wp:anchor distT="0" distB="0" distL="114300" distR="114300" simplePos="0" relativeHeight="251619328" behindDoc="0" locked="0" layoutInCell="1" allowOverlap="1">
                <wp:simplePos x="0" y="0"/>
                <wp:positionH relativeFrom="column">
                  <wp:posOffset>2797175</wp:posOffset>
                </wp:positionH>
                <wp:positionV relativeFrom="paragraph">
                  <wp:posOffset>372110</wp:posOffset>
                </wp:positionV>
                <wp:extent cx="1295400" cy="542925"/>
                <wp:effectExtent l="0" t="0" r="371475" b="409575"/>
                <wp:wrapNone/>
                <wp:docPr id="242" name="AutoShape 2423"/>
                <wp:cNvGraphicFramePr/>
                <a:graphic xmlns:a="http://schemas.openxmlformats.org/drawingml/2006/main">
                  <a:graphicData uri="http://schemas.microsoft.com/office/word/2010/wordprocessingShape">
                    <wps:wsp>
                      <wps:cNvSpPr>
                        <a:spLocks noChangeArrowheads="true"/>
                      </wps:cNvSpPr>
                      <wps:spPr bwMode="auto">
                        <a:xfrm>
                          <a:off x="0" y="0"/>
                          <a:ext cx="1295400" cy="542925"/>
                        </a:xfrm>
                        <a:prstGeom prst="wedgeRoundRectCallout">
                          <a:avLst>
                            <a:gd name="adj1" fmla="val 78333"/>
                            <a:gd name="adj2" fmla="val 123685"/>
                            <a:gd name="adj3" fmla="val 16667"/>
                          </a:avLst>
                        </a:prstGeom>
                        <a:solidFill>
                          <a:srgbClr val="FFFFFF"/>
                        </a:solidFill>
                        <a:ln>
                          <a:noFill/>
                        </a:ln>
                      </wps:spPr>
                      <wps:txbx>
                        <w:txbxContent>
                          <w:p>
                            <w:pPr>
                              <w:spacing w:line="240" w:lineRule="auto"/>
                              <w:ind w:firstLine="0" w:firstLineChars="0"/>
                              <w:jc w:val="center"/>
                              <w:rPr>
                                <w:b/>
                                <w:bCs/>
                                <w:color w:val="FF0000"/>
                              </w:rPr>
                            </w:pPr>
                            <w:r>
                              <w:rPr>
                                <w:rFonts w:hint="eastAsia"/>
                                <w:b/>
                                <w:bCs/>
                                <w:color w:val="FF0000"/>
                                <w:sz w:val="21"/>
                                <w:szCs w:val="20"/>
                              </w:rPr>
                              <w:t>1</w:t>
                            </w:r>
                            <w:r>
                              <w:rPr>
                                <w:b/>
                                <w:bCs/>
                                <w:color w:val="FF0000"/>
                                <w:sz w:val="21"/>
                                <w:szCs w:val="20"/>
                              </w:rPr>
                              <w:t>#</w:t>
                            </w:r>
                            <w:r>
                              <w:rPr>
                                <w:rFonts w:hint="eastAsia"/>
                                <w:b/>
                                <w:bCs/>
                                <w:color w:val="FF0000"/>
                                <w:sz w:val="21"/>
                                <w:szCs w:val="20"/>
                              </w:rPr>
                              <w:t>油气回收装置（装船</w:t>
                            </w:r>
                            <w:r>
                              <w:rPr>
                                <w:rFonts w:hint="eastAsia"/>
                                <w:b/>
                                <w:bCs/>
                                <w:color w:val="FF0000"/>
                              </w:rPr>
                              <w:t>）</w:t>
                            </w:r>
                          </w:p>
                        </w:txbxContent>
                      </wps:txbx>
                      <wps:bodyPr rot="0" vert="horz" wrap="square" lIns="91440" tIns="45720" rIns="91440" bIns="45720" anchor="t" anchorCtr="false" upright="true">
                        <a:noAutofit/>
                      </wps:bodyPr>
                    </wps:wsp>
                  </a:graphicData>
                </a:graphic>
              </wp:anchor>
            </w:drawing>
          </mc:Choice>
          <mc:Fallback>
            <w:pict>
              <v:shape id="AutoShape 2423" o:spid="_x0000_s1026" o:spt="62" type="#_x0000_t62" style="position:absolute;left:0pt;margin-left:220.25pt;margin-top:29.3pt;height:42.75pt;width:102pt;z-index:251619328;mso-width-relative:page;mso-height-relative:page;" fillcolor="#FFFFFF" filled="t" stroked="f" coordsize="21600,21600" o:gfxdata="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Po1mTNcAAAAK&#10;AQAADwAAAAAAAAABACAAAAA4AAAAZHJzL2Rvd25yZXYueG1sUEsBAhQAFAAAAAgAh07iQEtlOaVA&#10;AgAAfAQAAA4AAAAAAAAAAQAgAAAAPAEAAGRycy9lMm9Eb2MueG1sUEsFBgAAAAAGAAYAWQEAAO4F&#10;AAAAAA==&#10;" adj="27720,37516,14400">
                <v:fill on="t" focussize="0,0"/>
                <v:stroke on="f"/>
                <v:imagedata o:title=""/>
                <o:lock v:ext="edit" aspectratio="f"/>
                <v:textbox>
                  <w:txbxContent>
                    <w:p>
                      <w:pPr>
                        <w:spacing w:line="240" w:lineRule="auto"/>
                        <w:ind w:firstLine="0" w:firstLineChars="0"/>
                        <w:jc w:val="center"/>
                        <w:rPr>
                          <w:b/>
                          <w:bCs/>
                          <w:color w:val="FF0000"/>
                        </w:rPr>
                      </w:pPr>
                      <w:r>
                        <w:rPr>
                          <w:rFonts w:hint="eastAsia"/>
                          <w:b/>
                          <w:bCs/>
                          <w:color w:val="FF0000"/>
                          <w:sz w:val="21"/>
                          <w:szCs w:val="20"/>
                        </w:rPr>
                        <w:t>1</w:t>
                      </w:r>
                      <w:r>
                        <w:rPr>
                          <w:b/>
                          <w:bCs/>
                          <w:color w:val="FF0000"/>
                          <w:sz w:val="21"/>
                          <w:szCs w:val="20"/>
                        </w:rPr>
                        <w:t>#</w:t>
                      </w:r>
                      <w:r>
                        <w:rPr>
                          <w:rFonts w:hint="eastAsia"/>
                          <w:b/>
                          <w:bCs/>
                          <w:color w:val="FF0000"/>
                          <w:sz w:val="21"/>
                          <w:szCs w:val="20"/>
                        </w:rPr>
                        <w:t>油气回收装置（装船</w:t>
                      </w:r>
                      <w:r>
                        <w:rPr>
                          <w:rFonts w:hint="eastAsia"/>
                          <w:b/>
                          <w:bCs/>
                          <w:color w:val="FF0000"/>
                        </w:rPr>
                        <w:t>）</w:t>
                      </w:r>
                    </w:p>
                  </w:txbxContent>
                </v:textbox>
              </v:shape>
            </w:pict>
          </mc:Fallback>
        </mc:AlternateContent>
      </w:r>
      <w:r>
        <w:rPr>
          <w:rFonts w:ascii="Times New Roman" w:hAnsi="Times New Roman" w:cs="Times New Roman"/>
          <w:color w:val="FF0000"/>
        </w:rPr>
        <mc:AlternateContent>
          <mc:Choice Requires="wps">
            <w:drawing>
              <wp:anchor distT="0" distB="0" distL="114300" distR="114300" simplePos="0" relativeHeight="251620352" behindDoc="0" locked="0" layoutInCell="1" allowOverlap="1">
                <wp:simplePos x="0" y="0"/>
                <wp:positionH relativeFrom="column">
                  <wp:posOffset>4397375</wp:posOffset>
                </wp:positionH>
                <wp:positionV relativeFrom="paragraph">
                  <wp:posOffset>1276985</wp:posOffset>
                </wp:positionV>
                <wp:extent cx="171450" cy="90805"/>
                <wp:effectExtent l="19050" t="19050" r="19050" b="23495"/>
                <wp:wrapNone/>
                <wp:docPr id="241" name="Rectangle 2422"/>
                <wp:cNvGraphicFramePr/>
                <a:graphic xmlns:a="http://schemas.openxmlformats.org/drawingml/2006/main">
                  <a:graphicData uri="http://schemas.microsoft.com/office/word/2010/wordprocessingShape">
                    <wps:wsp>
                      <wps:cNvSpPr>
                        <a:spLocks noChangeArrowheads="true"/>
                      </wps:cNvSpPr>
                      <wps:spPr bwMode="auto">
                        <a:xfrm>
                          <a:off x="0" y="0"/>
                          <a:ext cx="171450" cy="90805"/>
                        </a:xfrm>
                        <a:prstGeom prst="rect">
                          <a:avLst/>
                        </a:prstGeom>
                        <a:noFill/>
                        <a:ln w="28575">
                          <a:solidFill>
                            <a:srgbClr val="FF0000"/>
                          </a:solidFill>
                          <a:miter lim="800000"/>
                        </a:ln>
                      </wps:spPr>
                      <wps:bodyPr rot="0" vert="horz" wrap="square" lIns="91440" tIns="45720" rIns="91440" bIns="45720" anchor="t" anchorCtr="false" upright="true">
                        <a:noAutofit/>
                      </wps:bodyPr>
                    </wps:wsp>
                  </a:graphicData>
                </a:graphic>
              </wp:anchor>
            </w:drawing>
          </mc:Choice>
          <mc:Fallback>
            <w:pict>
              <v:rect id="Rectangle 2422" o:spid="_x0000_s1026" o:spt="1" style="position:absolute;left:0pt;margin-left:346.25pt;margin-top:100.55pt;height:7.15pt;width:13.5pt;z-index:251620352;mso-width-relative:page;mso-height-relative:page;" filled="f" stroked="t" coordsize="21600,21600" o:gfxdata="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WAAAAZHJzL1BLAQIUABQAAAAIAIdO&#10;4kDM8IYO1wAAAAsBAAAPAAAAAAAAAAEAIAAAADgAAABkcnMvZG93bnJldi54bWxQSwECFAAUAAAA&#10;CACHTuJAIgMLgRICAAAJBAAADgAAAAAAAAABACAAAAA8AQAAZHJzL2Uyb0RvYy54bWxQSwUGAAAA&#10;AAYABgBZAQAAwAUAAAAA&#10;">
                <v:fill on="f" focussize="0,0"/>
                <v:stroke weight="2.25pt" color="#FF0000" miterlimit="8" joinstyle="miter"/>
                <v:imagedata o:title=""/>
                <o:lock v:ext="edit" aspectratio="f"/>
              </v:rect>
            </w:pict>
          </mc:Fallback>
        </mc:AlternateContent>
      </w:r>
      <w:r>
        <w:rPr>
          <w:rFonts w:ascii="Times New Roman" w:hAnsi="Times New Roman" w:cs="Times New Roman"/>
        </w:rPr>
        <w:drawing>
          <wp:inline distT="0" distB="0" distL="0" distR="0">
            <wp:extent cx="6762115" cy="5231130"/>
            <wp:effectExtent l="0" t="0" r="0" b="0"/>
            <wp:docPr id="28"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true" noChangeArrowheads="true"/>
                    </pic:cNvPicPr>
                  </pic:nvPicPr>
                  <pic:blipFill>
                    <a:blip r:embed="rId67"/>
                    <a:srcRect/>
                    <a:stretch>
                      <a:fillRect/>
                    </a:stretch>
                  </pic:blipFill>
                  <pic:spPr>
                    <a:xfrm>
                      <a:off x="0" y="0"/>
                      <a:ext cx="6762115" cy="5231130"/>
                    </a:xfrm>
                    <a:prstGeom prst="rect">
                      <a:avLst/>
                    </a:prstGeom>
                    <a:noFill/>
                    <a:ln>
                      <a:noFill/>
                    </a:ln>
                  </pic:spPr>
                </pic:pic>
              </a:graphicData>
            </a:graphic>
          </wp:inline>
        </w:drawing>
      </w:r>
    </w:p>
    <w:p>
      <w:pPr>
        <w:ind w:firstLine="442"/>
        <w:jc w:val="center"/>
        <w:rPr>
          <w:rFonts w:ascii="Times New Roman" w:hAnsi="Times New Roman" w:cs="Times New Roman"/>
          <w:color w:val="auto"/>
          <w:sz w:val="22"/>
          <w:szCs w:val="21"/>
        </w:rPr>
      </w:pPr>
      <w:r>
        <w:rPr>
          <w:rFonts w:ascii="Times New Roman" w:hAnsi="Times New Roman" w:cs="Times New Roman"/>
          <w:b/>
          <w:bCs/>
          <w:color w:val="auto"/>
          <w:sz w:val="22"/>
          <w:szCs w:val="21"/>
        </w:rPr>
        <w:t>图3.9-1    码头油气回收装置位置图</w:t>
      </w:r>
    </w:p>
    <w:p>
      <w:pPr>
        <w:ind w:firstLine="480"/>
        <w:rPr>
          <w:rFonts w:ascii="Times New Roman" w:hAnsi="Times New Roman" w:cs="Times New Roman"/>
          <w:color w:val="auto"/>
        </w:rPr>
      </w:pPr>
      <w:bookmarkStart w:id="219" w:name="_Toc102984310"/>
      <w:r>
        <w:rPr>
          <w:rFonts w:ascii="Times New Roman" w:hAnsi="Times New Roman" w:cs="Times New Roman"/>
          <w:color w:val="auto"/>
        </w:rPr>
        <w:drawing>
          <wp:inline distT="0" distB="0" distL="0" distR="0">
            <wp:extent cx="8431530" cy="5135245"/>
            <wp:effectExtent l="0" t="0" r="0" b="0"/>
            <wp:docPr id="29"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true" noChangeArrowheads="true"/>
                    </pic:cNvPicPr>
                  </pic:nvPicPr>
                  <pic:blipFill>
                    <a:blip r:embed="rId68"/>
                    <a:srcRect/>
                    <a:stretch>
                      <a:fillRect/>
                    </a:stretch>
                  </pic:blipFill>
                  <pic:spPr>
                    <a:xfrm>
                      <a:off x="0" y="0"/>
                      <a:ext cx="8431530" cy="5135245"/>
                    </a:xfrm>
                    <a:prstGeom prst="rect">
                      <a:avLst/>
                    </a:prstGeom>
                    <a:noFill/>
                    <a:ln>
                      <a:noFill/>
                    </a:ln>
                  </pic:spPr>
                </pic:pic>
              </a:graphicData>
            </a:graphic>
          </wp:inline>
        </w:drawing>
      </w:r>
      <w:bookmarkEnd w:id="219"/>
    </w:p>
    <w:p>
      <w:pPr>
        <w:ind w:firstLine="442"/>
        <w:jc w:val="center"/>
        <w:rPr>
          <w:rFonts w:ascii="Times New Roman" w:hAnsi="Times New Roman" w:cs="Times New Roman"/>
          <w:b/>
          <w:bCs/>
          <w:color w:val="auto"/>
          <w:sz w:val="22"/>
          <w:szCs w:val="21"/>
        </w:rPr>
        <w:sectPr>
          <w:pgSz w:w="16840" w:h="11910" w:orient="landscape"/>
          <w:pgMar w:top="1559" w:right="1420" w:bottom="1559" w:left="1100" w:header="872" w:footer="1151" w:gutter="0"/>
          <w:cols w:space="720" w:num="1"/>
        </w:sectPr>
      </w:pPr>
      <w:bookmarkStart w:id="220" w:name="_Toc102984311"/>
      <w:r>
        <w:rPr>
          <w:rFonts w:ascii="Times New Roman" w:hAnsi="Times New Roman" w:cs="Times New Roman"/>
          <w:b/>
          <w:bCs/>
          <w:color w:val="auto"/>
          <w:sz w:val="22"/>
          <w:szCs w:val="21"/>
        </w:rPr>
        <w:t>图3.9-2    码头油气回收装置回收系统图</w:t>
      </w:r>
      <w:bookmarkEnd w:id="220"/>
    </w:p>
    <w:p>
      <w:pPr>
        <w:pStyle w:val="3"/>
        <w:numPr>
          <w:ilvl w:val="0"/>
          <w:numId w:val="0"/>
        </w:numPr>
        <w:rPr>
          <w:rFonts w:ascii="Times New Roman" w:hAnsi="Times New Roman" w:cs="Times New Roman"/>
          <w:color w:val="auto"/>
        </w:rPr>
      </w:pPr>
      <w:bookmarkStart w:id="221" w:name="_Toc102984312"/>
      <w:bookmarkStart w:id="222" w:name="_Toc104733344"/>
      <w:r>
        <w:rPr>
          <w:rFonts w:ascii="Times New Roman" w:hAnsi="Times New Roman" w:cs="Times New Roman"/>
          <w:color w:val="auto"/>
        </w:rPr>
        <w:t>3.10船舶生活污水、油污水接收设施及船舶生活垃圾接收设施</w:t>
      </w:r>
      <w:bookmarkEnd w:id="221"/>
      <w:bookmarkEnd w:id="222"/>
    </w:p>
    <w:p>
      <w:pPr>
        <w:ind w:firstLine="480"/>
        <w:rPr>
          <w:rFonts w:ascii="Times New Roman" w:hAnsi="Times New Roman" w:cs="Times New Roman"/>
          <w:color w:val="auto"/>
        </w:rPr>
      </w:pPr>
      <w:r>
        <w:rPr>
          <w:rFonts w:ascii="Times New Roman" w:hAnsi="Times New Roman" w:cs="Times New Roman"/>
          <w:color w:val="auto"/>
        </w:rPr>
        <w:t>根据《水污染防治行动计划》（国发〔2015〕17号）、交通运输部办公厅《关于开展港口船舶污染物接收处置有关工作的通知》（交办水函〔2016〕308号）、交通运输部《长江经济带船舶污染防治专项行动方案 》（2018—2020年），</w:t>
      </w:r>
      <w:r>
        <w:rPr>
          <w:rFonts w:ascii="Times New Roman" w:hAnsi="Times New Roman" w:cs="Times New Roman"/>
        </w:rPr>
        <w:t>合肥东航码头工程规划</w:t>
      </w:r>
      <w:r>
        <w:rPr>
          <w:rFonts w:ascii="Times New Roman" w:hAnsi="Times New Roman" w:cs="Times New Roman"/>
          <w:color w:val="auto"/>
        </w:rPr>
        <w:t>设置船舶生活污水、油污水接收设施及船舶生活垃圾接收设施。</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在码头前沿设立船舶污染物接收处，由雨棚搭建组成，用以形成固定的船舶污染物集中点，以及适当对船舶污染物处置设施进行保护；在接收装置相应地点自行布置标志标牌。</w:t>
      </w:r>
    </w:p>
    <w:p>
      <w:pPr>
        <w:pStyle w:val="25"/>
        <w:spacing w:line="360" w:lineRule="auto"/>
        <w:ind w:firstLine="482"/>
        <w:rPr>
          <w:rFonts w:ascii="Times New Roman" w:hAnsi="Times New Roman" w:cs="Times New Roman"/>
          <w:b/>
          <w:bCs/>
          <w:color w:val="auto"/>
          <w:szCs w:val="24"/>
        </w:rPr>
      </w:pPr>
      <w:r>
        <w:rPr>
          <w:rFonts w:ascii="Times New Roman" w:hAnsi="Times New Roman" w:cs="Times New Roman"/>
          <w:b/>
          <w:bCs/>
          <w:color w:val="auto"/>
          <w:szCs w:val="24"/>
        </w:rPr>
        <w:t>（1）船舶生活污水及含油污水接收装置</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码头和靠泊船舶生活污水收集处置工艺流程：</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靠泊船舶生活污水→生活污水接收设施→污水池→后方陆域预处理设施→污水处理厂处理。</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生活污水接收设施由船岸接收设施和储存设施构成，其中船岸接收设施包括接收接头、接收软管和污水提升泵储存设施包括连接钢管和污水储罐。</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码头设置3座生活污水接收装置，接收靠泊船上的生活污水。通过接收装置中自吸泵与船舶自带污水泵出水管对接，最后泵送至陆域罐区与码头交接处的生活污水排水管道，汇入陆域罐区化粪池预处理，接市政污水管网入合肥循环经济示范园污水处理厂处理。</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船舶含油废水采用船舶污水智能接收装置，采用移动式（配电动助力车），设备中自吸泵与船舶自带污水泵出水管对接，接力抽吸至船舶油污水存储罐内，存储罐采用不锈钢方型储罐，有效容积不小于6m³。含油废水</w:t>
      </w:r>
      <w:r>
        <w:rPr>
          <w:rFonts w:hint="eastAsia" w:ascii="Times New Roman" w:hAnsi="Times New Roman" w:cs="Times New Roman"/>
          <w:color w:val="auto"/>
          <w:szCs w:val="24"/>
        </w:rPr>
        <w:t>经收集后进入陆域含油污水处理装置处理后接管排入</w:t>
      </w:r>
      <w:r>
        <w:rPr>
          <w:rFonts w:ascii="Times New Roman" w:hAnsi="Times New Roman" w:cs="Times New Roman"/>
          <w:color w:val="auto"/>
          <w:szCs w:val="24"/>
        </w:rPr>
        <w:t>合肥循环经济示范园污水处理厂处理。</w:t>
      </w:r>
    </w:p>
    <w:p>
      <w:pPr>
        <w:pStyle w:val="25"/>
        <w:spacing w:line="360" w:lineRule="auto"/>
        <w:ind w:firstLine="482"/>
        <w:rPr>
          <w:rFonts w:ascii="Times New Roman" w:hAnsi="Times New Roman" w:cs="Times New Roman"/>
          <w:b/>
          <w:bCs/>
          <w:color w:val="auto"/>
        </w:rPr>
      </w:pPr>
      <w:r>
        <w:rPr>
          <w:rFonts w:ascii="Times New Roman" w:hAnsi="Times New Roman" w:cs="Times New Roman"/>
          <w:b/>
          <w:bCs/>
          <w:color w:val="auto"/>
        </w:rPr>
        <w:t>（2）船舶生活垃圾</w:t>
      </w:r>
      <w:r>
        <w:rPr>
          <w:rFonts w:ascii="Times New Roman" w:hAnsi="Times New Roman" w:cs="Times New Roman"/>
          <w:b/>
          <w:bCs/>
          <w:color w:val="auto"/>
          <w:szCs w:val="24"/>
        </w:rPr>
        <w:t>接收装置</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码头和靠泊船舶生活垃圾收集处置工艺流程：</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码头、靠泊船舶生活垃圾→码头前沿污染物接收处→城市环卫垃圾接收车转运处理根据最新环保要求，船舶固体垃圾按照厨余垃圾、可回收垃圾、有害垃圾、其他垃圾共4类进行划分、回收。码头平台上布置分类垃圾桶，用以接收船舶固体垃圾，定期由城市环卫接收车转运处理。</w:t>
      </w:r>
    </w:p>
    <w:p>
      <w:pPr>
        <w:pStyle w:val="2321"/>
        <w:ind w:firstLine="512"/>
        <w:rPr>
          <w:rFonts w:ascii="Times New Roman" w:hAnsi="Times New Roman" w:cs="Times New Roman"/>
          <w:color w:val="auto"/>
        </w:rPr>
        <w:sectPr>
          <w:pgSz w:w="11910" w:h="16840"/>
          <w:pgMar w:top="1420" w:right="1560" w:bottom="1340" w:left="1560" w:header="872" w:footer="1150" w:gutter="0"/>
          <w:cols w:space="720" w:num="1"/>
        </w:sectPr>
      </w:pPr>
    </w:p>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223" w:name="_Toc104733345"/>
      <w:bookmarkStart w:id="224" w:name="_Toc102979822"/>
      <w:r>
        <w:rPr>
          <w:rFonts w:ascii="Times New Roman" w:hAnsi="Times New Roman" w:eastAsia="黑体" w:cs="Times New Roman"/>
          <w:color w:val="auto"/>
          <w:kern w:val="2"/>
          <w:sz w:val="28"/>
        </w:rPr>
        <w:t>3.10污染源分析</w:t>
      </w:r>
      <w:bookmarkEnd w:id="223"/>
      <w:bookmarkEnd w:id="224"/>
    </w:p>
    <w:p>
      <w:pPr>
        <w:pStyle w:val="4"/>
        <w:numPr>
          <w:ilvl w:val="2"/>
          <w:numId w:val="0"/>
        </w:numPr>
        <w:spacing w:before="166" w:beforeLines="50"/>
        <w:jc w:val="both"/>
        <w:rPr>
          <w:rFonts w:ascii="Times New Roman" w:hAnsi="Times New Roman" w:cs="Times New Roman"/>
          <w:color w:val="auto"/>
        </w:rPr>
      </w:pPr>
      <w:bookmarkStart w:id="225" w:name="_Toc102984314"/>
      <w:bookmarkStart w:id="226" w:name="_Toc104733346"/>
      <w:r>
        <w:rPr>
          <w:rFonts w:ascii="Times New Roman" w:hAnsi="Times New Roman" w:cs="Times New Roman"/>
          <w:color w:val="auto"/>
        </w:rPr>
        <w:t>3.10.1施工期污染源</w:t>
      </w:r>
      <w:bookmarkEnd w:id="225"/>
      <w:r>
        <w:rPr>
          <w:rFonts w:ascii="Times New Roman" w:hAnsi="Times New Roman" w:cs="Times New Roman"/>
          <w:color w:val="auto"/>
        </w:rPr>
        <w:t>分析</w:t>
      </w:r>
      <w:bookmarkEnd w:id="226"/>
    </w:p>
    <w:p>
      <w:pPr>
        <w:pStyle w:val="4"/>
        <w:numPr>
          <w:ilvl w:val="2"/>
          <w:numId w:val="0"/>
        </w:numPr>
        <w:spacing w:before="166" w:beforeLines="50"/>
        <w:jc w:val="both"/>
        <w:rPr>
          <w:rFonts w:ascii="Times New Roman" w:hAnsi="Times New Roman" w:cs="Times New Roman"/>
          <w:color w:val="auto"/>
        </w:rPr>
      </w:pPr>
      <w:r>
        <w:rPr>
          <w:rFonts w:ascii="Times New Roman" w:hAnsi="Times New Roman" w:cs="Times New Roman"/>
          <w:color w:val="auto"/>
        </w:rPr>
        <w:t>3.10.1.1施工</w:t>
      </w:r>
      <w:r>
        <w:rPr>
          <w:rFonts w:hint="eastAsia" w:ascii="Times New Roman" w:hAnsi="Times New Roman" w:cs="Times New Roman"/>
          <w:color w:val="auto"/>
        </w:rPr>
        <w:t>方案</w:t>
      </w:r>
    </w:p>
    <w:p>
      <w:pPr>
        <w:ind w:firstLine="480"/>
        <w:rPr>
          <w:rFonts w:ascii="Times New Roman" w:hAnsi="Times New Roman" w:cs="Times New Roman"/>
        </w:rPr>
      </w:pPr>
      <w:r>
        <w:rPr>
          <w:rFonts w:hint="eastAsia" w:ascii="Times New Roman" w:hAnsi="Times New Roman" w:cs="Times New Roman"/>
        </w:rPr>
        <w:t>（1）施工组织</w:t>
      </w:r>
    </w:p>
    <w:p>
      <w:pPr>
        <w:ind w:firstLine="480"/>
        <w:rPr>
          <w:rFonts w:ascii="Times New Roman" w:hAnsi="Times New Roman" w:cs="Times New Roman"/>
        </w:rPr>
      </w:pPr>
      <w:r>
        <w:rPr>
          <w:rFonts w:ascii="Times New Roman" w:hAnsi="Times New Roman" w:cs="Times New Roman"/>
        </w:rPr>
        <w:t>主体工程施工，以连续、平行、协调为原则，综合考虑各施工工区之间的施工组织，协调各工区的施工先后顺序，以确保工程能按规划工期顺利完工。</w:t>
      </w:r>
    </w:p>
    <w:p>
      <w:pPr>
        <w:ind w:firstLine="480"/>
        <w:rPr>
          <w:rFonts w:ascii="Times New Roman" w:hAnsi="Times New Roman" w:cs="Times New Roman"/>
        </w:rPr>
      </w:pPr>
      <w:r>
        <w:rPr>
          <w:rFonts w:ascii="Times New Roman" w:hAnsi="Times New Roman" w:cs="Times New Roman"/>
        </w:rPr>
        <w:t>工程由建设单位负责具体实施，实行统一规划和统一建设，施工管理贯穿施工全过程，通过计划、组织、协调、检查等手段，调动一切有利因素，努力实现各阶段的目标，减小工程建设对周边生态环境的影响。</w:t>
      </w:r>
      <w:r>
        <w:rPr>
          <w:rFonts w:ascii="Times New Roman" w:hAnsi="Times New Roman" w:cs="Times New Roman"/>
        </w:rPr>
        <w:cr/>
      </w:r>
      <w:r>
        <w:rPr>
          <w:rFonts w:ascii="Times New Roman" w:hAnsi="Times New Roman" w:cs="Times New Roman"/>
        </w:rPr>
        <w:t xml:space="preserve">   </w:t>
      </w:r>
      <w:r>
        <w:rPr>
          <w:rFonts w:hint="eastAsia" w:ascii="Times New Roman" w:hAnsi="Times New Roman" w:cs="Times New Roman"/>
        </w:rPr>
        <w:t>（2）施工布置</w:t>
      </w:r>
    </w:p>
    <w:p>
      <w:pPr>
        <w:ind w:firstLine="480"/>
        <w:rPr>
          <w:rFonts w:ascii="Times New Roman" w:hAnsi="Times New Roman" w:cs="Times New Roman"/>
        </w:rPr>
      </w:pPr>
      <w:r>
        <w:rPr>
          <w:rFonts w:ascii="Times New Roman" w:hAnsi="Times New Roman" w:cs="Times New Roman"/>
        </w:rPr>
        <w:t>本工程设置施工生产生活区，临时占用本项目</w:t>
      </w:r>
      <w:r>
        <w:rPr>
          <w:rFonts w:hint="eastAsia" w:ascii="Times New Roman" w:hAnsi="Times New Roman" w:cs="Times New Roman"/>
        </w:rPr>
        <w:t>永久占地</w:t>
      </w:r>
      <w:r>
        <w:rPr>
          <w:rFonts w:ascii="Times New Roman" w:hAnsi="Times New Roman" w:cs="Times New Roman"/>
        </w:rPr>
        <w:t>红线范围内部分道路广场区区域进行布设，占用面积约为0.55hm</w:t>
      </w:r>
      <w:r>
        <w:rPr>
          <w:rFonts w:ascii="Times New Roman" w:hAnsi="Times New Roman" w:cs="Times New Roman"/>
          <w:vertAlign w:val="superscript"/>
        </w:rPr>
        <w:t>2</w:t>
      </w:r>
      <w:r>
        <w:rPr>
          <w:rFonts w:ascii="Times New Roman" w:hAnsi="Times New Roman" w:cs="Times New Roman"/>
        </w:rPr>
        <w:t>。</w:t>
      </w:r>
    </w:p>
    <w:p>
      <w:pPr>
        <w:ind w:firstLine="480"/>
        <w:rPr>
          <w:rFonts w:ascii="Times New Roman" w:hAnsi="Times New Roman" w:cs="Times New Roman"/>
        </w:rPr>
      </w:pPr>
      <w:r>
        <w:rPr>
          <w:rFonts w:hint="eastAsia" w:ascii="Times New Roman" w:hAnsi="Times New Roman" w:cs="Times New Roman"/>
        </w:rPr>
        <w:t>（3）施工材料及运输</w:t>
      </w:r>
    </w:p>
    <w:p>
      <w:pPr>
        <w:ind w:firstLine="480"/>
        <w:rPr>
          <w:rFonts w:ascii="Times New Roman" w:hAnsi="Times New Roman" w:cs="Times New Roman"/>
        </w:rPr>
      </w:pPr>
      <w:r>
        <w:rPr>
          <w:rFonts w:hint="eastAsia" w:ascii="Times New Roman" w:hAnsi="Times New Roman" w:cs="Times New Roman"/>
        </w:rPr>
        <w:t>工程所需的建筑材料主要是钢材、水泥、木材及砂石料。钢材、水泥、木材，可在保证质量的前提下就近购买。工程所需的材料运输均采用封闭车辆运输，以防治运输过程中洒落造成水土流失及路面污染。施工场地内不设商混搅拌站。</w:t>
      </w:r>
    </w:p>
    <w:p>
      <w:pPr>
        <w:ind w:firstLine="480"/>
        <w:rPr>
          <w:rFonts w:ascii="Times New Roman" w:hAnsi="Times New Roman" w:cs="Times New Roman"/>
        </w:rPr>
      </w:pPr>
      <w:r>
        <w:rPr>
          <w:rFonts w:hint="eastAsia" w:ascii="Times New Roman" w:hAnsi="Times New Roman" w:cs="Times New Roman"/>
        </w:rPr>
        <w:t>（4）施工用水用电</w:t>
      </w:r>
    </w:p>
    <w:p>
      <w:pPr>
        <w:ind w:firstLine="480"/>
        <w:rPr>
          <w:rFonts w:ascii="Times New Roman" w:hAnsi="Times New Roman" w:cs="Times New Roman"/>
        </w:rPr>
      </w:pPr>
      <w:r>
        <w:rPr>
          <w:rFonts w:hint="eastAsia" w:ascii="Times New Roman" w:hAnsi="Times New Roman" w:cs="Times New Roman"/>
        </w:rPr>
        <w:t>本工程施工供水包括生产、消防及生活用水。根据施工及生活用水取市政供水。无论是生产及生活用水，均化验合格后方可使用。</w:t>
      </w:r>
    </w:p>
    <w:p>
      <w:pPr>
        <w:ind w:firstLine="480"/>
        <w:rPr>
          <w:rFonts w:ascii="Times New Roman" w:hAnsi="Times New Roman" w:cs="Times New Roman"/>
        </w:rPr>
      </w:pPr>
      <w:r>
        <w:rPr>
          <w:rFonts w:hint="eastAsia" w:ascii="Times New Roman" w:hAnsi="Times New Roman" w:cs="Times New Roman"/>
        </w:rPr>
        <w:t>本工程的施工用电可利用工程占地附近低压电网，经供电部门同意就近接网，同时并配置75Kw 柴油发电机组1台，以备临时停电时使用。不设专门线路，可减少因线路占地带来的水土流失。</w:t>
      </w:r>
    </w:p>
    <w:p>
      <w:pPr>
        <w:ind w:firstLine="480"/>
        <w:rPr>
          <w:rFonts w:ascii="Times New Roman" w:hAnsi="Times New Roman" w:cs="Times New Roman"/>
        </w:rPr>
      </w:pPr>
      <w:r>
        <w:rPr>
          <w:rFonts w:hint="eastAsia" w:ascii="Times New Roman" w:hAnsi="Times New Roman" w:cs="Times New Roman"/>
        </w:rPr>
        <w:t>（5）施工道路</w:t>
      </w:r>
    </w:p>
    <w:p>
      <w:pPr>
        <w:ind w:firstLine="480"/>
        <w:rPr>
          <w:rFonts w:ascii="Times New Roman" w:hAnsi="Times New Roman" w:cs="Times New Roman"/>
        </w:rPr>
      </w:pPr>
      <w:r>
        <w:rPr>
          <w:rFonts w:hint="eastAsia" w:ascii="Times New Roman" w:hAnsi="Times New Roman" w:cs="Times New Roman"/>
        </w:rPr>
        <w:t>施工道路均借用繁华大道、合肥循环经济示范园港口路等现状道路。</w:t>
      </w:r>
    </w:p>
    <w:p>
      <w:pPr>
        <w:ind w:firstLine="480"/>
        <w:rPr>
          <w:rFonts w:ascii="Times New Roman" w:hAnsi="Times New Roman" w:cs="Times New Roman"/>
        </w:rPr>
      </w:pPr>
      <w:r>
        <w:rPr>
          <w:rFonts w:hint="eastAsia" w:ascii="Times New Roman" w:hAnsi="Times New Roman" w:cs="Times New Roman"/>
        </w:rPr>
        <w:t>（</w:t>
      </w:r>
      <w:r>
        <w:rPr>
          <w:rFonts w:ascii="Times New Roman" w:hAnsi="Times New Roman" w:cs="Times New Roman"/>
        </w:rPr>
        <w:t>6</w:t>
      </w:r>
      <w:r>
        <w:rPr>
          <w:rFonts w:hint="eastAsia" w:ascii="Times New Roman" w:hAnsi="Times New Roman" w:cs="Times New Roman"/>
        </w:rPr>
        <w:t>）取弃土（石、砂）场的设置</w:t>
      </w:r>
    </w:p>
    <w:p>
      <w:pPr>
        <w:ind w:firstLine="480"/>
        <w:rPr>
          <w:rFonts w:ascii="Times New Roman" w:hAnsi="Times New Roman" w:cs="Times New Roman"/>
        </w:rPr>
      </w:pPr>
      <w:r>
        <w:rPr>
          <w:rFonts w:hint="eastAsia" w:ascii="Times New Roman" w:hAnsi="Times New Roman" w:cs="Times New Roman"/>
        </w:rPr>
        <w:t>本工程不自设取土（石、砂）场。本项目陆域形成、地基处理除利用自身开挖土方外，不足部分由合肥循环经济示范园管委会调配解决，故不自设取土场；项目建设所需的碎石、砂等建筑材料均商购，亦不自设采石场和采砂场。</w:t>
      </w:r>
    </w:p>
    <w:p>
      <w:pPr>
        <w:ind w:firstLine="480"/>
        <w:rPr>
          <w:rFonts w:ascii="Times New Roman" w:hAnsi="Times New Roman" w:cs="Times New Roman"/>
        </w:rPr>
      </w:pPr>
      <w:r>
        <w:rPr>
          <w:rFonts w:hint="eastAsia" w:ascii="Times New Roman" w:hAnsi="Times New Roman" w:cs="Times New Roman"/>
        </w:rPr>
        <w:t>本工程多余土方由土方运输单位运至合肥循环经济示范园管委会指定弃土场。土方在一定程度上综合利用，不自行设置弃土渣场。</w:t>
      </w:r>
    </w:p>
    <w:p>
      <w:pPr>
        <w:ind w:firstLine="480"/>
        <w:rPr>
          <w:rFonts w:ascii="Times New Roman" w:hAnsi="Times New Roman" w:cs="Times New Roman"/>
        </w:rPr>
      </w:pPr>
      <w:r>
        <w:rPr>
          <w:rFonts w:hint="eastAsia" w:ascii="Times New Roman" w:hAnsi="Times New Roman" w:cs="Times New Roman"/>
        </w:rPr>
        <w:t>（</w:t>
      </w:r>
      <w:r>
        <w:rPr>
          <w:rFonts w:ascii="Times New Roman" w:hAnsi="Times New Roman" w:cs="Times New Roman"/>
        </w:rPr>
        <w:t>7</w:t>
      </w:r>
      <w:r>
        <w:rPr>
          <w:rFonts w:hint="eastAsia" w:ascii="Times New Roman" w:hAnsi="Times New Roman" w:cs="Times New Roman"/>
        </w:rPr>
        <w:t>）码头涉水施工导流</w:t>
      </w:r>
      <w:bookmarkStart w:id="227" w:name="_Toc102984315"/>
      <w:bookmarkStart w:id="228" w:name="_Toc104733347"/>
      <w:r>
        <w:rPr>
          <w:rFonts w:hint="eastAsia" w:ascii="Times New Roman" w:hAnsi="Times New Roman" w:cs="Times New Roman"/>
        </w:rPr>
        <w:t>措施</w:t>
      </w:r>
    </w:p>
    <w:p>
      <w:pPr>
        <w:ind w:firstLine="480"/>
        <w:rPr>
          <w:rFonts w:ascii="Times New Roman" w:hAnsi="Times New Roman" w:cs="Times New Roman"/>
          <w:color w:val="auto"/>
          <w:szCs w:val="24"/>
          <w:shd w:val="clear" w:color="auto" w:fill="FFFFFF"/>
        </w:rPr>
      </w:pPr>
      <w:r>
        <w:rPr>
          <w:rFonts w:hint="eastAsia" w:ascii="Times New Roman" w:hAnsi="Times New Roman" w:cs="Times New Roman"/>
        </w:rPr>
        <w:t>目前项目尚未进入施工招标及</w:t>
      </w:r>
      <w:r>
        <w:rPr>
          <w:rFonts w:hint="eastAsia" w:ascii="Times New Roman" w:hAnsi="Times New Roman" w:cs="Times New Roman"/>
          <w:color w:val="auto"/>
          <w:szCs w:val="24"/>
          <w:shd w:val="clear" w:color="auto" w:fill="FFFFFF"/>
        </w:rPr>
        <w:t>施工组织设计阶段，根据项目码头工程布置方案；本项目码头区布置在现状店埠河河堤背水面；码头平台施工时保留现状大堤，起到施工围堰的作用，减轻码头平台施工对店埠河水体的扰动和水质的影响；待码头平台构筑物施工完成后，再行开展港池的开挖及疏浚；环评要求港池开挖及疏浚安排在枯水期进行施工，并进行疏浚时在店埠河上下游设置围堰；减轻和避免疏浚区扰动对店埠河上下游水质的影响。</w:t>
      </w:r>
    </w:p>
    <w:p>
      <w:pPr>
        <w:ind w:firstLine="480"/>
        <w:rPr>
          <w:rFonts w:ascii="Times New Roman" w:hAnsi="Times New Roman" w:cs="Times New Roman"/>
          <w:color w:val="auto"/>
          <w:szCs w:val="24"/>
          <w:shd w:val="clear" w:color="auto" w:fill="FFFFFF"/>
        </w:rPr>
      </w:pPr>
      <w:r>
        <w:rPr>
          <w:rFonts w:hint="eastAsia" w:ascii="Times New Roman" w:hAnsi="Times New Roman" w:cs="Times New Roman"/>
          <w:color w:val="auto"/>
          <w:szCs w:val="24"/>
          <w:shd w:val="clear" w:color="auto" w:fill="FFFFFF"/>
        </w:rPr>
        <w:t>本项目抛泥工艺：浮管、岸管布设→挖泥船进场定位→挖泥作业→管道输送→接力泵船→抛泥区。</w:t>
      </w:r>
    </w:p>
    <w:p>
      <w:pPr>
        <w:ind w:firstLine="480"/>
        <w:rPr>
          <w:rFonts w:ascii="Times New Roman" w:hAnsi="Times New Roman" w:cs="Times New Roman"/>
        </w:rPr>
      </w:pPr>
      <w:r>
        <w:rPr>
          <w:rFonts w:hint="eastAsia" w:ascii="Times New Roman" w:hAnsi="Times New Roman" w:cs="Times New Roman"/>
        </w:rPr>
        <w:t>（</w:t>
      </w:r>
      <w:r>
        <w:rPr>
          <w:rFonts w:ascii="Times New Roman" w:hAnsi="Times New Roman" w:cs="Times New Roman"/>
        </w:rPr>
        <w:t>8</w:t>
      </w:r>
      <w:r>
        <w:rPr>
          <w:rFonts w:hint="eastAsia" w:ascii="Times New Roman" w:hAnsi="Times New Roman" w:cs="Times New Roman"/>
        </w:rPr>
        <w:t>）抛泥区设置</w:t>
      </w:r>
    </w:p>
    <w:p>
      <w:pPr>
        <w:adjustRightInd/>
        <w:ind w:firstLine="480"/>
        <w:rPr>
          <w:rFonts w:ascii="Times New Roman" w:hAnsi="Times New Roman" w:cs="Times New Roman"/>
          <w:color w:val="FF0000"/>
          <w:szCs w:val="24"/>
          <w:shd w:val="clear" w:color="auto" w:fill="FFFFFF"/>
        </w:rPr>
      </w:pPr>
      <w:r>
        <w:rPr>
          <w:rFonts w:ascii="Times New Roman" w:hAnsi="Times New Roman" w:cs="Times New Roman"/>
          <w:color w:val="FF0000"/>
          <w:szCs w:val="24"/>
          <w:shd w:val="clear" w:color="auto" w:fill="FFFFFF"/>
        </w:rPr>
        <w:t>码头工程水下疏浚</w:t>
      </w:r>
      <w:r>
        <w:rPr>
          <w:rFonts w:ascii="Times New Roman" w:hAnsi="Times New Roman" w:cs="Times New Roman"/>
          <w:bCs/>
          <w:color w:val="FF0000"/>
          <w:szCs w:val="24"/>
          <w:shd w:val="clear" w:color="auto" w:fill="FFFFFF"/>
        </w:rPr>
        <w:t>土方吹填至</w:t>
      </w:r>
      <w:r>
        <w:rPr>
          <w:rFonts w:ascii="Times New Roman" w:hAnsi="Times New Roman" w:cs="Times New Roman"/>
          <w:color w:val="FF0000"/>
          <w:szCs w:val="24"/>
          <w:shd w:val="clear" w:color="auto" w:fill="FFFFFF"/>
        </w:rPr>
        <w:t>店埠河下游撮镇张湾抛泥区</w:t>
      </w:r>
      <w:r>
        <w:rPr>
          <w:rFonts w:ascii="Times New Roman" w:hAnsi="Times New Roman" w:cs="Times New Roman"/>
          <w:bCs/>
          <w:color w:val="FF0000"/>
          <w:szCs w:val="24"/>
          <w:shd w:val="clear" w:color="auto" w:fill="FFFFFF"/>
        </w:rPr>
        <w:t>中沉淀干化，</w:t>
      </w:r>
      <w:r>
        <w:rPr>
          <w:rFonts w:ascii="Times New Roman" w:hAnsi="Times New Roman" w:cs="Times New Roman"/>
          <w:color w:val="FF0000"/>
          <w:szCs w:val="24"/>
          <w:shd w:val="clear" w:color="auto" w:fill="FFFFFF"/>
        </w:rPr>
        <w:t>抛泥区位于本项目</w:t>
      </w:r>
      <w:r>
        <w:rPr>
          <w:rFonts w:hint="eastAsia" w:ascii="Times New Roman" w:hAnsi="Times New Roman" w:cs="Times New Roman"/>
          <w:color w:val="FF0000"/>
          <w:szCs w:val="24"/>
          <w:shd w:val="clear" w:color="auto" w:fill="FFFFFF"/>
        </w:rPr>
        <w:t>西</w:t>
      </w:r>
      <w:r>
        <w:rPr>
          <w:rFonts w:ascii="Times New Roman" w:hAnsi="Times New Roman" w:cs="Times New Roman"/>
          <w:color w:val="FF0000"/>
          <w:szCs w:val="24"/>
          <w:shd w:val="clear" w:color="auto" w:fill="FFFFFF"/>
        </w:rPr>
        <w:t>南侧，距离本项目约2.8km</w:t>
      </w:r>
      <w:r>
        <w:rPr>
          <w:rFonts w:hint="eastAsia" w:ascii="Times New Roman" w:hAnsi="Times New Roman" w:cs="Times New Roman"/>
          <w:color w:val="FF0000"/>
          <w:szCs w:val="24"/>
          <w:shd w:val="clear" w:color="auto" w:fill="FFFFFF"/>
        </w:rPr>
        <w:t>；根据建设单位及设计单位提供的资料，该抛泥区为合裕线店埠河航道升级改造工程设定的未利用的抛泥区之一（围堰已设置）</w:t>
      </w:r>
      <w:r>
        <w:rPr>
          <w:rFonts w:ascii="Times New Roman" w:hAnsi="Times New Roman" w:cs="Times New Roman"/>
          <w:color w:val="FF0000"/>
          <w:szCs w:val="24"/>
          <w:shd w:val="clear" w:color="auto" w:fill="FFFFFF"/>
        </w:rPr>
        <w:t>，抛泥区占地面积约为100000m</w:t>
      </w:r>
      <w:r>
        <w:rPr>
          <w:rFonts w:ascii="Times New Roman" w:hAnsi="Times New Roman" w:cs="Times New Roman"/>
          <w:color w:val="FF0000"/>
          <w:szCs w:val="24"/>
          <w:shd w:val="clear" w:color="auto" w:fill="FFFFFF"/>
          <w:vertAlign w:val="superscript"/>
        </w:rPr>
        <w:t>2</w:t>
      </w:r>
      <w:r>
        <w:rPr>
          <w:rFonts w:ascii="Times New Roman" w:hAnsi="Times New Roman" w:cs="Times New Roman"/>
          <w:color w:val="FF0000"/>
          <w:szCs w:val="24"/>
          <w:shd w:val="clear" w:color="auto" w:fill="FFFFFF"/>
        </w:rPr>
        <w:t>，容积31</w:t>
      </w:r>
      <w:r>
        <w:rPr>
          <w:rFonts w:ascii="Times New Roman" w:hAnsi="Times New Roman" w:cs="Times New Roman"/>
          <w:bCs/>
          <w:color w:val="FF0000"/>
          <w:szCs w:val="24"/>
          <w:shd w:val="clear" w:color="auto" w:fill="FFFFFF"/>
        </w:rPr>
        <w:t>万m</w:t>
      </w:r>
      <w:r>
        <w:rPr>
          <w:rFonts w:ascii="Times New Roman" w:hAnsi="Times New Roman" w:cs="Times New Roman"/>
          <w:bCs/>
          <w:color w:val="FF0000"/>
          <w:szCs w:val="24"/>
          <w:shd w:val="clear" w:color="auto" w:fill="FFFFFF"/>
          <w:vertAlign w:val="superscript"/>
        </w:rPr>
        <w:t>3</w:t>
      </w:r>
      <w:r>
        <w:rPr>
          <w:rFonts w:ascii="Times New Roman" w:hAnsi="Times New Roman" w:cs="Times New Roman"/>
          <w:bCs/>
          <w:color w:val="FF0000"/>
          <w:szCs w:val="24"/>
          <w:shd w:val="clear" w:color="auto" w:fill="FFFFFF"/>
        </w:rPr>
        <w:t>，</w:t>
      </w:r>
      <w:r>
        <w:rPr>
          <w:rFonts w:hint="eastAsia" w:ascii="Times New Roman" w:hAnsi="Times New Roman" w:cs="Times New Roman"/>
          <w:bCs/>
          <w:color w:val="FF0000"/>
          <w:szCs w:val="24"/>
          <w:shd w:val="clear" w:color="auto" w:fill="FFFFFF"/>
        </w:rPr>
        <w:t>本项目水下疏浚直接采取绞吸式挖泥船通过管道输送至抛泥区，抛泥区设置余水收集沉淀池，对抛泥余水进行处理</w:t>
      </w:r>
      <w:r>
        <w:rPr>
          <w:rFonts w:ascii="Times New Roman" w:hAnsi="Times New Roman" w:cs="Times New Roman"/>
          <w:color w:val="FF0000"/>
          <w:kern w:val="0"/>
          <w:szCs w:val="24"/>
          <w:shd w:val="clear" w:color="auto" w:fill="FFFFFF"/>
        </w:rPr>
        <w:t>，</w:t>
      </w:r>
      <w:r>
        <w:rPr>
          <w:rFonts w:ascii="Times New Roman" w:hAnsi="Times New Roman" w:cs="Times New Roman"/>
          <w:bCs/>
          <w:color w:val="FF0000"/>
          <w:szCs w:val="24"/>
          <w:shd w:val="clear" w:color="auto" w:fill="FFFFFF"/>
        </w:rPr>
        <w:t>施工结束后抛泥区</w:t>
      </w:r>
      <w:r>
        <w:rPr>
          <w:rFonts w:hint="eastAsia" w:ascii="Times New Roman" w:hAnsi="Times New Roman" w:cs="Times New Roman"/>
          <w:bCs/>
          <w:color w:val="FF0000"/>
          <w:szCs w:val="24"/>
          <w:shd w:val="clear" w:color="auto" w:fill="FFFFFF"/>
        </w:rPr>
        <w:t>评价建议采取水生植被的绿化</w:t>
      </w:r>
      <w:r>
        <w:rPr>
          <w:rFonts w:ascii="Times New Roman" w:hAnsi="Times New Roman" w:cs="Times New Roman"/>
          <w:color w:val="FF0000"/>
          <w:szCs w:val="24"/>
          <w:shd w:val="clear" w:color="auto" w:fill="FFFFFF"/>
        </w:rPr>
        <w:t>。</w:t>
      </w:r>
      <w:r>
        <w:rPr>
          <w:rFonts w:ascii="Times New Roman" w:hAnsi="Times New Roman" w:cs="Times New Roman"/>
          <w:bCs/>
          <w:color w:val="FF0000"/>
          <w:szCs w:val="24"/>
          <w:shd w:val="clear" w:color="auto" w:fill="FFFFFF"/>
        </w:rPr>
        <w:t>本项目抛泥区的设置位置见图5.1-1。</w:t>
      </w:r>
    </w:p>
    <w:p>
      <w:pPr>
        <w:pStyle w:val="25"/>
        <w:spacing w:line="360" w:lineRule="auto"/>
        <w:ind w:firstLine="480"/>
        <w:rPr>
          <w:rFonts w:ascii="Times New Roman" w:hAnsi="Times New Roman" w:cs="Times New Roman"/>
          <w:color w:val="FF0000"/>
        </w:rPr>
      </w:pPr>
      <w:r>
        <w:rPr>
          <w:rFonts w:ascii="Times New Roman" w:hAnsi="Times New Roman" w:cs="Times New Roman"/>
          <w:color w:val="FF0000"/>
          <w:szCs w:val="24"/>
          <w:shd w:val="clear" w:color="auto" w:fill="FFFFFF"/>
        </w:rPr>
        <w:t>本项目抛泥区选址较为合理，</w:t>
      </w:r>
      <w:r>
        <w:rPr>
          <w:rFonts w:hint="eastAsia" w:ascii="Times New Roman" w:hAnsi="Times New Roman" w:cs="Times New Roman"/>
          <w:color w:val="FF0000"/>
          <w:szCs w:val="24"/>
          <w:shd w:val="clear" w:color="auto" w:fill="FFFFFF"/>
        </w:rPr>
        <w:t>不占用农田耕地及生态红线；</w:t>
      </w:r>
      <w:r>
        <w:rPr>
          <w:rFonts w:ascii="Times New Roman" w:hAnsi="Times New Roman" w:cs="Times New Roman"/>
          <w:color w:val="FF0000"/>
          <w:szCs w:val="24"/>
          <w:shd w:val="clear" w:color="auto" w:fill="FFFFFF"/>
        </w:rPr>
        <w:t>周边</w:t>
      </w:r>
      <w:r>
        <w:rPr>
          <w:rFonts w:hint="eastAsia" w:ascii="Times New Roman" w:hAnsi="Times New Roman" w:cs="Times New Roman"/>
          <w:color w:val="FF0000"/>
          <w:szCs w:val="24"/>
          <w:shd w:val="clear" w:color="auto" w:fill="FFFFFF"/>
        </w:rPr>
        <w:t>3</w:t>
      </w:r>
      <w:r>
        <w:rPr>
          <w:rFonts w:ascii="Times New Roman" w:hAnsi="Times New Roman" w:cs="Times New Roman"/>
          <w:color w:val="FF0000"/>
          <w:szCs w:val="24"/>
          <w:shd w:val="clear" w:color="auto" w:fill="FFFFFF"/>
        </w:rPr>
        <w:t>00m范围内不存在居民区、学校等环境敏感目标；本项目产生的弃土均能够得到有效处理处置，对外环境影响很小。</w:t>
      </w:r>
    </w:p>
    <w:p>
      <w:pPr>
        <w:pStyle w:val="25"/>
        <w:ind w:firstLine="0" w:firstLineChars="0"/>
        <w:rPr>
          <w:rFonts w:ascii="Times New Roman" w:hAnsi="Times New Roman" w:cs="Times New Roman"/>
        </w:rPr>
      </w:pPr>
      <w:r>
        <w:t xml:space="preserve"> </w:t>
      </w:r>
      <w:r>
        <mc:AlternateContent>
          <mc:Choice Requires="wps">
            <w:drawing>
              <wp:anchor distT="0" distB="0" distL="114300" distR="114300" simplePos="0" relativeHeight="251735040" behindDoc="0" locked="0" layoutInCell="1" allowOverlap="1">
                <wp:simplePos x="0" y="0"/>
                <wp:positionH relativeFrom="column">
                  <wp:posOffset>386080</wp:posOffset>
                </wp:positionH>
                <wp:positionV relativeFrom="paragraph">
                  <wp:posOffset>1595755</wp:posOffset>
                </wp:positionV>
                <wp:extent cx="1431290" cy="285750"/>
                <wp:effectExtent l="0" t="0" r="340360" b="685800"/>
                <wp:wrapNone/>
                <wp:docPr id="910" name="AutoShape 3274"/>
                <wp:cNvGraphicFramePr/>
                <a:graphic xmlns:a="http://schemas.openxmlformats.org/drawingml/2006/main">
                  <a:graphicData uri="http://schemas.microsoft.com/office/word/2010/wordprocessingShape">
                    <wps:wsp>
                      <wps:cNvSpPr>
                        <a:spLocks noChangeArrowheads="true"/>
                      </wps:cNvSpPr>
                      <wps:spPr bwMode="auto">
                        <a:xfrm>
                          <a:off x="0" y="0"/>
                          <a:ext cx="1431290" cy="285750"/>
                        </a:xfrm>
                        <a:prstGeom prst="wedgeRoundRectCallout">
                          <a:avLst>
                            <a:gd name="adj1" fmla="val 69898"/>
                            <a:gd name="adj2" fmla="val 268667"/>
                            <a:gd name="adj3" fmla="val 16667"/>
                          </a:avLst>
                        </a:prstGeom>
                        <a:noFill/>
                        <a:ln w="9525">
                          <a:solidFill>
                            <a:srgbClr val="FF0000"/>
                          </a:solidFill>
                          <a:miter lim="800000"/>
                        </a:ln>
                      </wps:spPr>
                      <wps:txbx>
                        <w:txbxContent>
                          <w:p>
                            <w:pPr>
                              <w:ind w:firstLine="0" w:firstLineChars="0"/>
                              <w:rPr>
                                <w:color w:val="0000FF"/>
                                <w:sz w:val="18"/>
                                <w:szCs w:val="18"/>
                                <w:highlight w:val="yellow"/>
                              </w:rPr>
                            </w:pPr>
                            <w:r>
                              <w:rPr>
                                <w:rFonts w:hint="eastAsia"/>
                                <w:color w:val="0000FF"/>
                                <w:sz w:val="18"/>
                                <w:szCs w:val="18"/>
                                <w:highlight w:val="yellow"/>
                              </w:rPr>
                              <w:t>河道疏浚清淤抛泥区</w:t>
                            </w:r>
                          </w:p>
                        </w:txbxContent>
                      </wps:txbx>
                      <wps:bodyPr rot="0" vert="horz" wrap="square" lIns="91440" tIns="45720" rIns="91440" bIns="45720" anchor="t" anchorCtr="false" upright="true">
                        <a:noAutofit/>
                      </wps:bodyPr>
                    </wps:wsp>
                  </a:graphicData>
                </a:graphic>
              </wp:anchor>
            </w:drawing>
          </mc:Choice>
          <mc:Fallback>
            <w:pict>
              <v:shape id="AutoShape 3274" o:spid="_x0000_s1026" o:spt="62" type="#_x0000_t62" style="position:absolute;left:0pt;margin-left:30.4pt;margin-top:125.65pt;height:22.5pt;width:112.7pt;z-index:251735040;mso-width-relative:page;mso-height-relative:page;" filled="f" stroked="t" coordsize="21600,21600" o:gfxdata="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BYAAABkcnMvUEsBAhQA&#10;FAAAAAgAh07iQIAM7krbAAAACgEAAA8AAAAAAAAAAQAgAAAAOAAAAGRycy9kb3ducmV2LnhtbFBL&#10;AQIUABQAAAAIAIdO4kBgiP5ATwIAAJwEAAAOAAAAAAAAAAEAIAAAAEABAABkcnMvZTJvRG9jLnht&#10;bFBLBQYAAAAABgAGAFkBAAABBgAAAAA=&#10;" adj="25898,68832,14400">
                <v:fill on="f" focussize="0,0"/>
                <v:stroke color="#FF0000" miterlimit="8" joinstyle="miter"/>
                <v:imagedata o:title=""/>
                <o:lock v:ext="edit" aspectratio="f"/>
                <v:textbox>
                  <w:txbxContent>
                    <w:p>
                      <w:pPr>
                        <w:ind w:firstLine="0" w:firstLineChars="0"/>
                        <w:rPr>
                          <w:color w:val="0000FF"/>
                          <w:sz w:val="18"/>
                          <w:szCs w:val="18"/>
                          <w:highlight w:val="yellow"/>
                        </w:rPr>
                      </w:pPr>
                      <w:r>
                        <w:rPr>
                          <w:rFonts w:hint="eastAsia"/>
                          <w:color w:val="0000FF"/>
                          <w:sz w:val="18"/>
                          <w:szCs w:val="18"/>
                          <w:highlight w:val="yellow"/>
                        </w:rPr>
                        <w:t>河道疏浚清淤抛泥区</w:t>
                      </w:r>
                    </w:p>
                  </w:txbxContent>
                </v:textbox>
              </v:shape>
            </w:pict>
          </mc:Fallback>
        </mc:AlternateContent>
      </w:r>
      <w:r>
        <w:drawing>
          <wp:inline distT="0" distB="0" distL="0" distR="0">
            <wp:extent cx="5760720" cy="3395980"/>
            <wp:effectExtent l="0" t="0" r="0" b="0"/>
            <wp:docPr id="915" name="图片 9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5" name="图片 915"/>
                    <pic:cNvPicPr>
                      <a:picLocks noChangeAspect="true"/>
                    </pic:cNvPicPr>
                  </pic:nvPicPr>
                  <pic:blipFill>
                    <a:blip r:embed="rId69"/>
                    <a:stretch>
                      <a:fillRect/>
                    </a:stretch>
                  </pic:blipFill>
                  <pic:spPr>
                    <a:xfrm>
                      <a:off x="0" y="0"/>
                      <a:ext cx="5760720" cy="3395980"/>
                    </a:xfrm>
                    <a:prstGeom prst="rect">
                      <a:avLst/>
                    </a:prstGeom>
                  </pic:spPr>
                </pic:pic>
              </a:graphicData>
            </a:graphic>
          </wp:inline>
        </w:drawing>
      </w:r>
      <w:r>
        <w:rPr>
          <w:rFonts w:ascii="Times New Roman" w:hAnsi="Times New Roman" w:cs="Times New Roman"/>
        </w:rPr>
        <w:t xml:space="preserve"> </w:t>
      </w:r>
    </w:p>
    <w:p>
      <w:pPr>
        <w:ind w:firstLine="442"/>
        <w:jc w:val="center"/>
        <w:rPr>
          <w:rFonts w:ascii="Times New Roman" w:hAnsi="Times New Roman" w:cs="Times New Roman"/>
          <w:color w:val="auto"/>
          <w:szCs w:val="24"/>
          <w:shd w:val="clear" w:color="auto" w:fill="FFFFFF"/>
        </w:rPr>
      </w:pPr>
      <w:r>
        <w:rPr>
          <w:rFonts w:ascii="Times New Roman" w:hAnsi="Times New Roman" w:cs="Times New Roman"/>
          <w:b/>
          <w:bCs/>
          <w:sz w:val="22"/>
        </w:rPr>
        <w:t>图3.10-1  本项目抛泥区设置位置图</w:t>
      </w:r>
    </w:p>
    <w:p>
      <w:pPr>
        <w:ind w:firstLine="0" w:firstLineChars="0"/>
        <w:rPr>
          <w:rFonts w:ascii="Times New Roman" w:hAnsi="Times New Roman" w:cs="Times New Roman"/>
          <w:b/>
          <w:bCs/>
          <w:color w:val="auto"/>
        </w:rPr>
      </w:pPr>
      <w:r>
        <w:rPr>
          <w:rFonts w:ascii="Times New Roman" w:hAnsi="Times New Roman" w:cs="Times New Roman"/>
          <w:b/>
          <w:bCs/>
          <w:color w:val="auto"/>
        </w:rPr>
        <w:t>3.10.1.2施工期</w:t>
      </w:r>
      <w:bookmarkEnd w:id="227"/>
      <w:r>
        <w:rPr>
          <w:rFonts w:ascii="Times New Roman" w:hAnsi="Times New Roman" w:cs="Times New Roman"/>
          <w:b/>
          <w:bCs/>
          <w:color w:val="auto"/>
        </w:rPr>
        <w:t>废气源强</w:t>
      </w:r>
      <w:bookmarkEnd w:id="228"/>
    </w:p>
    <w:p>
      <w:pPr>
        <w:adjustRightInd/>
        <w:ind w:firstLine="482"/>
        <w:rPr>
          <w:rFonts w:ascii="Times New Roman" w:hAnsi="Times New Roman" w:cs="Times New Roman"/>
          <w:b/>
          <w:color w:val="auto"/>
          <w:szCs w:val="24"/>
          <w:shd w:val="clear" w:color="auto" w:fill="FFFFFF"/>
        </w:rPr>
      </w:pPr>
      <w:r>
        <w:rPr>
          <w:rFonts w:ascii="Times New Roman" w:hAnsi="Times New Roman" w:cs="Times New Roman"/>
          <w:b/>
          <w:color w:val="auto"/>
          <w:szCs w:val="24"/>
          <w:shd w:val="clear" w:color="auto" w:fill="FFFFFF"/>
        </w:rPr>
        <w:t>1、施工扬尘</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施工场地开挖平整、材料堆存等施工作业，在受风力作用下将会产生TSP污染影响，且风力越大污染越严重。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在土方开挖和砂石料堆存过程中的风蚀起尘、施工扬尘等共同作用下，未采取环保措施时，施工现场面源污染源强为539g/s；在采取洒水抑尘、覆盖等环保措施后，施工现场面源污染源强为140g/s，施工作业场所粉尘浓度为1.5～30mg/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根据《安徽省大气污染防治条例》、《安徽省打赢蓝天保卫战三年行动计划实施方案》、《关于印发&lt;安徽省建筑工程施工和预拌混凝土生产扬尘污染防治标准（试行）&gt;的通知》等要求，施工现场扬尘污染防治应做到“六个百分之百”：施工工地周边100%围挡、物料堆放100%覆盖、施工现场地面100%硬化、土方开挖100%湿法作业、出入车辆100%清洗、渣土车辆100%密闭运输。</w:t>
      </w:r>
    </w:p>
    <w:p>
      <w:pPr>
        <w:adjustRightInd/>
        <w:ind w:firstLine="482"/>
        <w:rPr>
          <w:rFonts w:ascii="Times New Roman" w:hAnsi="Times New Roman" w:cs="Times New Roman"/>
          <w:b/>
          <w:color w:val="auto"/>
          <w:szCs w:val="24"/>
          <w:shd w:val="clear" w:color="auto" w:fill="FFFFFF"/>
        </w:rPr>
      </w:pPr>
      <w:r>
        <w:rPr>
          <w:rFonts w:ascii="Times New Roman" w:hAnsi="Times New Roman" w:cs="Times New Roman"/>
          <w:b/>
          <w:color w:val="auto"/>
          <w:szCs w:val="24"/>
          <w:shd w:val="clear" w:color="auto" w:fill="FFFFFF"/>
        </w:rPr>
        <w:t>2、施工道路扬尘</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根据港口码头工程施工现场监测资料，砂石料汽车运输路线两侧20～25m、车流量约400辆/d时，运输路线两侧20～25m的TSP增加量为0.072～0.158mg/m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，平均增加量为0.115mg/m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。评价以此类比分析汽车运输砂石料对空气环境的影响。</w:t>
      </w:r>
    </w:p>
    <w:p>
      <w:pPr>
        <w:adjustRightInd/>
        <w:ind w:firstLine="482"/>
        <w:rPr>
          <w:rFonts w:ascii="Times New Roman" w:hAnsi="Times New Roman" w:cs="Times New Roman"/>
          <w:b/>
          <w:color w:val="auto"/>
          <w:szCs w:val="24"/>
          <w:shd w:val="clear" w:color="auto" w:fill="FFFFFF"/>
        </w:rPr>
      </w:pPr>
      <w:r>
        <w:rPr>
          <w:rFonts w:ascii="Times New Roman" w:hAnsi="Times New Roman" w:cs="Times New Roman"/>
          <w:b/>
          <w:color w:val="auto"/>
          <w:szCs w:val="24"/>
          <w:shd w:val="clear" w:color="auto" w:fill="FFFFFF"/>
        </w:rPr>
        <w:t>3、施工车辆和机械、船舶废气</w:t>
      </w:r>
    </w:p>
    <w:p>
      <w:pPr>
        <w:pStyle w:val="98"/>
        <w:snapToGrid w:val="0"/>
        <w:ind w:firstLine="480" w:firstLineChars="200"/>
        <w:rPr>
          <w:rFonts w:ascii="Times New Roman" w:hAnsi="Times New Roman" w:cs="Times New Roman"/>
          <w:shd w:val="clear" w:color="auto" w:fill="FFFFFF"/>
        </w:rPr>
      </w:pPr>
      <w:r>
        <w:rPr>
          <w:rFonts w:ascii="Times New Roman" w:hAnsi="Times New Roman" w:cs="Times New Roman"/>
          <w:shd w:val="clear" w:color="auto" w:fill="FFFFFF"/>
        </w:rPr>
        <w:t>施工船舶以及陆域施工机械包括运输车辆及挖掘机、装载机等，均以柴油为燃料，施工过程中柴油燃烧过程排放少量燃油废气，主要污染因子为SO</w:t>
      </w:r>
      <w:r>
        <w:rPr>
          <w:rFonts w:ascii="Times New Roman" w:hAnsi="Times New Roman" w:cs="Times New Roman"/>
          <w:shd w:val="clear" w:color="auto" w:fill="FFFFFF"/>
          <w:vertAlign w:val="subscript"/>
        </w:rPr>
        <w:t>2</w:t>
      </w:r>
      <w:r>
        <w:rPr>
          <w:rFonts w:ascii="Times New Roman" w:hAnsi="Times New Roman" w:cs="Times New Roman"/>
          <w:shd w:val="clear" w:color="auto" w:fill="FFFFFF"/>
        </w:rPr>
        <w:t>、NO</w:t>
      </w:r>
      <w:r>
        <w:rPr>
          <w:rFonts w:ascii="Times New Roman" w:hAnsi="Times New Roman" w:cs="Times New Roman"/>
          <w:shd w:val="clear" w:color="auto" w:fill="FFFFFF"/>
          <w:vertAlign w:val="subscript"/>
        </w:rPr>
        <w:t>x</w:t>
      </w:r>
      <w:r>
        <w:rPr>
          <w:rFonts w:ascii="Times New Roman" w:hAnsi="Times New Roman" w:cs="Times New Roman"/>
          <w:shd w:val="clear" w:color="auto" w:fill="FFFFFF"/>
        </w:rPr>
        <w:t>和烃类等。</w:t>
      </w:r>
    </w:p>
    <w:p>
      <w:pPr>
        <w:pStyle w:val="4"/>
        <w:numPr>
          <w:ilvl w:val="2"/>
          <w:numId w:val="0"/>
        </w:numPr>
        <w:jc w:val="both"/>
        <w:rPr>
          <w:rFonts w:ascii="Times New Roman" w:hAnsi="Times New Roman" w:cs="Times New Roman"/>
          <w:color w:val="auto"/>
        </w:rPr>
      </w:pPr>
      <w:bookmarkStart w:id="229" w:name="_Toc104733348"/>
      <w:r>
        <w:rPr>
          <w:rFonts w:ascii="Times New Roman" w:hAnsi="Times New Roman" w:cs="Times New Roman"/>
          <w:color w:val="auto"/>
        </w:rPr>
        <w:t>3.10.1.2施工期废水源强</w:t>
      </w:r>
      <w:bookmarkEnd w:id="229"/>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本项目施工期对水域环境造成的污染主要为施工人员产生的生活污水，水下疏浚开挖过程中引起水域悬浮物含量增加、水下土方输送到抛泥区后干化脱水而产生的余水等。主要污染因子为COD、BOD</w:t>
      </w:r>
      <w:r>
        <w:rPr>
          <w:rFonts w:ascii="Times New Roman" w:hAnsi="Times New Roman" w:cs="Times New Roman"/>
          <w:color w:val="auto"/>
          <w:szCs w:val="24"/>
          <w:shd w:val="clear" w:color="auto" w:fill="FFFFFF"/>
          <w:vertAlign w:val="subscript"/>
        </w:rPr>
        <w:t>5</w:t>
      </w:r>
      <w:r>
        <w:rPr>
          <w:rFonts w:ascii="Times New Roman" w:hAnsi="Times New Roman" w:cs="Times New Roman"/>
          <w:color w:val="auto"/>
          <w:szCs w:val="24"/>
          <w:shd w:val="clear" w:color="auto" w:fill="FFFFFF"/>
        </w:rPr>
        <w:t>、NH</w:t>
      </w:r>
      <w:r>
        <w:rPr>
          <w:rFonts w:ascii="Times New Roman" w:hAnsi="Times New Roman" w:cs="Times New Roman"/>
          <w:color w:val="auto"/>
          <w:szCs w:val="24"/>
          <w:shd w:val="clear" w:color="auto" w:fill="FFFFFF"/>
          <w:vertAlign w:val="subscript"/>
        </w:rPr>
        <w:t>3</w:t>
      </w:r>
      <w:r>
        <w:rPr>
          <w:rFonts w:ascii="Times New Roman" w:hAnsi="Times New Roman" w:cs="Times New Roman"/>
          <w:color w:val="auto"/>
          <w:szCs w:val="24"/>
          <w:shd w:val="clear" w:color="auto" w:fill="FFFFFF"/>
        </w:rPr>
        <w:t>-N、SS和石油类。废水主要为间歇式排放，间或有连续排放。工程施工主要废水污染源情况见下表。</w:t>
      </w:r>
    </w:p>
    <w:p>
      <w:pPr>
        <w:spacing w:line="240" w:lineRule="auto"/>
        <w:ind w:firstLine="482"/>
        <w:jc w:val="center"/>
        <w:rPr>
          <w:rFonts w:ascii="Times New Roman" w:hAnsi="Times New Roman" w:cs="Times New Roman"/>
          <w:b/>
          <w:bCs/>
          <w:color w:val="auto"/>
        </w:rPr>
      </w:pPr>
      <w:r>
        <w:rPr>
          <w:rFonts w:ascii="Times New Roman" w:hAnsi="Times New Roman" w:cs="Times New Roman"/>
          <w:b/>
          <w:bCs/>
          <w:color w:val="auto"/>
        </w:rPr>
        <w:t>表3.10-1  施工期废水污染源情况表</w:t>
      </w:r>
    </w:p>
    <w:tbl>
      <w:tblPr>
        <w:tblStyle w:val="62"/>
        <w:tblW w:w="915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65"/>
        <w:gridCol w:w="2023"/>
        <w:gridCol w:w="3908"/>
        <w:gridCol w:w="205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5" w:hRule="atLeast"/>
          <w:tblHeader/>
          <w:jc w:val="center"/>
        </w:trPr>
        <w:tc>
          <w:tcPr>
            <w:tcW w:w="3188" w:type="dxa"/>
            <w:gridSpan w:val="2"/>
            <w:vAlign w:val="center"/>
          </w:tcPr>
          <w:p>
            <w:pPr>
              <w:widowControl/>
              <w:adjustRightInd/>
              <w:spacing w:line="240" w:lineRule="auto"/>
              <w:ind w:firstLine="0" w:firstLineChars="0"/>
              <w:jc w:val="center"/>
              <w:rPr>
                <w:rFonts w:ascii="Times New Roman" w:hAnsi="Times New Roman" w:cs="Times New Roman"/>
                <w:b/>
                <w:color w:val="auto"/>
                <w:kern w:val="0"/>
                <w:sz w:val="18"/>
                <w:szCs w:val="18"/>
                <w:shd w:val="clear" w:color="auto" w:fill="FFFFFF"/>
              </w:rPr>
            </w:pPr>
            <w:r>
              <w:rPr>
                <w:rFonts w:ascii="Times New Roman" w:hAnsi="Times New Roman" w:cs="Times New Roman"/>
                <w:b/>
                <w:color w:val="auto"/>
                <w:kern w:val="0"/>
                <w:sz w:val="18"/>
                <w:szCs w:val="18"/>
                <w:shd w:val="clear" w:color="auto" w:fill="FFFFFF"/>
              </w:rPr>
              <w:t>污染源名称</w:t>
            </w:r>
          </w:p>
        </w:tc>
        <w:tc>
          <w:tcPr>
            <w:tcW w:w="3908" w:type="dxa"/>
            <w:vAlign w:val="center"/>
          </w:tcPr>
          <w:p>
            <w:pPr>
              <w:widowControl/>
              <w:adjustRightInd/>
              <w:spacing w:line="240" w:lineRule="auto"/>
              <w:ind w:firstLine="0" w:firstLineChars="0"/>
              <w:jc w:val="center"/>
              <w:rPr>
                <w:rFonts w:ascii="Times New Roman" w:hAnsi="Times New Roman" w:cs="Times New Roman"/>
                <w:b/>
                <w:color w:val="auto"/>
                <w:kern w:val="0"/>
                <w:sz w:val="18"/>
                <w:szCs w:val="18"/>
                <w:shd w:val="clear" w:color="auto" w:fill="FFFFFF"/>
              </w:rPr>
            </w:pPr>
            <w:r>
              <w:rPr>
                <w:rFonts w:ascii="Times New Roman" w:hAnsi="Times New Roman" w:cs="Times New Roman"/>
                <w:b/>
                <w:color w:val="auto"/>
                <w:kern w:val="0"/>
                <w:sz w:val="18"/>
                <w:szCs w:val="18"/>
                <w:shd w:val="clear" w:color="auto" w:fill="FFFFFF"/>
              </w:rPr>
              <w:t>污染来源</w:t>
            </w:r>
          </w:p>
        </w:tc>
        <w:tc>
          <w:tcPr>
            <w:tcW w:w="2054" w:type="dxa"/>
            <w:vAlign w:val="center"/>
          </w:tcPr>
          <w:p>
            <w:pPr>
              <w:widowControl/>
              <w:adjustRightInd/>
              <w:spacing w:line="240" w:lineRule="auto"/>
              <w:ind w:firstLine="0" w:firstLineChars="0"/>
              <w:jc w:val="center"/>
              <w:rPr>
                <w:rFonts w:ascii="Times New Roman" w:hAnsi="Times New Roman" w:cs="Times New Roman"/>
                <w:b/>
                <w:color w:val="auto"/>
                <w:kern w:val="0"/>
                <w:sz w:val="18"/>
                <w:szCs w:val="18"/>
                <w:shd w:val="clear" w:color="auto" w:fill="FFFFFF"/>
              </w:rPr>
            </w:pPr>
            <w:r>
              <w:rPr>
                <w:rFonts w:ascii="Times New Roman" w:hAnsi="Times New Roman" w:cs="Times New Roman"/>
                <w:b/>
                <w:color w:val="auto"/>
                <w:kern w:val="0"/>
                <w:sz w:val="18"/>
                <w:szCs w:val="18"/>
                <w:shd w:val="clear" w:color="auto" w:fill="FFFFFF"/>
              </w:rPr>
              <w:t>主要污染物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1165" w:type="dxa"/>
            <w:vMerge w:val="restart"/>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施工期生产废水</w:t>
            </w:r>
          </w:p>
        </w:tc>
        <w:tc>
          <w:tcPr>
            <w:tcW w:w="2023"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施工生产区废水</w:t>
            </w:r>
          </w:p>
        </w:tc>
        <w:tc>
          <w:tcPr>
            <w:tcW w:w="3908"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施工机械和运输车辆冲洗废水</w:t>
            </w:r>
          </w:p>
        </w:tc>
        <w:tc>
          <w:tcPr>
            <w:tcW w:w="205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SS、石油类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5" w:hRule="atLeast"/>
          <w:jc w:val="center"/>
        </w:trPr>
        <w:tc>
          <w:tcPr>
            <w:tcW w:w="1165"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2023"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码头工程施工废水</w:t>
            </w:r>
          </w:p>
        </w:tc>
        <w:tc>
          <w:tcPr>
            <w:tcW w:w="3908"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水下方泥浆混凝沉淀废水</w:t>
            </w:r>
          </w:p>
        </w:tc>
        <w:tc>
          <w:tcPr>
            <w:tcW w:w="205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SS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95" w:hRule="atLeast"/>
          <w:jc w:val="center"/>
        </w:trPr>
        <w:tc>
          <w:tcPr>
            <w:tcW w:w="1165"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2023"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抛泥区余水</w:t>
            </w:r>
          </w:p>
        </w:tc>
        <w:tc>
          <w:tcPr>
            <w:tcW w:w="3908"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泥浆经堆场自然沉淀后大量余水需外排</w:t>
            </w:r>
          </w:p>
        </w:tc>
        <w:tc>
          <w:tcPr>
            <w:tcW w:w="2054"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SS、TP、TN</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3188" w:type="dxa"/>
            <w:gridSpan w:val="2"/>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扰动河水</w:t>
            </w:r>
          </w:p>
        </w:tc>
        <w:tc>
          <w:tcPr>
            <w:tcW w:w="3908"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管桩沉桩施工、水下疏浚</w:t>
            </w:r>
          </w:p>
        </w:tc>
        <w:tc>
          <w:tcPr>
            <w:tcW w:w="2054"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SS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0" w:hRule="atLeast"/>
          <w:jc w:val="center"/>
        </w:trPr>
        <w:tc>
          <w:tcPr>
            <w:tcW w:w="3188" w:type="dxa"/>
            <w:gridSpan w:val="2"/>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施工船舶废水</w:t>
            </w:r>
          </w:p>
        </w:tc>
        <w:tc>
          <w:tcPr>
            <w:tcW w:w="3908"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船舶舱底油污水、船舶生活污水</w:t>
            </w:r>
          </w:p>
        </w:tc>
        <w:tc>
          <w:tcPr>
            <w:tcW w:w="2054"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BOD、COD、NH</w:t>
            </w:r>
            <w:r>
              <w:rPr>
                <w:rFonts w:ascii="Times New Roman" w:hAnsi="Times New Roman" w:cs="Times New Roman"/>
                <w:color w:val="auto"/>
                <w:kern w:val="0"/>
                <w:sz w:val="18"/>
                <w:szCs w:val="18"/>
                <w:shd w:val="clear" w:color="auto" w:fill="FFFFFF"/>
                <w:vertAlign w:val="subscript"/>
              </w:rPr>
              <w:t>3</w:t>
            </w:r>
            <w:r>
              <w:rPr>
                <w:rFonts w:ascii="Times New Roman" w:hAnsi="Times New Roman" w:cs="Times New Roman"/>
                <w:color w:val="auto"/>
                <w:kern w:val="0"/>
                <w:sz w:val="18"/>
                <w:szCs w:val="18"/>
                <w:shd w:val="clear" w:color="auto" w:fill="FFFFFF"/>
              </w:rPr>
              <w:t>-N、SS、石油类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3188" w:type="dxa"/>
            <w:gridSpan w:val="2"/>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施工生活污水</w:t>
            </w:r>
          </w:p>
        </w:tc>
        <w:tc>
          <w:tcPr>
            <w:tcW w:w="3908"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施工人员日常生活</w:t>
            </w:r>
          </w:p>
        </w:tc>
        <w:tc>
          <w:tcPr>
            <w:tcW w:w="2054"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BOD、COD、NH</w:t>
            </w:r>
            <w:r>
              <w:rPr>
                <w:rFonts w:ascii="Times New Roman" w:hAnsi="Times New Roman" w:cs="Times New Roman"/>
                <w:color w:val="auto"/>
                <w:kern w:val="0"/>
                <w:sz w:val="18"/>
                <w:szCs w:val="18"/>
                <w:shd w:val="clear" w:color="auto" w:fill="FFFFFF"/>
                <w:vertAlign w:val="subscript"/>
              </w:rPr>
              <w:t>3</w:t>
            </w:r>
            <w:r>
              <w:rPr>
                <w:rFonts w:ascii="Times New Roman" w:hAnsi="Times New Roman" w:cs="Times New Roman"/>
                <w:color w:val="auto"/>
                <w:kern w:val="0"/>
                <w:sz w:val="18"/>
                <w:szCs w:val="18"/>
                <w:shd w:val="clear" w:color="auto" w:fill="FFFFFF"/>
              </w:rPr>
              <w:t>-N</w:t>
            </w:r>
          </w:p>
        </w:tc>
      </w:tr>
    </w:tbl>
    <w:p>
      <w:pPr>
        <w:adjustRightInd/>
        <w:ind w:firstLine="482"/>
        <w:rPr>
          <w:rFonts w:ascii="Times New Roman" w:hAnsi="Times New Roman" w:cs="Times New Roman"/>
          <w:b/>
          <w:color w:val="auto"/>
          <w:szCs w:val="24"/>
          <w:shd w:val="clear" w:color="auto" w:fill="FFFFFF"/>
        </w:rPr>
      </w:pPr>
      <w:r>
        <w:rPr>
          <w:rFonts w:ascii="Times New Roman" w:hAnsi="Times New Roman" w:cs="Times New Roman"/>
          <w:b/>
          <w:color w:val="auto"/>
          <w:szCs w:val="24"/>
          <w:shd w:val="clear" w:color="auto" w:fill="FFFFFF"/>
        </w:rPr>
        <w:t>1、施工生产区废水</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砂石水泥物料运输车辆、各类施工机械驶出施工生产区后，需对车轮及车体进行冲洗，冲洗废水产生量约为10m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/d，SS达1000mg/L，SS产生量达10kg/d，同时含有少量的石油类。</w:t>
      </w:r>
    </w:p>
    <w:p>
      <w:pPr>
        <w:adjustRightInd/>
        <w:ind w:firstLine="482"/>
        <w:rPr>
          <w:rFonts w:ascii="Times New Roman" w:hAnsi="Times New Roman" w:cs="Times New Roman"/>
          <w:b/>
          <w:color w:val="auto"/>
          <w:szCs w:val="24"/>
          <w:shd w:val="clear" w:color="auto" w:fill="FFFFFF"/>
        </w:rPr>
      </w:pPr>
      <w:r>
        <w:rPr>
          <w:rFonts w:ascii="Times New Roman" w:hAnsi="Times New Roman" w:cs="Times New Roman"/>
          <w:b/>
          <w:color w:val="auto"/>
          <w:szCs w:val="24"/>
          <w:shd w:val="clear" w:color="auto" w:fill="FFFFFF"/>
        </w:rPr>
        <w:t>2、码头工程施工废水</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本项目码头及陆域土石方施工过程中，会产生水下方及淤泥，水下土方及淤泥含有大量的水，施工过程中先在施工场地内进行沉淀处理，沉淀后的干泥浆收集后由车辆运输至抛泥区。根据工程初步设计资料，本项目土方工程量见下表。</w:t>
      </w:r>
    </w:p>
    <w:p>
      <w:pPr>
        <w:adjustRightInd/>
        <w:spacing w:line="240" w:lineRule="auto"/>
        <w:ind w:firstLine="482"/>
        <w:jc w:val="center"/>
        <w:rPr>
          <w:rFonts w:ascii="Times New Roman" w:hAnsi="Times New Roman" w:cs="Times New Roman"/>
          <w:color w:val="auto"/>
          <w:szCs w:val="24"/>
          <w:shd w:val="clear" w:color="auto" w:fill="FFFFFF"/>
        </w:rPr>
      </w:pPr>
      <w:r>
        <w:rPr>
          <w:rFonts w:ascii="Times New Roman" w:hAnsi="Times New Roman" w:cs="Times New Roman"/>
          <w:b/>
          <w:bCs/>
          <w:color w:val="auto"/>
        </w:rPr>
        <w:t xml:space="preserve">表3.10-2   </w:t>
      </w:r>
      <w:r>
        <w:rPr>
          <w:rFonts w:hint="eastAsia" w:ascii="Times New Roman" w:hAnsi="Times New Roman" w:cs="Times New Roman"/>
          <w:b/>
          <w:bCs/>
          <w:color w:val="auto"/>
        </w:rPr>
        <w:t xml:space="preserve">本项目土石方总平衡表 </w:t>
      </w:r>
      <w:r>
        <w:rPr>
          <w:rFonts w:ascii="Times New Roman" w:hAnsi="Times New Roman" w:cs="Times New Roman"/>
          <w:b/>
          <w:bCs/>
          <w:color w:val="auto"/>
        </w:rPr>
        <w:t xml:space="preserve">   </w:t>
      </w:r>
      <w:r>
        <w:rPr>
          <w:rFonts w:hint="eastAsia" w:ascii="Times New Roman" w:hAnsi="Times New Roman" w:cs="Times New Roman"/>
          <w:b/>
          <w:bCs/>
          <w:color w:val="auto"/>
        </w:rPr>
        <w:t>单位：万m</w:t>
      </w:r>
      <w:r>
        <w:rPr>
          <w:rFonts w:ascii="Times New Roman" w:hAnsi="Times New Roman" w:cs="Times New Roman"/>
          <w:b/>
          <w:bCs/>
          <w:color w:val="auto"/>
          <w:vertAlign w:val="superscript"/>
        </w:rPr>
        <w:t>3</w:t>
      </w:r>
    </w:p>
    <w:tbl>
      <w:tblPr>
        <w:tblStyle w:val="62"/>
        <w:tblW w:w="9639"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301"/>
        <w:gridCol w:w="725"/>
        <w:gridCol w:w="723"/>
        <w:gridCol w:w="672"/>
        <w:gridCol w:w="695"/>
        <w:gridCol w:w="666"/>
        <w:gridCol w:w="666"/>
        <w:gridCol w:w="685"/>
        <w:gridCol w:w="554"/>
        <w:gridCol w:w="543"/>
        <w:gridCol w:w="558"/>
        <w:gridCol w:w="584"/>
        <w:gridCol w:w="709"/>
        <w:gridCol w:w="398"/>
        <w:gridCol w:w="662"/>
        <w:gridCol w:w="498"/>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9" w:hRule="atLeast"/>
          <w:jc w:val="center"/>
        </w:trPr>
        <w:tc>
          <w:tcPr>
            <w:tcW w:w="302" w:type="dxa"/>
            <w:vMerge w:val="restart"/>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序号</w:t>
            </w:r>
          </w:p>
        </w:tc>
        <w:tc>
          <w:tcPr>
            <w:tcW w:w="725" w:type="dxa"/>
            <w:vMerge w:val="restart"/>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项目分区</w:t>
            </w:r>
          </w:p>
        </w:tc>
        <w:tc>
          <w:tcPr>
            <w:tcW w:w="2093" w:type="dxa"/>
            <w:gridSpan w:val="3"/>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挖方</w:t>
            </w:r>
          </w:p>
        </w:tc>
        <w:tc>
          <w:tcPr>
            <w:tcW w:w="2017" w:type="dxa"/>
            <w:gridSpan w:val="3"/>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填方</w:t>
            </w:r>
          </w:p>
        </w:tc>
        <w:tc>
          <w:tcPr>
            <w:tcW w:w="2239" w:type="dxa"/>
            <w:gridSpan w:val="4"/>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综合利用</w:t>
            </w:r>
          </w:p>
        </w:tc>
        <w:tc>
          <w:tcPr>
            <w:tcW w:w="1107" w:type="dxa"/>
            <w:gridSpan w:val="2"/>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借方</w:t>
            </w:r>
          </w:p>
        </w:tc>
        <w:tc>
          <w:tcPr>
            <w:tcW w:w="1156" w:type="dxa"/>
            <w:gridSpan w:val="2"/>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余方</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9" w:hRule="atLeast"/>
          <w:jc w:val="center"/>
        </w:trPr>
        <w:tc>
          <w:tcPr>
            <w:tcW w:w="302"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725"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724" w:type="dxa"/>
            <w:vMerge w:val="restart"/>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一般土方</w:t>
            </w:r>
          </w:p>
        </w:tc>
        <w:tc>
          <w:tcPr>
            <w:tcW w:w="673" w:type="dxa"/>
            <w:vMerge w:val="restart"/>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表土</w:t>
            </w:r>
          </w:p>
        </w:tc>
        <w:tc>
          <w:tcPr>
            <w:tcW w:w="694" w:type="dxa"/>
            <w:vMerge w:val="restart"/>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小计</w:t>
            </w:r>
          </w:p>
        </w:tc>
        <w:tc>
          <w:tcPr>
            <w:tcW w:w="666" w:type="dxa"/>
            <w:vMerge w:val="restart"/>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一般土方</w:t>
            </w:r>
          </w:p>
        </w:tc>
        <w:tc>
          <w:tcPr>
            <w:tcW w:w="666" w:type="dxa"/>
            <w:vMerge w:val="restart"/>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表土</w:t>
            </w:r>
          </w:p>
        </w:tc>
        <w:tc>
          <w:tcPr>
            <w:tcW w:w="684" w:type="dxa"/>
            <w:vMerge w:val="restart"/>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小计</w:t>
            </w:r>
          </w:p>
        </w:tc>
        <w:tc>
          <w:tcPr>
            <w:tcW w:w="1097" w:type="dxa"/>
            <w:gridSpan w:val="2"/>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调入</w:t>
            </w:r>
          </w:p>
        </w:tc>
        <w:tc>
          <w:tcPr>
            <w:tcW w:w="1142" w:type="dxa"/>
            <w:gridSpan w:val="2"/>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调出</w:t>
            </w:r>
          </w:p>
        </w:tc>
        <w:tc>
          <w:tcPr>
            <w:tcW w:w="709" w:type="dxa"/>
            <w:vMerge w:val="restart"/>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数量</w:t>
            </w:r>
          </w:p>
        </w:tc>
        <w:tc>
          <w:tcPr>
            <w:tcW w:w="398" w:type="dxa"/>
            <w:vMerge w:val="restart"/>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来源</w:t>
            </w:r>
          </w:p>
        </w:tc>
        <w:tc>
          <w:tcPr>
            <w:tcW w:w="662" w:type="dxa"/>
            <w:vMerge w:val="restart"/>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数量</w:t>
            </w:r>
          </w:p>
        </w:tc>
        <w:tc>
          <w:tcPr>
            <w:tcW w:w="497" w:type="dxa"/>
            <w:vMerge w:val="restart"/>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去向</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201" w:hRule="atLeast"/>
          <w:jc w:val="center"/>
        </w:trPr>
        <w:tc>
          <w:tcPr>
            <w:tcW w:w="302"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725"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724"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673"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694"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666"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666"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684"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554" w:type="dxa"/>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数量</w:t>
            </w:r>
          </w:p>
        </w:tc>
        <w:tc>
          <w:tcPr>
            <w:tcW w:w="542" w:type="dxa"/>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来源</w:t>
            </w:r>
          </w:p>
        </w:tc>
        <w:tc>
          <w:tcPr>
            <w:tcW w:w="558" w:type="dxa"/>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数量</w:t>
            </w:r>
          </w:p>
        </w:tc>
        <w:tc>
          <w:tcPr>
            <w:tcW w:w="584" w:type="dxa"/>
            <w:vAlign w:val="center"/>
          </w:tcPr>
          <w:p>
            <w:pPr>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去向</w:t>
            </w:r>
          </w:p>
        </w:tc>
        <w:tc>
          <w:tcPr>
            <w:tcW w:w="709"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398"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662"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498"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68" w:hRule="atLeast"/>
          <w:jc w:val="center"/>
        </w:trPr>
        <w:tc>
          <w:tcPr>
            <w:tcW w:w="30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1</w:t>
            </w:r>
          </w:p>
        </w:tc>
        <w:tc>
          <w:tcPr>
            <w:tcW w:w="725"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建筑物区</w:t>
            </w:r>
          </w:p>
        </w:tc>
        <w:tc>
          <w:tcPr>
            <w:tcW w:w="72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0.09</w:t>
            </w:r>
          </w:p>
        </w:tc>
        <w:tc>
          <w:tcPr>
            <w:tcW w:w="673"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0.00</w:t>
            </w:r>
          </w:p>
        </w:tc>
        <w:tc>
          <w:tcPr>
            <w:tcW w:w="69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0.09</w:t>
            </w:r>
          </w:p>
        </w:tc>
        <w:tc>
          <w:tcPr>
            <w:tcW w:w="666"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8.19</w:t>
            </w:r>
          </w:p>
        </w:tc>
        <w:tc>
          <w:tcPr>
            <w:tcW w:w="666"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0.00</w:t>
            </w:r>
          </w:p>
        </w:tc>
        <w:tc>
          <w:tcPr>
            <w:tcW w:w="68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8.19</w:t>
            </w:r>
          </w:p>
        </w:tc>
        <w:tc>
          <w:tcPr>
            <w:tcW w:w="55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w:t>
            </w:r>
          </w:p>
        </w:tc>
        <w:tc>
          <w:tcPr>
            <w:tcW w:w="54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w:t>
            </w:r>
          </w:p>
        </w:tc>
        <w:tc>
          <w:tcPr>
            <w:tcW w:w="558"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w:t>
            </w:r>
          </w:p>
        </w:tc>
        <w:tc>
          <w:tcPr>
            <w:tcW w:w="58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w:t>
            </w:r>
          </w:p>
        </w:tc>
        <w:tc>
          <w:tcPr>
            <w:tcW w:w="709"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8.10</w:t>
            </w:r>
          </w:p>
        </w:tc>
        <w:tc>
          <w:tcPr>
            <w:tcW w:w="398" w:type="dxa"/>
            <w:vMerge w:val="restart"/>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hint="eastAsia" w:ascii="Times New Roman" w:hAnsi="Times New Roman" w:cs="Times New Roman"/>
                <w:color w:val="auto"/>
                <w:kern w:val="0"/>
                <w:sz w:val="18"/>
                <w:szCs w:val="18"/>
                <w:shd w:val="clear" w:color="auto" w:fill="FFFFFF"/>
              </w:rPr>
              <w:t>合肥循环园统一调配</w:t>
            </w:r>
          </w:p>
        </w:tc>
        <w:tc>
          <w:tcPr>
            <w:tcW w:w="66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w:t>
            </w:r>
          </w:p>
        </w:tc>
        <w:tc>
          <w:tcPr>
            <w:tcW w:w="498" w:type="dxa"/>
            <w:vMerge w:val="restart"/>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hint="eastAsia" w:ascii="Times New Roman" w:hAnsi="Times New Roman" w:cs="Times New Roman"/>
                <w:color w:val="auto"/>
                <w:kern w:val="0"/>
                <w:sz w:val="18"/>
                <w:szCs w:val="18"/>
                <w:shd w:val="clear" w:color="auto" w:fill="FFFFFF"/>
              </w:rPr>
              <w:t>合肥循环园统一调配</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558" w:hRule="atLeast"/>
          <w:jc w:val="center"/>
        </w:trPr>
        <w:tc>
          <w:tcPr>
            <w:tcW w:w="30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2</w:t>
            </w:r>
          </w:p>
        </w:tc>
        <w:tc>
          <w:tcPr>
            <w:tcW w:w="725"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道路广场区</w:t>
            </w:r>
          </w:p>
        </w:tc>
        <w:tc>
          <w:tcPr>
            <w:tcW w:w="72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7.58</w:t>
            </w:r>
          </w:p>
        </w:tc>
        <w:tc>
          <w:tcPr>
            <w:tcW w:w="673"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0.32</w:t>
            </w:r>
          </w:p>
        </w:tc>
        <w:tc>
          <w:tcPr>
            <w:tcW w:w="69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7.90</w:t>
            </w:r>
          </w:p>
        </w:tc>
        <w:tc>
          <w:tcPr>
            <w:tcW w:w="666"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73.71</w:t>
            </w:r>
          </w:p>
        </w:tc>
        <w:tc>
          <w:tcPr>
            <w:tcW w:w="666"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0.00</w:t>
            </w:r>
          </w:p>
        </w:tc>
        <w:tc>
          <w:tcPr>
            <w:tcW w:w="68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73.71</w:t>
            </w:r>
          </w:p>
        </w:tc>
        <w:tc>
          <w:tcPr>
            <w:tcW w:w="55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7.13</w:t>
            </w:r>
          </w:p>
        </w:tc>
        <w:tc>
          <w:tcPr>
            <w:tcW w:w="54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河道工程区</w:t>
            </w:r>
          </w:p>
        </w:tc>
        <w:tc>
          <w:tcPr>
            <w:tcW w:w="558"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0.32</w:t>
            </w:r>
          </w:p>
        </w:tc>
        <w:tc>
          <w:tcPr>
            <w:tcW w:w="58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景观绿</w:t>
            </w:r>
          </w:p>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化区</w:t>
            </w:r>
          </w:p>
        </w:tc>
        <w:tc>
          <w:tcPr>
            <w:tcW w:w="709"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59.87</w:t>
            </w:r>
          </w:p>
        </w:tc>
        <w:tc>
          <w:tcPr>
            <w:tcW w:w="398" w:type="dxa"/>
            <w:vMerge w:val="continue"/>
            <w:vAlign w:val="center"/>
          </w:tcPr>
          <w:p>
            <w:pPr>
              <w:adjustRightInd/>
              <w:snapToGrid/>
              <w:spacing w:line="240" w:lineRule="auto"/>
              <w:ind w:firstLine="0" w:firstLineChars="0"/>
              <w:rPr>
                <w:rFonts w:ascii="Times New Roman" w:hAnsi="Times New Roman" w:cs="Times New Roman"/>
                <w:color w:val="auto"/>
                <w:kern w:val="0"/>
                <w:sz w:val="18"/>
                <w:szCs w:val="18"/>
                <w:shd w:val="clear" w:color="auto" w:fill="FFFFFF"/>
              </w:rPr>
            </w:pPr>
          </w:p>
        </w:tc>
        <w:tc>
          <w:tcPr>
            <w:tcW w:w="66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0.87</w:t>
            </w:r>
          </w:p>
        </w:tc>
        <w:tc>
          <w:tcPr>
            <w:tcW w:w="498"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546" w:hRule="atLeast"/>
          <w:jc w:val="center"/>
        </w:trPr>
        <w:tc>
          <w:tcPr>
            <w:tcW w:w="30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3</w:t>
            </w:r>
          </w:p>
        </w:tc>
        <w:tc>
          <w:tcPr>
            <w:tcW w:w="725"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景观绿化区</w:t>
            </w:r>
          </w:p>
        </w:tc>
        <w:tc>
          <w:tcPr>
            <w:tcW w:w="72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0.09</w:t>
            </w:r>
          </w:p>
        </w:tc>
        <w:tc>
          <w:tcPr>
            <w:tcW w:w="673"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0.00</w:t>
            </w:r>
          </w:p>
        </w:tc>
        <w:tc>
          <w:tcPr>
            <w:tcW w:w="69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0.09</w:t>
            </w:r>
          </w:p>
        </w:tc>
        <w:tc>
          <w:tcPr>
            <w:tcW w:w="666"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8.14</w:t>
            </w:r>
          </w:p>
        </w:tc>
        <w:tc>
          <w:tcPr>
            <w:tcW w:w="666"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0.32</w:t>
            </w:r>
          </w:p>
        </w:tc>
        <w:tc>
          <w:tcPr>
            <w:tcW w:w="68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8.46</w:t>
            </w:r>
          </w:p>
        </w:tc>
        <w:tc>
          <w:tcPr>
            <w:tcW w:w="55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0.32</w:t>
            </w:r>
          </w:p>
        </w:tc>
        <w:tc>
          <w:tcPr>
            <w:tcW w:w="54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道路广场区</w:t>
            </w:r>
          </w:p>
        </w:tc>
        <w:tc>
          <w:tcPr>
            <w:tcW w:w="558"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w:t>
            </w:r>
          </w:p>
        </w:tc>
        <w:tc>
          <w:tcPr>
            <w:tcW w:w="58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w:t>
            </w:r>
          </w:p>
        </w:tc>
        <w:tc>
          <w:tcPr>
            <w:tcW w:w="709"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8.05</w:t>
            </w:r>
          </w:p>
        </w:tc>
        <w:tc>
          <w:tcPr>
            <w:tcW w:w="398" w:type="dxa"/>
            <w:vMerge w:val="continue"/>
            <w:vAlign w:val="center"/>
          </w:tcPr>
          <w:p>
            <w:pPr>
              <w:adjustRightInd/>
              <w:snapToGrid/>
              <w:spacing w:line="240" w:lineRule="auto"/>
              <w:ind w:firstLine="0" w:firstLineChars="0"/>
              <w:rPr>
                <w:rFonts w:ascii="Times New Roman" w:hAnsi="Times New Roman" w:cs="Times New Roman"/>
                <w:color w:val="auto"/>
                <w:kern w:val="0"/>
                <w:sz w:val="18"/>
                <w:szCs w:val="18"/>
                <w:shd w:val="clear" w:color="auto" w:fill="FFFFFF"/>
              </w:rPr>
            </w:pPr>
          </w:p>
        </w:tc>
        <w:tc>
          <w:tcPr>
            <w:tcW w:w="66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w:t>
            </w:r>
          </w:p>
        </w:tc>
        <w:tc>
          <w:tcPr>
            <w:tcW w:w="498"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558" w:hRule="atLeast"/>
          <w:jc w:val="center"/>
        </w:trPr>
        <w:tc>
          <w:tcPr>
            <w:tcW w:w="30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4</w:t>
            </w:r>
          </w:p>
        </w:tc>
        <w:tc>
          <w:tcPr>
            <w:tcW w:w="725"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河道工程区</w:t>
            </w:r>
          </w:p>
        </w:tc>
        <w:tc>
          <w:tcPr>
            <w:tcW w:w="72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23.55</w:t>
            </w:r>
          </w:p>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hint="eastAsia" w:ascii="Times New Roman" w:hAnsi="Times New Roman" w:cs="Times New Roman"/>
                <w:color w:val="auto"/>
                <w:kern w:val="0"/>
                <w:sz w:val="16"/>
                <w:szCs w:val="16"/>
                <w:shd w:val="clear" w:color="auto" w:fill="FFFFFF"/>
              </w:rPr>
              <w:t>（水下方）</w:t>
            </w:r>
          </w:p>
        </w:tc>
        <w:tc>
          <w:tcPr>
            <w:tcW w:w="673"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0.00</w:t>
            </w:r>
          </w:p>
        </w:tc>
        <w:tc>
          <w:tcPr>
            <w:tcW w:w="69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23.55</w:t>
            </w:r>
          </w:p>
        </w:tc>
        <w:tc>
          <w:tcPr>
            <w:tcW w:w="666"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0.00</w:t>
            </w:r>
          </w:p>
        </w:tc>
        <w:tc>
          <w:tcPr>
            <w:tcW w:w="666"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0.00</w:t>
            </w:r>
          </w:p>
        </w:tc>
        <w:tc>
          <w:tcPr>
            <w:tcW w:w="68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0.00</w:t>
            </w:r>
          </w:p>
        </w:tc>
        <w:tc>
          <w:tcPr>
            <w:tcW w:w="55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0.00</w:t>
            </w:r>
          </w:p>
        </w:tc>
        <w:tc>
          <w:tcPr>
            <w:tcW w:w="54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w:t>
            </w:r>
          </w:p>
        </w:tc>
        <w:tc>
          <w:tcPr>
            <w:tcW w:w="558"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7.13</w:t>
            </w:r>
          </w:p>
        </w:tc>
        <w:tc>
          <w:tcPr>
            <w:tcW w:w="58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道路广场区</w:t>
            </w:r>
          </w:p>
        </w:tc>
        <w:tc>
          <w:tcPr>
            <w:tcW w:w="709"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0.00</w:t>
            </w:r>
          </w:p>
        </w:tc>
        <w:tc>
          <w:tcPr>
            <w:tcW w:w="398" w:type="dxa"/>
            <w:vMerge w:val="continue"/>
            <w:vAlign w:val="center"/>
          </w:tcPr>
          <w:p>
            <w:pPr>
              <w:adjustRightInd/>
              <w:snapToGrid/>
              <w:spacing w:line="240" w:lineRule="auto"/>
              <w:ind w:firstLine="0" w:firstLineChars="0"/>
              <w:rPr>
                <w:rFonts w:ascii="Times New Roman" w:hAnsi="Times New Roman" w:cs="Times New Roman"/>
                <w:color w:val="auto"/>
                <w:kern w:val="0"/>
                <w:sz w:val="18"/>
                <w:szCs w:val="18"/>
                <w:shd w:val="clear" w:color="auto" w:fill="FFFFFF"/>
              </w:rPr>
            </w:pPr>
          </w:p>
        </w:tc>
        <w:tc>
          <w:tcPr>
            <w:tcW w:w="66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16.42</w:t>
            </w:r>
          </w:p>
        </w:tc>
        <w:tc>
          <w:tcPr>
            <w:tcW w:w="498"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77" w:hRule="atLeast"/>
          <w:jc w:val="center"/>
        </w:trPr>
        <w:tc>
          <w:tcPr>
            <w:tcW w:w="1028" w:type="dxa"/>
            <w:gridSpan w:val="2"/>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合计</w:t>
            </w:r>
          </w:p>
        </w:tc>
        <w:tc>
          <w:tcPr>
            <w:tcW w:w="72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31.31</w:t>
            </w:r>
          </w:p>
        </w:tc>
        <w:tc>
          <w:tcPr>
            <w:tcW w:w="673"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0.32</w:t>
            </w:r>
          </w:p>
        </w:tc>
        <w:tc>
          <w:tcPr>
            <w:tcW w:w="69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31.63</w:t>
            </w:r>
          </w:p>
        </w:tc>
        <w:tc>
          <w:tcPr>
            <w:tcW w:w="666"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90. 04</w:t>
            </w:r>
          </w:p>
        </w:tc>
        <w:tc>
          <w:tcPr>
            <w:tcW w:w="666"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0.32</w:t>
            </w:r>
          </w:p>
        </w:tc>
        <w:tc>
          <w:tcPr>
            <w:tcW w:w="68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90.36</w:t>
            </w:r>
          </w:p>
        </w:tc>
        <w:tc>
          <w:tcPr>
            <w:tcW w:w="55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7.45</w:t>
            </w:r>
          </w:p>
        </w:tc>
        <w:tc>
          <w:tcPr>
            <w:tcW w:w="54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w:t>
            </w:r>
          </w:p>
        </w:tc>
        <w:tc>
          <w:tcPr>
            <w:tcW w:w="558"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7.45</w:t>
            </w:r>
          </w:p>
        </w:tc>
        <w:tc>
          <w:tcPr>
            <w:tcW w:w="584"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w:t>
            </w:r>
          </w:p>
        </w:tc>
        <w:tc>
          <w:tcPr>
            <w:tcW w:w="709"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76.02</w:t>
            </w:r>
          </w:p>
        </w:tc>
        <w:tc>
          <w:tcPr>
            <w:tcW w:w="398" w:type="dxa"/>
            <w:vMerge w:val="continue"/>
            <w:vAlign w:val="center"/>
          </w:tcPr>
          <w:p>
            <w:pPr>
              <w:adjustRightInd/>
              <w:snapToGrid/>
              <w:spacing w:line="240" w:lineRule="auto"/>
              <w:ind w:firstLine="0" w:firstLineChars="0"/>
              <w:rPr>
                <w:rFonts w:ascii="Times New Roman" w:hAnsi="Times New Roman" w:cs="Times New Roman"/>
                <w:color w:val="auto"/>
                <w:kern w:val="0"/>
                <w:sz w:val="18"/>
                <w:szCs w:val="18"/>
                <w:shd w:val="clear" w:color="auto" w:fill="FFFFFF"/>
              </w:rPr>
            </w:pPr>
          </w:p>
        </w:tc>
        <w:tc>
          <w:tcPr>
            <w:tcW w:w="662" w:type="dxa"/>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17.29</w:t>
            </w:r>
          </w:p>
        </w:tc>
        <w:tc>
          <w:tcPr>
            <w:tcW w:w="497"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r>
    </w:tbl>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本项目水下方及淤泥产生总量约23.55万m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，经施工场地内建设沉淀池加药混凝沉淀处理，沉淀后上清液水质达到《污水综合排放标准》（GB8978-1996）中一级排放标准后排入店埠河，废水排放量约为15000m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，沉淀后的干泥浆收集后由车辆运输至抛泥区。</w:t>
      </w:r>
    </w:p>
    <w:p>
      <w:pPr>
        <w:adjustRightInd/>
        <w:ind w:firstLine="482"/>
        <w:rPr>
          <w:rFonts w:ascii="Times New Roman" w:hAnsi="Times New Roman" w:cs="Times New Roman"/>
          <w:b/>
          <w:color w:val="auto"/>
          <w:szCs w:val="24"/>
          <w:shd w:val="clear" w:color="auto" w:fill="FFFFFF"/>
        </w:rPr>
      </w:pPr>
      <w:r>
        <w:rPr>
          <w:rFonts w:ascii="Times New Roman" w:hAnsi="Times New Roman" w:cs="Times New Roman"/>
          <w:b/>
          <w:color w:val="auto"/>
          <w:szCs w:val="24"/>
          <w:shd w:val="clear" w:color="auto" w:fill="FFFFFF"/>
        </w:rPr>
        <w:t>3、抛泥区余水</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本项目设置一处抛泥区，</w:t>
      </w:r>
      <w:r>
        <w:rPr>
          <w:rFonts w:ascii="Times New Roman" w:hAnsi="Times New Roman" w:cs="Times New Roman"/>
          <w:color w:val="auto"/>
          <w:kern w:val="0"/>
          <w:szCs w:val="24"/>
          <w:shd w:val="clear" w:color="auto" w:fill="FFFFFF"/>
        </w:rPr>
        <w:t>抛泥区外围设置的沉淀池容积约为3500</w:t>
      </w:r>
      <w:r>
        <w:rPr>
          <w:rFonts w:ascii="Times New Roman" w:hAnsi="Times New Roman" w:cs="Times New Roman"/>
          <w:bCs/>
          <w:color w:val="auto"/>
          <w:szCs w:val="24"/>
          <w:shd w:val="clear" w:color="auto" w:fill="FFFFFF"/>
        </w:rPr>
        <w:t>m</w:t>
      </w:r>
      <w:r>
        <w:rPr>
          <w:rFonts w:ascii="Times New Roman" w:hAnsi="Times New Roman" w:cs="Times New Roman"/>
          <w:bCs/>
          <w:color w:val="auto"/>
          <w:szCs w:val="24"/>
          <w:shd w:val="clear" w:color="auto" w:fill="FFFFFF"/>
          <w:vertAlign w:val="superscript"/>
        </w:rPr>
        <w:t>3</w:t>
      </w:r>
      <w:r>
        <w:rPr>
          <w:rFonts w:ascii="Times New Roman" w:hAnsi="Times New Roman" w:cs="Times New Roman"/>
          <w:bCs/>
          <w:color w:val="auto"/>
          <w:szCs w:val="24"/>
          <w:shd w:val="clear" w:color="auto" w:fill="FFFFFF"/>
        </w:rPr>
        <w:t>，淤泥水在沉淀池水力停留时间可以达到12h，完全能够满足淤泥沉淀需要。</w:t>
      </w:r>
      <w:r>
        <w:rPr>
          <w:rFonts w:ascii="Times New Roman" w:hAnsi="Times New Roman" w:cs="Times New Roman"/>
          <w:color w:val="auto"/>
          <w:szCs w:val="24"/>
          <w:shd w:val="clear" w:color="auto" w:fill="FFFFFF"/>
        </w:rPr>
        <w:t>淤泥经吹填至抛泥区后，初期沉淀时间较长，90%的余水水质较好，沉淀后外排水质满足《污水综合排放标准》（GB8978-1996）中一级排放标准（SS：70mg/L）要求。</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根据现状监测，店埠河及撮镇灌溉渠底泥重金属含量较低，</w:t>
      </w:r>
      <w:r>
        <w:rPr>
          <w:rFonts w:ascii="Times New Roman" w:hAnsi="Times New Roman" w:cs="Times New Roman"/>
          <w:snapToGrid w:val="0"/>
          <w:color w:val="auto"/>
          <w:szCs w:val="24"/>
          <w:shd w:val="clear" w:color="auto" w:fill="FFFFFF"/>
        </w:rPr>
        <w:t>底泥的各项指标均满足</w:t>
      </w:r>
      <w:r>
        <w:rPr>
          <w:rFonts w:ascii="Times New Roman" w:hAnsi="Times New Roman" w:cs="Times New Roman"/>
          <w:snapToGrid w:val="0"/>
          <w:color w:val="auto"/>
          <w:szCs w:val="24"/>
          <w:shd w:val="clear" w:color="auto" w:fill="FFFFFF"/>
          <w:lang w:val="zh-CN" w:bidi="zh-CN"/>
        </w:rPr>
        <w:t>《土壤环境质量</w:t>
      </w:r>
      <w:r>
        <w:rPr>
          <w:rFonts w:ascii="Times New Roman" w:hAnsi="Times New Roman" w:cs="Times New Roman"/>
          <w:snapToGrid w:val="0"/>
          <w:color w:val="auto"/>
          <w:szCs w:val="24"/>
          <w:shd w:val="clear" w:color="auto" w:fill="FFFFFF"/>
          <w:lang w:bidi="zh-CN"/>
        </w:rPr>
        <w:t xml:space="preserve"> 建设用地土壤污染风险管控标准（试行）</w:t>
      </w:r>
      <w:r>
        <w:rPr>
          <w:rFonts w:ascii="Times New Roman" w:hAnsi="Times New Roman" w:cs="Times New Roman"/>
          <w:snapToGrid w:val="0"/>
          <w:color w:val="auto"/>
          <w:szCs w:val="24"/>
          <w:shd w:val="clear" w:color="auto" w:fill="FFFFFF"/>
          <w:lang w:val="zh-CN" w:bidi="zh-CN"/>
        </w:rPr>
        <w:t>》（</w:t>
      </w:r>
      <w:r>
        <w:rPr>
          <w:rFonts w:ascii="Times New Roman" w:hAnsi="Times New Roman" w:cs="Times New Roman"/>
          <w:snapToGrid w:val="0"/>
          <w:color w:val="auto"/>
          <w:szCs w:val="24"/>
          <w:shd w:val="clear" w:color="auto" w:fill="FFFFFF"/>
          <w:lang w:bidi="zh-CN"/>
        </w:rPr>
        <w:t>GB36600-2018</w:t>
      </w:r>
      <w:r>
        <w:rPr>
          <w:rFonts w:ascii="Times New Roman" w:hAnsi="Times New Roman" w:cs="Times New Roman"/>
          <w:snapToGrid w:val="0"/>
          <w:color w:val="auto"/>
          <w:szCs w:val="24"/>
          <w:shd w:val="clear" w:color="auto" w:fill="FFFFFF"/>
          <w:lang w:val="zh-CN" w:bidi="zh-CN"/>
        </w:rPr>
        <w:t>）表</w:t>
      </w:r>
      <w:r>
        <w:rPr>
          <w:rFonts w:ascii="Times New Roman" w:hAnsi="Times New Roman" w:cs="Times New Roman"/>
          <w:snapToGrid w:val="0"/>
          <w:color w:val="auto"/>
          <w:szCs w:val="24"/>
          <w:shd w:val="clear" w:color="auto" w:fill="FFFFFF"/>
          <w:lang w:bidi="zh-CN"/>
        </w:rPr>
        <w:t>1中第二类用地限值筛选值标准要求</w:t>
      </w:r>
      <w:r>
        <w:rPr>
          <w:rFonts w:ascii="Times New Roman" w:hAnsi="Times New Roman" w:cs="Times New Roman"/>
          <w:color w:val="auto"/>
          <w:szCs w:val="24"/>
          <w:shd w:val="clear" w:color="auto" w:fill="FFFFFF"/>
        </w:rPr>
        <w:t>，抛泥区余水中主要污染因子是SS、N和P（N和P主要附着在悬浮物上），类比同类型项目，吹填初期90%的余水经过自然沉淀后可去除大部份悬浮物从而将N和P也一并去除，抛泥区大部分余水经自然沉淀达标后</w:t>
      </w:r>
      <w:r>
        <w:rPr>
          <w:rFonts w:ascii="Times New Roman" w:hAnsi="Times New Roman" w:cs="Times New Roman"/>
          <w:color w:val="auto"/>
          <w:kern w:val="0"/>
          <w:szCs w:val="24"/>
          <w:shd w:val="clear" w:color="auto" w:fill="FFFFFF"/>
        </w:rPr>
        <w:t>利用PVC管道排入店埠河</w:t>
      </w:r>
      <w:r>
        <w:rPr>
          <w:rFonts w:ascii="Times New Roman" w:hAnsi="Times New Roman" w:cs="Times New Roman"/>
          <w:color w:val="auto"/>
          <w:szCs w:val="24"/>
          <w:shd w:val="clear" w:color="auto" w:fill="FFFFFF"/>
        </w:rPr>
        <w:t>。</w:t>
      </w:r>
    </w:p>
    <w:p>
      <w:pPr>
        <w:adjustRightInd/>
        <w:ind w:firstLine="480"/>
        <w:rPr>
          <w:rFonts w:ascii="Times New Roman" w:hAnsi="Times New Roman" w:cs="Times New Roman"/>
          <w:b/>
          <w:color w:val="auto"/>
          <w:szCs w:val="24"/>
          <w:shd w:val="clear" w:color="auto" w:fill="FFFFFF"/>
        </w:rPr>
      </w:pPr>
      <w:r>
        <w:rPr>
          <w:rFonts w:ascii="Times New Roman" w:hAnsi="Times New Roman" w:cs="Times New Roman"/>
          <w:color w:val="auto"/>
          <w:szCs w:val="24"/>
          <w:shd w:val="clear" w:color="auto" w:fill="FFFFFF"/>
        </w:rPr>
        <w:t>后期10%余水（6500m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）水质因沉淀时间较短而相对变差，SS超标，可在泥浆排泥口处适当投加絮凝剂促沉，投加量按6mg/L进行控制，需投加药剂（PMA）约0.04t。</w:t>
      </w:r>
    </w:p>
    <w:p>
      <w:pPr>
        <w:adjustRightInd/>
        <w:ind w:firstLine="482"/>
        <w:rPr>
          <w:rFonts w:ascii="Times New Roman" w:hAnsi="Times New Roman" w:cs="Times New Roman"/>
          <w:b/>
          <w:color w:val="auto"/>
          <w:szCs w:val="24"/>
          <w:shd w:val="clear" w:color="auto" w:fill="FFFFFF"/>
        </w:rPr>
      </w:pPr>
      <w:r>
        <w:rPr>
          <w:rFonts w:ascii="Times New Roman" w:hAnsi="Times New Roman" w:cs="Times New Roman"/>
          <w:b/>
          <w:color w:val="auto"/>
          <w:szCs w:val="24"/>
          <w:shd w:val="clear" w:color="auto" w:fill="FFFFFF"/>
        </w:rPr>
        <w:t>4、扰动水体</w:t>
      </w:r>
    </w:p>
    <w:p>
      <w:pPr>
        <w:adjustRightInd/>
        <w:ind w:firstLine="480"/>
        <w:rPr>
          <w:rFonts w:ascii="Times New Roman" w:hAnsi="Times New Roman" w:cs="Times New Roman"/>
          <w:color w:val="auto"/>
          <w:szCs w:val="24"/>
          <w:shd w:val="clear" w:color="auto" w:fill="FFFFFF"/>
        </w:rPr>
      </w:pPr>
      <w:r>
        <w:rPr>
          <w:rFonts w:hint="eastAsia" w:ascii="宋体" w:hAnsi="宋体" w:cs="宋体"/>
          <w:color w:val="auto"/>
          <w:szCs w:val="24"/>
          <w:shd w:val="clear" w:color="auto" w:fill="FFFFFF"/>
        </w:rPr>
        <w:t>①</w:t>
      </w:r>
      <w:r>
        <w:rPr>
          <w:rFonts w:ascii="Times New Roman" w:hAnsi="Times New Roman" w:cs="Times New Roman"/>
          <w:color w:val="auto"/>
          <w:szCs w:val="24"/>
          <w:shd w:val="clear" w:color="auto" w:fill="FFFFFF"/>
        </w:rPr>
        <w:t>疏浚对水体扰动</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本项目疏浚采用</w:t>
      </w:r>
      <w:r>
        <w:rPr>
          <w:rFonts w:ascii="Times New Roman" w:hAnsi="Times New Roman" w:cs="Times New Roman"/>
          <w:shd w:val="clear" w:color="auto" w:fill="FFFFFF"/>
        </w:rPr>
        <w:t>绞吸式挖泥船挖泥结合</w:t>
      </w:r>
      <w:r>
        <w:rPr>
          <w:rFonts w:ascii="Times New Roman" w:hAnsi="Times New Roman" w:cs="Times New Roman"/>
          <w:color w:val="auto"/>
          <w:szCs w:val="24"/>
          <w:shd w:val="clear" w:color="auto" w:fill="FFFFFF"/>
        </w:rPr>
        <w:t>陆上挖掘机施工挖泥的方法，本项目水下方产生总量约23.55万m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，根据《环境影响评价工程师执业资格登记培训交通运输培训教材》推荐的日本神户港的经验公式，计算疏浚产生的悬浮物泥沙的污染源强，经验公式如下：</w:t>
      </w:r>
    </w:p>
    <w:p>
      <w:pPr>
        <w:ind w:firstLine="480"/>
        <w:jc w:val="left"/>
        <w:rPr>
          <w:rFonts w:ascii="Times New Roman" w:hAnsi="Times New Roman" w:cs="Times New Roman"/>
          <w:color w:val="auto"/>
          <w:szCs w:val="24"/>
          <w:shd w:val="clear" w:color="auto" w:fill="FFFFFF"/>
        </w:rPr>
      </w:pPr>
      <w:r>
        <w:rPr>
          <w:rFonts w:ascii="Times New Roman" w:hAnsi="Times New Roman" w:cs="Times New Roman"/>
          <w:color w:val="auto"/>
          <w:position w:val="-12"/>
          <w:szCs w:val="24"/>
          <w:shd w:val="clear" w:color="auto" w:fill="FFFFFF"/>
        </w:rPr>
        <w:object>
          <v:shape id="_x0000_i1034" o:spt="75" type="#_x0000_t75" style="height:18.75pt;width:94.5pt;" o:ole="t" filled="f" o:preferrelative="t" stroked="f" coordsize="21600,21600">
            <v:path/>
            <v:fill on="f" focussize="0,0"/>
            <v:stroke on="f" joinstyle="miter"/>
            <v:imagedata r:id="rId71" o:title=""/>
            <o:lock v:ext="edit" aspectratio="t"/>
            <w10:wrap type="none"/>
            <w10:anchorlock/>
          </v:shape>
          <o:OLEObject Type="Embed" ProgID="Equation.3" ShapeID="_x0000_i1034" DrawAspect="Content" ObjectID="_1468075734" r:id="rId70">
            <o:LockedField>false</o:LockedField>
          </o:OLEObject>
        </w:object>
      </w:r>
    </w:p>
    <w:p>
      <w:pPr>
        <w:ind w:firstLine="480"/>
        <w:jc w:val="left"/>
        <w:rPr>
          <w:rFonts w:ascii="Times New Roman" w:hAnsi="Times New Roman" w:cs="Times New Roman"/>
          <w:color w:val="auto"/>
          <w:szCs w:val="24"/>
          <w:shd w:val="clear" w:color="auto" w:fill="FFFFFF"/>
        </w:rPr>
      </w:pPr>
      <w:bookmarkStart w:id="230" w:name="_Toc372101613"/>
      <w:r>
        <w:rPr>
          <w:rFonts w:ascii="Times New Roman" w:hAnsi="Times New Roman" w:cs="Times New Roman"/>
          <w:color w:val="auto"/>
          <w:szCs w:val="24"/>
          <w:shd w:val="clear" w:color="auto" w:fill="FFFFFF"/>
        </w:rPr>
        <w:t>W</w:t>
      </w:r>
      <w:r>
        <w:rPr>
          <w:rFonts w:ascii="Times New Roman" w:hAnsi="Times New Roman" w:cs="Times New Roman"/>
          <w:color w:val="auto"/>
          <w:szCs w:val="24"/>
          <w:shd w:val="clear" w:color="auto" w:fill="FFFFFF"/>
          <w:vertAlign w:val="subscript"/>
        </w:rPr>
        <w:t>1</w:t>
      </w:r>
      <w:r>
        <w:rPr>
          <w:rFonts w:ascii="Times New Roman" w:hAnsi="Times New Roman" w:cs="Times New Roman"/>
          <w:color w:val="auto"/>
          <w:szCs w:val="24"/>
          <w:shd w:val="clear" w:color="auto" w:fill="FFFFFF"/>
        </w:rPr>
        <w:t>—疏浚时悬浮物发生量，t/h；</w:t>
      </w:r>
      <w:bookmarkEnd w:id="230"/>
    </w:p>
    <w:p>
      <w:pPr>
        <w:ind w:firstLine="480"/>
        <w:jc w:val="left"/>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W</w:t>
      </w:r>
      <w:r>
        <w:rPr>
          <w:rFonts w:ascii="Times New Roman" w:hAnsi="Times New Roman" w:cs="Times New Roman"/>
          <w:color w:val="auto"/>
          <w:szCs w:val="24"/>
          <w:shd w:val="clear" w:color="auto" w:fill="FFFFFF"/>
          <w:vertAlign w:val="subscript"/>
        </w:rPr>
        <w:t>0</w:t>
      </w:r>
      <w:r>
        <w:rPr>
          <w:rFonts w:ascii="Times New Roman" w:hAnsi="Times New Roman" w:cs="Times New Roman"/>
          <w:color w:val="auto"/>
          <w:szCs w:val="24"/>
          <w:shd w:val="clear" w:color="auto" w:fill="FFFFFF"/>
        </w:rPr>
        <w:t>—悬浮物发生系数（t/m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w:t>
      </w:r>
    </w:p>
    <w:p>
      <w:pPr>
        <w:ind w:firstLine="480"/>
        <w:jc w:val="left"/>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R—现场流速中SS界限粒子的粒径加积百分比；</w:t>
      </w:r>
    </w:p>
    <w:p>
      <w:pPr>
        <w:ind w:firstLine="480"/>
        <w:jc w:val="left"/>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R</w:t>
      </w:r>
      <w:r>
        <w:rPr>
          <w:rFonts w:ascii="Times New Roman" w:hAnsi="Times New Roman" w:cs="Times New Roman"/>
          <w:color w:val="auto"/>
          <w:szCs w:val="24"/>
          <w:shd w:val="clear" w:color="auto" w:fill="FFFFFF"/>
          <w:vertAlign w:val="subscript"/>
        </w:rPr>
        <w:t>0</w:t>
      </w:r>
      <w:r>
        <w:rPr>
          <w:rFonts w:ascii="Times New Roman" w:hAnsi="Times New Roman" w:cs="Times New Roman"/>
          <w:color w:val="auto"/>
          <w:szCs w:val="24"/>
          <w:shd w:val="clear" w:color="auto" w:fill="FFFFFF"/>
        </w:rPr>
        <w:t>—指定发生系数W</w:t>
      </w:r>
      <w:r>
        <w:rPr>
          <w:rFonts w:ascii="Times New Roman" w:hAnsi="Times New Roman" w:cs="Times New Roman"/>
          <w:color w:val="auto"/>
          <w:szCs w:val="24"/>
          <w:shd w:val="clear" w:color="auto" w:fill="FFFFFF"/>
          <w:vertAlign w:val="subscript"/>
        </w:rPr>
        <w:t>0</w:t>
      </w:r>
      <w:r>
        <w:rPr>
          <w:rFonts w:ascii="Times New Roman" w:hAnsi="Times New Roman" w:cs="Times New Roman"/>
          <w:color w:val="auto"/>
          <w:szCs w:val="24"/>
          <w:shd w:val="clear" w:color="auto" w:fill="FFFFFF"/>
        </w:rPr>
        <w:t>时土粒粒径加积百分比；</w:t>
      </w:r>
    </w:p>
    <w:p>
      <w:pPr>
        <w:ind w:firstLine="480"/>
        <w:jc w:val="left"/>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Q—挖泥船的疏浚效率（m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/h）。</w:t>
      </w:r>
    </w:p>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悬浮物的发生系数不是一个定数，它和取沙的粒径级配有关，污染源强还取决于挖泥船的作业方式和效率，根据《环境影响评价工程师执业资格登记培训交通运输培训教材》，在没有粒径分析数据的情况下，参照表3.10-2选取。</w:t>
      </w:r>
    </w:p>
    <w:p>
      <w:pPr>
        <w:spacing w:line="240" w:lineRule="auto"/>
        <w:ind w:firstLine="442"/>
        <w:jc w:val="center"/>
        <w:rPr>
          <w:rFonts w:ascii="Times New Roman" w:hAnsi="Times New Roman" w:cs="Times New Roman"/>
          <w:b/>
          <w:bCs/>
          <w:color w:val="auto"/>
          <w:sz w:val="22"/>
          <w:szCs w:val="21"/>
        </w:rPr>
      </w:pPr>
      <w:r>
        <w:rPr>
          <w:rFonts w:ascii="Times New Roman" w:hAnsi="Times New Roman" w:cs="Times New Roman"/>
          <w:b/>
          <w:bCs/>
          <w:color w:val="auto"/>
          <w:sz w:val="22"/>
          <w:szCs w:val="21"/>
        </w:rPr>
        <w:t>表3.10-2   疏浚悬浮物粒径分布参考值</w:t>
      </w:r>
    </w:p>
    <w:tbl>
      <w:tblPr>
        <w:tblStyle w:val="62"/>
        <w:tblW w:w="9060"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325"/>
        <w:gridCol w:w="2327"/>
        <w:gridCol w:w="2327"/>
        <w:gridCol w:w="208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60" w:hRule="atLeast"/>
          <w:jc w:val="center"/>
        </w:trPr>
        <w:tc>
          <w:tcPr>
            <w:tcW w:w="2325" w:type="dxa"/>
            <w:vAlign w:val="center"/>
          </w:tcPr>
          <w:p>
            <w:pPr>
              <w:spacing w:line="240" w:lineRule="auto"/>
              <w:ind w:firstLine="0" w:firstLineChars="0"/>
              <w:jc w:val="center"/>
              <w:rPr>
                <w:rFonts w:ascii="Times New Roman" w:hAnsi="Times New Roman" w:cs="Times New Roman"/>
                <w:b/>
                <w:snapToGrid w:val="0"/>
                <w:color w:val="auto"/>
                <w:sz w:val="18"/>
                <w:szCs w:val="18"/>
                <w:shd w:val="clear" w:color="auto" w:fill="FFFFFF"/>
              </w:rPr>
            </w:pPr>
            <w:r>
              <w:rPr>
                <w:rFonts w:ascii="Times New Roman" w:hAnsi="Times New Roman" w:cs="Times New Roman"/>
                <w:b/>
                <w:snapToGrid w:val="0"/>
                <w:color w:val="auto"/>
                <w:sz w:val="18"/>
                <w:szCs w:val="18"/>
                <w:shd w:val="clear" w:color="auto" w:fill="FFFFFF"/>
              </w:rPr>
              <w:t>施工项目</w:t>
            </w:r>
          </w:p>
        </w:tc>
        <w:tc>
          <w:tcPr>
            <w:tcW w:w="2327" w:type="dxa"/>
            <w:vAlign w:val="center"/>
          </w:tcPr>
          <w:p>
            <w:pPr>
              <w:spacing w:line="240" w:lineRule="auto"/>
              <w:ind w:firstLine="0" w:firstLineChars="0"/>
              <w:jc w:val="center"/>
              <w:rPr>
                <w:rFonts w:ascii="Times New Roman" w:hAnsi="Times New Roman" w:cs="Times New Roman"/>
                <w:b/>
                <w:snapToGrid w:val="0"/>
                <w:color w:val="auto"/>
                <w:sz w:val="18"/>
                <w:szCs w:val="18"/>
                <w:shd w:val="clear" w:color="auto" w:fill="FFFFFF"/>
              </w:rPr>
            </w:pPr>
            <w:r>
              <w:rPr>
                <w:rFonts w:ascii="Times New Roman" w:hAnsi="Times New Roman" w:cs="Times New Roman"/>
                <w:b/>
                <w:snapToGrid w:val="0"/>
                <w:color w:val="auto"/>
                <w:position w:val="-4"/>
                <w:sz w:val="18"/>
                <w:szCs w:val="18"/>
                <w:shd w:val="clear" w:color="auto" w:fill="FFFFFF"/>
              </w:rPr>
              <w:object>
                <v:shape id="_x0000_i1035" o:spt="75" type="#_x0000_t75" style="height:11.25pt;width:11.25pt;" o:ole="t" filled="f" o:preferrelative="t" stroked="f" coordsize="21600,21600">
                  <v:path/>
                  <v:fill on="f" focussize="0,0"/>
                  <v:stroke on="f" joinstyle="miter"/>
                  <v:imagedata r:id="rId73" o:title=""/>
                  <o:lock v:ext="edit" aspectratio="t"/>
                  <w10:wrap type="none"/>
                  <w10:anchorlock/>
                </v:shape>
                <o:OLEObject Type="Embed" ProgID="Equation.3" ShapeID="_x0000_i1035" DrawAspect="Content" ObjectID="_1468075735" r:id="rId72">
                  <o:LockedField>false</o:LockedField>
                </o:OLEObject>
              </w:object>
            </w:r>
          </w:p>
        </w:tc>
        <w:tc>
          <w:tcPr>
            <w:tcW w:w="2327" w:type="dxa"/>
            <w:vAlign w:val="center"/>
          </w:tcPr>
          <w:p>
            <w:pPr>
              <w:spacing w:line="240" w:lineRule="auto"/>
              <w:ind w:firstLine="0" w:firstLineChars="0"/>
              <w:jc w:val="center"/>
              <w:rPr>
                <w:rFonts w:ascii="Times New Roman" w:hAnsi="Times New Roman" w:cs="Times New Roman"/>
                <w:b/>
                <w:snapToGrid w:val="0"/>
                <w:color w:val="auto"/>
                <w:sz w:val="18"/>
                <w:szCs w:val="18"/>
                <w:shd w:val="clear" w:color="auto" w:fill="FFFFFF"/>
              </w:rPr>
            </w:pPr>
            <w:r>
              <w:rPr>
                <w:rFonts w:ascii="Times New Roman" w:hAnsi="Times New Roman" w:cs="Times New Roman"/>
                <w:b/>
                <w:snapToGrid w:val="0"/>
                <w:color w:val="auto"/>
                <w:sz w:val="18"/>
                <w:szCs w:val="18"/>
                <w:shd w:val="clear" w:color="auto" w:fill="FFFFFF"/>
              </w:rPr>
              <w:t>R</w:t>
            </w:r>
            <w:r>
              <w:rPr>
                <w:rFonts w:ascii="Times New Roman" w:hAnsi="Times New Roman" w:cs="Times New Roman"/>
                <w:b/>
                <w:snapToGrid w:val="0"/>
                <w:color w:val="auto"/>
                <w:sz w:val="18"/>
                <w:szCs w:val="18"/>
                <w:shd w:val="clear" w:color="auto" w:fill="FFFFFF"/>
                <w:vertAlign w:val="subscript"/>
              </w:rPr>
              <w:t>0</w:t>
            </w:r>
          </w:p>
        </w:tc>
        <w:tc>
          <w:tcPr>
            <w:tcW w:w="2081" w:type="dxa"/>
            <w:vAlign w:val="center"/>
          </w:tcPr>
          <w:p>
            <w:pPr>
              <w:spacing w:line="240" w:lineRule="auto"/>
              <w:ind w:firstLine="0" w:firstLineChars="0"/>
              <w:jc w:val="center"/>
              <w:rPr>
                <w:rFonts w:ascii="Times New Roman" w:hAnsi="Times New Roman" w:cs="Times New Roman"/>
                <w:b/>
                <w:snapToGrid w:val="0"/>
                <w:color w:val="auto"/>
                <w:sz w:val="18"/>
                <w:szCs w:val="18"/>
                <w:shd w:val="clear" w:color="auto" w:fill="FFFFFF"/>
              </w:rPr>
            </w:pPr>
            <w:r>
              <w:rPr>
                <w:rFonts w:ascii="Times New Roman" w:hAnsi="Times New Roman" w:cs="Times New Roman"/>
                <w:b/>
                <w:snapToGrid w:val="0"/>
                <w:color w:val="auto"/>
                <w:sz w:val="18"/>
                <w:szCs w:val="18"/>
                <w:shd w:val="clear" w:color="auto" w:fill="FFFFFF"/>
              </w:rPr>
              <w:t>W</w:t>
            </w:r>
            <w:r>
              <w:rPr>
                <w:rFonts w:ascii="Times New Roman" w:hAnsi="Times New Roman" w:cs="Times New Roman"/>
                <w:b/>
                <w:snapToGrid w:val="0"/>
                <w:color w:val="auto"/>
                <w:sz w:val="18"/>
                <w:szCs w:val="18"/>
                <w:shd w:val="clear" w:color="auto" w:fill="FFFFFF"/>
                <w:vertAlign w:val="subscript"/>
              </w:rPr>
              <w:t>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3" w:hRule="atLeast"/>
          <w:jc w:val="center"/>
        </w:trPr>
        <w:tc>
          <w:tcPr>
            <w:tcW w:w="2325" w:type="dxa"/>
            <w:vAlign w:val="center"/>
          </w:tcPr>
          <w:p>
            <w:pPr>
              <w:spacing w:line="240" w:lineRule="auto"/>
              <w:ind w:firstLine="0" w:firstLineChars="0"/>
              <w:jc w:val="center"/>
              <w:rPr>
                <w:rFonts w:ascii="Times New Roman" w:hAnsi="Times New Roman" w:cs="Times New Roman"/>
                <w:snapToGrid w:val="0"/>
                <w:color w:val="auto"/>
                <w:sz w:val="18"/>
                <w:szCs w:val="18"/>
                <w:shd w:val="clear" w:color="auto" w:fill="FFFFFF"/>
              </w:rPr>
            </w:pPr>
            <w:r>
              <w:rPr>
                <w:rFonts w:ascii="Times New Roman" w:hAnsi="Times New Roman" w:cs="Times New Roman"/>
                <w:snapToGrid w:val="0"/>
                <w:color w:val="auto"/>
                <w:sz w:val="18"/>
                <w:szCs w:val="18"/>
                <w:shd w:val="clear" w:color="auto" w:fill="FFFFFF"/>
              </w:rPr>
              <w:t>填筑</w:t>
            </w:r>
          </w:p>
        </w:tc>
        <w:tc>
          <w:tcPr>
            <w:tcW w:w="2327" w:type="dxa"/>
            <w:vAlign w:val="center"/>
          </w:tcPr>
          <w:p>
            <w:pPr>
              <w:spacing w:line="240" w:lineRule="auto"/>
              <w:ind w:firstLine="0" w:firstLineChars="0"/>
              <w:jc w:val="center"/>
              <w:rPr>
                <w:rFonts w:ascii="Times New Roman" w:hAnsi="Times New Roman" w:cs="Times New Roman"/>
                <w:snapToGrid w:val="0"/>
                <w:color w:val="auto"/>
                <w:sz w:val="18"/>
                <w:szCs w:val="18"/>
                <w:shd w:val="clear" w:color="auto" w:fill="FFFFFF"/>
              </w:rPr>
            </w:pPr>
            <w:r>
              <w:rPr>
                <w:rFonts w:ascii="Times New Roman" w:hAnsi="Times New Roman" w:cs="Times New Roman"/>
                <w:snapToGrid w:val="0"/>
                <w:color w:val="auto"/>
                <w:sz w:val="18"/>
                <w:szCs w:val="18"/>
                <w:shd w:val="clear" w:color="auto" w:fill="FFFFFF"/>
              </w:rPr>
              <w:t>23.0%</w:t>
            </w:r>
          </w:p>
        </w:tc>
        <w:tc>
          <w:tcPr>
            <w:tcW w:w="2327" w:type="dxa"/>
            <w:vAlign w:val="center"/>
          </w:tcPr>
          <w:p>
            <w:pPr>
              <w:spacing w:line="240" w:lineRule="auto"/>
              <w:ind w:firstLine="0" w:firstLineChars="0"/>
              <w:jc w:val="center"/>
              <w:rPr>
                <w:rFonts w:ascii="Times New Roman" w:hAnsi="Times New Roman" w:cs="Times New Roman"/>
                <w:snapToGrid w:val="0"/>
                <w:color w:val="auto"/>
                <w:sz w:val="18"/>
                <w:szCs w:val="18"/>
                <w:shd w:val="clear" w:color="auto" w:fill="FFFFFF"/>
              </w:rPr>
            </w:pPr>
            <w:r>
              <w:rPr>
                <w:rFonts w:ascii="Times New Roman" w:hAnsi="Times New Roman" w:cs="Times New Roman"/>
                <w:snapToGrid w:val="0"/>
                <w:color w:val="auto"/>
                <w:sz w:val="18"/>
                <w:szCs w:val="18"/>
                <w:shd w:val="clear" w:color="auto" w:fill="FFFFFF"/>
              </w:rPr>
              <w:t>36.55%</w:t>
            </w:r>
          </w:p>
        </w:tc>
        <w:tc>
          <w:tcPr>
            <w:tcW w:w="2081" w:type="dxa"/>
            <w:vAlign w:val="center"/>
          </w:tcPr>
          <w:p>
            <w:pPr>
              <w:spacing w:line="240" w:lineRule="auto"/>
              <w:ind w:firstLine="0" w:firstLineChars="0"/>
              <w:jc w:val="center"/>
              <w:rPr>
                <w:rFonts w:ascii="Times New Roman" w:hAnsi="Times New Roman" w:cs="Times New Roman"/>
                <w:snapToGrid w:val="0"/>
                <w:color w:val="auto"/>
                <w:sz w:val="18"/>
                <w:szCs w:val="18"/>
                <w:shd w:val="clear" w:color="auto" w:fill="FFFFFF"/>
              </w:rPr>
            </w:pPr>
            <w:r>
              <w:rPr>
                <w:rFonts w:ascii="Times New Roman" w:hAnsi="Times New Roman" w:cs="Times New Roman"/>
                <w:snapToGrid w:val="0"/>
                <w:color w:val="auto"/>
                <w:sz w:val="18"/>
                <w:szCs w:val="18"/>
                <w:shd w:val="clear" w:color="auto" w:fill="FFFFFF"/>
              </w:rPr>
              <w:t>1.49×10</w:t>
            </w:r>
            <w:r>
              <w:rPr>
                <w:rFonts w:ascii="Times New Roman" w:hAnsi="Times New Roman" w:cs="Times New Roman"/>
                <w:snapToGrid w:val="0"/>
                <w:color w:val="auto"/>
                <w:sz w:val="18"/>
                <w:szCs w:val="18"/>
                <w:shd w:val="clear" w:color="auto" w:fill="FFFFFF"/>
                <w:vertAlign w:val="superscript"/>
              </w:rPr>
              <w:t>-3</w:t>
            </w:r>
            <w:r>
              <w:rPr>
                <w:rFonts w:ascii="Times New Roman" w:hAnsi="Times New Roman" w:cs="Times New Roman"/>
                <w:snapToGrid w:val="0"/>
                <w:color w:val="auto"/>
                <w:sz w:val="18"/>
                <w:szCs w:val="18"/>
                <w:shd w:val="clear" w:color="auto" w:fill="FFFFFF"/>
              </w:rPr>
              <w:t>t/m</w:t>
            </w:r>
            <w:r>
              <w:rPr>
                <w:rFonts w:ascii="Times New Roman" w:hAnsi="Times New Roman" w:cs="Times New Roman"/>
                <w:snapToGrid w:val="0"/>
                <w:color w:val="auto"/>
                <w:sz w:val="18"/>
                <w:szCs w:val="18"/>
                <w:shd w:val="clear" w:color="auto" w:fill="FFFFFF"/>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68" w:hRule="atLeast"/>
          <w:jc w:val="center"/>
        </w:trPr>
        <w:tc>
          <w:tcPr>
            <w:tcW w:w="2325" w:type="dxa"/>
            <w:vAlign w:val="center"/>
          </w:tcPr>
          <w:p>
            <w:pPr>
              <w:spacing w:line="240" w:lineRule="auto"/>
              <w:ind w:firstLine="0" w:firstLineChars="0"/>
              <w:jc w:val="center"/>
              <w:rPr>
                <w:rFonts w:ascii="Times New Roman" w:hAnsi="Times New Roman" w:cs="Times New Roman"/>
                <w:snapToGrid w:val="0"/>
                <w:color w:val="auto"/>
                <w:sz w:val="18"/>
                <w:szCs w:val="18"/>
                <w:shd w:val="clear" w:color="auto" w:fill="FFFFFF"/>
              </w:rPr>
            </w:pPr>
            <w:r>
              <w:rPr>
                <w:rFonts w:ascii="Times New Roman" w:hAnsi="Times New Roman" w:cs="Times New Roman"/>
                <w:snapToGrid w:val="0"/>
                <w:color w:val="auto"/>
                <w:sz w:val="18"/>
                <w:szCs w:val="18"/>
                <w:shd w:val="clear" w:color="auto" w:fill="FFFFFF"/>
              </w:rPr>
              <w:t>疏浚</w:t>
            </w:r>
          </w:p>
        </w:tc>
        <w:tc>
          <w:tcPr>
            <w:tcW w:w="2327" w:type="dxa"/>
            <w:vAlign w:val="center"/>
          </w:tcPr>
          <w:p>
            <w:pPr>
              <w:spacing w:line="240" w:lineRule="auto"/>
              <w:ind w:firstLine="0" w:firstLineChars="0"/>
              <w:jc w:val="center"/>
              <w:rPr>
                <w:rFonts w:ascii="Times New Roman" w:hAnsi="Times New Roman" w:cs="Times New Roman"/>
                <w:snapToGrid w:val="0"/>
                <w:color w:val="auto"/>
                <w:sz w:val="18"/>
                <w:szCs w:val="18"/>
                <w:shd w:val="clear" w:color="auto" w:fill="FFFFFF"/>
              </w:rPr>
            </w:pPr>
            <w:r>
              <w:rPr>
                <w:rFonts w:ascii="Times New Roman" w:hAnsi="Times New Roman" w:cs="Times New Roman"/>
                <w:snapToGrid w:val="0"/>
                <w:color w:val="auto"/>
                <w:sz w:val="18"/>
                <w:szCs w:val="18"/>
                <w:shd w:val="clear" w:color="auto" w:fill="FFFFFF"/>
              </w:rPr>
              <w:t>89.2%</w:t>
            </w:r>
          </w:p>
        </w:tc>
        <w:tc>
          <w:tcPr>
            <w:tcW w:w="2327" w:type="dxa"/>
            <w:vAlign w:val="center"/>
          </w:tcPr>
          <w:p>
            <w:pPr>
              <w:spacing w:line="240" w:lineRule="auto"/>
              <w:ind w:firstLine="0" w:firstLineChars="0"/>
              <w:jc w:val="center"/>
              <w:rPr>
                <w:rFonts w:ascii="Times New Roman" w:hAnsi="Times New Roman" w:cs="Times New Roman"/>
                <w:snapToGrid w:val="0"/>
                <w:color w:val="auto"/>
                <w:sz w:val="18"/>
                <w:szCs w:val="18"/>
                <w:shd w:val="clear" w:color="auto" w:fill="FFFFFF"/>
              </w:rPr>
            </w:pPr>
            <w:r>
              <w:rPr>
                <w:rFonts w:ascii="Times New Roman" w:hAnsi="Times New Roman" w:cs="Times New Roman"/>
                <w:snapToGrid w:val="0"/>
                <w:color w:val="auto"/>
                <w:sz w:val="18"/>
                <w:szCs w:val="18"/>
                <w:shd w:val="clear" w:color="auto" w:fill="FFFFFF"/>
              </w:rPr>
              <w:t>80.2%</w:t>
            </w:r>
          </w:p>
        </w:tc>
        <w:tc>
          <w:tcPr>
            <w:tcW w:w="2081" w:type="dxa"/>
            <w:vAlign w:val="center"/>
          </w:tcPr>
          <w:p>
            <w:pPr>
              <w:spacing w:line="240" w:lineRule="auto"/>
              <w:ind w:firstLine="0" w:firstLineChars="0"/>
              <w:jc w:val="center"/>
              <w:rPr>
                <w:rFonts w:ascii="Times New Roman" w:hAnsi="Times New Roman" w:cs="Times New Roman"/>
                <w:snapToGrid w:val="0"/>
                <w:color w:val="auto"/>
                <w:sz w:val="18"/>
                <w:szCs w:val="18"/>
                <w:shd w:val="clear" w:color="auto" w:fill="FFFFFF"/>
              </w:rPr>
            </w:pPr>
            <w:r>
              <w:rPr>
                <w:rFonts w:ascii="Times New Roman" w:hAnsi="Times New Roman" w:cs="Times New Roman"/>
                <w:snapToGrid w:val="0"/>
                <w:color w:val="auto"/>
                <w:sz w:val="18"/>
                <w:szCs w:val="18"/>
                <w:shd w:val="clear" w:color="auto" w:fill="FFFFFF"/>
              </w:rPr>
              <w:t>38.0×10</w:t>
            </w:r>
            <w:r>
              <w:rPr>
                <w:rFonts w:ascii="Times New Roman" w:hAnsi="Times New Roman" w:cs="Times New Roman"/>
                <w:snapToGrid w:val="0"/>
                <w:color w:val="auto"/>
                <w:sz w:val="18"/>
                <w:szCs w:val="18"/>
                <w:shd w:val="clear" w:color="auto" w:fill="FFFFFF"/>
                <w:vertAlign w:val="superscript"/>
              </w:rPr>
              <w:t>-3</w:t>
            </w:r>
            <w:r>
              <w:rPr>
                <w:rFonts w:ascii="Times New Roman" w:hAnsi="Times New Roman" w:cs="Times New Roman"/>
                <w:snapToGrid w:val="0"/>
                <w:color w:val="auto"/>
                <w:sz w:val="18"/>
                <w:szCs w:val="18"/>
                <w:shd w:val="clear" w:color="auto" w:fill="FFFFFF"/>
              </w:rPr>
              <w:t>t/m</w:t>
            </w:r>
            <w:r>
              <w:rPr>
                <w:rFonts w:ascii="Times New Roman" w:hAnsi="Times New Roman" w:cs="Times New Roman"/>
                <w:snapToGrid w:val="0"/>
                <w:color w:val="auto"/>
                <w:sz w:val="18"/>
                <w:szCs w:val="18"/>
                <w:shd w:val="clear" w:color="auto" w:fill="FFFFFF"/>
                <w:vertAlign w:val="superscript"/>
              </w:rPr>
              <w:t>3</w:t>
            </w:r>
          </w:p>
        </w:tc>
      </w:tr>
    </w:tbl>
    <w:p>
      <w:pPr>
        <w:ind w:firstLine="448"/>
        <w:rPr>
          <w:rFonts w:ascii="Times New Roman" w:hAnsi="Times New Roman" w:cs="Times New Roman"/>
          <w:color w:val="auto"/>
          <w:spacing w:val="-8"/>
          <w:szCs w:val="24"/>
          <w:shd w:val="clear" w:color="auto" w:fill="FFFFFF"/>
        </w:rPr>
      </w:pPr>
      <w:r>
        <w:rPr>
          <w:rFonts w:ascii="Times New Roman" w:hAnsi="Times New Roman" w:cs="Times New Roman"/>
          <w:color w:val="auto"/>
          <w:spacing w:val="-8"/>
          <w:szCs w:val="24"/>
          <w:shd w:val="clear" w:color="auto" w:fill="FFFFFF"/>
        </w:rPr>
        <w:t>由经验公式计算的，本项目疏浚时悬浮物产生量为8.45t/h，SS浓度约为5220mg/L左右。</w:t>
      </w:r>
    </w:p>
    <w:p>
      <w:pPr>
        <w:adjustRightInd/>
        <w:ind w:firstLine="480"/>
        <w:rPr>
          <w:rFonts w:ascii="Times New Roman" w:hAnsi="Times New Roman" w:cs="Times New Roman"/>
          <w:color w:val="auto"/>
          <w:szCs w:val="24"/>
          <w:shd w:val="clear" w:color="auto" w:fill="FFFFFF"/>
        </w:rPr>
      </w:pPr>
      <w:r>
        <w:rPr>
          <w:rFonts w:hint="eastAsia" w:ascii="宋体" w:hAnsi="宋体" w:cs="宋体"/>
          <w:color w:val="auto"/>
          <w:szCs w:val="24"/>
          <w:shd w:val="clear" w:color="auto" w:fill="FFFFFF"/>
        </w:rPr>
        <w:t>②</w:t>
      </w:r>
      <w:r>
        <w:rPr>
          <w:rFonts w:ascii="Times New Roman" w:hAnsi="Times New Roman" w:cs="Times New Roman"/>
          <w:color w:val="auto"/>
          <w:szCs w:val="24"/>
          <w:shd w:val="clear" w:color="auto" w:fill="FFFFFF"/>
        </w:rPr>
        <w:t>各施工工序对店埠河水体扰动影响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码头靠船建筑物施工平台施工、水下构筑物施工时对水环境的影响主要是导致周边水体浑浊，底泥悬浮，以及管理、操作不当，施工物料跌落水体，泥浆</w:t>
      </w:r>
      <w:r>
        <w:rPr>
          <w:rFonts w:hint="eastAsia" w:ascii="Times New Roman" w:hAnsi="Times New Roman" w:cs="Times New Roman"/>
          <w:color w:val="auto"/>
          <w:szCs w:val="24"/>
          <w:shd w:val="clear" w:color="auto" w:fill="FFFFFF"/>
        </w:rPr>
        <w:t>水</w:t>
      </w:r>
      <w:r>
        <w:rPr>
          <w:rFonts w:ascii="Times New Roman" w:hAnsi="Times New Roman" w:cs="Times New Roman"/>
          <w:color w:val="auto"/>
          <w:szCs w:val="24"/>
          <w:shd w:val="clear" w:color="auto" w:fill="FFFFFF"/>
        </w:rPr>
        <w:t>流入水体，将使地表水体中悬浮物含量增加，并可能对水生生物活动产生一定影响。尤其是在水下挖泥过程中，将使局部水域变混浊，水体中的SS含量显著增加，SS浓度升高100～200mg/L，N、P释放速率较静止状态提高了2倍。</w:t>
      </w:r>
    </w:p>
    <w:p>
      <w:pPr>
        <w:adjustRightInd/>
        <w:ind w:firstLine="482"/>
        <w:rPr>
          <w:rFonts w:ascii="Times New Roman" w:hAnsi="Times New Roman" w:cs="Times New Roman"/>
          <w:b/>
          <w:color w:val="auto"/>
          <w:szCs w:val="24"/>
          <w:shd w:val="clear" w:color="auto" w:fill="FFFFFF"/>
        </w:rPr>
      </w:pPr>
      <w:r>
        <w:rPr>
          <w:rFonts w:ascii="Times New Roman" w:hAnsi="Times New Roman" w:cs="Times New Roman"/>
          <w:b/>
          <w:color w:val="auto"/>
          <w:szCs w:val="24"/>
          <w:shd w:val="clear" w:color="auto" w:fill="FFFFFF"/>
        </w:rPr>
        <w:t>5、施工船舶污水</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施工船舶主要为</w:t>
      </w:r>
      <w:r>
        <w:rPr>
          <w:rFonts w:ascii="Times New Roman" w:hAnsi="Times New Roman" w:cs="Times New Roman"/>
          <w:shd w:val="clear" w:color="auto" w:fill="FFFFFF"/>
        </w:rPr>
        <w:t>绞吸式挖泥船，</w:t>
      </w:r>
      <w:r>
        <w:rPr>
          <w:rFonts w:ascii="Times New Roman" w:hAnsi="Times New Roman" w:cs="Times New Roman"/>
          <w:color w:val="auto"/>
          <w:szCs w:val="24"/>
          <w:shd w:val="clear" w:color="auto" w:fill="FFFFFF"/>
        </w:rPr>
        <w:t>污水包括船舶舱底油污水和船舶施工人员生活污水。本项目施工船舶舱底油污水由船舶自备的油水分离器隔油处理后由船舶统一收集后定期委托有资质的单位按照有关规定接收和处理。</w:t>
      </w:r>
    </w:p>
    <w:p>
      <w:pPr>
        <w:adjustRightInd/>
        <w:ind w:firstLine="482"/>
        <w:rPr>
          <w:rFonts w:ascii="Times New Roman" w:hAnsi="Times New Roman" w:cs="Times New Roman"/>
          <w:b/>
          <w:color w:val="auto"/>
          <w:szCs w:val="24"/>
          <w:shd w:val="clear" w:color="auto" w:fill="FFFFFF"/>
        </w:rPr>
      </w:pPr>
      <w:r>
        <w:rPr>
          <w:rFonts w:ascii="Times New Roman" w:hAnsi="Times New Roman" w:cs="Times New Roman"/>
          <w:b/>
          <w:color w:val="auto"/>
          <w:szCs w:val="24"/>
          <w:shd w:val="clear" w:color="auto" w:fill="FFFFFF"/>
        </w:rPr>
        <w:t>6、施工人员生活污水</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施工人员生活污水主要来自施工人员餐饮废水、生活污水等，本项目陆域及码头前沿施工人员约100人，本项目在施工生产区南侧设置一处施工人员营地，类比同类建设工程，施工期施工人员生活用水量约为100L/人•日，污水产生量按0.8系数折算，生活污水中污染物主要为COD、BOD</w:t>
      </w:r>
      <w:r>
        <w:rPr>
          <w:rFonts w:ascii="Times New Roman" w:hAnsi="Times New Roman" w:cs="Times New Roman"/>
          <w:color w:val="auto"/>
          <w:szCs w:val="24"/>
          <w:shd w:val="clear" w:color="auto" w:fill="FFFFFF"/>
          <w:vertAlign w:val="subscript"/>
        </w:rPr>
        <w:t>5</w:t>
      </w:r>
      <w:r>
        <w:rPr>
          <w:rFonts w:ascii="Times New Roman" w:hAnsi="Times New Roman" w:cs="Times New Roman"/>
          <w:color w:val="auto"/>
          <w:szCs w:val="24"/>
          <w:shd w:val="clear" w:color="auto" w:fill="FFFFFF"/>
        </w:rPr>
        <w:t>、NH</w:t>
      </w:r>
      <w:r>
        <w:rPr>
          <w:rFonts w:ascii="Times New Roman" w:hAnsi="Times New Roman" w:cs="Times New Roman"/>
          <w:color w:val="auto"/>
          <w:szCs w:val="24"/>
          <w:shd w:val="clear" w:color="auto" w:fill="FFFFFF"/>
          <w:vertAlign w:val="subscript"/>
        </w:rPr>
        <w:t>3</w:t>
      </w:r>
      <w:r>
        <w:rPr>
          <w:rFonts w:ascii="Times New Roman" w:hAnsi="Times New Roman" w:cs="Times New Roman"/>
          <w:color w:val="auto"/>
          <w:szCs w:val="24"/>
          <w:shd w:val="clear" w:color="auto" w:fill="FFFFFF"/>
        </w:rPr>
        <w:t>-N，类比分析污染物浓度为COD：250mg/L、BOD</w:t>
      </w:r>
      <w:r>
        <w:rPr>
          <w:rFonts w:ascii="Times New Roman" w:hAnsi="Times New Roman" w:cs="Times New Roman"/>
          <w:color w:val="auto"/>
          <w:szCs w:val="24"/>
          <w:shd w:val="clear" w:color="auto" w:fill="FFFFFF"/>
          <w:vertAlign w:val="subscript"/>
        </w:rPr>
        <w:t>5</w:t>
      </w:r>
      <w:r>
        <w:rPr>
          <w:rFonts w:ascii="Times New Roman" w:hAnsi="Times New Roman" w:cs="Times New Roman"/>
          <w:color w:val="auto"/>
          <w:szCs w:val="24"/>
          <w:shd w:val="clear" w:color="auto" w:fill="FFFFFF"/>
        </w:rPr>
        <w:t>：150mg/L、NH</w:t>
      </w:r>
      <w:r>
        <w:rPr>
          <w:rFonts w:ascii="Times New Roman" w:hAnsi="Times New Roman" w:cs="Times New Roman"/>
          <w:color w:val="auto"/>
          <w:szCs w:val="24"/>
          <w:shd w:val="clear" w:color="auto" w:fill="FFFFFF"/>
          <w:vertAlign w:val="subscript"/>
        </w:rPr>
        <w:t>3</w:t>
      </w:r>
      <w:r>
        <w:rPr>
          <w:rFonts w:ascii="Times New Roman" w:hAnsi="Times New Roman" w:cs="Times New Roman"/>
          <w:color w:val="auto"/>
          <w:szCs w:val="24"/>
          <w:shd w:val="clear" w:color="auto" w:fill="FFFFFF"/>
        </w:rPr>
        <w:t>-N：25mg/L，本工程施工工期总计约600d。则项目施工期生活污水产生情况如下表所示。</w:t>
      </w:r>
    </w:p>
    <w:p>
      <w:pPr>
        <w:spacing w:line="240" w:lineRule="auto"/>
        <w:ind w:firstLine="442"/>
        <w:jc w:val="center"/>
        <w:rPr>
          <w:rFonts w:ascii="Times New Roman" w:hAnsi="Times New Roman" w:cs="Times New Roman"/>
          <w:b/>
          <w:bCs/>
          <w:color w:val="auto"/>
          <w:sz w:val="22"/>
          <w:szCs w:val="21"/>
        </w:rPr>
      </w:pPr>
      <w:r>
        <w:rPr>
          <w:rFonts w:ascii="Times New Roman" w:hAnsi="Times New Roman" w:cs="Times New Roman"/>
          <w:b/>
          <w:bCs/>
          <w:color w:val="auto"/>
          <w:sz w:val="22"/>
          <w:szCs w:val="21"/>
        </w:rPr>
        <w:t>表3.10-3  施工期生活污水产生情况</w:t>
      </w:r>
    </w:p>
    <w:tbl>
      <w:tblPr>
        <w:tblStyle w:val="62"/>
        <w:tblW w:w="918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82"/>
        <w:gridCol w:w="2101"/>
        <w:gridCol w:w="1668"/>
        <w:gridCol w:w="1668"/>
        <w:gridCol w:w="15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182"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项目</w:t>
            </w:r>
          </w:p>
        </w:tc>
        <w:tc>
          <w:tcPr>
            <w:tcW w:w="2101"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污水量（</w:t>
            </w:r>
            <w:r>
              <w:rPr>
                <w:rFonts w:ascii="Times New Roman" w:hAnsi="Times New Roman" w:cs="Times New Roman"/>
                <w:bCs/>
                <w:color w:val="auto"/>
                <w:kern w:val="0"/>
                <w:sz w:val="18"/>
                <w:szCs w:val="18"/>
                <w:shd w:val="clear" w:color="auto" w:fill="FFFFFF"/>
              </w:rPr>
              <w:t>m</w:t>
            </w:r>
            <w:r>
              <w:rPr>
                <w:rFonts w:ascii="Times New Roman" w:hAnsi="Times New Roman" w:cs="Times New Roman"/>
                <w:bCs/>
                <w:color w:val="auto"/>
                <w:kern w:val="0"/>
                <w:sz w:val="18"/>
                <w:szCs w:val="18"/>
                <w:shd w:val="clear" w:color="auto" w:fill="FFFFFF"/>
                <w:vertAlign w:val="superscript"/>
              </w:rPr>
              <w:t>3</w:t>
            </w:r>
            <w:r>
              <w:rPr>
                <w:rFonts w:ascii="Times New Roman" w:hAnsi="Times New Roman" w:cs="Times New Roman"/>
                <w:color w:val="auto"/>
                <w:kern w:val="0"/>
                <w:sz w:val="18"/>
                <w:szCs w:val="18"/>
                <w:shd w:val="clear" w:color="auto" w:fill="FFFFFF"/>
              </w:rPr>
              <w:t>）</w:t>
            </w:r>
          </w:p>
        </w:tc>
        <w:tc>
          <w:tcPr>
            <w:tcW w:w="1668"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bCs/>
                <w:color w:val="auto"/>
                <w:kern w:val="0"/>
                <w:sz w:val="18"/>
                <w:szCs w:val="18"/>
                <w:shd w:val="clear" w:color="auto" w:fill="FFFFFF"/>
              </w:rPr>
              <w:t>COD（t</w:t>
            </w:r>
            <w:r>
              <w:rPr>
                <w:rFonts w:ascii="Times New Roman" w:hAnsi="Times New Roman" w:cs="Times New Roman"/>
                <w:color w:val="auto"/>
                <w:kern w:val="0"/>
                <w:sz w:val="18"/>
                <w:szCs w:val="18"/>
                <w:shd w:val="clear" w:color="auto" w:fill="FFFFFF"/>
              </w:rPr>
              <w:t>）</w:t>
            </w:r>
          </w:p>
        </w:tc>
        <w:tc>
          <w:tcPr>
            <w:tcW w:w="1668"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bCs/>
                <w:color w:val="auto"/>
                <w:kern w:val="0"/>
                <w:sz w:val="18"/>
                <w:szCs w:val="18"/>
                <w:shd w:val="clear" w:color="auto" w:fill="FFFFFF"/>
              </w:rPr>
              <w:t>BOD</w:t>
            </w:r>
            <w:r>
              <w:rPr>
                <w:rFonts w:ascii="Times New Roman" w:hAnsi="Times New Roman" w:cs="Times New Roman"/>
                <w:bCs/>
                <w:color w:val="auto"/>
                <w:kern w:val="0"/>
                <w:sz w:val="18"/>
                <w:szCs w:val="18"/>
                <w:shd w:val="clear" w:color="auto" w:fill="FFFFFF"/>
                <w:vertAlign w:val="subscript"/>
              </w:rPr>
              <w:t>5</w:t>
            </w:r>
            <w:r>
              <w:rPr>
                <w:rFonts w:ascii="Times New Roman" w:hAnsi="Times New Roman" w:cs="Times New Roman"/>
                <w:bCs/>
                <w:color w:val="auto"/>
                <w:kern w:val="0"/>
                <w:sz w:val="18"/>
                <w:szCs w:val="18"/>
                <w:shd w:val="clear" w:color="auto" w:fill="FFFFFF"/>
              </w:rPr>
              <w:t>（t</w:t>
            </w:r>
            <w:r>
              <w:rPr>
                <w:rFonts w:ascii="Times New Roman" w:hAnsi="Times New Roman" w:cs="Times New Roman"/>
                <w:color w:val="auto"/>
                <w:kern w:val="0"/>
                <w:sz w:val="18"/>
                <w:szCs w:val="18"/>
                <w:shd w:val="clear" w:color="auto" w:fill="FFFFFF"/>
              </w:rPr>
              <w:t>）</w:t>
            </w:r>
          </w:p>
        </w:tc>
        <w:tc>
          <w:tcPr>
            <w:tcW w:w="1561"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bCs/>
                <w:color w:val="auto"/>
                <w:kern w:val="0"/>
                <w:sz w:val="18"/>
                <w:szCs w:val="18"/>
                <w:shd w:val="clear" w:color="auto" w:fill="FFFFFF"/>
              </w:rPr>
              <w:t>NH</w:t>
            </w:r>
            <w:r>
              <w:rPr>
                <w:rFonts w:ascii="Times New Roman" w:hAnsi="Times New Roman" w:cs="Times New Roman"/>
                <w:bCs/>
                <w:color w:val="auto"/>
                <w:kern w:val="0"/>
                <w:sz w:val="18"/>
                <w:szCs w:val="18"/>
                <w:shd w:val="clear" w:color="auto" w:fill="FFFFFF"/>
                <w:vertAlign w:val="subscript"/>
              </w:rPr>
              <w:t>3</w:t>
            </w:r>
            <w:r>
              <w:rPr>
                <w:rFonts w:ascii="Times New Roman" w:hAnsi="Times New Roman" w:cs="Times New Roman"/>
                <w:bCs/>
                <w:color w:val="auto"/>
                <w:kern w:val="0"/>
                <w:sz w:val="18"/>
                <w:szCs w:val="18"/>
                <w:shd w:val="clear" w:color="auto" w:fill="FFFFFF"/>
              </w:rPr>
              <w:t>-N（t）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182"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施工期总量</w:t>
            </w:r>
          </w:p>
        </w:tc>
        <w:tc>
          <w:tcPr>
            <w:tcW w:w="2101"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7200</w:t>
            </w:r>
          </w:p>
        </w:tc>
        <w:tc>
          <w:tcPr>
            <w:tcW w:w="1668"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1.8</w:t>
            </w:r>
          </w:p>
        </w:tc>
        <w:tc>
          <w:tcPr>
            <w:tcW w:w="1668"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1.08</w:t>
            </w:r>
          </w:p>
        </w:tc>
        <w:tc>
          <w:tcPr>
            <w:tcW w:w="1561"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182"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平均日产生量</w:t>
            </w:r>
          </w:p>
        </w:tc>
        <w:tc>
          <w:tcPr>
            <w:tcW w:w="2101"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w:t>
            </w:r>
          </w:p>
        </w:tc>
        <w:tc>
          <w:tcPr>
            <w:tcW w:w="1668"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0.002</w:t>
            </w:r>
          </w:p>
        </w:tc>
        <w:tc>
          <w:tcPr>
            <w:tcW w:w="1668"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0.0012</w:t>
            </w:r>
          </w:p>
        </w:tc>
        <w:tc>
          <w:tcPr>
            <w:tcW w:w="1561" w:type="dxa"/>
            <w:vAlign w:val="center"/>
          </w:tcPr>
          <w:p>
            <w:pPr>
              <w:widowControl/>
              <w:adjustRightInd/>
              <w:snapToGrid/>
              <w:spacing w:line="28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0.0002</w:t>
            </w:r>
          </w:p>
        </w:tc>
      </w:tr>
    </w:tbl>
    <w:p>
      <w:pPr>
        <w:pStyle w:val="98"/>
        <w:ind w:firstLine="480" w:firstLineChars="200"/>
        <w:rPr>
          <w:rFonts w:ascii="Times New Roman" w:hAnsi="Times New Roman" w:cs="Times New Roman"/>
          <w:shd w:val="clear" w:color="auto" w:fill="FFFFFF"/>
        </w:rPr>
      </w:pPr>
      <w:r>
        <w:rPr>
          <w:rFonts w:ascii="Times New Roman" w:hAnsi="Times New Roman" w:cs="Times New Roman"/>
          <w:shd w:val="clear" w:color="auto" w:fill="FFFFFF"/>
        </w:rPr>
        <w:t>施工营地生活污水经临时隔油池+化粪池预处理后接入合肥循环经济示范园污水处理厂处理。</w:t>
      </w:r>
    </w:p>
    <w:p>
      <w:pPr>
        <w:pStyle w:val="4"/>
        <w:numPr>
          <w:ilvl w:val="2"/>
          <w:numId w:val="0"/>
        </w:numPr>
        <w:spacing w:before="166" w:beforeLines="50"/>
        <w:jc w:val="both"/>
        <w:rPr>
          <w:rFonts w:ascii="Times New Roman" w:hAnsi="Times New Roman" w:cs="Times New Roman"/>
          <w:color w:val="auto"/>
        </w:rPr>
      </w:pPr>
      <w:bookmarkStart w:id="231" w:name="_Toc104733349"/>
      <w:r>
        <w:rPr>
          <w:rFonts w:ascii="Times New Roman" w:hAnsi="Times New Roman" w:cs="Times New Roman"/>
          <w:color w:val="auto"/>
        </w:rPr>
        <w:t>3.10.1.3施工期噪声源强</w:t>
      </w:r>
      <w:bookmarkEnd w:id="231"/>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根据工程布置，施工过程中噪声较大的污染源有可能对现场施工人员及周边环境敏感点产生不利影响。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工程施工的噪声源主要有施工机械固定噪声源和运输车辆流动噪声源，参照《环境噪声与振动控制工程技术导则》（HJ2034-2013）、</w:t>
      </w:r>
      <w:r>
        <w:rPr>
          <w:rFonts w:ascii="Times New Roman" w:hAnsi="Times New Roman" w:cs="Times New Roman"/>
        </w:rPr>
        <w:t>《水运工程建设项目环境影响评价指南》(JTS105-2021)</w:t>
      </w:r>
      <w:r>
        <w:rPr>
          <w:rFonts w:ascii="Times New Roman" w:hAnsi="Times New Roman" w:cs="Times New Roman"/>
          <w:color w:val="auto"/>
          <w:szCs w:val="24"/>
          <w:shd w:val="clear" w:color="auto" w:fill="FFFFFF"/>
        </w:rPr>
        <w:t>、《水电水利工程施工机械选择设计导则》（DL/T5133-2001）以及项目工可报告，工程所用机械及其产生的噪声污染源强见下表。</w:t>
      </w:r>
    </w:p>
    <w:p>
      <w:pPr>
        <w:spacing w:line="240" w:lineRule="auto"/>
        <w:ind w:firstLine="442"/>
        <w:jc w:val="center"/>
        <w:rPr>
          <w:rFonts w:ascii="Times New Roman" w:hAnsi="Times New Roman" w:cs="Times New Roman"/>
          <w:b/>
          <w:bCs/>
          <w:color w:val="auto"/>
        </w:rPr>
      </w:pPr>
      <w:r>
        <w:rPr>
          <w:rFonts w:ascii="Times New Roman" w:hAnsi="Times New Roman" w:cs="Times New Roman"/>
          <w:b/>
          <w:bCs/>
          <w:color w:val="auto"/>
          <w:sz w:val="22"/>
          <w:szCs w:val="21"/>
        </w:rPr>
        <w:t>表3.10-4  主要施工机械及噪声源强一览表    单位：dB（A）</w:t>
      </w:r>
    </w:p>
    <w:tbl>
      <w:tblPr>
        <w:tblStyle w:val="62"/>
        <w:tblW w:w="928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234"/>
        <w:gridCol w:w="3119"/>
        <w:gridCol w:w="2552"/>
        <w:gridCol w:w="138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jc w:val="center"/>
        </w:trPr>
        <w:tc>
          <w:tcPr>
            <w:tcW w:w="2234" w:type="dxa"/>
            <w:vAlign w:val="center"/>
          </w:tcPr>
          <w:p>
            <w:pPr>
              <w:widowControl/>
              <w:adjustRightInd/>
              <w:snapToGrid/>
              <w:spacing w:line="260" w:lineRule="exact"/>
              <w:ind w:firstLine="0" w:firstLineChars="0"/>
              <w:jc w:val="center"/>
              <w:rPr>
                <w:rFonts w:ascii="Times New Roman" w:hAnsi="Times New Roman" w:cs="Times New Roman"/>
                <w:b/>
                <w:color w:val="auto"/>
                <w:kern w:val="0"/>
                <w:sz w:val="18"/>
                <w:szCs w:val="18"/>
                <w:shd w:val="clear" w:color="auto" w:fill="FFFFFF"/>
              </w:rPr>
            </w:pPr>
            <w:r>
              <w:rPr>
                <w:rFonts w:ascii="Times New Roman" w:hAnsi="Times New Roman" w:cs="Times New Roman"/>
                <w:b/>
                <w:color w:val="auto"/>
                <w:kern w:val="0"/>
                <w:sz w:val="18"/>
                <w:szCs w:val="18"/>
                <w:shd w:val="clear" w:color="auto" w:fill="FFFFFF"/>
              </w:rPr>
              <w:t>施工阶段</w:t>
            </w:r>
          </w:p>
        </w:tc>
        <w:tc>
          <w:tcPr>
            <w:tcW w:w="3119" w:type="dxa"/>
            <w:vAlign w:val="center"/>
          </w:tcPr>
          <w:p>
            <w:pPr>
              <w:widowControl/>
              <w:adjustRightInd/>
              <w:snapToGrid/>
              <w:spacing w:line="260" w:lineRule="exact"/>
              <w:ind w:firstLine="0" w:firstLineChars="0"/>
              <w:jc w:val="center"/>
              <w:rPr>
                <w:rFonts w:ascii="Times New Roman" w:hAnsi="Times New Roman" w:cs="Times New Roman"/>
                <w:b/>
                <w:color w:val="auto"/>
                <w:kern w:val="0"/>
                <w:sz w:val="18"/>
                <w:szCs w:val="18"/>
                <w:shd w:val="clear" w:color="auto" w:fill="FFFFFF"/>
              </w:rPr>
            </w:pPr>
            <w:r>
              <w:rPr>
                <w:rFonts w:ascii="Times New Roman" w:hAnsi="Times New Roman" w:cs="Times New Roman"/>
                <w:b/>
                <w:color w:val="auto"/>
                <w:kern w:val="0"/>
                <w:sz w:val="18"/>
                <w:szCs w:val="18"/>
                <w:shd w:val="clear" w:color="auto" w:fill="FFFFFF"/>
              </w:rPr>
              <w:t>机械名称</w:t>
            </w:r>
          </w:p>
        </w:tc>
        <w:tc>
          <w:tcPr>
            <w:tcW w:w="2552" w:type="dxa"/>
            <w:vAlign w:val="center"/>
          </w:tcPr>
          <w:p>
            <w:pPr>
              <w:widowControl/>
              <w:adjustRightInd/>
              <w:snapToGrid/>
              <w:spacing w:line="260" w:lineRule="exact"/>
              <w:ind w:firstLine="0" w:firstLineChars="0"/>
              <w:jc w:val="center"/>
              <w:rPr>
                <w:rFonts w:ascii="Times New Roman" w:hAnsi="Times New Roman" w:cs="Times New Roman"/>
                <w:b/>
                <w:color w:val="auto"/>
                <w:kern w:val="0"/>
                <w:sz w:val="18"/>
                <w:szCs w:val="18"/>
                <w:shd w:val="clear" w:color="auto" w:fill="FFFFFF"/>
              </w:rPr>
            </w:pPr>
            <w:r>
              <w:rPr>
                <w:rFonts w:ascii="Times New Roman" w:hAnsi="Times New Roman" w:cs="Times New Roman"/>
                <w:b/>
                <w:color w:val="auto"/>
                <w:kern w:val="0"/>
                <w:sz w:val="18"/>
                <w:szCs w:val="18"/>
                <w:shd w:val="clear" w:color="auto" w:fill="FFFFFF"/>
              </w:rPr>
              <w:t>测点距施工机械距离</w:t>
            </w:r>
          </w:p>
        </w:tc>
        <w:tc>
          <w:tcPr>
            <w:tcW w:w="1382" w:type="dxa"/>
            <w:vAlign w:val="center"/>
          </w:tcPr>
          <w:p>
            <w:pPr>
              <w:widowControl/>
              <w:adjustRightInd/>
              <w:snapToGrid/>
              <w:spacing w:line="260" w:lineRule="exact"/>
              <w:ind w:firstLine="0" w:firstLineChars="0"/>
              <w:jc w:val="center"/>
              <w:rPr>
                <w:rFonts w:ascii="Times New Roman" w:hAnsi="Times New Roman" w:cs="Times New Roman"/>
                <w:b/>
                <w:color w:val="auto"/>
                <w:kern w:val="0"/>
                <w:sz w:val="18"/>
                <w:szCs w:val="18"/>
                <w:shd w:val="clear" w:color="auto" w:fill="FFFFFF"/>
              </w:rPr>
            </w:pPr>
            <w:r>
              <w:rPr>
                <w:rFonts w:ascii="Times New Roman" w:hAnsi="Times New Roman" w:cs="Times New Roman"/>
                <w:b/>
                <w:color w:val="auto"/>
                <w:kern w:val="0"/>
                <w:sz w:val="18"/>
                <w:szCs w:val="18"/>
                <w:shd w:val="clear" w:color="auto" w:fill="FFFFFF"/>
              </w:rPr>
              <w:t>参考声压级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34" w:type="dxa"/>
            <w:vMerge w:val="restart"/>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土石方开挖</w:t>
            </w: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2.0m</w:t>
            </w:r>
            <w:r>
              <w:rPr>
                <w:rFonts w:ascii="Times New Roman" w:hAnsi="Times New Roman" w:cs="Times New Roman"/>
                <w:color w:val="auto"/>
                <w:kern w:val="0"/>
                <w:sz w:val="18"/>
                <w:szCs w:val="18"/>
                <w:shd w:val="clear" w:color="auto" w:fill="FFFFFF"/>
                <w:vertAlign w:val="superscript"/>
              </w:rPr>
              <w:t>3</w:t>
            </w:r>
            <w:r>
              <w:rPr>
                <w:rFonts w:ascii="Times New Roman" w:hAnsi="Times New Roman" w:cs="Times New Roman"/>
                <w:color w:val="auto"/>
                <w:kern w:val="0"/>
                <w:sz w:val="18"/>
                <w:szCs w:val="18"/>
                <w:shd w:val="clear" w:color="auto" w:fill="FFFFFF"/>
              </w:rPr>
              <w:t>反铲挖掘机</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轮式装载机</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振动式压路机</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74kW推土机</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平地机</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推土机</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8/12t自卸汽车</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10</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34" w:type="dxa"/>
            <w:vMerge w:val="restart"/>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码头工程</w:t>
            </w: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冲击式钻井机</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1</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转盘式循环钻机</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4" w:hRule="atLeast"/>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钉形桩成桩机械</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4" w:hRule="atLeast"/>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全液压吊车</w:t>
            </w:r>
          </w:p>
        </w:tc>
        <w:tc>
          <w:tcPr>
            <w:tcW w:w="2552" w:type="dxa"/>
            <w:vAlign w:val="center"/>
          </w:tcPr>
          <w:p>
            <w:pPr>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10</w:t>
            </w:r>
          </w:p>
        </w:tc>
        <w:tc>
          <w:tcPr>
            <w:tcW w:w="1382" w:type="dxa"/>
            <w:vAlign w:val="center"/>
          </w:tcPr>
          <w:p>
            <w:pPr>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4" w:hRule="atLeast"/>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摊铺机</w:t>
            </w:r>
          </w:p>
        </w:tc>
        <w:tc>
          <w:tcPr>
            <w:tcW w:w="2552" w:type="dxa"/>
            <w:vAlign w:val="center"/>
          </w:tcPr>
          <w:p>
            <w:pPr>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2" w:hRule="atLeast"/>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振动夯锤</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10</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7" w:hRule="atLeast"/>
          <w:jc w:val="center"/>
        </w:trPr>
        <w:tc>
          <w:tcPr>
            <w:tcW w:w="2234" w:type="dxa"/>
            <w:vMerge w:val="restart"/>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疏浚工程</w:t>
            </w: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bCs/>
                <w:color w:val="auto"/>
                <w:kern w:val="0"/>
                <w:sz w:val="18"/>
                <w:szCs w:val="18"/>
                <w:shd w:val="clear" w:color="auto" w:fill="FFFFFF"/>
              </w:rPr>
              <w:t>绞吸式挖泥船</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15</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7" w:hRule="atLeast"/>
          <w:jc w:val="center"/>
        </w:trPr>
        <w:tc>
          <w:tcPr>
            <w:tcW w:w="2234" w:type="dxa"/>
            <w:vMerge w:val="continue"/>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p>
        </w:tc>
        <w:tc>
          <w:tcPr>
            <w:tcW w:w="3119" w:type="dxa"/>
            <w:vAlign w:val="center"/>
          </w:tcPr>
          <w:p>
            <w:pPr>
              <w:adjustRightInd/>
              <w:snapToGrid/>
              <w:spacing w:line="260" w:lineRule="exact"/>
              <w:ind w:firstLine="0" w:firstLineChars="0"/>
              <w:jc w:val="center"/>
              <w:rPr>
                <w:rFonts w:ascii="Times New Roman" w:hAnsi="Times New Roman" w:cs="Times New Roman"/>
                <w:bCs/>
                <w:color w:val="auto"/>
                <w:kern w:val="0"/>
                <w:sz w:val="18"/>
                <w:szCs w:val="18"/>
                <w:shd w:val="clear" w:color="auto" w:fill="FFFFFF"/>
              </w:rPr>
            </w:pPr>
            <w:r>
              <w:rPr>
                <w:rFonts w:ascii="Times New Roman" w:hAnsi="Times New Roman" w:cs="Times New Roman"/>
                <w:bCs/>
                <w:color w:val="auto"/>
                <w:kern w:val="0"/>
                <w:sz w:val="18"/>
                <w:szCs w:val="18"/>
                <w:shd w:val="clear" w:color="auto" w:fill="FFFFFF"/>
              </w:rPr>
              <w:t>泥浆输送泵</w:t>
            </w:r>
          </w:p>
        </w:tc>
        <w:tc>
          <w:tcPr>
            <w:tcW w:w="2552" w:type="dxa"/>
            <w:vAlign w:val="center"/>
          </w:tcPr>
          <w:p>
            <w:pPr>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34" w:type="dxa"/>
            <w:vMerge w:val="restart"/>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木工、钢筋加工</w:t>
            </w: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钢筋剪切机</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电锯</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加工刨</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234" w:type="dxa"/>
            <w:vMerge w:val="restart"/>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混凝土浇筑</w:t>
            </w: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HBT60砼输送泵</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2" w:hRule="atLeast"/>
          <w:jc w:val="center"/>
        </w:trPr>
        <w:tc>
          <w:tcPr>
            <w:tcW w:w="2234" w:type="dxa"/>
            <w:vMerge w:val="continue"/>
            <w:vAlign w:val="center"/>
          </w:tcPr>
          <w:p>
            <w:pPr>
              <w:widowControl/>
              <w:adjustRightInd/>
              <w:snapToGrid/>
              <w:spacing w:line="260" w:lineRule="exact"/>
              <w:ind w:firstLine="0" w:firstLineChars="0"/>
              <w:jc w:val="left"/>
              <w:rPr>
                <w:rFonts w:ascii="Times New Roman" w:hAnsi="Times New Roman" w:cs="Times New Roman"/>
                <w:color w:val="auto"/>
                <w:kern w:val="0"/>
                <w:sz w:val="18"/>
                <w:szCs w:val="18"/>
                <w:shd w:val="clear" w:color="auto" w:fill="FFFFFF"/>
              </w:rPr>
            </w:pPr>
          </w:p>
        </w:tc>
        <w:tc>
          <w:tcPr>
            <w:tcW w:w="3119"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40t混凝土搅拌运输车</w:t>
            </w:r>
          </w:p>
        </w:tc>
        <w:tc>
          <w:tcPr>
            <w:tcW w:w="255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10</w:t>
            </w:r>
          </w:p>
        </w:tc>
        <w:tc>
          <w:tcPr>
            <w:tcW w:w="1382" w:type="dxa"/>
            <w:vAlign w:val="center"/>
          </w:tcPr>
          <w:p>
            <w:pPr>
              <w:widowControl/>
              <w:adjustRightInd/>
              <w:snapToGrid/>
              <w:spacing w:line="260" w:lineRule="exact"/>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86</w:t>
            </w:r>
          </w:p>
        </w:tc>
      </w:tr>
    </w:tbl>
    <w:p>
      <w:pPr>
        <w:pStyle w:val="4"/>
        <w:numPr>
          <w:ilvl w:val="2"/>
          <w:numId w:val="0"/>
        </w:numPr>
        <w:spacing w:before="166" w:beforeLines="50"/>
        <w:jc w:val="both"/>
        <w:rPr>
          <w:rFonts w:ascii="Times New Roman" w:hAnsi="Times New Roman" w:cs="Times New Roman"/>
          <w:color w:val="auto"/>
        </w:rPr>
      </w:pPr>
      <w:bookmarkStart w:id="232" w:name="_Toc104733350"/>
      <w:bookmarkStart w:id="233" w:name="_Toc102984316"/>
      <w:r>
        <w:rPr>
          <w:rFonts w:ascii="Times New Roman" w:hAnsi="Times New Roman" w:cs="Times New Roman"/>
          <w:color w:val="auto"/>
        </w:rPr>
        <w:t>3.10.1.4施工期固废源强</w:t>
      </w:r>
      <w:bookmarkEnd w:id="232"/>
    </w:p>
    <w:p>
      <w:pPr>
        <w:adjustRightInd/>
        <w:ind w:firstLine="482"/>
        <w:rPr>
          <w:rFonts w:ascii="Times New Roman" w:hAnsi="Times New Roman" w:cs="Times New Roman"/>
          <w:b/>
          <w:color w:val="auto"/>
          <w:szCs w:val="24"/>
          <w:shd w:val="clear" w:color="auto" w:fill="FFFFFF"/>
        </w:rPr>
      </w:pPr>
      <w:r>
        <w:rPr>
          <w:rFonts w:ascii="Times New Roman" w:hAnsi="Times New Roman" w:cs="Times New Roman"/>
          <w:b/>
          <w:color w:val="auto"/>
          <w:szCs w:val="24"/>
          <w:shd w:val="clear" w:color="auto" w:fill="FFFFFF"/>
        </w:rPr>
        <w:t>1、工程弃土方</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码头工程水下疏浚</w:t>
      </w:r>
      <w:r>
        <w:rPr>
          <w:rFonts w:ascii="Times New Roman" w:hAnsi="Times New Roman" w:cs="Times New Roman"/>
          <w:bCs/>
          <w:color w:val="auto"/>
          <w:szCs w:val="24"/>
          <w:shd w:val="clear" w:color="auto" w:fill="FFFFFF"/>
        </w:rPr>
        <w:t>土方及陆域淤泥量约为</w:t>
      </w:r>
      <w:r>
        <w:rPr>
          <w:rFonts w:ascii="Times New Roman" w:hAnsi="Times New Roman" w:cs="Times New Roman"/>
          <w:color w:val="auto"/>
          <w:szCs w:val="24"/>
          <w:shd w:val="clear" w:color="auto" w:fill="FFFFFF"/>
        </w:rPr>
        <w:t>23.55万m</w:t>
      </w:r>
      <w:r>
        <w:rPr>
          <w:rFonts w:ascii="Times New Roman" w:hAnsi="Times New Roman" w:cs="Times New Roman"/>
          <w:color w:val="auto"/>
          <w:szCs w:val="24"/>
          <w:shd w:val="clear" w:color="auto" w:fill="FFFFFF"/>
          <w:vertAlign w:val="superscript"/>
        </w:rPr>
        <w:t>3</w:t>
      </w:r>
      <w:r>
        <w:rPr>
          <w:rFonts w:ascii="Times New Roman" w:hAnsi="Times New Roman" w:cs="Times New Roman"/>
          <w:bCs/>
          <w:color w:val="auto"/>
          <w:szCs w:val="24"/>
          <w:shd w:val="clear" w:color="auto" w:fill="FFFFFF"/>
        </w:rPr>
        <w:t>，吹填至</w:t>
      </w:r>
      <w:r>
        <w:rPr>
          <w:rFonts w:hint="eastAsia" w:ascii="Times New Roman" w:hAnsi="Times New Roman" w:cs="Times New Roman"/>
          <w:color w:val="auto"/>
          <w:szCs w:val="24"/>
          <w:shd w:val="clear" w:color="auto" w:fill="FFFFFF"/>
        </w:rPr>
        <w:t>下游店埠河3km处滩地</w:t>
      </w:r>
      <w:r>
        <w:rPr>
          <w:rFonts w:ascii="Times New Roman" w:hAnsi="Times New Roman" w:cs="Times New Roman"/>
          <w:color w:val="auto"/>
          <w:szCs w:val="24"/>
          <w:shd w:val="clear" w:color="auto" w:fill="FFFFFF"/>
        </w:rPr>
        <w:t>抛泥区</w:t>
      </w:r>
      <w:r>
        <w:rPr>
          <w:rFonts w:ascii="Times New Roman" w:hAnsi="Times New Roman" w:cs="Times New Roman"/>
          <w:bCs/>
          <w:color w:val="auto"/>
          <w:szCs w:val="24"/>
          <w:shd w:val="clear" w:color="auto" w:fill="FFFFFF"/>
        </w:rPr>
        <w:t>中沉淀干化，施工结束后抛泥区经压实恢复为</w:t>
      </w:r>
      <w:r>
        <w:rPr>
          <w:rFonts w:hint="eastAsia" w:ascii="Times New Roman" w:hAnsi="Times New Roman" w:cs="Times New Roman"/>
          <w:bCs/>
          <w:color w:val="auto"/>
          <w:szCs w:val="24"/>
          <w:shd w:val="clear" w:color="auto" w:fill="FFFFFF"/>
        </w:rPr>
        <w:t>河滩地并进行植被恢复</w:t>
      </w:r>
      <w:r>
        <w:rPr>
          <w:rFonts w:ascii="Times New Roman" w:hAnsi="Times New Roman" w:cs="Times New Roman"/>
          <w:color w:val="auto"/>
          <w:szCs w:val="24"/>
          <w:shd w:val="clear" w:color="auto" w:fill="FFFFFF"/>
        </w:rPr>
        <w:t>。</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陆域清表产生的表层土堆放在项目内的临时堆土区内，清表土方约为8万m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，用于陆域绿化覆土。</w:t>
      </w:r>
    </w:p>
    <w:p>
      <w:pPr>
        <w:adjustRightInd/>
        <w:ind w:firstLine="482"/>
        <w:rPr>
          <w:rFonts w:ascii="Times New Roman" w:hAnsi="Times New Roman" w:cs="Times New Roman"/>
          <w:b/>
          <w:color w:val="auto"/>
          <w:szCs w:val="24"/>
          <w:shd w:val="clear" w:color="auto" w:fill="FFFFFF"/>
        </w:rPr>
      </w:pPr>
      <w:r>
        <w:rPr>
          <w:rFonts w:ascii="Times New Roman" w:hAnsi="Times New Roman" w:cs="Times New Roman"/>
          <w:b/>
          <w:color w:val="auto"/>
          <w:szCs w:val="24"/>
          <w:shd w:val="clear" w:color="auto" w:fill="FFFFFF"/>
        </w:rPr>
        <w:t>2、生活垃圾</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本工程施工期约600d，施工人员共约100人，按人均每天产生活垃圾0.5kg预测，共约产生54t生活垃圾。生活垃圾可集中堆放后由环卫部门及时清运处置，减轻对环境的影响。</w:t>
      </w:r>
    </w:p>
    <w:p>
      <w:pPr>
        <w:pStyle w:val="4"/>
        <w:numPr>
          <w:ilvl w:val="2"/>
          <w:numId w:val="0"/>
        </w:numPr>
        <w:spacing w:before="166" w:beforeLines="50"/>
        <w:jc w:val="both"/>
        <w:rPr>
          <w:rFonts w:ascii="Times New Roman" w:hAnsi="Times New Roman" w:cs="Times New Roman"/>
          <w:color w:val="auto"/>
        </w:rPr>
      </w:pPr>
      <w:bookmarkStart w:id="234" w:name="_Toc104733351"/>
      <w:r>
        <w:rPr>
          <w:rFonts w:ascii="Times New Roman" w:hAnsi="Times New Roman" w:cs="Times New Roman"/>
          <w:color w:val="auto"/>
        </w:rPr>
        <w:t>3.10.1.5施工期生态环境影响</w:t>
      </w:r>
      <w:bookmarkEnd w:id="234"/>
    </w:p>
    <w:p>
      <w:pPr>
        <w:adjustRightInd/>
        <w:ind w:firstLine="480"/>
        <w:rPr>
          <w:rFonts w:ascii="Times New Roman" w:hAnsi="Times New Roman" w:cs="Times New Roman"/>
          <w:color w:val="auto"/>
          <w:szCs w:val="24"/>
          <w:shd w:val="clear" w:color="auto" w:fill="FFFFFF"/>
          <w:lang w:val="en-GB"/>
        </w:rPr>
      </w:pPr>
      <w:r>
        <w:rPr>
          <w:rFonts w:ascii="Times New Roman" w:hAnsi="Times New Roman" w:cs="Times New Roman"/>
          <w:color w:val="auto"/>
          <w:szCs w:val="24"/>
          <w:shd w:val="clear" w:color="auto" w:fill="FFFFFF"/>
          <w:lang w:val="en-GB"/>
        </w:rPr>
        <w:t>本工程施工期对生态环境的影响主要表现在施工临时占地、永久占地对陆生生态系统的影响，疏浚工程对水生生态系统的影响。</w:t>
      </w:r>
    </w:p>
    <w:p>
      <w:pPr>
        <w:adjustRightInd/>
        <w:ind w:firstLine="480"/>
        <w:rPr>
          <w:rFonts w:ascii="Times New Roman" w:hAnsi="Times New Roman" w:cs="Times New Roman"/>
          <w:color w:val="auto"/>
          <w:szCs w:val="24"/>
          <w:shd w:val="clear" w:color="auto" w:fill="FFFFFF"/>
          <w:lang w:val="en-GB"/>
        </w:rPr>
      </w:pPr>
      <w:r>
        <w:rPr>
          <w:rFonts w:ascii="Times New Roman" w:hAnsi="Times New Roman" w:cs="Times New Roman"/>
          <w:color w:val="auto"/>
          <w:szCs w:val="24"/>
          <w:shd w:val="clear" w:color="auto" w:fill="FFFFFF"/>
          <w:lang w:val="en-GB"/>
        </w:rPr>
        <w:t>本工程的土方开挖、施工道路修筑、弃土弃渣等施工活动将导致地形地貌改变、植被损毁和水土流失加重，影响生态环境质量。根据工程规模及、可研报告的水土保持专篇，工程永久用地施工将扰动原地</w:t>
      </w:r>
      <w:r>
        <w:rPr>
          <w:rFonts w:ascii="Times New Roman" w:hAnsi="Times New Roman" w:cs="Times New Roman"/>
          <w:color w:val="auto"/>
          <w:szCs w:val="24"/>
          <w:shd w:val="clear" w:color="auto" w:fill="FFFFFF"/>
        </w:rPr>
        <w:t>表面积为270亩，抛泥区临时用地扰动地表面积为100000m</w:t>
      </w:r>
      <w:r>
        <w:rPr>
          <w:rFonts w:ascii="Times New Roman" w:hAnsi="Times New Roman" w:cs="Times New Roman"/>
          <w:color w:val="auto"/>
          <w:szCs w:val="24"/>
          <w:shd w:val="clear" w:color="auto" w:fill="FFFFFF"/>
          <w:vertAlign w:val="superscript"/>
        </w:rPr>
        <w:t>2</w:t>
      </w:r>
      <w:r>
        <w:rPr>
          <w:rFonts w:ascii="Times New Roman" w:hAnsi="Times New Roman" w:cs="Times New Roman"/>
          <w:color w:val="auto"/>
          <w:szCs w:val="24"/>
          <w:shd w:val="clear" w:color="auto" w:fill="FFFFFF"/>
          <w:lang w:val="en-GB"/>
        </w:rPr>
        <w:t>。</w:t>
      </w:r>
    </w:p>
    <w:p>
      <w:pPr>
        <w:adjustRightInd/>
        <w:ind w:firstLine="480"/>
        <w:rPr>
          <w:rFonts w:ascii="Times New Roman" w:hAnsi="Times New Roman" w:cs="Times New Roman"/>
          <w:color w:val="auto"/>
          <w:szCs w:val="24"/>
          <w:shd w:val="clear" w:color="auto" w:fill="FFFFFF"/>
          <w:lang w:val="en-GB"/>
        </w:rPr>
      </w:pPr>
      <w:r>
        <w:rPr>
          <w:rFonts w:ascii="Times New Roman" w:hAnsi="Times New Roman" w:cs="Times New Roman"/>
          <w:color w:val="auto"/>
          <w:szCs w:val="24"/>
          <w:shd w:val="clear" w:color="auto" w:fill="FFFFFF"/>
          <w:lang w:val="en-GB"/>
        </w:rPr>
        <w:t>施工过程中，疏浚土方堆积破坏了地貌被扰动地带的植被，使其丧失了土壤的保护作用，使土壤变疏松，稳定性变差。开挖产生的弃土弃渣，若不采取保护措施，遇降雨冲刷，将产生严重的水土流失，如不采取防治措施，不仅会影响工程的施工和安全运行，而且会对土地资源、河流水质、自然景观和生态环境造成不利影响和危害。工程建设过程中必须合理布设水土保持措施，有效控制新增水土流失。</w:t>
      </w:r>
    </w:p>
    <w:p>
      <w:pPr>
        <w:ind w:firstLine="480"/>
        <w:rPr>
          <w:rFonts w:ascii="Times New Roman" w:hAnsi="Times New Roman" w:cs="Times New Roman"/>
          <w:color w:val="auto"/>
        </w:rPr>
      </w:pPr>
      <w:r>
        <w:rPr>
          <w:rFonts w:ascii="Times New Roman" w:hAnsi="Times New Roman" w:cs="Times New Roman"/>
          <w:color w:val="auto"/>
          <w:szCs w:val="24"/>
          <w:shd w:val="clear" w:color="auto" w:fill="FFFFFF"/>
          <w:lang w:val="en-GB"/>
        </w:rPr>
        <w:t>由于疏浚工程局部破坏了底栖水生生物栖息生境，降低了水生生物量，水生态系统完整性和稳定性受到影响，而且疏浚扰动使水体中悬浮物增加，降低浮游动、植物栖息水体的透明度，改变局部水域水生生物组成和数量。</w:t>
      </w:r>
    </w:p>
    <w:p>
      <w:pPr>
        <w:pStyle w:val="4"/>
        <w:numPr>
          <w:ilvl w:val="2"/>
          <w:numId w:val="0"/>
        </w:numPr>
        <w:jc w:val="both"/>
        <w:rPr>
          <w:rFonts w:ascii="Times New Roman" w:hAnsi="Times New Roman" w:cs="Times New Roman"/>
          <w:color w:val="auto"/>
        </w:rPr>
      </w:pPr>
      <w:bookmarkStart w:id="235" w:name="_Toc104733352"/>
      <w:r>
        <w:rPr>
          <w:rFonts w:ascii="Times New Roman" w:hAnsi="Times New Roman" w:cs="Times New Roman"/>
          <w:color w:val="auto"/>
        </w:rPr>
        <w:t>3.10.2运营期污染源强分析</w:t>
      </w:r>
      <w:bookmarkEnd w:id="233"/>
      <w:bookmarkEnd w:id="235"/>
    </w:p>
    <w:p>
      <w:pPr>
        <w:pStyle w:val="25"/>
        <w:spacing w:line="360" w:lineRule="auto"/>
        <w:ind w:firstLine="439" w:firstLineChars="183"/>
        <w:rPr>
          <w:rFonts w:ascii="Times New Roman" w:hAnsi="Times New Roman" w:cs="Times New Roman"/>
          <w:color w:val="auto"/>
        </w:rPr>
      </w:pPr>
      <w:r>
        <w:rPr>
          <w:rFonts w:ascii="Times New Roman" w:hAnsi="Times New Roman" w:cs="Times New Roman"/>
          <w:color w:val="auto"/>
        </w:rPr>
        <w:t>1、废气</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码头运营过程废气主要来源于货种装船/车过程</w:t>
      </w:r>
      <w:r>
        <w:rPr>
          <w:rFonts w:hint="eastAsia" w:ascii="Times New Roman" w:hAnsi="Times New Roman" w:cs="Times New Roman"/>
          <w:color w:val="auto"/>
        </w:rPr>
        <w:t>置换</w:t>
      </w:r>
      <w:r>
        <w:rPr>
          <w:rFonts w:ascii="Times New Roman" w:hAnsi="Times New Roman" w:cs="Times New Roman"/>
          <w:color w:val="auto"/>
        </w:rPr>
        <w:t>的废气（G1）；罐区储存过程“呼吸”废气（G2）；每次装卸船后，氮气扫线完成后，装卸臂和装卸软管内残存的物料挥发的扫线废气（G3），装卸管线、阀门及法兰等动静密封点的泄漏（G4），靠泊发动机运转过程产生的废气（G5）；</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2、废水：到港船舶废水 W1（船舶油污水及生活污水），码头平台、罐区、装车区冲洗废水（W2）</w:t>
      </w:r>
      <w:r>
        <w:rPr>
          <w:rFonts w:hint="eastAsia" w:ascii="Times New Roman" w:hAnsi="Times New Roman" w:cs="Times New Roman"/>
          <w:color w:val="auto"/>
        </w:rPr>
        <w:t>，</w:t>
      </w:r>
      <w:r>
        <w:rPr>
          <w:rFonts w:ascii="Times New Roman" w:hAnsi="Times New Roman" w:cs="Times New Roman"/>
          <w:color w:val="auto"/>
        </w:rPr>
        <w:t>工作人员生活污水（W3）</w:t>
      </w:r>
      <w:r>
        <w:rPr>
          <w:rFonts w:hint="eastAsia" w:ascii="Times New Roman" w:hAnsi="Times New Roman" w:cs="Times New Roman"/>
          <w:color w:val="auto"/>
        </w:rPr>
        <w:t>，</w:t>
      </w:r>
      <w:r>
        <w:rPr>
          <w:rFonts w:ascii="Times New Roman" w:hAnsi="Times New Roman" w:cs="Times New Roman"/>
          <w:color w:val="auto"/>
        </w:rPr>
        <w:t>码头平台、罐区、装车区初期雨污水（W4）</w:t>
      </w:r>
      <w:r>
        <w:rPr>
          <w:rFonts w:hint="eastAsia" w:ascii="Times New Roman" w:hAnsi="Times New Roman" w:cs="Times New Roman"/>
          <w:color w:val="auto"/>
        </w:rPr>
        <w:t>，油品储罐切罐废水（W</w:t>
      </w:r>
      <w:r>
        <w:rPr>
          <w:rFonts w:ascii="Times New Roman" w:hAnsi="Times New Roman" w:cs="Times New Roman"/>
          <w:color w:val="auto"/>
        </w:rPr>
        <w:t>5</w:t>
      </w:r>
      <w:r>
        <w:rPr>
          <w:rFonts w:hint="eastAsia" w:ascii="Times New Roman" w:hAnsi="Times New Roman" w:cs="Times New Roman"/>
          <w:color w:val="auto"/>
        </w:rPr>
        <w:t>）</w:t>
      </w:r>
      <w:r>
        <w:rPr>
          <w:rFonts w:ascii="Times New Roman" w:hAnsi="Times New Roman" w:cs="Times New Roman"/>
          <w:color w:val="auto"/>
        </w:rPr>
        <w:t>等；</w:t>
      </w:r>
    </w:p>
    <w:p>
      <w:pPr>
        <w:pStyle w:val="98"/>
        <w:snapToGrid w:val="0"/>
      </w:pPr>
      <w:r>
        <w:rPr>
          <w:rFonts w:hint="eastAsia"/>
        </w:rPr>
        <w:t xml:space="preserve"> </w:t>
      </w:r>
      <w:r>
        <w:t xml:space="preserve">   </w:t>
      </w:r>
      <w:r>
        <w:rPr>
          <w:rFonts w:hint="eastAsia"/>
        </w:rPr>
        <w:t>满载到港内河化学品船往往不涉及船舶压载水的排放。根据工程设计资料，本次评价不考虑船舶压载水上岸处理。</w:t>
      </w:r>
    </w:p>
    <w:p>
      <w:pPr>
        <w:pStyle w:val="98"/>
        <w:snapToGrid w:val="0"/>
        <w:ind w:firstLine="480" w:firstLineChars="200"/>
      </w:pPr>
      <w:r>
        <w:rPr>
          <w:rFonts w:hint="eastAsia"/>
        </w:rPr>
        <w:t>根据工程设计资料，本码头拒绝需要洗舱的船舶进港（进港申报时应明确无需在港口洗舱，如果经海事检验需要洗舱的船舶应请其离港洗好舱达要求后才能进港装货）。</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3、噪声：机械噪声（各类装卸泵）（N1）、靠泊船舶的动力噪声（N2）、汽车罐车运输噪声（N3）；</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4、固废：到港船舶垃圾（S1）、码头员工生活垃圾（S2）、污水预处理含油污泥（S3）、设备维护产生的废机油（S4），油气处置系统产生的废活性炭（S5）。</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根据上述分析，本次工程产污环节具体见表</w:t>
      </w:r>
      <w:r>
        <w:rPr>
          <w:rFonts w:ascii="Times New Roman" w:hAnsi="Times New Roman" w:eastAsia="Times New Roman" w:cs="Times New Roman"/>
          <w:color w:val="auto"/>
        </w:rPr>
        <w:t>3.10-5</w:t>
      </w:r>
      <w:r>
        <w:rPr>
          <w:rFonts w:ascii="Times New Roman" w:hAnsi="Times New Roman" w:cs="Times New Roman"/>
          <w:color w:val="auto"/>
        </w:rPr>
        <w:t>。</w:t>
      </w:r>
    </w:p>
    <w:p>
      <w:pPr>
        <w:spacing w:line="240" w:lineRule="auto"/>
        <w:ind w:firstLine="442"/>
        <w:jc w:val="center"/>
        <w:rPr>
          <w:rFonts w:ascii="Times New Roman" w:hAnsi="Times New Roman" w:cs="Times New Roman"/>
          <w:b/>
          <w:bCs/>
          <w:color w:val="auto"/>
          <w:sz w:val="22"/>
        </w:rPr>
      </w:pPr>
      <w:bookmarkStart w:id="236" w:name="_Toc102984317"/>
      <w:r>
        <w:rPr>
          <w:rFonts w:ascii="Times New Roman" w:hAnsi="Times New Roman" w:cs="Times New Roman"/>
          <w:b/>
          <w:bCs/>
          <w:color w:val="auto"/>
          <w:sz w:val="22"/>
        </w:rPr>
        <w:t>表</w:t>
      </w:r>
      <w:r>
        <w:rPr>
          <w:rFonts w:ascii="Times New Roman" w:hAnsi="Times New Roman" w:eastAsia="Times New Roman" w:cs="Times New Roman"/>
          <w:b/>
          <w:bCs/>
          <w:color w:val="auto"/>
          <w:sz w:val="22"/>
        </w:rPr>
        <w:t xml:space="preserve">3.10-5  </w:t>
      </w:r>
      <w:r>
        <w:rPr>
          <w:rFonts w:ascii="Times New Roman" w:hAnsi="Times New Roman" w:eastAsia="Times New Roman" w:cs="Times New Roman"/>
          <w:b/>
          <w:bCs/>
          <w:color w:val="auto"/>
          <w:sz w:val="22"/>
        </w:rPr>
        <w:tab/>
      </w:r>
      <w:r>
        <w:rPr>
          <w:rFonts w:ascii="Times New Roman" w:hAnsi="Times New Roman" w:cs="Times New Roman"/>
          <w:b/>
          <w:bCs/>
          <w:color w:val="auto"/>
          <w:sz w:val="22"/>
        </w:rPr>
        <w:t>运营期产污环节汇总一览表</w:t>
      </w:r>
      <w:bookmarkEnd w:id="236"/>
    </w:p>
    <w:tbl>
      <w:tblPr>
        <w:tblStyle w:val="62"/>
        <w:tblW w:w="9452"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989"/>
        <w:gridCol w:w="1491"/>
        <w:gridCol w:w="1444"/>
        <w:gridCol w:w="1559"/>
        <w:gridCol w:w="2693"/>
        <w:gridCol w:w="127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7" w:hRule="atLeast"/>
          <w:jc w:val="center"/>
        </w:trPr>
        <w:tc>
          <w:tcPr>
            <w:tcW w:w="989" w:type="dxa"/>
            <w:vAlign w:val="center"/>
          </w:tcPr>
          <w:p>
            <w:pPr>
              <w:pStyle w:val="1563"/>
              <w:spacing w:line="240" w:lineRule="auto"/>
              <w:ind w:right="91" w:firstLine="0" w:firstLineChars="0"/>
              <w:contextualSpacing/>
              <w:jc w:val="center"/>
              <w:rPr>
                <w:rFonts w:ascii="Times New Roman" w:hAnsi="Times New Roman" w:cs="Times New Roman"/>
                <w:b/>
                <w:bCs/>
                <w:color w:val="auto"/>
                <w:kern w:val="2"/>
                <w:sz w:val="18"/>
                <w:szCs w:val="18"/>
                <w:lang w:eastAsia="zh-CN"/>
              </w:rPr>
            </w:pPr>
            <w:r>
              <w:rPr>
                <w:rFonts w:ascii="Times New Roman" w:hAnsi="Times New Roman" w:cs="Times New Roman"/>
                <w:b/>
                <w:bCs/>
                <w:color w:val="auto"/>
                <w:kern w:val="2"/>
                <w:sz w:val="18"/>
                <w:szCs w:val="18"/>
                <w:lang w:eastAsia="zh-CN"/>
              </w:rPr>
              <w:t>污染源类别</w:t>
            </w:r>
          </w:p>
        </w:tc>
        <w:tc>
          <w:tcPr>
            <w:tcW w:w="1491" w:type="dxa"/>
            <w:vAlign w:val="center"/>
          </w:tcPr>
          <w:p>
            <w:pPr>
              <w:pStyle w:val="1563"/>
              <w:spacing w:line="240" w:lineRule="auto"/>
              <w:ind w:right="91" w:firstLine="0" w:firstLineChars="0"/>
              <w:contextualSpacing/>
              <w:jc w:val="center"/>
              <w:rPr>
                <w:rFonts w:ascii="Times New Roman" w:hAnsi="Times New Roman" w:cs="Times New Roman"/>
                <w:b/>
                <w:bCs/>
                <w:color w:val="auto"/>
                <w:kern w:val="2"/>
                <w:sz w:val="18"/>
                <w:szCs w:val="18"/>
                <w:lang w:eastAsia="zh-CN"/>
              </w:rPr>
            </w:pPr>
            <w:r>
              <w:rPr>
                <w:rFonts w:ascii="Times New Roman" w:hAnsi="Times New Roman" w:cs="Times New Roman"/>
                <w:b/>
                <w:bCs/>
                <w:color w:val="auto"/>
                <w:kern w:val="2"/>
                <w:sz w:val="18"/>
                <w:szCs w:val="18"/>
                <w:lang w:eastAsia="zh-CN"/>
              </w:rPr>
              <w:t>名称</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b/>
                <w:bCs/>
                <w:color w:val="auto"/>
                <w:kern w:val="2"/>
                <w:sz w:val="18"/>
                <w:szCs w:val="18"/>
                <w:lang w:eastAsia="zh-CN"/>
              </w:rPr>
            </w:pPr>
            <w:r>
              <w:rPr>
                <w:rFonts w:ascii="Times New Roman" w:hAnsi="Times New Roman" w:cs="Times New Roman"/>
                <w:b/>
                <w:bCs/>
                <w:color w:val="auto"/>
                <w:kern w:val="2"/>
                <w:sz w:val="18"/>
                <w:szCs w:val="18"/>
                <w:lang w:eastAsia="zh-CN"/>
              </w:rPr>
              <w:t>来源</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b/>
                <w:bCs/>
                <w:color w:val="auto"/>
                <w:kern w:val="2"/>
                <w:sz w:val="18"/>
                <w:szCs w:val="18"/>
                <w:lang w:eastAsia="zh-CN"/>
              </w:rPr>
            </w:pPr>
            <w:r>
              <w:rPr>
                <w:rFonts w:ascii="Times New Roman" w:hAnsi="Times New Roman" w:cs="Times New Roman"/>
                <w:b/>
                <w:bCs/>
                <w:color w:val="auto"/>
                <w:kern w:val="2"/>
                <w:sz w:val="18"/>
                <w:szCs w:val="18"/>
                <w:lang w:eastAsia="zh-CN"/>
              </w:rPr>
              <w:t>主要污染物</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b/>
                <w:bCs/>
                <w:color w:val="auto"/>
                <w:kern w:val="2"/>
                <w:sz w:val="18"/>
                <w:szCs w:val="18"/>
                <w:lang w:eastAsia="zh-CN"/>
              </w:rPr>
            </w:pPr>
            <w:r>
              <w:rPr>
                <w:rFonts w:ascii="Times New Roman" w:hAnsi="Times New Roman" w:cs="Times New Roman"/>
                <w:b/>
                <w:bCs/>
                <w:color w:val="auto"/>
                <w:kern w:val="2"/>
                <w:sz w:val="18"/>
                <w:szCs w:val="18"/>
                <w:lang w:eastAsia="zh-CN"/>
              </w:rPr>
              <w:t>采取发的污染防治措施</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b/>
                <w:bCs/>
                <w:color w:val="auto"/>
                <w:kern w:val="2"/>
                <w:sz w:val="18"/>
                <w:szCs w:val="18"/>
                <w:lang w:eastAsia="zh-CN"/>
              </w:rPr>
            </w:pPr>
            <w:r>
              <w:rPr>
                <w:rFonts w:ascii="Times New Roman" w:hAnsi="Times New Roman" w:cs="Times New Roman"/>
                <w:b/>
                <w:bCs/>
                <w:color w:val="auto"/>
                <w:kern w:val="2"/>
                <w:sz w:val="18"/>
                <w:szCs w:val="18"/>
                <w:lang w:eastAsia="zh-CN"/>
              </w:rPr>
              <w:t>去向</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7" w:hRule="atLeast"/>
          <w:jc w:val="center"/>
        </w:trPr>
        <w:tc>
          <w:tcPr>
            <w:tcW w:w="989" w:type="dxa"/>
            <w:vMerge w:val="restart"/>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废水</w:t>
            </w: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船舶生活污水W1</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到港停靠船舶</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COD、BOD</w:t>
            </w:r>
            <w:r>
              <w:rPr>
                <w:rFonts w:ascii="Times New Roman" w:hAnsi="Times New Roman" w:cs="Times New Roman"/>
                <w:color w:val="auto"/>
                <w:kern w:val="2"/>
                <w:sz w:val="18"/>
                <w:szCs w:val="18"/>
                <w:vertAlign w:val="subscript"/>
                <w:lang w:eastAsia="zh-CN"/>
              </w:rPr>
              <w:t>5</w:t>
            </w:r>
            <w:r>
              <w:rPr>
                <w:rFonts w:ascii="Times New Roman" w:hAnsi="Times New Roman" w:cs="Times New Roman"/>
                <w:color w:val="auto"/>
                <w:kern w:val="2"/>
                <w:sz w:val="18"/>
                <w:szCs w:val="18"/>
                <w:lang w:eastAsia="zh-CN"/>
              </w:rPr>
              <w:t>、氨氮</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码头接收设施，陆域预处理设施，接管排放</w:t>
            </w:r>
          </w:p>
        </w:tc>
        <w:tc>
          <w:tcPr>
            <w:tcW w:w="1276" w:type="dxa"/>
            <w:vMerge w:val="restart"/>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合肥循环经济园污水处理厂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8"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船舶舱底油污水 W1</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到港停靠船舶</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石油类</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码头接收设施，陆域预处理设施，接管排放</w:t>
            </w:r>
          </w:p>
        </w:tc>
        <w:tc>
          <w:tcPr>
            <w:tcW w:w="1276"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22"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冲洗废水W2</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码头平台、罐区、装车区</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PH、COD、SS、石油类</w:t>
            </w:r>
          </w:p>
        </w:tc>
        <w:tc>
          <w:tcPr>
            <w:tcW w:w="2693" w:type="dxa"/>
            <w:vMerge w:val="restart"/>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码头平台收集措施、集污池、污水管道至陆域预处理设施，接管排放</w:t>
            </w:r>
          </w:p>
        </w:tc>
        <w:tc>
          <w:tcPr>
            <w:tcW w:w="1276"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8"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初期雨污水W3</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码头平台、罐区、装车区</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PH、COD、SS、石油类</w:t>
            </w:r>
          </w:p>
        </w:tc>
        <w:tc>
          <w:tcPr>
            <w:tcW w:w="2693"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276"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8"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码头生活污水 W4</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码头工作人员</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COD、BOD</w:t>
            </w:r>
            <w:r>
              <w:rPr>
                <w:rFonts w:ascii="Times New Roman" w:hAnsi="Times New Roman" w:cs="Times New Roman"/>
                <w:color w:val="auto"/>
                <w:kern w:val="2"/>
                <w:sz w:val="18"/>
                <w:szCs w:val="18"/>
                <w:vertAlign w:val="subscript"/>
                <w:lang w:eastAsia="zh-CN"/>
              </w:rPr>
              <w:t>5</w:t>
            </w:r>
            <w:r>
              <w:rPr>
                <w:rFonts w:ascii="Times New Roman" w:hAnsi="Times New Roman" w:cs="Times New Roman"/>
                <w:color w:val="auto"/>
                <w:kern w:val="2"/>
                <w:sz w:val="18"/>
                <w:szCs w:val="18"/>
                <w:lang w:eastAsia="zh-CN"/>
              </w:rPr>
              <w:t>、氨氮</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陆域化粪池预处理设施，接管排放</w:t>
            </w:r>
          </w:p>
        </w:tc>
        <w:tc>
          <w:tcPr>
            <w:tcW w:w="1276"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8"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hint="eastAsia" w:ascii="Times New Roman" w:hAnsi="Times New Roman" w:cs="Times New Roman"/>
                <w:color w:val="auto"/>
                <w:kern w:val="2"/>
                <w:sz w:val="18"/>
                <w:szCs w:val="18"/>
                <w:lang w:eastAsia="zh-CN"/>
              </w:rPr>
              <w:t>油品储罐切罐废水</w:t>
            </w:r>
            <w:r>
              <w:rPr>
                <w:rFonts w:ascii="Times New Roman" w:hAnsi="Times New Roman" w:cs="Times New Roman"/>
                <w:color w:val="auto"/>
                <w:kern w:val="2"/>
                <w:sz w:val="18"/>
                <w:szCs w:val="18"/>
                <w:lang w:eastAsia="zh-CN"/>
              </w:rPr>
              <w:t>W5</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hint="eastAsia" w:ascii="Times New Roman" w:hAnsi="Times New Roman" w:cs="Times New Roman"/>
                <w:color w:val="auto"/>
                <w:kern w:val="2"/>
                <w:sz w:val="18"/>
                <w:szCs w:val="18"/>
                <w:lang w:eastAsia="zh-CN"/>
              </w:rPr>
              <w:t>油品储罐</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COD、石油类</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收集暂存后交有资质单位处置</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有资质单位处置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8"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洗罐废水W6</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储罐</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PH、COD、石油类</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委托专业清罐队伍</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由委托专业清罐队伍合理处置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81" w:hRule="atLeast"/>
          <w:jc w:val="center"/>
        </w:trPr>
        <w:tc>
          <w:tcPr>
            <w:tcW w:w="989" w:type="dxa"/>
            <w:vMerge w:val="restart"/>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废气</w:t>
            </w: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装船作业G1-1</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船舶呼吸口</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非甲烷总烃</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装船油气回收装置</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达标排放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30"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Merge w:val="restart"/>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装车作业G1-2</w:t>
            </w:r>
          </w:p>
        </w:tc>
        <w:tc>
          <w:tcPr>
            <w:tcW w:w="1444" w:type="dxa"/>
            <w:vMerge w:val="restart"/>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罐车呼吸口</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非甲烷总烃</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气相平衡+装车油气回收装置</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达标排放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5"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44"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硫酸雾</w:t>
            </w:r>
          </w:p>
        </w:tc>
        <w:tc>
          <w:tcPr>
            <w:tcW w:w="2693" w:type="dxa"/>
            <w:vAlign w:val="center"/>
          </w:tcPr>
          <w:p>
            <w:pPr>
              <w:pStyle w:val="1563"/>
              <w:spacing w:line="240" w:lineRule="auto"/>
              <w:ind w:right="-10" w:firstLine="0" w:firstLineChars="0"/>
              <w:contextualSpacing/>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气相平衡+</w:t>
            </w:r>
            <w:r>
              <w:rPr>
                <w:rFonts w:hint="eastAsia" w:ascii="Times New Roman" w:hAnsi="Times New Roman" w:cs="Times New Roman"/>
                <w:color w:val="auto"/>
                <w:kern w:val="2"/>
                <w:sz w:val="18"/>
                <w:szCs w:val="18"/>
                <w:lang w:eastAsia="zh-CN"/>
              </w:rPr>
              <w:t>碱液</w:t>
            </w:r>
            <w:r>
              <w:rPr>
                <w:rFonts w:ascii="Times New Roman" w:hAnsi="Times New Roman" w:cs="Times New Roman"/>
                <w:color w:val="auto"/>
                <w:kern w:val="2"/>
                <w:sz w:val="18"/>
                <w:szCs w:val="18"/>
                <w:lang w:eastAsia="zh-CN"/>
              </w:rPr>
              <w:t>中和罐处理装置</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达标排放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Merge w:val="restart"/>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罐区储存挥发的废气G2</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内浮顶储罐呼吸阀G2-1</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非甲烷总烃</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内浮顶+“全接液浮盘及二次高效密封”</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大气环境</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固定顶储罐呼吸阀G2-2</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非甲烷总烃</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hint="eastAsia" w:ascii="Times New Roman" w:hAnsi="Times New Roman" w:cs="Times New Roman"/>
                <w:color w:val="auto"/>
                <w:kern w:val="2"/>
                <w:sz w:val="18"/>
                <w:szCs w:val="18"/>
                <w:lang w:eastAsia="zh-CN"/>
              </w:rPr>
              <w:t>柴油固定顶储罐采用低泄露呼吸阀</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达标排放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硫酸储罐呼吸阀G2-3</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硫酸雾</w:t>
            </w:r>
          </w:p>
        </w:tc>
        <w:tc>
          <w:tcPr>
            <w:tcW w:w="2693" w:type="dxa"/>
            <w:vAlign w:val="center"/>
          </w:tcPr>
          <w:p>
            <w:pPr>
              <w:pStyle w:val="1563"/>
              <w:spacing w:line="240" w:lineRule="auto"/>
              <w:ind w:right="-10" w:firstLine="0" w:firstLineChars="0"/>
              <w:contextualSpacing/>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气相平衡+</w:t>
            </w:r>
            <w:r>
              <w:rPr>
                <w:rFonts w:hint="eastAsia" w:ascii="Times New Roman" w:hAnsi="Times New Roman" w:cs="Times New Roman"/>
                <w:color w:val="auto"/>
                <w:kern w:val="2"/>
                <w:sz w:val="18"/>
                <w:szCs w:val="18"/>
                <w:lang w:eastAsia="zh-CN"/>
              </w:rPr>
              <w:t>碱液</w:t>
            </w:r>
            <w:r>
              <w:rPr>
                <w:rFonts w:ascii="Times New Roman" w:hAnsi="Times New Roman" w:cs="Times New Roman"/>
                <w:color w:val="auto"/>
                <w:kern w:val="2"/>
                <w:sz w:val="18"/>
                <w:szCs w:val="18"/>
                <w:lang w:eastAsia="zh-CN"/>
              </w:rPr>
              <w:t>中和罐处理装置</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达标排放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8"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扫线废气G3</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装卸完后管线扫残废气</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非甲烷总烃</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密闭操作</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储罐或货船</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8"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动静密封点的泄漏G4</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装卸管线、阀门及法兰等</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非甲烷总烃</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LDAR</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大气环境</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88"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船舶动力废气G5</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到港停靠船舶</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SO</w:t>
            </w:r>
            <w:r>
              <w:rPr>
                <w:rFonts w:ascii="Times New Roman" w:hAnsi="Times New Roman" w:cs="Times New Roman"/>
                <w:color w:val="auto"/>
                <w:kern w:val="2"/>
                <w:sz w:val="18"/>
                <w:szCs w:val="18"/>
                <w:vertAlign w:val="subscript"/>
                <w:lang w:eastAsia="zh-CN"/>
              </w:rPr>
              <w:t>2</w:t>
            </w:r>
            <w:r>
              <w:rPr>
                <w:rFonts w:ascii="Times New Roman" w:hAnsi="Times New Roman" w:cs="Times New Roman"/>
                <w:color w:val="auto"/>
                <w:kern w:val="2"/>
                <w:sz w:val="18"/>
                <w:szCs w:val="18"/>
                <w:lang w:eastAsia="zh-CN"/>
              </w:rPr>
              <w:t>、烟尘、NOx</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加强设备维护</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大气环境</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8" w:hRule="atLeast"/>
          <w:jc w:val="center"/>
        </w:trPr>
        <w:tc>
          <w:tcPr>
            <w:tcW w:w="989" w:type="dxa"/>
            <w:vMerge w:val="restart"/>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噪声</w:t>
            </w: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机械噪声N1</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各类泵</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A 声级</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选用低噪声设备，加强维护</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8"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船舶动力噪声N2</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柴油机</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A 声级</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加强维护，合理安排作业时间</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8"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汽车罐车运输噪声N3</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柴油机</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A 声级</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加强维护，合理安排作业时间</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989" w:type="dxa"/>
            <w:vMerge w:val="restart"/>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固体废物</w:t>
            </w: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船舶生活垃圾S1</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到港停靠船舶人员</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生活垃圾</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码头接收设施</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环卫部门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94"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码头生活垃圾S2</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码头工作人员</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生活垃圾</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垃圾桶</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环卫部门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94"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污水预处理含油污泥S3</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收集池及后方污水预处理设施</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污水处理污泥</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油污水隔油预处理设施</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有资质单位</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94"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设备维护废机油 S4</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码头作业平台</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废弃棉纱</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暂存间</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有资质单位</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废活性炭S5</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油气回收系统</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废活性炭</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有资质单位</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有资质单位</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989" w:type="dxa"/>
            <w:vMerge w:val="continue"/>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p>
        </w:tc>
        <w:tc>
          <w:tcPr>
            <w:tcW w:w="1491"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化验室废</w:t>
            </w:r>
            <w:r>
              <w:rPr>
                <w:rFonts w:hint="eastAsia" w:ascii="Times New Roman" w:hAnsi="Times New Roman" w:cs="Times New Roman"/>
                <w:color w:val="auto"/>
                <w:kern w:val="2"/>
                <w:sz w:val="18"/>
                <w:szCs w:val="18"/>
                <w:lang w:eastAsia="zh-CN"/>
              </w:rPr>
              <w:t>液</w:t>
            </w:r>
          </w:p>
        </w:tc>
        <w:tc>
          <w:tcPr>
            <w:tcW w:w="1444"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化验室</w:t>
            </w:r>
          </w:p>
        </w:tc>
        <w:tc>
          <w:tcPr>
            <w:tcW w:w="1559"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PH、COD</w:t>
            </w:r>
          </w:p>
        </w:tc>
        <w:tc>
          <w:tcPr>
            <w:tcW w:w="2693"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收集暂存后交有资质单位处置</w:t>
            </w:r>
          </w:p>
        </w:tc>
        <w:tc>
          <w:tcPr>
            <w:tcW w:w="1276" w:type="dxa"/>
            <w:vAlign w:val="center"/>
          </w:tcPr>
          <w:p>
            <w:pPr>
              <w:pStyle w:val="1563"/>
              <w:spacing w:line="240" w:lineRule="auto"/>
              <w:ind w:right="91"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有资质单位处置</w:t>
            </w:r>
          </w:p>
        </w:tc>
      </w:tr>
    </w:tbl>
    <w:p>
      <w:pPr>
        <w:pStyle w:val="4"/>
        <w:numPr>
          <w:ilvl w:val="2"/>
          <w:numId w:val="0"/>
        </w:numPr>
        <w:jc w:val="both"/>
        <w:rPr>
          <w:rFonts w:ascii="Times New Roman" w:hAnsi="Times New Roman" w:cs="Times New Roman"/>
          <w:color w:val="auto"/>
        </w:rPr>
      </w:pPr>
      <w:bookmarkStart w:id="237" w:name="_Toc102984318"/>
      <w:bookmarkStart w:id="238" w:name="_Toc104733353"/>
      <w:r>
        <w:rPr>
          <w:rFonts w:ascii="Times New Roman" w:hAnsi="Times New Roman" w:cs="Times New Roman"/>
          <w:color w:val="auto"/>
        </w:rPr>
        <w:t>3.10.2运营期污染物</w:t>
      </w:r>
      <w:bookmarkEnd w:id="237"/>
      <w:r>
        <w:rPr>
          <w:rFonts w:ascii="Times New Roman" w:hAnsi="Times New Roman" w:cs="Times New Roman"/>
          <w:color w:val="auto"/>
        </w:rPr>
        <w:t>源强分析</w:t>
      </w:r>
      <w:bookmarkEnd w:id="238"/>
    </w:p>
    <w:p>
      <w:pPr>
        <w:pStyle w:val="4"/>
        <w:numPr>
          <w:ilvl w:val="2"/>
          <w:numId w:val="0"/>
        </w:numPr>
        <w:spacing w:before="166" w:beforeLines="50"/>
        <w:jc w:val="both"/>
        <w:rPr>
          <w:rFonts w:ascii="Times New Roman" w:hAnsi="Times New Roman" w:cs="Times New Roman"/>
          <w:color w:val="auto"/>
        </w:rPr>
      </w:pPr>
      <w:bookmarkStart w:id="239" w:name="_Toc104733354"/>
      <w:r>
        <w:rPr>
          <w:rFonts w:ascii="Times New Roman" w:hAnsi="Times New Roman" w:cs="Times New Roman"/>
          <w:color w:val="auto"/>
        </w:rPr>
        <w:t>3.10.2.1废气源强</w:t>
      </w:r>
      <w:bookmarkEnd w:id="239"/>
    </w:p>
    <w:p>
      <w:pPr>
        <w:pStyle w:val="25"/>
        <w:spacing w:before="160" w:line="360" w:lineRule="auto"/>
        <w:ind w:firstLine="482"/>
        <w:rPr>
          <w:rFonts w:ascii="Times New Roman" w:hAnsi="Times New Roman" w:cs="Times New Roman"/>
          <w:b/>
          <w:bCs/>
          <w:color w:val="auto"/>
        </w:rPr>
      </w:pPr>
      <w:r>
        <w:rPr>
          <w:rFonts w:ascii="Times New Roman" w:hAnsi="Times New Roman" w:cs="Times New Roman"/>
          <w:b/>
          <w:bCs/>
          <w:color w:val="auto"/>
        </w:rPr>
        <w:t>1、码头装船、装车作业挥发的废气（G1）</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由于卸船时船舱内为负气压，气体空间加大，对外基本不排放物料气体。船舱内挥发的废气基本不会向船舱外逸出。少量的挥发废气同物料经管道一同输送至了罐区，罐区汽油、航空煤油及燃料乙醇的储罐均采用的内浮顶罐并选用“全接液高效浮盘+二次密封”结构，可有效控制储罐呼吸气的产生及排放。</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油品及化学品装船过程中，由于液面的升降变化引起船舱内气体空间变化，进而带来气体压力变化，使混合蒸汽排出或外界空气吸入，这个过程所造成的损耗为大呼吸损耗。造成船舱大呼吸损耗的因素很多，主要为物料性质、收发快慢、系统内压力等级、周转次数、地理、气象及管理水平等因素。</w:t>
      </w:r>
    </w:p>
    <w:p>
      <w:pPr>
        <w:pStyle w:val="25"/>
        <w:spacing w:line="360" w:lineRule="auto"/>
        <w:ind w:firstLine="482"/>
        <w:rPr>
          <w:rFonts w:ascii="Times New Roman" w:hAnsi="Times New Roman" w:cs="Times New Roman"/>
          <w:b/>
          <w:bCs/>
          <w:color w:val="auto"/>
          <w:szCs w:val="24"/>
        </w:rPr>
      </w:pPr>
      <w:r>
        <w:rPr>
          <w:rFonts w:ascii="Times New Roman" w:hAnsi="Times New Roman" w:cs="Times New Roman"/>
          <w:b/>
          <w:bCs/>
          <w:color w:val="auto"/>
          <w:szCs w:val="24"/>
        </w:rPr>
        <w:t>（1）装船过程汽油VOCs 产排量计算G1-1</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rPr>
        <w:t>根据建设单位及设计单位提供的资料，本项目只涉及</w:t>
      </w:r>
      <w:r>
        <w:rPr>
          <w:rFonts w:ascii="Times New Roman" w:hAnsi="Times New Roman" w:cs="Times New Roman"/>
          <w:color w:val="auto"/>
          <w:szCs w:val="24"/>
        </w:rPr>
        <w:t>汽油货种的</w:t>
      </w:r>
      <w:r>
        <w:rPr>
          <w:rFonts w:ascii="Times New Roman" w:hAnsi="Times New Roman" w:cs="Times New Roman"/>
          <w:color w:val="auto"/>
        </w:rPr>
        <w:t>装船，装船量为10万t/a，</w:t>
      </w:r>
      <w:r>
        <w:rPr>
          <w:rFonts w:ascii="Times New Roman" w:hAnsi="Times New Roman" w:cs="Times New Roman"/>
          <w:color w:val="auto"/>
          <w:szCs w:val="24"/>
        </w:rPr>
        <w:t>采用油气回收装置对装船废气进行回收。</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参照《石化行业VOCs污染源排查工作指南》（以下简称“指南”）对船舶装载过程损耗的挥发性有机物进行估算如下：</w:t>
      </w:r>
    </w:p>
    <w:p>
      <w:pPr>
        <w:pStyle w:val="25"/>
        <w:spacing w:line="360" w:lineRule="auto"/>
        <w:ind w:firstLine="480"/>
        <w:rPr>
          <w:rFonts w:ascii="Times New Roman" w:hAnsi="Times New Roman" w:cs="Times New Roman"/>
          <w:color w:val="auto"/>
          <w:szCs w:val="24"/>
        </w:rPr>
      </w:pPr>
      <w:r>
        <w:rPr>
          <w:rFonts w:ascii="Times New Roman" w:hAnsi="Times New Roman" w:cs="Times New Roman"/>
        </w:rPr>
        <w:t>船舶运输汽油</w:t>
      </w:r>
      <w:r>
        <w:rPr>
          <w:rFonts w:ascii="Times New Roman" w:hAnsi="Times New Roman" w:cs="Times New Roman"/>
          <w:szCs w:val="24"/>
        </w:rPr>
        <w:t>装载损耗排放因子</w:t>
      </w:r>
      <w:r>
        <w:rPr>
          <w:rFonts w:ascii="Times New Roman" w:hAnsi="Times New Roman" w:cs="Times New Roman"/>
          <w:color w:val="auto"/>
          <w:szCs w:val="24"/>
        </w:rPr>
        <w:t>L</w:t>
      </w:r>
      <w:r>
        <w:rPr>
          <w:rFonts w:ascii="Times New Roman" w:hAnsi="Times New Roman" w:cs="Times New Roman"/>
          <w:color w:val="auto"/>
          <w:szCs w:val="24"/>
          <w:vertAlign w:val="subscript"/>
        </w:rPr>
        <w:t>L</w:t>
      </w:r>
      <w:r>
        <w:rPr>
          <w:rFonts w:ascii="Times New Roman" w:hAnsi="Times New Roman" w:cs="Times New Roman"/>
          <w:szCs w:val="24"/>
        </w:rPr>
        <w:t>的取值具体见</w:t>
      </w:r>
      <w:r>
        <w:rPr>
          <w:rFonts w:ascii="Times New Roman" w:hAnsi="Times New Roman" w:cs="Times New Roman"/>
          <w:color w:val="auto"/>
          <w:szCs w:val="24"/>
        </w:rPr>
        <w:t>“指南”</w:t>
      </w:r>
      <w:r>
        <w:rPr>
          <w:rFonts w:ascii="Times New Roman" w:hAnsi="Times New Roman" w:cs="Times New Roman"/>
          <w:szCs w:val="24"/>
        </w:rPr>
        <w:t>附表三-11。本项目取典型总体状况</w:t>
      </w:r>
      <w:r>
        <w:rPr>
          <w:rFonts w:ascii="Times New Roman" w:hAnsi="Times New Roman" w:cs="Times New Roman"/>
          <w:color w:val="auto"/>
          <w:szCs w:val="24"/>
        </w:rPr>
        <w:t>中的对应驳船损耗排放因子L</w:t>
      </w:r>
      <w:r>
        <w:rPr>
          <w:rFonts w:ascii="Times New Roman" w:hAnsi="Times New Roman" w:cs="Times New Roman"/>
          <w:color w:val="auto"/>
          <w:szCs w:val="24"/>
          <w:vertAlign w:val="subscript"/>
        </w:rPr>
        <w:t>L</w:t>
      </w:r>
      <w:r>
        <w:rPr>
          <w:rFonts w:ascii="Times New Roman" w:hAnsi="Times New Roman" w:cs="Times New Roman"/>
          <w:color w:val="auto"/>
          <w:szCs w:val="24"/>
        </w:rPr>
        <w:t>，取0.41kg/m</w:t>
      </w:r>
      <w:r>
        <w:rPr>
          <w:rFonts w:ascii="Times New Roman" w:hAnsi="Times New Roman" w:cs="Times New Roman"/>
          <w:color w:val="auto"/>
          <w:szCs w:val="24"/>
          <w:vertAlign w:val="superscript"/>
        </w:rPr>
        <w:t>3</w:t>
      </w:r>
      <w:r>
        <w:rPr>
          <w:rFonts w:ascii="Times New Roman" w:hAnsi="Times New Roman" w:cs="Times New Roman"/>
          <w:color w:val="auto"/>
          <w:szCs w:val="24"/>
        </w:rPr>
        <w:t>。</w:t>
      </w:r>
    </w:p>
    <w:p>
      <w:pPr>
        <w:pStyle w:val="4"/>
        <w:tabs>
          <w:tab w:val="left" w:pos="1582"/>
        </w:tabs>
        <w:spacing w:before="103"/>
        <w:jc w:val="center"/>
        <w:rPr>
          <w:rFonts w:ascii="Times New Roman" w:hAnsi="Times New Roman" w:cs="Times New Roman"/>
          <w:color w:val="auto"/>
          <w:sz w:val="21"/>
          <w:szCs w:val="21"/>
        </w:rPr>
      </w:pPr>
      <w:bookmarkStart w:id="240" w:name="_Toc104733355"/>
      <w:r>
        <w:rPr>
          <w:rFonts w:ascii="Times New Roman" w:hAnsi="Times New Roman" w:cs="Times New Roman"/>
          <w:color w:val="auto"/>
          <w:sz w:val="21"/>
          <w:szCs w:val="21"/>
        </w:rPr>
        <w:t>表3.10-6  汽油装船损失 VOCs 产生及排放量</w:t>
      </w:r>
      <w:bookmarkEnd w:id="240"/>
    </w:p>
    <w:tbl>
      <w:tblPr>
        <w:tblStyle w:val="62"/>
        <w:tblW w:w="903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02"/>
        <w:gridCol w:w="1219"/>
        <w:gridCol w:w="1348"/>
        <w:gridCol w:w="1010"/>
        <w:gridCol w:w="1275"/>
        <w:gridCol w:w="1134"/>
        <w:gridCol w:w="1258"/>
        <w:gridCol w:w="99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02" w:type="dxa"/>
            <w:shd w:val="clear" w:color="auto" w:fill="auto"/>
            <w:vAlign w:val="center"/>
          </w:tcPr>
          <w:p>
            <w:pPr>
              <w:pStyle w:val="1563"/>
              <w:spacing w:before="29" w:line="240" w:lineRule="auto"/>
              <w:ind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油品</w:t>
            </w:r>
          </w:p>
        </w:tc>
        <w:tc>
          <w:tcPr>
            <w:tcW w:w="1219" w:type="dxa"/>
            <w:shd w:val="clear" w:color="auto" w:fill="auto"/>
            <w:vAlign w:val="center"/>
          </w:tcPr>
          <w:p>
            <w:pPr>
              <w:pStyle w:val="1563"/>
              <w:spacing w:before="29" w:line="240" w:lineRule="auto"/>
              <w:ind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油品密度</w:t>
            </w:r>
          </w:p>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（kg/m</w:t>
            </w:r>
            <w:r>
              <w:rPr>
                <w:rFonts w:ascii="Times New Roman" w:hAnsi="Times New Roman" w:cs="Times New Roman"/>
                <w:color w:val="auto"/>
                <w:kern w:val="2"/>
                <w:sz w:val="18"/>
                <w:szCs w:val="18"/>
                <w:vertAlign w:val="superscript"/>
                <w:lang w:eastAsia="zh-CN"/>
              </w:rPr>
              <w:t>3</w:t>
            </w:r>
            <w:r>
              <w:rPr>
                <w:rFonts w:ascii="Times New Roman" w:hAnsi="Times New Roman" w:cs="Times New Roman"/>
                <w:color w:val="auto"/>
                <w:kern w:val="2"/>
                <w:sz w:val="18"/>
                <w:szCs w:val="18"/>
                <w:lang w:eastAsia="zh-CN"/>
              </w:rPr>
              <w:t>）</w:t>
            </w:r>
          </w:p>
        </w:tc>
        <w:tc>
          <w:tcPr>
            <w:tcW w:w="1348" w:type="dxa"/>
            <w:shd w:val="clear" w:color="auto" w:fill="auto"/>
            <w:vAlign w:val="center"/>
          </w:tcPr>
          <w:p>
            <w:pPr>
              <w:pStyle w:val="1563"/>
              <w:spacing w:before="29" w:line="240" w:lineRule="auto"/>
              <w:ind w:right="92" w:firstLine="0" w:firstLineChars="0"/>
              <w:contextualSpacing/>
              <w:jc w:val="center"/>
              <w:rPr>
                <w:rFonts w:ascii="Times New Roman" w:hAnsi="Times New Roman" w:cs="Times New Roman"/>
                <w:color w:val="auto"/>
                <w:kern w:val="2"/>
                <w:sz w:val="18"/>
                <w:szCs w:val="18"/>
                <w:vertAlign w:val="subscript"/>
                <w:lang w:eastAsia="zh-CN"/>
              </w:rPr>
            </w:pPr>
            <w:r>
              <w:rPr>
                <w:rFonts w:ascii="Times New Roman" w:hAnsi="Times New Roman" w:cs="Times New Roman"/>
                <w:color w:val="auto"/>
                <w:kern w:val="2"/>
                <w:sz w:val="18"/>
                <w:szCs w:val="18"/>
                <w:lang w:eastAsia="zh-CN"/>
              </w:rPr>
              <w:t>装载损耗排放因子L</w:t>
            </w:r>
            <w:r>
              <w:rPr>
                <w:rFonts w:ascii="Times New Roman" w:hAnsi="Times New Roman" w:cs="Times New Roman"/>
                <w:color w:val="auto"/>
                <w:kern w:val="2"/>
                <w:sz w:val="18"/>
                <w:szCs w:val="18"/>
                <w:vertAlign w:val="subscript"/>
                <w:lang w:eastAsia="zh-CN"/>
              </w:rPr>
              <w:t>L</w:t>
            </w:r>
          </w:p>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（kg/m</w:t>
            </w:r>
            <w:r>
              <w:rPr>
                <w:rFonts w:ascii="Times New Roman" w:hAnsi="Times New Roman" w:cs="Times New Roman"/>
                <w:color w:val="auto"/>
                <w:kern w:val="2"/>
                <w:sz w:val="18"/>
                <w:szCs w:val="18"/>
                <w:vertAlign w:val="superscript"/>
                <w:lang w:eastAsia="zh-CN"/>
              </w:rPr>
              <w:t>3</w:t>
            </w:r>
            <w:r>
              <w:rPr>
                <w:rFonts w:ascii="Times New Roman" w:hAnsi="Times New Roman" w:cs="Times New Roman"/>
                <w:color w:val="auto"/>
                <w:kern w:val="2"/>
                <w:sz w:val="18"/>
                <w:szCs w:val="18"/>
                <w:lang w:eastAsia="zh-CN"/>
              </w:rPr>
              <w:t>）</w:t>
            </w:r>
          </w:p>
        </w:tc>
        <w:tc>
          <w:tcPr>
            <w:tcW w:w="1010" w:type="dxa"/>
            <w:shd w:val="clear" w:color="auto" w:fill="auto"/>
            <w:vAlign w:val="center"/>
          </w:tcPr>
          <w:p>
            <w:pPr>
              <w:pStyle w:val="1563"/>
              <w:spacing w:before="29" w:line="240" w:lineRule="auto"/>
              <w:ind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年装船量（t/a）</w:t>
            </w:r>
          </w:p>
        </w:tc>
        <w:tc>
          <w:tcPr>
            <w:tcW w:w="1275" w:type="dxa"/>
            <w:shd w:val="clear" w:color="auto" w:fill="auto"/>
            <w:vAlign w:val="center"/>
          </w:tcPr>
          <w:p>
            <w:pPr>
              <w:pStyle w:val="1563"/>
              <w:spacing w:before="29" w:line="240" w:lineRule="auto"/>
              <w:ind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年装船体积</w:t>
            </w:r>
          </w:p>
          <w:p>
            <w:pPr>
              <w:pStyle w:val="1563"/>
              <w:spacing w:before="29" w:line="240" w:lineRule="auto"/>
              <w:ind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(m</w:t>
            </w:r>
            <w:r>
              <w:rPr>
                <w:rFonts w:ascii="Times New Roman" w:hAnsi="Times New Roman" w:cs="Times New Roman"/>
                <w:color w:val="auto"/>
                <w:kern w:val="2"/>
                <w:sz w:val="18"/>
                <w:szCs w:val="18"/>
                <w:vertAlign w:val="superscript"/>
                <w:lang w:eastAsia="zh-CN"/>
              </w:rPr>
              <w:t>3</w:t>
            </w:r>
            <w:r>
              <w:rPr>
                <w:rFonts w:ascii="Times New Roman" w:hAnsi="Times New Roman" w:cs="Times New Roman"/>
                <w:color w:val="auto"/>
                <w:kern w:val="2"/>
                <w:sz w:val="18"/>
                <w:szCs w:val="18"/>
                <w:lang w:eastAsia="zh-CN"/>
              </w:rPr>
              <w:t>/a)</w:t>
            </w:r>
          </w:p>
        </w:tc>
        <w:tc>
          <w:tcPr>
            <w:tcW w:w="1134" w:type="dxa"/>
            <w:shd w:val="clear" w:color="auto" w:fill="auto"/>
            <w:vAlign w:val="center"/>
          </w:tcPr>
          <w:p>
            <w:pPr>
              <w:pStyle w:val="1563"/>
              <w:spacing w:before="29" w:line="240" w:lineRule="auto"/>
              <w:ind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VOCs产生量（t/a）</w:t>
            </w:r>
          </w:p>
        </w:tc>
        <w:tc>
          <w:tcPr>
            <w:tcW w:w="1258" w:type="dxa"/>
            <w:shd w:val="clear" w:color="auto" w:fill="auto"/>
            <w:vAlign w:val="center"/>
          </w:tcPr>
          <w:p>
            <w:pPr>
              <w:pStyle w:val="1563"/>
              <w:spacing w:before="29" w:line="240" w:lineRule="auto"/>
              <w:ind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有机气体控制设施总效率%</w:t>
            </w:r>
          </w:p>
        </w:tc>
        <w:tc>
          <w:tcPr>
            <w:tcW w:w="993" w:type="dxa"/>
            <w:shd w:val="clear" w:color="auto" w:fill="auto"/>
            <w:vAlign w:val="center"/>
          </w:tcPr>
          <w:p>
            <w:pPr>
              <w:pStyle w:val="1563"/>
              <w:spacing w:before="29" w:line="240" w:lineRule="auto"/>
              <w:ind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VOCs排放量（t/a）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02" w:type="dxa"/>
            <w:shd w:val="clear" w:color="auto" w:fill="auto"/>
            <w:vAlign w:val="center"/>
          </w:tcPr>
          <w:p>
            <w:pPr>
              <w:pStyle w:val="1563"/>
              <w:spacing w:before="29" w:line="240" w:lineRule="auto"/>
              <w:ind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汽油</w:t>
            </w:r>
          </w:p>
        </w:tc>
        <w:tc>
          <w:tcPr>
            <w:tcW w:w="1219"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760</w:t>
            </w:r>
          </w:p>
        </w:tc>
        <w:tc>
          <w:tcPr>
            <w:tcW w:w="1348"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0.41</w:t>
            </w:r>
          </w:p>
        </w:tc>
        <w:tc>
          <w:tcPr>
            <w:tcW w:w="1010" w:type="dxa"/>
            <w:shd w:val="clear" w:color="auto" w:fill="auto"/>
            <w:vAlign w:val="center"/>
          </w:tcPr>
          <w:p>
            <w:pPr>
              <w:pStyle w:val="1563"/>
              <w:spacing w:before="29" w:line="240" w:lineRule="auto"/>
              <w:ind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100000</w:t>
            </w:r>
          </w:p>
        </w:tc>
        <w:tc>
          <w:tcPr>
            <w:tcW w:w="1275" w:type="dxa"/>
            <w:shd w:val="clear" w:color="auto" w:fill="auto"/>
            <w:vAlign w:val="center"/>
          </w:tcPr>
          <w:p>
            <w:pPr>
              <w:pStyle w:val="1563"/>
              <w:spacing w:before="29" w:line="240" w:lineRule="auto"/>
              <w:ind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131578</w:t>
            </w:r>
          </w:p>
        </w:tc>
        <w:tc>
          <w:tcPr>
            <w:tcW w:w="1134" w:type="dxa"/>
            <w:shd w:val="clear" w:color="auto" w:fill="auto"/>
            <w:vAlign w:val="center"/>
          </w:tcPr>
          <w:p>
            <w:pPr>
              <w:pStyle w:val="1563"/>
              <w:spacing w:before="29" w:line="240" w:lineRule="auto"/>
              <w:ind w:right="92"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53.95</w:t>
            </w:r>
          </w:p>
        </w:tc>
        <w:tc>
          <w:tcPr>
            <w:tcW w:w="1258"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99</w:t>
            </w:r>
          </w:p>
        </w:tc>
        <w:tc>
          <w:tcPr>
            <w:tcW w:w="993"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0.54</w:t>
            </w:r>
          </w:p>
        </w:tc>
      </w:tr>
    </w:tbl>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经计算，汽油装船的VOCs产生量为53.95t/a，</w:t>
      </w:r>
      <w:r>
        <w:rPr>
          <w:rFonts w:ascii="Times New Roman" w:hAnsi="Times New Roman" w:cs="Times New Roman"/>
          <w:color w:val="auto"/>
        </w:rPr>
        <w:t>10万t/a汽油</w:t>
      </w:r>
      <w:r>
        <w:rPr>
          <w:rFonts w:ascii="Times New Roman" w:hAnsi="Times New Roman" w:cs="Times New Roman"/>
          <w:color w:val="auto"/>
          <w:szCs w:val="24"/>
        </w:rPr>
        <w:t>装船用时500h/a，则VOCs的产生速率为107.9kg/h；</w:t>
      </w:r>
      <w:r>
        <w:rPr>
          <w:rFonts w:ascii="Times New Roman" w:hAnsi="Times New Roman" w:cs="Times New Roman"/>
          <w:color w:val="FF0000"/>
          <w:szCs w:val="24"/>
        </w:rPr>
        <w:t>本项目汽油装船废气通过采取油气回收管线经油气回收装置（处理效率99%）处理后的VOCs排放量为0.54t/a（非甲烷总烃表征）</w:t>
      </w:r>
      <w:r>
        <w:rPr>
          <w:rFonts w:ascii="Times New Roman" w:hAnsi="Times New Roman" w:cs="Times New Roman"/>
          <w:color w:val="auto"/>
          <w:szCs w:val="24"/>
        </w:rPr>
        <w:t>。</w:t>
      </w:r>
    </w:p>
    <w:p>
      <w:pPr>
        <w:pStyle w:val="25"/>
        <w:spacing w:line="360" w:lineRule="auto"/>
        <w:ind w:firstLine="482"/>
        <w:rPr>
          <w:rFonts w:ascii="Times New Roman" w:hAnsi="Times New Roman" w:cs="Times New Roman"/>
          <w:b/>
          <w:bCs/>
          <w:color w:val="auto"/>
          <w:szCs w:val="24"/>
        </w:rPr>
      </w:pPr>
      <w:r>
        <w:rPr>
          <w:rFonts w:ascii="Times New Roman" w:hAnsi="Times New Roman" w:cs="Times New Roman"/>
          <w:b/>
          <w:bCs/>
          <w:color w:val="auto"/>
          <w:szCs w:val="24"/>
        </w:rPr>
        <w:t>（2）汽车罐车装车VOCs废气产排量计算G1-2</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根据工程设计资料，本项目汽油的年周转装车量为27万t/a，柴油的年周转装车量为38.5万t/a，航煤的年周转装车量为1.5万t/a；乙醇的调和装车量为1.3万t/a。采用油气回收装置对装车废气进行回收。</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参照《石化行业 VOCs 污染源排查工作指南》（以下简称“指南”）对公路装载过程损耗的挥发性有机物进行估算如下：</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公路装载过程损耗排放因子</w:t>
      </w:r>
    </w:p>
    <w:p>
      <w:pPr>
        <w:pStyle w:val="25"/>
        <w:ind w:firstLine="480"/>
        <w:rPr>
          <w:rFonts w:ascii="Times New Roman" w:hAnsi="Times New Roman" w:cs="Times New Roman"/>
        </w:rPr>
      </w:pPr>
      <w:r>
        <w:rPr>
          <w:rFonts w:ascii="Times New Roman" w:hAnsi="Times New Roman" w:cs="Times New Roman"/>
        </w:rPr>
        <w:drawing>
          <wp:inline distT="0" distB="0" distL="0" distR="0">
            <wp:extent cx="1552575" cy="446405"/>
            <wp:effectExtent l="0" t="0" r="0" b="0"/>
            <wp:docPr id="33" name="图片 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true" noChangeArrowheads="true"/>
                    </pic:cNvPicPr>
                  </pic:nvPicPr>
                  <pic:blipFill>
                    <a:blip r:embed="rId74"/>
                    <a:srcRect/>
                    <a:stretch>
                      <a:fillRect/>
                    </a:stretch>
                  </pic:blipFill>
                  <pic:spPr>
                    <a:xfrm>
                      <a:off x="0" y="0"/>
                      <a:ext cx="1552575" cy="446405"/>
                    </a:xfrm>
                    <a:prstGeom prst="rect">
                      <a:avLst/>
                    </a:prstGeom>
                    <a:noFill/>
                    <a:ln>
                      <a:noFill/>
                    </a:ln>
                  </pic:spPr>
                </pic:pic>
              </a:graphicData>
            </a:graphic>
          </wp:inline>
        </w:drawing>
      </w:r>
    </w:p>
    <w:p>
      <w:pPr>
        <w:pStyle w:val="25"/>
        <w:spacing w:line="360" w:lineRule="auto"/>
        <w:ind w:firstLine="480"/>
        <w:rPr>
          <w:rFonts w:ascii="Times New Roman" w:hAnsi="Times New Roman" w:cs="Times New Roman"/>
        </w:rPr>
      </w:pPr>
      <w:r>
        <w:rPr>
          <w:rFonts w:ascii="Times New Roman" w:hAnsi="Times New Roman" w:cs="Times New Roman"/>
        </w:rPr>
        <w:t>式中：</w:t>
      </w:r>
    </w:p>
    <w:p>
      <w:pPr>
        <w:pStyle w:val="25"/>
        <w:spacing w:line="360" w:lineRule="auto"/>
        <w:ind w:firstLine="480"/>
        <w:rPr>
          <w:rFonts w:ascii="Times New Roman" w:hAnsi="Times New Roman" w:cs="Times New Roman"/>
        </w:rPr>
      </w:pPr>
      <w:r>
        <w:rPr>
          <w:rFonts w:ascii="Times New Roman" w:hAnsi="Times New Roman" w:cs="Times New Roman"/>
        </w:rPr>
        <w:t>S饱和因子，代表排出的挥发物料接近饱和的程度，饱和因子的选取见“指南”附表三-9；本项目汽车罐车采取底部液下装载方式，选取政策工况的（普通）罐车，S饱和因子取0.6。</w:t>
      </w:r>
    </w:p>
    <w:p>
      <w:pPr>
        <w:pStyle w:val="25"/>
        <w:spacing w:line="360" w:lineRule="auto"/>
        <w:ind w:firstLine="480"/>
        <w:rPr>
          <w:rFonts w:ascii="Times New Roman" w:hAnsi="Times New Roman" w:cs="Times New Roman"/>
        </w:rPr>
      </w:pPr>
      <w:r>
        <w:rPr>
          <w:rFonts w:ascii="Times New Roman" w:hAnsi="Times New Roman" w:cs="Times New Roman"/>
        </w:rPr>
        <w:t>C</w:t>
      </w:r>
      <w:r>
        <w:rPr>
          <w:rFonts w:ascii="Times New Roman" w:hAnsi="Times New Roman" w:cs="Times New Roman"/>
          <w:vertAlign w:val="subscript"/>
        </w:rPr>
        <w:t>0</w:t>
      </w:r>
      <w:r>
        <w:rPr>
          <w:rFonts w:ascii="Times New Roman" w:hAnsi="Times New Roman" w:cs="Times New Roman"/>
        </w:rPr>
        <w:t xml:space="preserve"> 装载罐车气、液相处于平衡状态，将挥发物料看做理想气体下的物料密度，kg/m</w:t>
      </w:r>
      <w:r>
        <w:rPr>
          <w:rFonts w:ascii="Times New Roman" w:hAnsi="Times New Roman" w:cs="Times New Roman"/>
          <w:vertAlign w:val="superscript"/>
        </w:rPr>
        <w:t>3</w:t>
      </w:r>
      <w:r>
        <w:rPr>
          <w:rFonts w:ascii="Times New Roman" w:hAnsi="Times New Roman" w:cs="Times New Roman"/>
        </w:rPr>
        <w:t>；C</w:t>
      </w:r>
      <w:r>
        <w:rPr>
          <w:rFonts w:ascii="Times New Roman" w:hAnsi="Times New Roman" w:cs="Times New Roman"/>
          <w:vertAlign w:val="subscript"/>
        </w:rPr>
        <w:t>0</w:t>
      </w:r>
      <w:r>
        <w:rPr>
          <w:rFonts w:ascii="Times New Roman" w:hAnsi="Times New Roman" w:cs="Times New Roman"/>
        </w:rPr>
        <w:t>的计算公式如下：</w:t>
      </w:r>
    </w:p>
    <w:p>
      <w:pPr>
        <w:pStyle w:val="25"/>
        <w:spacing w:line="360" w:lineRule="auto"/>
        <w:ind w:firstLine="480"/>
        <w:rPr>
          <w:rFonts w:ascii="Times New Roman" w:hAnsi="Times New Roman" w:cs="Times New Roman"/>
        </w:rPr>
      </w:pPr>
      <w:r>
        <w:rPr>
          <w:rFonts w:ascii="Times New Roman" w:hAnsi="Times New Roman" w:cs="Times New Roman"/>
        </w:rPr>
        <w:drawing>
          <wp:inline distT="0" distB="0" distL="0" distR="0">
            <wp:extent cx="2573020" cy="595630"/>
            <wp:effectExtent l="0" t="0" r="0" b="0"/>
            <wp:docPr id="34"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true" noChangeArrowheads="true"/>
                    </pic:cNvPicPr>
                  </pic:nvPicPr>
                  <pic:blipFill>
                    <a:blip r:embed="rId75"/>
                    <a:srcRect/>
                    <a:stretch>
                      <a:fillRect/>
                    </a:stretch>
                  </pic:blipFill>
                  <pic:spPr>
                    <a:xfrm>
                      <a:off x="0" y="0"/>
                      <a:ext cx="2573020" cy="595630"/>
                    </a:xfrm>
                    <a:prstGeom prst="rect">
                      <a:avLst/>
                    </a:prstGeom>
                    <a:noFill/>
                    <a:ln>
                      <a:noFill/>
                    </a:ln>
                  </pic:spPr>
                </pic:pic>
              </a:graphicData>
            </a:graphic>
          </wp:inline>
        </w:drawing>
      </w:r>
    </w:p>
    <w:p>
      <w:pPr>
        <w:pStyle w:val="25"/>
        <w:spacing w:line="360" w:lineRule="auto"/>
        <w:ind w:firstLine="480"/>
        <w:jc w:val="left"/>
        <w:rPr>
          <w:rFonts w:ascii="Times New Roman" w:hAnsi="Times New Roman" w:cs="Times New Roman"/>
        </w:rPr>
      </w:pPr>
      <w:r>
        <w:rPr>
          <w:rFonts w:ascii="Times New Roman" w:hAnsi="Times New Roman" w:cs="Times New Roman"/>
        </w:rPr>
        <w:t>式中：</w:t>
      </w:r>
    </w:p>
    <w:p>
      <w:pPr>
        <w:pStyle w:val="25"/>
        <w:spacing w:line="360" w:lineRule="auto"/>
        <w:ind w:firstLine="480"/>
        <w:jc w:val="left"/>
        <w:rPr>
          <w:rFonts w:ascii="Times New Roman" w:hAnsi="Times New Roman" w:cs="Times New Roman"/>
        </w:rPr>
      </w:pPr>
      <w:r>
        <w:rPr>
          <w:rFonts w:ascii="Times New Roman" w:hAnsi="Times New Roman" w:cs="Times New Roman"/>
        </w:rPr>
        <w:t>T 实际装载温度，℃；平均装载温度取25℃。</w:t>
      </w:r>
    </w:p>
    <w:p>
      <w:pPr>
        <w:pStyle w:val="25"/>
        <w:spacing w:line="360" w:lineRule="auto"/>
        <w:ind w:firstLine="480"/>
        <w:jc w:val="left"/>
        <w:rPr>
          <w:rFonts w:ascii="Times New Roman" w:hAnsi="Times New Roman" w:cs="Times New Roman"/>
        </w:rPr>
      </w:pPr>
      <w:r>
        <w:rPr>
          <w:rFonts w:ascii="Times New Roman" w:hAnsi="Times New Roman" w:cs="Times New Roman"/>
        </w:rPr>
        <w:t>P</w:t>
      </w:r>
      <w:r>
        <w:rPr>
          <w:rFonts w:ascii="Times New Roman" w:hAnsi="Times New Roman" w:cs="Times New Roman"/>
          <w:vertAlign w:val="subscript"/>
        </w:rPr>
        <w:t>T</w:t>
      </w:r>
      <w:r>
        <w:rPr>
          <w:rFonts w:ascii="Times New Roman" w:hAnsi="Times New Roman" w:cs="Times New Roman"/>
        </w:rPr>
        <w:t xml:space="preserve"> 温度T时装载物料的真实蒸气压，Pa；平均装载温度取25℃时，汽油取61.54Kpa，航空煤油取60.16Kpa，柴油取0.67Kpa，乙醇取7.96Kpa。</w:t>
      </w:r>
    </w:p>
    <w:p>
      <w:pPr>
        <w:pStyle w:val="25"/>
        <w:spacing w:line="360" w:lineRule="auto"/>
        <w:ind w:firstLine="480"/>
        <w:jc w:val="left"/>
        <w:rPr>
          <w:rFonts w:ascii="Times New Roman" w:hAnsi="Times New Roman" w:cs="Times New Roman"/>
        </w:rPr>
      </w:pPr>
      <w:r>
        <w:rPr>
          <w:rFonts w:ascii="Times New Roman" w:hAnsi="Times New Roman" w:cs="Times New Roman"/>
        </w:rPr>
        <w:t>M 油气的分子量，g/mol；汽油取68 g/mol，航空煤油取68 g/mol，柴油取130 g/mol，乙醇取46 g/mol。</w:t>
      </w:r>
    </w:p>
    <w:p>
      <w:pPr>
        <w:pStyle w:val="25"/>
        <w:spacing w:line="360" w:lineRule="auto"/>
        <w:ind w:firstLine="480"/>
        <w:jc w:val="left"/>
        <w:rPr>
          <w:rFonts w:ascii="Times New Roman" w:hAnsi="Times New Roman" w:cs="Times New Roman"/>
        </w:rPr>
      </w:pPr>
      <w:r>
        <w:rPr>
          <w:rFonts w:ascii="Times New Roman" w:hAnsi="Times New Roman" w:cs="Times New Roman"/>
        </w:rPr>
        <w:t>1.2×10</w:t>
      </w:r>
      <w:r>
        <w:rPr>
          <w:rFonts w:ascii="Times New Roman" w:hAnsi="Times New Roman" w:cs="Times New Roman"/>
          <w:vertAlign w:val="superscript"/>
        </w:rPr>
        <w:t>-4</w:t>
      </w:r>
      <w:r>
        <w:rPr>
          <w:rFonts w:ascii="Times New Roman" w:hAnsi="Times New Roman" w:cs="Times New Roman"/>
        </w:rPr>
        <w:t>单位转换系数。</w:t>
      </w:r>
    </w:p>
    <w:p>
      <w:pPr>
        <w:pStyle w:val="4"/>
        <w:tabs>
          <w:tab w:val="left" w:pos="1582"/>
        </w:tabs>
        <w:spacing w:before="103"/>
        <w:ind w:firstLine="422"/>
        <w:jc w:val="center"/>
        <w:rPr>
          <w:rFonts w:ascii="Times New Roman" w:hAnsi="Times New Roman" w:cs="Times New Roman"/>
          <w:color w:val="auto"/>
          <w:sz w:val="21"/>
          <w:szCs w:val="21"/>
        </w:rPr>
      </w:pPr>
      <w:bookmarkStart w:id="241" w:name="_Toc104733356"/>
      <w:r>
        <w:rPr>
          <w:rFonts w:ascii="Times New Roman" w:hAnsi="Times New Roman" w:cs="Times New Roman"/>
          <w:color w:val="auto"/>
          <w:sz w:val="21"/>
          <w:szCs w:val="21"/>
        </w:rPr>
        <w:t>表3.10-7  油品及化学品装车损失 VOCs 产生及排放量</w:t>
      </w:r>
      <w:bookmarkEnd w:id="241"/>
    </w:p>
    <w:tbl>
      <w:tblPr>
        <w:tblStyle w:val="62"/>
        <w:tblW w:w="928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02"/>
        <w:gridCol w:w="1219"/>
        <w:gridCol w:w="1348"/>
        <w:gridCol w:w="1275"/>
        <w:gridCol w:w="1134"/>
        <w:gridCol w:w="1134"/>
        <w:gridCol w:w="1276"/>
        <w:gridCol w:w="110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02"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油品</w:t>
            </w:r>
          </w:p>
        </w:tc>
        <w:tc>
          <w:tcPr>
            <w:tcW w:w="1219"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油品密度</w:t>
            </w:r>
          </w:p>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（kg/m</w:t>
            </w:r>
            <w:r>
              <w:rPr>
                <w:rFonts w:ascii="Times New Roman" w:hAnsi="Times New Roman" w:cs="Times New Roman"/>
                <w:color w:val="auto"/>
                <w:kern w:val="2"/>
                <w:sz w:val="18"/>
                <w:szCs w:val="18"/>
                <w:vertAlign w:val="superscript"/>
                <w:lang w:eastAsia="zh-CN"/>
              </w:rPr>
              <w:t>3</w:t>
            </w:r>
            <w:r>
              <w:rPr>
                <w:rFonts w:ascii="Times New Roman" w:hAnsi="Times New Roman" w:cs="Times New Roman"/>
                <w:color w:val="auto"/>
                <w:kern w:val="2"/>
                <w:sz w:val="18"/>
                <w:szCs w:val="18"/>
                <w:lang w:eastAsia="zh-CN"/>
              </w:rPr>
              <w:t>）</w:t>
            </w:r>
          </w:p>
        </w:tc>
        <w:tc>
          <w:tcPr>
            <w:tcW w:w="1348"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vertAlign w:val="subscript"/>
                <w:lang w:eastAsia="zh-CN"/>
              </w:rPr>
            </w:pPr>
            <w:r>
              <w:rPr>
                <w:rFonts w:ascii="Times New Roman" w:hAnsi="Times New Roman" w:cs="Times New Roman"/>
                <w:color w:val="auto"/>
                <w:kern w:val="2"/>
                <w:sz w:val="18"/>
                <w:szCs w:val="18"/>
                <w:lang w:eastAsia="zh-CN"/>
              </w:rPr>
              <w:t>装载损耗排放因子L</w:t>
            </w:r>
            <w:r>
              <w:rPr>
                <w:rFonts w:ascii="Times New Roman" w:hAnsi="Times New Roman" w:cs="Times New Roman"/>
                <w:color w:val="auto"/>
                <w:kern w:val="2"/>
                <w:sz w:val="18"/>
                <w:szCs w:val="18"/>
                <w:vertAlign w:val="subscript"/>
                <w:lang w:eastAsia="zh-CN"/>
              </w:rPr>
              <w:t>L</w:t>
            </w:r>
          </w:p>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（kg/m</w:t>
            </w:r>
            <w:r>
              <w:rPr>
                <w:rFonts w:ascii="Times New Roman" w:hAnsi="Times New Roman" w:cs="Times New Roman"/>
                <w:color w:val="auto"/>
                <w:kern w:val="2"/>
                <w:sz w:val="18"/>
                <w:szCs w:val="18"/>
                <w:vertAlign w:val="superscript"/>
                <w:lang w:eastAsia="zh-CN"/>
              </w:rPr>
              <w:t>3</w:t>
            </w:r>
            <w:r>
              <w:rPr>
                <w:rFonts w:ascii="Times New Roman" w:hAnsi="Times New Roman" w:cs="Times New Roman"/>
                <w:color w:val="auto"/>
                <w:kern w:val="2"/>
                <w:sz w:val="18"/>
                <w:szCs w:val="18"/>
                <w:lang w:eastAsia="zh-CN"/>
              </w:rPr>
              <w:t>）</w:t>
            </w:r>
          </w:p>
        </w:tc>
        <w:tc>
          <w:tcPr>
            <w:tcW w:w="1275"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年装车量</w:t>
            </w:r>
          </w:p>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（t/a）</w:t>
            </w:r>
          </w:p>
        </w:tc>
        <w:tc>
          <w:tcPr>
            <w:tcW w:w="1134"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年装车体积</w:t>
            </w:r>
          </w:p>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(m</w:t>
            </w:r>
            <w:r>
              <w:rPr>
                <w:rFonts w:ascii="Times New Roman" w:hAnsi="Times New Roman" w:cs="Times New Roman"/>
                <w:color w:val="auto"/>
                <w:kern w:val="2"/>
                <w:sz w:val="18"/>
                <w:szCs w:val="18"/>
                <w:vertAlign w:val="superscript"/>
                <w:lang w:eastAsia="zh-CN"/>
              </w:rPr>
              <w:t>3</w:t>
            </w:r>
            <w:r>
              <w:rPr>
                <w:rFonts w:ascii="Times New Roman" w:hAnsi="Times New Roman" w:cs="Times New Roman"/>
                <w:color w:val="auto"/>
                <w:kern w:val="2"/>
                <w:sz w:val="18"/>
                <w:szCs w:val="18"/>
                <w:lang w:eastAsia="zh-CN"/>
              </w:rPr>
              <w:t>/a)</w:t>
            </w:r>
          </w:p>
        </w:tc>
        <w:tc>
          <w:tcPr>
            <w:tcW w:w="1134"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VOCs产生量</w:t>
            </w:r>
          </w:p>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（t/a）</w:t>
            </w:r>
          </w:p>
        </w:tc>
        <w:tc>
          <w:tcPr>
            <w:tcW w:w="1276"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有机气体控制设施总效率%</w:t>
            </w:r>
          </w:p>
        </w:tc>
        <w:tc>
          <w:tcPr>
            <w:tcW w:w="1100"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VOCs排放量</w:t>
            </w:r>
          </w:p>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02"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汽油</w:t>
            </w:r>
          </w:p>
        </w:tc>
        <w:tc>
          <w:tcPr>
            <w:tcW w:w="1219"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760</w:t>
            </w:r>
          </w:p>
        </w:tc>
        <w:tc>
          <w:tcPr>
            <w:tcW w:w="1348"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1.01</w:t>
            </w:r>
          </w:p>
        </w:tc>
        <w:tc>
          <w:tcPr>
            <w:tcW w:w="1275"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270000</w:t>
            </w:r>
          </w:p>
        </w:tc>
        <w:tc>
          <w:tcPr>
            <w:tcW w:w="1134"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350649</w:t>
            </w:r>
          </w:p>
        </w:tc>
        <w:tc>
          <w:tcPr>
            <w:tcW w:w="1134"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354.38</w:t>
            </w:r>
          </w:p>
        </w:tc>
        <w:tc>
          <w:tcPr>
            <w:tcW w:w="1276"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99</w:t>
            </w:r>
          </w:p>
        </w:tc>
        <w:tc>
          <w:tcPr>
            <w:tcW w:w="1100"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3.54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02"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柴油</w:t>
            </w:r>
          </w:p>
        </w:tc>
        <w:tc>
          <w:tcPr>
            <w:tcW w:w="1219"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840</w:t>
            </w:r>
          </w:p>
        </w:tc>
        <w:tc>
          <w:tcPr>
            <w:tcW w:w="1348"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0.126</w:t>
            </w:r>
          </w:p>
        </w:tc>
        <w:tc>
          <w:tcPr>
            <w:tcW w:w="1275"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358000</w:t>
            </w:r>
          </w:p>
        </w:tc>
        <w:tc>
          <w:tcPr>
            <w:tcW w:w="1134"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458333</w:t>
            </w:r>
          </w:p>
        </w:tc>
        <w:tc>
          <w:tcPr>
            <w:tcW w:w="1134"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57.98</w:t>
            </w:r>
          </w:p>
        </w:tc>
        <w:tc>
          <w:tcPr>
            <w:tcW w:w="1276"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99</w:t>
            </w:r>
          </w:p>
        </w:tc>
        <w:tc>
          <w:tcPr>
            <w:tcW w:w="1100"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0.58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802"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航空煤油</w:t>
            </w:r>
          </w:p>
        </w:tc>
        <w:tc>
          <w:tcPr>
            <w:tcW w:w="1219"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770</w:t>
            </w:r>
          </w:p>
        </w:tc>
        <w:tc>
          <w:tcPr>
            <w:tcW w:w="1348"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0.99</w:t>
            </w:r>
          </w:p>
        </w:tc>
        <w:tc>
          <w:tcPr>
            <w:tcW w:w="1275"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15000</w:t>
            </w:r>
          </w:p>
        </w:tc>
        <w:tc>
          <w:tcPr>
            <w:tcW w:w="1134"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19481</w:t>
            </w:r>
          </w:p>
        </w:tc>
        <w:tc>
          <w:tcPr>
            <w:tcW w:w="1134"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19.24</w:t>
            </w:r>
          </w:p>
        </w:tc>
        <w:tc>
          <w:tcPr>
            <w:tcW w:w="1276"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99</w:t>
            </w:r>
          </w:p>
        </w:tc>
        <w:tc>
          <w:tcPr>
            <w:tcW w:w="1100"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0.19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02"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乙醇</w:t>
            </w:r>
          </w:p>
        </w:tc>
        <w:tc>
          <w:tcPr>
            <w:tcW w:w="1219"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790</w:t>
            </w:r>
          </w:p>
        </w:tc>
        <w:tc>
          <w:tcPr>
            <w:tcW w:w="1348"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0.0884</w:t>
            </w:r>
          </w:p>
        </w:tc>
        <w:tc>
          <w:tcPr>
            <w:tcW w:w="1275"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13000</w:t>
            </w:r>
          </w:p>
        </w:tc>
        <w:tc>
          <w:tcPr>
            <w:tcW w:w="1134"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16456</w:t>
            </w:r>
          </w:p>
        </w:tc>
        <w:tc>
          <w:tcPr>
            <w:tcW w:w="1134"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1.455</w:t>
            </w:r>
          </w:p>
        </w:tc>
        <w:tc>
          <w:tcPr>
            <w:tcW w:w="1276"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99</w:t>
            </w:r>
          </w:p>
        </w:tc>
        <w:tc>
          <w:tcPr>
            <w:tcW w:w="1100"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0.0145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778" w:type="dxa"/>
            <w:gridSpan w:val="5"/>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合计</w:t>
            </w:r>
          </w:p>
        </w:tc>
        <w:tc>
          <w:tcPr>
            <w:tcW w:w="1134"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433.055</w:t>
            </w:r>
          </w:p>
        </w:tc>
        <w:tc>
          <w:tcPr>
            <w:tcW w:w="1276"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99</w:t>
            </w:r>
          </w:p>
        </w:tc>
        <w:tc>
          <w:tcPr>
            <w:tcW w:w="1100" w:type="dxa"/>
            <w:shd w:val="clear" w:color="auto" w:fill="auto"/>
            <w:vAlign w:val="center"/>
          </w:tcPr>
          <w:p>
            <w:pPr>
              <w:pStyle w:val="1563"/>
              <w:spacing w:before="29" w:line="240" w:lineRule="auto"/>
              <w:ind w:left="120" w:right="92" w:firstLine="0" w:firstLineChars="0"/>
              <w:contextualSpacing/>
              <w:jc w:val="center"/>
              <w:rPr>
                <w:rFonts w:ascii="Times New Roman" w:hAnsi="Times New Roman" w:cs="Times New Roman"/>
                <w:color w:val="auto"/>
                <w:kern w:val="2"/>
                <w:sz w:val="18"/>
                <w:szCs w:val="18"/>
                <w:lang w:eastAsia="zh-CN"/>
              </w:rPr>
            </w:pPr>
            <w:r>
              <w:rPr>
                <w:rFonts w:ascii="Times New Roman" w:hAnsi="Times New Roman" w:cs="Times New Roman"/>
                <w:color w:val="auto"/>
                <w:kern w:val="2"/>
                <w:sz w:val="18"/>
                <w:szCs w:val="18"/>
                <w:lang w:eastAsia="zh-CN"/>
              </w:rPr>
              <w:t>4.33</w:t>
            </w:r>
          </w:p>
        </w:tc>
      </w:tr>
    </w:tbl>
    <w:p>
      <w:pPr>
        <w:ind w:firstLine="480"/>
        <w:rPr>
          <w:rFonts w:ascii="Times New Roman" w:hAnsi="Times New Roman" w:cs="Times New Roman"/>
          <w:color w:val="auto"/>
          <w:szCs w:val="24"/>
        </w:rPr>
      </w:pPr>
      <w:r>
        <w:rPr>
          <w:rFonts w:ascii="Times New Roman" w:hAnsi="Times New Roman" w:cs="Times New Roman"/>
          <w:color w:val="auto"/>
          <w:szCs w:val="24"/>
        </w:rPr>
        <w:t>项目新设置2套油气回收处置系统，分别对汽油装船和汽油、航空煤油、柴油、乙醇装车过程挥发的油气进行回收处置，处理措施采取冷凝+吸附，本设备设置三阶段冷凝工艺，分别为5℃（预冷段），-25℃（一级冷凝段）、-75℃（二级冷凝段），冷凝处理后的尾气中残余的C2-C5烃类进入活性炭吸附分离系统，</w:t>
      </w:r>
      <w:r>
        <w:rPr>
          <w:rFonts w:ascii="Times New Roman" w:hAnsi="Times New Roman" w:cs="Times New Roman"/>
          <w:color w:val="FF0000"/>
          <w:szCs w:val="24"/>
        </w:rPr>
        <w:t>根据油气回收装置设计资料</w:t>
      </w:r>
      <w:r>
        <w:rPr>
          <w:rFonts w:hint="eastAsia" w:ascii="Times New Roman" w:hAnsi="Times New Roman" w:cs="Times New Roman"/>
          <w:color w:val="FF0000"/>
          <w:szCs w:val="24"/>
        </w:rPr>
        <w:t>及同类型油气回收装置处理效率检测报告</w:t>
      </w:r>
      <w:r>
        <w:rPr>
          <w:rFonts w:ascii="Times New Roman" w:hAnsi="Times New Roman" w:cs="Times New Roman"/>
          <w:color w:val="FF0000"/>
          <w:szCs w:val="24"/>
        </w:rPr>
        <w:t>，综合处理效率核算为99%计</w:t>
      </w:r>
      <w:r>
        <w:rPr>
          <w:rFonts w:ascii="Times New Roman" w:hAnsi="Times New Roman" w:cs="Times New Roman"/>
          <w:color w:val="auto"/>
          <w:szCs w:val="24"/>
        </w:rPr>
        <w:t>，据此计算，本项目VOCs物料汽油、柴油、航空</w:t>
      </w:r>
      <w:r>
        <w:rPr>
          <w:rFonts w:hint="eastAsia" w:ascii="Times New Roman" w:hAnsi="Times New Roman" w:cs="Times New Roman"/>
          <w:color w:val="auto"/>
          <w:szCs w:val="24"/>
        </w:rPr>
        <w:t>煤油</w:t>
      </w:r>
      <w:r>
        <w:rPr>
          <w:rFonts w:ascii="Times New Roman" w:hAnsi="Times New Roman" w:cs="Times New Roman"/>
          <w:color w:val="auto"/>
          <w:szCs w:val="24"/>
        </w:rPr>
        <w:t>及乙醇的装车过程VOCs产生量为433.055t/a，装车合计工时3500h/a，则考虑同时装车时VOCs的产生速率为123.73kg/h，经油气回收装置处理后的VOCs排放速率为1.24kg/h，排放量为4.33t/a。</w:t>
      </w:r>
    </w:p>
    <w:p>
      <w:pPr>
        <w:pStyle w:val="25"/>
        <w:spacing w:line="360" w:lineRule="auto"/>
        <w:ind w:firstLine="482"/>
        <w:jc w:val="left"/>
        <w:rPr>
          <w:rFonts w:ascii="Times New Roman" w:hAnsi="Times New Roman" w:cs="Times New Roman"/>
          <w:b/>
          <w:bCs/>
          <w:color w:val="auto"/>
        </w:rPr>
      </w:pPr>
      <w:r>
        <w:rPr>
          <w:rFonts w:ascii="Times New Roman" w:hAnsi="Times New Roman" w:cs="Times New Roman"/>
          <w:b/>
          <w:bCs/>
          <w:color w:val="auto"/>
        </w:rPr>
        <w:t>2、罐区储罐损耗VOCs废气（G2）</w:t>
      </w:r>
    </w:p>
    <w:p>
      <w:pPr>
        <w:pStyle w:val="25"/>
        <w:spacing w:line="360" w:lineRule="auto"/>
        <w:ind w:firstLine="480"/>
        <w:rPr>
          <w:rFonts w:ascii="Times New Roman" w:hAnsi="Times New Roman" w:cs="Times New Roman"/>
          <w:color w:val="auto"/>
          <w:szCs w:val="24"/>
        </w:rPr>
      </w:pPr>
      <w:r>
        <w:rPr>
          <w:rFonts w:ascii="Times New Roman" w:hAnsi="Times New Roman" w:cs="Times New Roman"/>
        </w:rPr>
        <w:t>根据《排污许可证申请与核发技术规范 储油库、加油站》（HJ 1118-2020）及</w:t>
      </w:r>
      <w:r>
        <w:rPr>
          <w:rFonts w:ascii="Times New Roman" w:hAnsi="Times New Roman" w:cs="Times New Roman"/>
          <w:color w:val="auto"/>
          <w:szCs w:val="24"/>
        </w:rPr>
        <w:t>《石化行业 VOCs 污染源排查工作指南》（以下简称“指南”）对本项目汽油、柴油、航空煤油、乙醇储罐的呼吸气进行计算。</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根据工程设计资料，本项目挥发性有机液体（汽油、柴油、航空煤油、乙醇）储罐参数见表3.10-8。</w:t>
      </w:r>
    </w:p>
    <w:p>
      <w:pPr>
        <w:pStyle w:val="4"/>
        <w:tabs>
          <w:tab w:val="left" w:pos="1582"/>
        </w:tabs>
        <w:spacing w:before="103"/>
        <w:ind w:firstLine="422"/>
        <w:jc w:val="center"/>
        <w:rPr>
          <w:rFonts w:ascii="Times New Roman" w:hAnsi="Times New Roman" w:cs="Times New Roman"/>
          <w:color w:val="auto"/>
          <w:sz w:val="21"/>
          <w:szCs w:val="21"/>
        </w:rPr>
      </w:pPr>
      <w:bookmarkStart w:id="242" w:name="_Toc104733357"/>
      <w:bookmarkStart w:id="243" w:name="_Hlk104385195"/>
      <w:r>
        <w:rPr>
          <w:rFonts w:ascii="Times New Roman" w:hAnsi="Times New Roman" w:cs="Times New Roman"/>
          <w:color w:val="auto"/>
          <w:sz w:val="21"/>
          <w:szCs w:val="21"/>
        </w:rPr>
        <w:t>表3.10-8        1-2#罐组储罐明细表</w:t>
      </w:r>
      <w:bookmarkEnd w:id="242"/>
    </w:p>
    <w:bookmarkEnd w:id="243"/>
    <w:tbl>
      <w:tblPr>
        <w:tblStyle w:val="62"/>
        <w:tblW w:w="925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78"/>
        <w:gridCol w:w="1262"/>
        <w:gridCol w:w="1262"/>
        <w:gridCol w:w="878"/>
        <w:gridCol w:w="1161"/>
        <w:gridCol w:w="872"/>
        <w:gridCol w:w="1938"/>
        <w:gridCol w:w="110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8" w:hRule="atLeast"/>
        </w:trPr>
        <w:tc>
          <w:tcPr>
            <w:tcW w:w="77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罐组</w:t>
            </w:r>
          </w:p>
        </w:tc>
        <w:tc>
          <w:tcPr>
            <w:tcW w:w="1262" w:type="dxa"/>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油品</w:t>
            </w:r>
          </w:p>
        </w:tc>
        <w:tc>
          <w:tcPr>
            <w:tcW w:w="1262"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单罐容积</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m³</w:t>
            </w:r>
          </w:p>
        </w:tc>
        <w:tc>
          <w:tcPr>
            <w:tcW w:w="87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数量</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座</w:t>
            </w:r>
          </w:p>
        </w:tc>
        <w:tc>
          <w:tcPr>
            <w:tcW w:w="1161"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直径</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m</w:t>
            </w:r>
          </w:p>
        </w:tc>
        <w:tc>
          <w:tcPr>
            <w:tcW w:w="872"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高度</w:t>
            </w:r>
          </w:p>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m</w:t>
            </w:r>
          </w:p>
        </w:tc>
        <w:tc>
          <w:tcPr>
            <w:tcW w:w="193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储罐形式</w:t>
            </w:r>
          </w:p>
        </w:tc>
        <w:tc>
          <w:tcPr>
            <w:tcW w:w="110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是否氮封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2" w:hRule="atLeast"/>
        </w:trPr>
        <w:tc>
          <w:tcPr>
            <w:tcW w:w="778" w:type="dxa"/>
            <w:vMerge w:val="restart"/>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1262" w:type="dxa"/>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汽油</w:t>
            </w:r>
          </w:p>
        </w:tc>
        <w:tc>
          <w:tcPr>
            <w:tcW w:w="1262"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3000</w:t>
            </w:r>
          </w:p>
        </w:tc>
        <w:tc>
          <w:tcPr>
            <w:tcW w:w="87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13</w:t>
            </w:r>
          </w:p>
        </w:tc>
        <w:tc>
          <w:tcPr>
            <w:tcW w:w="1161"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17.0</w:t>
            </w:r>
          </w:p>
        </w:tc>
        <w:tc>
          <w:tcPr>
            <w:tcW w:w="872"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15.86</w:t>
            </w:r>
          </w:p>
        </w:tc>
        <w:tc>
          <w:tcPr>
            <w:tcW w:w="193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内浮顶</w:t>
            </w:r>
          </w:p>
        </w:tc>
        <w:tc>
          <w:tcPr>
            <w:tcW w:w="110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2" w:hRule="atLeast"/>
        </w:trPr>
        <w:tc>
          <w:tcPr>
            <w:tcW w:w="778" w:type="dxa"/>
            <w:vMerge w:val="continue"/>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p>
        </w:tc>
        <w:tc>
          <w:tcPr>
            <w:tcW w:w="1262" w:type="dxa"/>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乙醇</w:t>
            </w:r>
          </w:p>
        </w:tc>
        <w:tc>
          <w:tcPr>
            <w:tcW w:w="1262"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1000</w:t>
            </w:r>
          </w:p>
        </w:tc>
        <w:tc>
          <w:tcPr>
            <w:tcW w:w="87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w:t>
            </w:r>
          </w:p>
        </w:tc>
        <w:tc>
          <w:tcPr>
            <w:tcW w:w="1161"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11.5</w:t>
            </w:r>
          </w:p>
        </w:tc>
        <w:tc>
          <w:tcPr>
            <w:tcW w:w="872"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11.88</w:t>
            </w:r>
          </w:p>
        </w:tc>
        <w:tc>
          <w:tcPr>
            <w:tcW w:w="193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内浮顶</w:t>
            </w:r>
          </w:p>
        </w:tc>
        <w:tc>
          <w:tcPr>
            <w:tcW w:w="110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9" w:hRule="atLeast"/>
        </w:trPr>
        <w:tc>
          <w:tcPr>
            <w:tcW w:w="778" w:type="dxa"/>
            <w:vMerge w:val="continue"/>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p>
        </w:tc>
        <w:tc>
          <w:tcPr>
            <w:tcW w:w="1262" w:type="dxa"/>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乙醇</w:t>
            </w:r>
          </w:p>
        </w:tc>
        <w:tc>
          <w:tcPr>
            <w:tcW w:w="1262"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w:t>
            </w:r>
          </w:p>
        </w:tc>
        <w:tc>
          <w:tcPr>
            <w:tcW w:w="87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1161"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8.5</w:t>
            </w:r>
          </w:p>
        </w:tc>
        <w:tc>
          <w:tcPr>
            <w:tcW w:w="872"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9.92</w:t>
            </w:r>
          </w:p>
        </w:tc>
        <w:tc>
          <w:tcPr>
            <w:tcW w:w="193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内浮顶</w:t>
            </w:r>
          </w:p>
        </w:tc>
        <w:tc>
          <w:tcPr>
            <w:tcW w:w="110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78" w:type="dxa"/>
            <w:vMerge w:val="restart"/>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2#</w:t>
            </w:r>
          </w:p>
        </w:tc>
        <w:tc>
          <w:tcPr>
            <w:tcW w:w="1262" w:type="dxa"/>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柴油</w:t>
            </w:r>
          </w:p>
        </w:tc>
        <w:tc>
          <w:tcPr>
            <w:tcW w:w="1262"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87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13</w:t>
            </w:r>
          </w:p>
        </w:tc>
        <w:tc>
          <w:tcPr>
            <w:tcW w:w="1161"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19.5</w:t>
            </w:r>
          </w:p>
        </w:tc>
        <w:tc>
          <w:tcPr>
            <w:tcW w:w="872"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17.84</w:t>
            </w:r>
          </w:p>
        </w:tc>
        <w:tc>
          <w:tcPr>
            <w:tcW w:w="193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固定顶</w:t>
            </w:r>
          </w:p>
        </w:tc>
        <w:tc>
          <w:tcPr>
            <w:tcW w:w="110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9" w:hRule="atLeast"/>
        </w:trPr>
        <w:tc>
          <w:tcPr>
            <w:tcW w:w="778" w:type="dxa"/>
            <w:vMerge w:val="continue"/>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p>
        </w:tc>
        <w:tc>
          <w:tcPr>
            <w:tcW w:w="1262" w:type="dxa"/>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航煤</w:t>
            </w:r>
          </w:p>
        </w:tc>
        <w:tc>
          <w:tcPr>
            <w:tcW w:w="1262"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5000</w:t>
            </w:r>
          </w:p>
        </w:tc>
        <w:tc>
          <w:tcPr>
            <w:tcW w:w="87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3</w:t>
            </w:r>
          </w:p>
        </w:tc>
        <w:tc>
          <w:tcPr>
            <w:tcW w:w="1161"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19.5</w:t>
            </w:r>
          </w:p>
        </w:tc>
        <w:tc>
          <w:tcPr>
            <w:tcW w:w="872"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sz w:val="18"/>
                <w:szCs w:val="18"/>
              </w:rPr>
              <w:t>17.84</w:t>
            </w:r>
          </w:p>
        </w:tc>
        <w:tc>
          <w:tcPr>
            <w:tcW w:w="1938"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内浮顶</w:t>
            </w:r>
          </w:p>
        </w:tc>
        <w:tc>
          <w:tcPr>
            <w:tcW w:w="1106" w:type="dxa"/>
            <w:shd w:val="clear" w:color="auto" w:fill="auto"/>
            <w:vAlign w:val="center"/>
          </w:tcPr>
          <w:p>
            <w:pPr>
              <w:adjustRightInd/>
              <w:spacing w:line="240" w:lineRule="auto"/>
              <w:ind w:firstLine="0" w:firstLineChars="0"/>
              <w:jc w:val="center"/>
              <w:rPr>
                <w:rFonts w:ascii="Times New Roman" w:hAnsi="Times New Roman" w:cs="Times New Roman"/>
                <w:color w:val="auto"/>
                <w:kern w:val="24"/>
                <w:sz w:val="18"/>
                <w:szCs w:val="18"/>
              </w:rPr>
            </w:pPr>
            <w:r>
              <w:rPr>
                <w:rFonts w:ascii="Times New Roman" w:hAnsi="Times New Roman" w:cs="Times New Roman"/>
                <w:color w:val="auto"/>
                <w:kern w:val="24"/>
                <w:sz w:val="18"/>
                <w:szCs w:val="18"/>
              </w:rPr>
              <w:t>否</w:t>
            </w:r>
          </w:p>
        </w:tc>
      </w:tr>
    </w:tbl>
    <w:p>
      <w:pPr>
        <w:pStyle w:val="25"/>
        <w:spacing w:line="360" w:lineRule="auto"/>
        <w:ind w:left="480" w:leftChars="100" w:hanging="240" w:hangingChars="100"/>
        <w:rPr>
          <w:rFonts w:ascii="Times New Roman" w:hAnsi="Times New Roman" w:cs="Times New Roman"/>
          <w:color w:val="auto"/>
          <w:szCs w:val="24"/>
        </w:rPr>
      </w:pPr>
      <w:r>
        <w:rPr>
          <w:rFonts w:ascii="Times New Roman" w:hAnsi="Times New Roman" w:cs="Times New Roman"/>
          <w:b/>
          <w:bCs/>
          <w:color w:val="auto"/>
          <w:szCs w:val="24"/>
        </w:rPr>
        <w:t>（1）固定顶罐总损耗VOCs（非甲烷总烃表征）产生及排放量核算</w:t>
      </w:r>
      <w:r>
        <w:rPr>
          <w:rFonts w:ascii="Times New Roman" w:hAnsi="Times New Roman" w:cs="Times New Roman"/>
          <w:b/>
          <w:bCs/>
          <w:color w:val="auto"/>
          <w:szCs w:val="24"/>
        </w:rPr>
        <w:cr/>
      </w:r>
      <w:r>
        <w:rPr>
          <w:rFonts w:ascii="Times New Roman" w:hAnsi="Times New Roman" w:cs="Times New Roman"/>
          <w:color w:val="auto"/>
          <w:szCs w:val="24"/>
        </w:rPr>
        <w:t>固定顶罐的总损耗是静置损耗与工作损耗的总和：</w:t>
      </w:r>
    </w:p>
    <w:p>
      <w:pPr>
        <w:pStyle w:val="25"/>
        <w:spacing w:line="360" w:lineRule="auto"/>
        <w:ind w:firstLine="480"/>
        <w:rPr>
          <w:rFonts w:ascii="Times New Roman" w:hAnsi="Times New Roman" w:cs="Times New Roman"/>
        </w:rPr>
      </w:pPr>
      <w:r>
        <w:rPr>
          <w:rFonts w:ascii="Times New Roman" w:hAnsi="Times New Roman" w:cs="Times New Roman"/>
        </w:rPr>
        <w:drawing>
          <wp:inline distT="0" distB="0" distL="0" distR="0">
            <wp:extent cx="1541780" cy="446405"/>
            <wp:effectExtent l="0" t="0" r="0" b="0"/>
            <wp:docPr id="35"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true" noChangeArrowheads="true"/>
                    </pic:cNvPicPr>
                  </pic:nvPicPr>
                  <pic:blipFill>
                    <a:blip r:embed="rId76"/>
                    <a:srcRect/>
                    <a:stretch>
                      <a:fillRect/>
                    </a:stretch>
                  </pic:blipFill>
                  <pic:spPr>
                    <a:xfrm>
                      <a:off x="0" y="0"/>
                      <a:ext cx="1541780" cy="446405"/>
                    </a:xfrm>
                    <a:prstGeom prst="rect">
                      <a:avLst/>
                    </a:prstGeom>
                    <a:noFill/>
                    <a:ln>
                      <a:noFill/>
                    </a:ln>
                  </pic:spPr>
                </pic:pic>
              </a:graphicData>
            </a:graphic>
          </wp:inline>
        </w:drawing>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式中：</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L</w:t>
      </w:r>
      <w:r>
        <w:rPr>
          <w:rFonts w:ascii="Times New Roman" w:hAnsi="Times New Roman" w:cs="Times New Roman"/>
          <w:color w:val="auto"/>
          <w:szCs w:val="24"/>
          <w:vertAlign w:val="subscript"/>
        </w:rPr>
        <w:t>T</w:t>
      </w:r>
      <w:r>
        <w:rPr>
          <w:rFonts w:ascii="Times New Roman" w:hAnsi="Times New Roman" w:cs="Times New Roman"/>
          <w:color w:val="auto"/>
          <w:szCs w:val="24"/>
        </w:rPr>
        <w:t xml:space="preserve"> 总损失，lb/a；</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L</w:t>
      </w:r>
      <w:r>
        <w:rPr>
          <w:rFonts w:ascii="Times New Roman" w:hAnsi="Times New Roman" w:cs="Times New Roman"/>
          <w:color w:val="auto"/>
          <w:szCs w:val="24"/>
          <w:vertAlign w:val="subscript"/>
        </w:rPr>
        <w:t>S</w:t>
      </w:r>
      <w:r>
        <w:rPr>
          <w:rFonts w:ascii="Times New Roman" w:hAnsi="Times New Roman" w:cs="Times New Roman"/>
          <w:color w:val="auto"/>
          <w:szCs w:val="24"/>
        </w:rPr>
        <w:t xml:space="preserve"> 静置储藏损失，lb/a；</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L</w:t>
      </w:r>
      <w:r>
        <w:rPr>
          <w:rFonts w:ascii="Times New Roman" w:hAnsi="Times New Roman" w:cs="Times New Roman"/>
          <w:color w:val="auto"/>
          <w:szCs w:val="24"/>
          <w:vertAlign w:val="subscript"/>
        </w:rPr>
        <w:t>W</w:t>
      </w:r>
      <w:r>
        <w:rPr>
          <w:rFonts w:ascii="Times New Roman" w:hAnsi="Times New Roman" w:cs="Times New Roman"/>
          <w:color w:val="auto"/>
          <w:szCs w:val="24"/>
        </w:rPr>
        <w:t xml:space="preserve"> 工作损失，lb/a。</w:t>
      </w:r>
    </w:p>
    <w:p>
      <w:pPr>
        <w:pStyle w:val="25"/>
        <w:ind w:firstLine="482"/>
        <w:rPr>
          <w:rFonts w:ascii="Times New Roman" w:hAnsi="Times New Roman" w:cs="Times New Roman"/>
          <w:b/>
          <w:bCs/>
          <w:color w:val="auto"/>
          <w:szCs w:val="24"/>
        </w:rPr>
      </w:pPr>
      <w:r>
        <w:rPr>
          <w:rFonts w:hint="eastAsia" w:ascii="宋体" w:hAnsi="宋体" w:cs="宋体"/>
          <w:b/>
          <w:bCs/>
          <w:color w:val="auto"/>
          <w:szCs w:val="24"/>
        </w:rPr>
        <w:t>①</w:t>
      </w:r>
      <w:r>
        <w:rPr>
          <w:rFonts w:ascii="Times New Roman" w:hAnsi="Times New Roman" w:cs="Times New Roman"/>
          <w:b/>
          <w:bCs/>
          <w:color w:val="auto"/>
          <w:szCs w:val="24"/>
        </w:rPr>
        <w:t>静置损耗</w:t>
      </w:r>
    </w:p>
    <w:p>
      <w:pPr>
        <w:pStyle w:val="25"/>
        <w:ind w:firstLine="480"/>
        <w:rPr>
          <w:rFonts w:ascii="Times New Roman" w:hAnsi="Times New Roman" w:cs="Times New Roman"/>
          <w:color w:val="auto"/>
          <w:szCs w:val="24"/>
        </w:rPr>
      </w:pPr>
      <w:r>
        <w:rPr>
          <w:rFonts w:ascii="Times New Roman" w:hAnsi="Times New Roman" w:cs="Times New Roman"/>
          <w:color w:val="auto"/>
          <w:szCs w:val="24"/>
        </w:rPr>
        <w:t>静置储藏损耗 L</w:t>
      </w:r>
      <w:r>
        <w:rPr>
          <w:rFonts w:ascii="Times New Roman" w:hAnsi="Times New Roman" w:cs="Times New Roman"/>
          <w:color w:val="auto"/>
          <w:szCs w:val="24"/>
          <w:vertAlign w:val="subscript"/>
        </w:rPr>
        <w:t>S</w:t>
      </w:r>
      <w:r>
        <w:rPr>
          <w:rFonts w:ascii="Times New Roman" w:hAnsi="Times New Roman" w:cs="Times New Roman"/>
          <w:color w:val="auto"/>
          <w:szCs w:val="24"/>
        </w:rPr>
        <w:t>，是指由于罐体气相空间呼吸导致的储存气相损耗。</w:t>
      </w:r>
    </w:p>
    <w:p>
      <w:pPr>
        <w:pStyle w:val="25"/>
        <w:ind w:firstLine="480"/>
        <w:rPr>
          <w:rFonts w:ascii="Times New Roman" w:hAnsi="Times New Roman" w:cs="Times New Roman"/>
        </w:rPr>
      </w:pPr>
      <w:r>
        <w:rPr>
          <w:rFonts w:ascii="Times New Roman" w:hAnsi="Times New Roman" w:cs="Times New Roman"/>
        </w:rPr>
        <w:drawing>
          <wp:inline distT="0" distB="0" distL="0" distR="0">
            <wp:extent cx="1882140" cy="531495"/>
            <wp:effectExtent l="0" t="0" r="0" b="0"/>
            <wp:docPr id="36" name="图片 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true" noChangeArrowheads="true"/>
                    </pic:cNvPicPr>
                  </pic:nvPicPr>
                  <pic:blipFill>
                    <a:blip r:embed="rId77"/>
                    <a:srcRect/>
                    <a:stretch>
                      <a:fillRect/>
                    </a:stretch>
                  </pic:blipFill>
                  <pic:spPr>
                    <a:xfrm>
                      <a:off x="0" y="0"/>
                      <a:ext cx="1882140" cy="531495"/>
                    </a:xfrm>
                    <a:prstGeom prst="rect">
                      <a:avLst/>
                    </a:prstGeom>
                    <a:noFill/>
                    <a:ln>
                      <a:noFill/>
                    </a:ln>
                  </pic:spPr>
                </pic:pic>
              </a:graphicData>
            </a:graphic>
          </wp:inline>
        </w:drawing>
      </w:r>
    </w:p>
    <w:p>
      <w:pPr>
        <w:pStyle w:val="25"/>
        <w:spacing w:line="360" w:lineRule="auto"/>
        <w:ind w:firstLine="480"/>
        <w:rPr>
          <w:rFonts w:ascii="Times New Roman" w:hAnsi="Times New Roman" w:cs="Times New Roman"/>
        </w:rPr>
      </w:pPr>
      <w:r>
        <w:rPr>
          <w:rFonts w:ascii="Times New Roman" w:hAnsi="Times New Roman" w:cs="Times New Roman"/>
        </w:rPr>
        <w:t>式中：</w:t>
      </w:r>
    </w:p>
    <w:p>
      <w:pPr>
        <w:pStyle w:val="25"/>
        <w:spacing w:line="360" w:lineRule="auto"/>
        <w:ind w:firstLine="480"/>
        <w:rPr>
          <w:rFonts w:ascii="Times New Roman" w:hAnsi="Times New Roman" w:cs="Times New Roman"/>
        </w:rPr>
      </w:pPr>
      <w:r>
        <w:rPr>
          <w:rFonts w:ascii="Times New Roman" w:hAnsi="Times New Roman" w:cs="Times New Roman"/>
        </w:rPr>
        <w:t>L</w:t>
      </w:r>
      <w:r>
        <w:rPr>
          <w:rFonts w:ascii="Times New Roman" w:hAnsi="Times New Roman" w:cs="Times New Roman"/>
          <w:vertAlign w:val="subscript"/>
        </w:rPr>
        <w:t>S</w:t>
      </w:r>
      <w:r>
        <w:rPr>
          <w:rFonts w:ascii="Times New Roman" w:hAnsi="Times New Roman" w:cs="Times New Roman"/>
        </w:rPr>
        <w:t xml:space="preserve"> 静置储藏损失（对于地下的卧室罐，由于地下土层的绝缘作用，昼夜温差的变化对卧式罐没有产生太大影响，一般认为 LS=0。），lb/a；</w:t>
      </w:r>
    </w:p>
    <w:p>
      <w:pPr>
        <w:pStyle w:val="25"/>
        <w:spacing w:line="360" w:lineRule="auto"/>
        <w:ind w:firstLine="480"/>
        <w:rPr>
          <w:rFonts w:ascii="Times New Roman" w:hAnsi="Times New Roman" w:cs="Times New Roman"/>
        </w:rPr>
      </w:pPr>
      <w:r>
        <w:rPr>
          <w:rFonts w:ascii="Times New Roman" w:hAnsi="Times New Roman" w:cs="Times New Roman"/>
        </w:rPr>
        <w:t>V</w:t>
      </w:r>
      <w:r>
        <w:rPr>
          <w:rFonts w:ascii="Times New Roman" w:hAnsi="Times New Roman" w:cs="Times New Roman"/>
          <w:vertAlign w:val="subscript"/>
        </w:rPr>
        <w:t>V</w:t>
      </w:r>
      <w:r>
        <w:rPr>
          <w:rFonts w:ascii="Times New Roman" w:hAnsi="Times New Roman" w:cs="Times New Roman"/>
        </w:rPr>
        <w:t xml:space="preserve"> 气相空间容积，ft</w:t>
      </w:r>
      <w:r>
        <w:rPr>
          <w:rFonts w:ascii="Times New Roman" w:hAnsi="Times New Roman" w:cs="Times New Roman"/>
          <w:vertAlign w:val="superscript"/>
        </w:rPr>
        <w:t>3</w:t>
      </w:r>
      <w:r>
        <w:rPr>
          <w:rFonts w:ascii="Times New Roman" w:hAnsi="Times New Roman" w:cs="Times New Roman"/>
        </w:rPr>
        <w:t>；</w:t>
      </w:r>
    </w:p>
    <w:p>
      <w:pPr>
        <w:pStyle w:val="25"/>
        <w:spacing w:line="360" w:lineRule="auto"/>
        <w:ind w:firstLine="480"/>
        <w:rPr>
          <w:rFonts w:ascii="Times New Roman" w:hAnsi="Times New Roman" w:cs="Times New Roman"/>
        </w:rPr>
      </w:pPr>
      <w:r>
        <w:rPr>
          <w:rFonts w:ascii="Times New Roman" w:hAnsi="Times New Roman" w:cs="Times New Roman"/>
        </w:rPr>
        <w:t>W</w:t>
      </w:r>
      <w:r>
        <w:rPr>
          <w:rFonts w:ascii="Times New Roman" w:hAnsi="Times New Roman" w:cs="Times New Roman"/>
          <w:vertAlign w:val="subscript"/>
        </w:rPr>
        <w:t xml:space="preserve">V </w:t>
      </w:r>
      <w:r>
        <w:rPr>
          <w:rFonts w:ascii="Times New Roman" w:hAnsi="Times New Roman" w:cs="Times New Roman"/>
        </w:rPr>
        <w:t>储藏气相密度，lb/ft</w:t>
      </w:r>
      <w:r>
        <w:rPr>
          <w:rFonts w:ascii="Times New Roman" w:hAnsi="Times New Roman" w:cs="Times New Roman"/>
          <w:vertAlign w:val="superscript"/>
        </w:rPr>
        <w:t>3</w:t>
      </w:r>
      <w:r>
        <w:rPr>
          <w:rFonts w:ascii="Times New Roman" w:hAnsi="Times New Roman" w:cs="Times New Roman"/>
        </w:rPr>
        <w:t>；</w:t>
      </w:r>
    </w:p>
    <w:p>
      <w:pPr>
        <w:pStyle w:val="25"/>
        <w:spacing w:line="360" w:lineRule="auto"/>
        <w:ind w:firstLine="480"/>
        <w:rPr>
          <w:rFonts w:ascii="Times New Roman" w:hAnsi="Times New Roman" w:cs="Times New Roman"/>
        </w:rPr>
      </w:pPr>
      <w:r>
        <w:rPr>
          <w:rFonts w:ascii="Times New Roman" w:hAnsi="Times New Roman" w:cs="Times New Roman"/>
        </w:rPr>
        <w:t>K</w:t>
      </w:r>
      <w:r>
        <w:rPr>
          <w:rFonts w:ascii="Times New Roman" w:hAnsi="Times New Roman" w:cs="Times New Roman"/>
          <w:vertAlign w:val="subscript"/>
        </w:rPr>
        <w:t>E</w:t>
      </w:r>
      <w:r>
        <w:rPr>
          <w:rFonts w:ascii="Times New Roman" w:hAnsi="Times New Roman" w:cs="Times New Roman"/>
        </w:rPr>
        <w:t xml:space="preserve"> 气相空间膨胀因子，无量纲量；</w:t>
      </w:r>
    </w:p>
    <w:p>
      <w:pPr>
        <w:pStyle w:val="25"/>
        <w:spacing w:line="360" w:lineRule="auto"/>
        <w:ind w:firstLine="480"/>
        <w:rPr>
          <w:rFonts w:ascii="Times New Roman" w:hAnsi="Times New Roman" w:cs="Times New Roman"/>
        </w:rPr>
      </w:pPr>
      <w:r>
        <w:rPr>
          <w:rFonts w:ascii="Times New Roman" w:hAnsi="Times New Roman" w:cs="Times New Roman"/>
        </w:rPr>
        <w:t>K</w:t>
      </w:r>
      <w:r>
        <w:rPr>
          <w:rFonts w:ascii="Times New Roman" w:hAnsi="Times New Roman" w:cs="Times New Roman"/>
          <w:vertAlign w:val="subscript"/>
        </w:rPr>
        <w:t>S</w:t>
      </w:r>
      <w:r>
        <w:rPr>
          <w:rFonts w:ascii="Times New Roman" w:hAnsi="Times New Roman" w:cs="Times New Roman"/>
        </w:rPr>
        <w:t xml:space="preserve"> 排放蒸汽饱和因子，无量纲量。</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立式罐气相空间容积 V</w:t>
      </w:r>
      <w:r>
        <w:rPr>
          <w:rFonts w:ascii="Times New Roman" w:hAnsi="Times New Roman" w:cs="Times New Roman"/>
          <w:color w:val="auto"/>
          <w:szCs w:val="24"/>
          <w:vertAlign w:val="subscript"/>
        </w:rPr>
        <w:t>V</w:t>
      </w:r>
      <w:r>
        <w:rPr>
          <w:rFonts w:ascii="Times New Roman" w:hAnsi="Times New Roman" w:cs="Times New Roman"/>
          <w:color w:val="auto"/>
          <w:szCs w:val="24"/>
        </w:rPr>
        <w:t>，通过以下公式计算：</w:t>
      </w:r>
    </w:p>
    <w:p>
      <w:pPr>
        <w:pStyle w:val="25"/>
        <w:ind w:firstLine="480"/>
        <w:rPr>
          <w:rFonts w:ascii="Times New Roman" w:hAnsi="Times New Roman" w:cs="Times New Roman"/>
        </w:rPr>
      </w:pPr>
      <w:r>
        <w:rPr>
          <w:rFonts w:ascii="Times New Roman" w:hAnsi="Times New Roman" w:cs="Times New Roman"/>
        </w:rPr>
        <w:drawing>
          <wp:inline distT="0" distB="0" distL="0" distR="0">
            <wp:extent cx="1797050" cy="648335"/>
            <wp:effectExtent l="0" t="0" r="0" b="0"/>
            <wp:docPr id="37" name="图片 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true" noChangeArrowheads="true"/>
                    </pic:cNvPicPr>
                  </pic:nvPicPr>
                  <pic:blipFill>
                    <a:blip r:embed="rId78"/>
                    <a:srcRect/>
                    <a:stretch>
                      <a:fillRect/>
                    </a:stretch>
                  </pic:blipFill>
                  <pic:spPr>
                    <a:xfrm>
                      <a:off x="0" y="0"/>
                      <a:ext cx="1797050" cy="648335"/>
                    </a:xfrm>
                    <a:prstGeom prst="rect">
                      <a:avLst/>
                    </a:prstGeom>
                    <a:noFill/>
                    <a:ln>
                      <a:noFill/>
                    </a:ln>
                  </pic:spPr>
                </pic:pic>
              </a:graphicData>
            </a:graphic>
          </wp:inline>
        </w:drawing>
      </w:r>
    </w:p>
    <w:p>
      <w:pPr>
        <w:pStyle w:val="25"/>
        <w:ind w:firstLine="480"/>
        <w:rPr>
          <w:rFonts w:ascii="Times New Roman" w:hAnsi="Times New Roman" w:cs="Times New Roman"/>
        </w:rPr>
      </w:pPr>
      <w:r>
        <w:rPr>
          <w:rFonts w:ascii="Times New Roman" w:hAnsi="Times New Roman" w:cs="Times New Roman"/>
        </w:rPr>
        <w:t>式中：</w:t>
      </w:r>
    </w:p>
    <w:p>
      <w:pPr>
        <w:pStyle w:val="25"/>
        <w:ind w:firstLine="480"/>
        <w:rPr>
          <w:rFonts w:ascii="Times New Roman" w:hAnsi="Times New Roman" w:cs="Times New Roman"/>
        </w:rPr>
      </w:pPr>
      <w:r>
        <w:rPr>
          <w:rFonts w:ascii="Times New Roman" w:hAnsi="Times New Roman" w:cs="Times New Roman"/>
        </w:rPr>
        <w:t>V</w:t>
      </w:r>
      <w:r>
        <w:rPr>
          <w:rFonts w:ascii="Times New Roman" w:hAnsi="Times New Roman" w:cs="Times New Roman"/>
          <w:vertAlign w:val="subscript"/>
        </w:rPr>
        <w:t xml:space="preserve">V </w:t>
      </w:r>
      <w:r>
        <w:rPr>
          <w:rFonts w:ascii="Times New Roman" w:hAnsi="Times New Roman" w:cs="Times New Roman"/>
        </w:rPr>
        <w:t>气相空间容积，ft</w:t>
      </w:r>
      <w:r>
        <w:rPr>
          <w:rFonts w:ascii="Times New Roman" w:hAnsi="Times New Roman" w:cs="Times New Roman"/>
          <w:vertAlign w:val="superscript"/>
        </w:rPr>
        <w:t>3</w:t>
      </w:r>
      <w:r>
        <w:rPr>
          <w:rFonts w:ascii="Times New Roman" w:hAnsi="Times New Roman" w:cs="Times New Roman"/>
        </w:rPr>
        <w:t>；</w:t>
      </w:r>
    </w:p>
    <w:p>
      <w:pPr>
        <w:pStyle w:val="25"/>
        <w:ind w:firstLine="480"/>
        <w:rPr>
          <w:rFonts w:ascii="Times New Roman" w:hAnsi="Times New Roman" w:cs="Times New Roman"/>
        </w:rPr>
      </w:pPr>
      <w:r>
        <w:rPr>
          <w:rFonts w:ascii="Times New Roman" w:hAnsi="Times New Roman" w:cs="Times New Roman"/>
        </w:rPr>
        <w:t>D 罐径，ft；</w:t>
      </w:r>
    </w:p>
    <w:p>
      <w:pPr>
        <w:pStyle w:val="25"/>
        <w:ind w:left="480" w:leftChars="200" w:firstLine="0" w:firstLineChars="0"/>
        <w:rPr>
          <w:rFonts w:ascii="Times New Roman" w:hAnsi="Times New Roman" w:cs="Times New Roman"/>
          <w:color w:val="auto"/>
          <w:szCs w:val="24"/>
        </w:rPr>
      </w:pPr>
      <w:r>
        <w:rPr>
          <w:rFonts w:ascii="Times New Roman" w:hAnsi="Times New Roman" w:cs="Times New Roman"/>
        </w:rPr>
        <w:t>H</w:t>
      </w:r>
      <w:r>
        <w:rPr>
          <w:rFonts w:ascii="Times New Roman" w:hAnsi="Times New Roman" w:cs="Times New Roman"/>
          <w:vertAlign w:val="subscript"/>
        </w:rPr>
        <w:t>VO</w:t>
      </w:r>
      <w:r>
        <w:rPr>
          <w:rFonts w:ascii="Times New Roman" w:hAnsi="Times New Roman" w:cs="Times New Roman"/>
        </w:rPr>
        <w:t xml:space="preserve"> 气相空间高度，ft。</w:t>
      </w:r>
      <w:r>
        <w:rPr>
          <w:rFonts w:ascii="Times New Roman" w:hAnsi="Times New Roman" w:cs="Times New Roman"/>
          <w:color w:val="auto"/>
          <w:szCs w:val="24"/>
        </w:rPr>
        <w:cr/>
      </w:r>
      <w:r>
        <w:rPr>
          <w:rFonts w:hint="eastAsia" w:ascii="宋体" w:hAnsi="宋体" w:cs="宋体"/>
          <w:b/>
          <w:bCs/>
          <w:color w:val="auto"/>
          <w:szCs w:val="24"/>
        </w:rPr>
        <w:t>②</w:t>
      </w:r>
      <w:r>
        <w:rPr>
          <w:rFonts w:ascii="Times New Roman" w:hAnsi="Times New Roman" w:cs="Times New Roman"/>
          <w:b/>
          <w:bCs/>
          <w:color w:val="auto"/>
          <w:szCs w:val="24"/>
        </w:rPr>
        <w:t>工作损耗</w:t>
      </w:r>
    </w:p>
    <w:p>
      <w:pPr>
        <w:pStyle w:val="25"/>
        <w:ind w:firstLine="480"/>
        <w:rPr>
          <w:rFonts w:ascii="Times New Roman" w:hAnsi="Times New Roman" w:cs="Times New Roman"/>
          <w:color w:val="auto"/>
          <w:szCs w:val="24"/>
        </w:rPr>
      </w:pPr>
      <w:r>
        <w:rPr>
          <w:rFonts w:ascii="Times New Roman" w:hAnsi="Times New Roman" w:cs="Times New Roman"/>
          <w:color w:val="auto"/>
          <w:szCs w:val="24"/>
        </w:rPr>
        <w:t>工作损耗 L</w:t>
      </w:r>
      <w:r>
        <w:rPr>
          <w:rFonts w:ascii="Times New Roman" w:hAnsi="Times New Roman" w:cs="Times New Roman"/>
          <w:color w:val="auto"/>
          <w:szCs w:val="24"/>
          <w:vertAlign w:val="subscript"/>
        </w:rPr>
        <w:t>W</w:t>
      </w:r>
      <w:r>
        <w:rPr>
          <w:rFonts w:ascii="Times New Roman" w:hAnsi="Times New Roman" w:cs="Times New Roman"/>
          <w:color w:val="auto"/>
          <w:szCs w:val="24"/>
        </w:rPr>
        <w:t>，与装料或卸料是所储蒸汽的排放有关。固定顶罐的工作排放计算如下：</w:t>
      </w:r>
    </w:p>
    <w:p>
      <w:pPr>
        <w:pStyle w:val="25"/>
        <w:ind w:firstLine="480"/>
        <w:rPr>
          <w:rFonts w:ascii="Times New Roman" w:hAnsi="Times New Roman" w:cs="Times New Roman"/>
        </w:rPr>
      </w:pPr>
      <w:r>
        <w:rPr>
          <w:rFonts w:ascii="Times New Roman" w:hAnsi="Times New Roman" w:cs="Times New Roman"/>
        </w:rPr>
        <w:drawing>
          <wp:inline distT="0" distB="0" distL="0" distR="0">
            <wp:extent cx="2753995" cy="595630"/>
            <wp:effectExtent l="0" t="0" r="0" b="0"/>
            <wp:docPr id="38" name="图片 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true" noChangeArrowheads="true"/>
                    </pic:cNvPicPr>
                  </pic:nvPicPr>
                  <pic:blipFill>
                    <a:blip r:embed="rId79"/>
                    <a:srcRect/>
                    <a:stretch>
                      <a:fillRect/>
                    </a:stretch>
                  </pic:blipFill>
                  <pic:spPr>
                    <a:xfrm>
                      <a:off x="0" y="0"/>
                      <a:ext cx="2753995" cy="595630"/>
                    </a:xfrm>
                    <a:prstGeom prst="rect">
                      <a:avLst/>
                    </a:prstGeom>
                    <a:noFill/>
                    <a:ln>
                      <a:noFill/>
                    </a:ln>
                  </pic:spPr>
                </pic:pic>
              </a:graphicData>
            </a:graphic>
          </wp:inline>
        </w:drawing>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式中：</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L</w:t>
      </w:r>
      <w:r>
        <w:rPr>
          <w:rFonts w:ascii="Times New Roman" w:hAnsi="Times New Roman" w:cs="Times New Roman"/>
          <w:color w:val="auto"/>
          <w:szCs w:val="24"/>
          <w:vertAlign w:val="subscript"/>
        </w:rPr>
        <w:t>W</w:t>
      </w:r>
      <w:r>
        <w:rPr>
          <w:rFonts w:ascii="Times New Roman" w:hAnsi="Times New Roman" w:cs="Times New Roman"/>
          <w:color w:val="auto"/>
          <w:szCs w:val="24"/>
        </w:rPr>
        <w:t xml:space="preserve"> 工作损耗，lb/a；</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M</w:t>
      </w:r>
      <w:r>
        <w:rPr>
          <w:rFonts w:ascii="Times New Roman" w:hAnsi="Times New Roman" w:cs="Times New Roman"/>
          <w:color w:val="auto"/>
          <w:szCs w:val="24"/>
          <w:vertAlign w:val="subscript"/>
        </w:rPr>
        <w:t xml:space="preserve">V </w:t>
      </w:r>
      <w:r>
        <w:rPr>
          <w:rFonts w:ascii="Times New Roman" w:hAnsi="Times New Roman" w:cs="Times New Roman"/>
          <w:color w:val="auto"/>
          <w:szCs w:val="24"/>
        </w:rPr>
        <w:t>气相分子量，lb/lb-mol；</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P</w:t>
      </w:r>
      <w:r>
        <w:rPr>
          <w:rFonts w:ascii="Times New Roman" w:hAnsi="Times New Roman" w:cs="Times New Roman"/>
          <w:color w:val="auto"/>
          <w:szCs w:val="24"/>
          <w:vertAlign w:val="subscript"/>
        </w:rPr>
        <w:t>VA</w:t>
      </w:r>
      <w:r>
        <w:rPr>
          <w:rFonts w:ascii="Times New Roman" w:hAnsi="Times New Roman" w:cs="Times New Roman"/>
          <w:color w:val="auto"/>
          <w:szCs w:val="24"/>
        </w:rPr>
        <w:t xml:space="preserve"> 真实蒸汽压，psia；</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Q 年周转量，bbl/a；</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K</w:t>
      </w:r>
      <w:r>
        <w:rPr>
          <w:rFonts w:ascii="Times New Roman" w:hAnsi="Times New Roman" w:cs="Times New Roman"/>
          <w:color w:val="auto"/>
          <w:szCs w:val="24"/>
          <w:vertAlign w:val="subscript"/>
        </w:rPr>
        <w:t xml:space="preserve">P </w:t>
      </w:r>
      <w:r>
        <w:rPr>
          <w:rFonts w:ascii="Times New Roman" w:hAnsi="Times New Roman" w:cs="Times New Roman"/>
          <w:color w:val="auto"/>
          <w:szCs w:val="24"/>
        </w:rPr>
        <w:t>工作损耗产品因子，无量纲量；</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对于原油 K</w:t>
      </w:r>
      <w:r>
        <w:rPr>
          <w:rFonts w:ascii="Times New Roman" w:hAnsi="Times New Roman" w:cs="Times New Roman"/>
          <w:color w:val="auto"/>
          <w:szCs w:val="24"/>
          <w:vertAlign w:val="subscript"/>
        </w:rPr>
        <w:t>P</w:t>
      </w:r>
      <w:r>
        <w:rPr>
          <w:rFonts w:ascii="Times New Roman" w:hAnsi="Times New Roman" w:cs="Times New Roman"/>
          <w:color w:val="auto"/>
          <w:szCs w:val="24"/>
        </w:rPr>
        <w:t>=0.75；</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对于其它有机液体 KP=1；</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K</w:t>
      </w:r>
      <w:r>
        <w:rPr>
          <w:rFonts w:ascii="Times New Roman" w:hAnsi="Times New Roman" w:cs="Times New Roman"/>
          <w:color w:val="auto"/>
          <w:szCs w:val="24"/>
          <w:vertAlign w:val="subscript"/>
        </w:rPr>
        <w:t>N</w:t>
      </w:r>
      <w:r>
        <w:rPr>
          <w:rFonts w:ascii="Times New Roman" w:hAnsi="Times New Roman" w:cs="Times New Roman"/>
          <w:color w:val="auto"/>
          <w:szCs w:val="24"/>
        </w:rPr>
        <w:t xml:space="preserve"> 工作排放周转（饱和）因子，无量纲量；</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周转数=Q/V</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 xml:space="preserve"> （V取储罐最大储存容积，bbl，如果最大储存容积未知，取公称容积的0.85倍）</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当周转数＞36，K</w:t>
      </w:r>
      <w:r>
        <w:rPr>
          <w:rFonts w:ascii="Times New Roman" w:hAnsi="Times New Roman" w:cs="Times New Roman"/>
          <w:color w:val="auto"/>
          <w:szCs w:val="24"/>
          <w:vertAlign w:val="subscript"/>
        </w:rPr>
        <w:t>N</w:t>
      </w:r>
      <w:r>
        <w:rPr>
          <w:rFonts w:ascii="Times New Roman" w:hAnsi="Times New Roman" w:cs="Times New Roman"/>
          <w:color w:val="auto"/>
          <w:szCs w:val="24"/>
        </w:rPr>
        <w:t>=（180+N）/6N；</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当周转数≤36，K</w:t>
      </w:r>
      <w:r>
        <w:rPr>
          <w:rFonts w:ascii="Times New Roman" w:hAnsi="Times New Roman" w:cs="Times New Roman"/>
          <w:color w:val="auto"/>
          <w:szCs w:val="24"/>
          <w:vertAlign w:val="subscript"/>
        </w:rPr>
        <w:t>N</w:t>
      </w:r>
      <w:r>
        <w:rPr>
          <w:rFonts w:ascii="Times New Roman" w:hAnsi="Times New Roman" w:cs="Times New Roman"/>
          <w:color w:val="auto"/>
          <w:szCs w:val="24"/>
        </w:rPr>
        <w:t>=1；</w:t>
      </w:r>
    </w:p>
    <w:p>
      <w:pPr>
        <w:pStyle w:val="25"/>
        <w:spacing w:line="360" w:lineRule="auto"/>
        <w:ind w:left="480" w:leftChars="200" w:firstLine="0" w:firstLineChars="0"/>
        <w:rPr>
          <w:rFonts w:ascii="Times New Roman" w:hAnsi="Times New Roman" w:cs="Times New Roman"/>
          <w:b/>
          <w:bCs/>
          <w:color w:val="auto"/>
          <w:szCs w:val="24"/>
        </w:rPr>
      </w:pPr>
      <w:r>
        <w:rPr>
          <w:rFonts w:ascii="Times New Roman" w:hAnsi="Times New Roman" w:cs="Times New Roman"/>
          <w:color w:val="auto"/>
          <w:szCs w:val="24"/>
        </w:rPr>
        <w:t>K</w:t>
      </w:r>
      <w:r>
        <w:rPr>
          <w:rFonts w:ascii="Times New Roman" w:hAnsi="Times New Roman" w:cs="Times New Roman"/>
          <w:color w:val="auto"/>
          <w:szCs w:val="24"/>
          <w:vertAlign w:val="subscript"/>
        </w:rPr>
        <w:t>B</w:t>
      </w:r>
      <w:r>
        <w:rPr>
          <w:rFonts w:ascii="Times New Roman" w:hAnsi="Times New Roman" w:cs="Times New Roman"/>
          <w:color w:val="auto"/>
          <w:szCs w:val="24"/>
        </w:rPr>
        <w:t>呼吸阀工作校正因子。</w:t>
      </w:r>
      <w:r>
        <w:rPr>
          <w:rFonts w:ascii="Times New Roman" w:hAnsi="Times New Roman" w:cs="Times New Roman"/>
          <w:color w:val="auto"/>
          <w:szCs w:val="24"/>
        </w:rPr>
        <w:cr/>
      </w:r>
      <w:r>
        <w:rPr>
          <w:rFonts w:ascii="Times New Roman" w:hAnsi="Times New Roman" w:cs="Times New Roman"/>
          <w:b/>
          <w:bCs/>
          <w:color w:val="auto"/>
          <w:szCs w:val="24"/>
        </w:rPr>
        <w:fldChar w:fldCharType="begin"/>
      </w:r>
      <w:r>
        <w:rPr>
          <w:rFonts w:ascii="Times New Roman" w:hAnsi="Times New Roman" w:cs="Times New Roman"/>
          <w:b/>
          <w:bCs/>
          <w:color w:val="auto"/>
          <w:szCs w:val="24"/>
        </w:rPr>
        <w:instrText xml:space="preserve"> = 3 \* GB3 </w:instrText>
      </w:r>
      <w:r>
        <w:rPr>
          <w:rFonts w:ascii="Times New Roman" w:hAnsi="Times New Roman" w:cs="Times New Roman"/>
          <w:b/>
          <w:bCs/>
          <w:color w:val="auto"/>
          <w:szCs w:val="24"/>
        </w:rPr>
        <w:fldChar w:fldCharType="separate"/>
      </w:r>
      <w:r>
        <w:rPr>
          <w:rFonts w:hint="eastAsia" w:ascii="宋体" w:hAnsi="宋体" w:cs="宋体"/>
          <w:b/>
          <w:bCs/>
          <w:color w:val="auto"/>
          <w:szCs w:val="24"/>
        </w:rPr>
        <w:t>③</w:t>
      </w:r>
      <w:r>
        <w:rPr>
          <w:rFonts w:ascii="Times New Roman" w:hAnsi="Times New Roman" w:cs="Times New Roman"/>
          <w:b/>
          <w:bCs/>
          <w:color w:val="auto"/>
          <w:szCs w:val="24"/>
        </w:rPr>
        <w:fldChar w:fldCharType="end"/>
      </w:r>
      <w:r>
        <w:rPr>
          <w:rFonts w:ascii="Times New Roman" w:hAnsi="Times New Roman" w:cs="Times New Roman"/>
          <w:b/>
          <w:bCs/>
          <w:color w:val="auto"/>
          <w:szCs w:val="24"/>
        </w:rPr>
        <w:t>计算过程：</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第一步：梳理基础数据</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fldChar w:fldCharType="begin"/>
      </w:r>
      <w:r>
        <w:rPr>
          <w:rFonts w:ascii="Times New Roman" w:hAnsi="Times New Roman" w:cs="Times New Roman"/>
          <w:color w:val="auto"/>
          <w:szCs w:val="24"/>
        </w:rPr>
        <w:instrText xml:space="preserve"> = 1 \* roman </w:instrText>
      </w:r>
      <w:r>
        <w:rPr>
          <w:rFonts w:ascii="Times New Roman" w:hAnsi="Times New Roman" w:cs="Times New Roman"/>
          <w:color w:val="auto"/>
          <w:szCs w:val="24"/>
        </w:rPr>
        <w:fldChar w:fldCharType="separate"/>
      </w:r>
      <w:r>
        <w:rPr>
          <w:rFonts w:ascii="Times New Roman" w:hAnsi="Times New Roman" w:cs="Times New Roman"/>
          <w:color w:val="auto"/>
          <w:szCs w:val="24"/>
        </w:rPr>
        <w:t>i</w:t>
      </w:r>
      <w:r>
        <w:rPr>
          <w:rFonts w:ascii="Times New Roman" w:hAnsi="Times New Roman" w:cs="Times New Roman"/>
          <w:color w:val="auto"/>
          <w:szCs w:val="24"/>
        </w:rPr>
        <w:fldChar w:fldCharType="end"/>
      </w:r>
      <w:r>
        <w:rPr>
          <w:rFonts w:ascii="Times New Roman" w:hAnsi="Times New Roman" w:cs="Times New Roman"/>
          <w:color w:val="auto"/>
          <w:szCs w:val="24"/>
        </w:rPr>
        <w:t>、气象数据</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查阅资料可知，合肥市的年日平均最高温度约为22℃，日平均最低温度约为13℃，大气压为1atm，太阳辐射因子为1500Btu/（ft</w:t>
      </w:r>
      <w:r>
        <w:rPr>
          <w:rFonts w:ascii="Times New Roman" w:hAnsi="Times New Roman" w:cs="Times New Roman"/>
          <w:color w:val="auto"/>
          <w:szCs w:val="24"/>
          <w:vertAlign w:val="superscript"/>
        </w:rPr>
        <w:t>2</w:t>
      </w:r>
      <w:r>
        <w:rPr>
          <w:rFonts w:ascii="Times New Roman" w:hAnsi="Times New Roman" w:cs="Times New Roman"/>
          <w:color w:val="auto"/>
          <w:szCs w:val="24"/>
        </w:rPr>
        <w:t>·a）。</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fldChar w:fldCharType="begin"/>
      </w:r>
      <w:r>
        <w:rPr>
          <w:rFonts w:ascii="Times New Roman" w:hAnsi="Times New Roman" w:cs="Times New Roman"/>
          <w:color w:val="auto"/>
          <w:szCs w:val="24"/>
        </w:rPr>
        <w:instrText xml:space="preserve"> = 2 \* roman </w:instrText>
      </w:r>
      <w:r>
        <w:rPr>
          <w:rFonts w:ascii="Times New Roman" w:hAnsi="Times New Roman" w:cs="Times New Roman"/>
          <w:color w:val="auto"/>
          <w:szCs w:val="24"/>
        </w:rPr>
        <w:fldChar w:fldCharType="separate"/>
      </w:r>
      <w:r>
        <w:rPr>
          <w:rFonts w:ascii="Times New Roman" w:hAnsi="Times New Roman" w:cs="Times New Roman"/>
          <w:color w:val="auto"/>
          <w:szCs w:val="24"/>
        </w:rPr>
        <w:t>ii</w:t>
      </w:r>
      <w:r>
        <w:rPr>
          <w:rFonts w:ascii="Times New Roman" w:hAnsi="Times New Roman" w:cs="Times New Roman"/>
          <w:color w:val="auto"/>
          <w:szCs w:val="24"/>
        </w:rPr>
        <w:fldChar w:fldCharType="end"/>
      </w:r>
      <w:r>
        <w:rPr>
          <w:rFonts w:ascii="Times New Roman" w:hAnsi="Times New Roman" w:cs="Times New Roman"/>
          <w:color w:val="auto"/>
          <w:szCs w:val="24"/>
        </w:rPr>
        <w:t>、有机液体理化数据</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通过实测和查阅资料可得：</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A.</w:t>
      </w:r>
      <w:r>
        <w:rPr>
          <w:rFonts w:ascii="Times New Roman" w:hAnsi="Times New Roman" w:cs="Times New Roman"/>
        </w:rPr>
        <w:t xml:space="preserve"> 根据</w:t>
      </w:r>
      <w:r>
        <w:rPr>
          <w:rFonts w:ascii="Times New Roman" w:hAnsi="Times New Roman" w:cs="Times New Roman"/>
          <w:color w:val="auto"/>
          <w:szCs w:val="24"/>
        </w:rPr>
        <w:t>《石油产品蒸气压的测定 雷德法》（GB/T 8017-2012），柴油无雷德法蒸汽压测定指标要求，年平均存储温度约为20℃，通过查阅资料，柴油在20℃时的真实蒸汽压约为0.67kPa，油气摩尔质量为130g/g-mol；</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B.柴油液体密度为 0.84t/m</w:t>
      </w:r>
      <w:r>
        <w:rPr>
          <w:rFonts w:ascii="Times New Roman" w:hAnsi="Times New Roman" w:cs="Times New Roman"/>
          <w:color w:val="auto"/>
          <w:szCs w:val="24"/>
          <w:vertAlign w:val="superscript"/>
        </w:rPr>
        <w:t>3</w:t>
      </w:r>
      <w:r>
        <w:rPr>
          <w:rFonts w:ascii="Times New Roman" w:hAnsi="Times New Roman" w:cs="Times New Roman"/>
          <w:color w:val="auto"/>
          <w:szCs w:val="24"/>
        </w:rPr>
        <w:t>。</w:t>
      </w:r>
    </w:p>
    <w:p>
      <w:pPr>
        <w:pStyle w:val="25"/>
        <w:spacing w:line="360" w:lineRule="auto"/>
        <w:ind w:firstLine="480"/>
        <w:rPr>
          <w:rFonts w:ascii="Times New Roman" w:hAnsi="Times New Roman" w:cs="Times New Roman"/>
          <w:color w:val="auto"/>
          <w:szCs w:val="24"/>
        </w:rPr>
      </w:pPr>
      <w:r>
        <w:rPr>
          <w:rFonts w:hint="eastAsia" w:ascii="宋体" w:hAnsi="宋体" w:cs="宋体"/>
          <w:color w:val="auto"/>
          <w:szCs w:val="24"/>
        </w:rPr>
        <w:t>③</w:t>
      </w:r>
      <w:r>
        <w:rPr>
          <w:rFonts w:ascii="Times New Roman" w:hAnsi="Times New Roman" w:cs="Times New Roman"/>
          <w:color w:val="auto"/>
          <w:szCs w:val="24"/>
        </w:rPr>
        <w:t>构造数据</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容积：5000m</w:t>
      </w:r>
      <w:r>
        <w:rPr>
          <w:rFonts w:ascii="Times New Roman" w:hAnsi="Times New Roman" w:cs="Times New Roman"/>
          <w:color w:val="auto"/>
          <w:szCs w:val="24"/>
          <w:vertAlign w:val="superscript"/>
        </w:rPr>
        <w:t>3</w:t>
      </w:r>
      <w:r>
        <w:rPr>
          <w:rFonts w:ascii="Times New Roman" w:hAnsi="Times New Roman" w:cs="Times New Roman"/>
          <w:color w:val="auto"/>
          <w:szCs w:val="24"/>
        </w:rPr>
        <w:t>；直径：19.5m；罐体高度：17.84m；年平均储存高度：12m；罐体涂漆颜色：白色；呼吸阀设定压力：-295Pa-980Pa。</w:t>
      </w:r>
    </w:p>
    <w:p>
      <w:pPr>
        <w:pStyle w:val="25"/>
        <w:spacing w:line="360" w:lineRule="auto"/>
        <w:ind w:firstLine="480"/>
        <w:rPr>
          <w:rFonts w:ascii="Times New Roman" w:hAnsi="Times New Roman" w:cs="Times New Roman"/>
          <w:color w:val="auto"/>
          <w:szCs w:val="24"/>
        </w:rPr>
      </w:pPr>
      <w:r>
        <w:rPr>
          <w:rFonts w:hint="eastAsia" w:ascii="宋体" w:hAnsi="宋体" w:cs="宋体"/>
          <w:color w:val="auto"/>
          <w:szCs w:val="24"/>
        </w:rPr>
        <w:t>④</w:t>
      </w:r>
      <w:r>
        <w:rPr>
          <w:rFonts w:ascii="Times New Roman" w:hAnsi="Times New Roman" w:cs="Times New Roman"/>
          <w:color w:val="auto"/>
          <w:szCs w:val="24"/>
        </w:rPr>
        <w:t>周转数据</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本项目共设13个5000m</w:t>
      </w:r>
      <w:r>
        <w:rPr>
          <w:rFonts w:ascii="Times New Roman" w:hAnsi="Times New Roman" w:cs="Times New Roman"/>
          <w:color w:val="auto"/>
          <w:szCs w:val="24"/>
          <w:vertAlign w:val="superscript"/>
        </w:rPr>
        <w:t>3</w:t>
      </w:r>
      <w:r>
        <w:rPr>
          <w:rFonts w:ascii="Times New Roman" w:hAnsi="Times New Roman" w:cs="Times New Roman"/>
          <w:color w:val="auto"/>
          <w:szCs w:val="24"/>
        </w:rPr>
        <w:t>柴油固定顶储罐，总柴油周转量为38.5万t/a，则5000 m</w:t>
      </w:r>
      <w:r>
        <w:rPr>
          <w:rFonts w:ascii="Times New Roman" w:hAnsi="Times New Roman" w:cs="Times New Roman"/>
          <w:color w:val="auto"/>
          <w:szCs w:val="24"/>
          <w:vertAlign w:val="superscript"/>
        </w:rPr>
        <w:t>3</w:t>
      </w:r>
      <w:r>
        <w:rPr>
          <w:rFonts w:ascii="Times New Roman" w:hAnsi="Times New Roman" w:cs="Times New Roman"/>
          <w:color w:val="auto"/>
          <w:szCs w:val="24"/>
        </w:rPr>
        <w:t>单罐的年周转量：29615t。</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第二步：计算损耗因子</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结合工程相关信息和数据，代入相应的公式，计算出固定顶罐静置损耗和工作损耗公式中的各损耗因子。</w:t>
      </w:r>
    </w:p>
    <w:p>
      <w:pPr>
        <w:pStyle w:val="25"/>
        <w:spacing w:line="360" w:lineRule="auto"/>
        <w:ind w:firstLine="480"/>
        <w:rPr>
          <w:rFonts w:ascii="Times New Roman" w:hAnsi="Times New Roman" w:cs="Times New Roman"/>
          <w:color w:val="auto"/>
          <w:szCs w:val="24"/>
        </w:rPr>
      </w:pPr>
      <w:r>
        <w:rPr>
          <w:rFonts w:hint="eastAsia" w:ascii="宋体" w:hAnsi="宋体" w:cs="宋体"/>
          <w:color w:val="auto"/>
          <w:szCs w:val="24"/>
        </w:rPr>
        <w:t>①</w:t>
      </w:r>
      <w:r>
        <w:rPr>
          <w:rFonts w:ascii="Times New Roman" w:hAnsi="Times New Roman" w:cs="Times New Roman"/>
          <w:color w:val="auto"/>
          <w:szCs w:val="24"/>
        </w:rPr>
        <w:t>静置损失</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A.气相空间膨胀因子</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通过输入以下参数：当地大气压、环境温度、太阳能辐射因子、罐壁涂料颜色和呼吸阀设定压力，计算出气相空间膨胀因子为0.067。</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B.气相空间高度</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通过输入以下参数：罐体高度、平均储存高度、罐穹顶半径和罐体半径，计算出气相空间高度为8.9m。</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C. 气相空间饱和因子</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通过输入以下参数：气相空间高度和真实蒸汽压，计算出气相空间饱和因子约为 0.75。</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D. 气相密度</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通过输入以下参数：真实蒸汽压、气相摩尔质量和液体表面温度，计算出气相密度为 79.1g/m</w:t>
      </w:r>
      <w:r>
        <w:rPr>
          <w:rFonts w:ascii="Times New Roman" w:hAnsi="Times New Roman" w:cs="Times New Roman"/>
          <w:color w:val="auto"/>
          <w:szCs w:val="24"/>
          <w:vertAlign w:val="superscript"/>
        </w:rPr>
        <w:t>3</w:t>
      </w:r>
      <w:r>
        <w:rPr>
          <w:rFonts w:ascii="Times New Roman" w:hAnsi="Times New Roman" w:cs="Times New Roman"/>
          <w:color w:val="auto"/>
          <w:szCs w:val="24"/>
        </w:rPr>
        <w:t>。</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将以上计算得出的数据代入L</w:t>
      </w:r>
      <w:r>
        <w:rPr>
          <w:rFonts w:ascii="Times New Roman" w:hAnsi="Times New Roman" w:cs="Times New Roman"/>
          <w:color w:val="auto"/>
          <w:szCs w:val="24"/>
          <w:vertAlign w:val="subscript"/>
        </w:rPr>
        <w:t>S</w:t>
      </w:r>
      <w:r>
        <w:rPr>
          <w:rFonts w:ascii="Times New Roman" w:hAnsi="Times New Roman" w:cs="Times New Roman"/>
          <w:color w:val="auto"/>
          <w:szCs w:val="24"/>
        </w:rPr>
        <w:t>计算公式：</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即得出本项目单个5000 m</w:t>
      </w:r>
      <w:r>
        <w:rPr>
          <w:rFonts w:ascii="Times New Roman" w:hAnsi="Times New Roman" w:cs="Times New Roman"/>
          <w:color w:val="auto"/>
          <w:szCs w:val="24"/>
          <w:vertAlign w:val="superscript"/>
        </w:rPr>
        <w:t>3</w:t>
      </w:r>
      <w:r>
        <w:rPr>
          <w:rFonts w:ascii="Times New Roman" w:hAnsi="Times New Roman" w:cs="Times New Roman"/>
          <w:color w:val="auto"/>
          <w:szCs w:val="24"/>
        </w:rPr>
        <w:t>柴油固定顶储罐静置损失L</w:t>
      </w:r>
      <w:r>
        <w:rPr>
          <w:rFonts w:ascii="Times New Roman" w:hAnsi="Times New Roman" w:cs="Times New Roman"/>
          <w:color w:val="auto"/>
          <w:szCs w:val="24"/>
          <w:vertAlign w:val="subscript"/>
        </w:rPr>
        <w:t>S</w:t>
      </w:r>
      <w:r>
        <w:rPr>
          <w:rFonts w:ascii="Times New Roman" w:hAnsi="Times New Roman" w:cs="Times New Roman"/>
          <w:color w:val="auto"/>
          <w:szCs w:val="24"/>
        </w:rPr>
        <w:t xml:space="preserve">约为1.08t。 </w:t>
      </w:r>
    </w:p>
    <w:p>
      <w:pPr>
        <w:pStyle w:val="25"/>
        <w:spacing w:line="360" w:lineRule="auto"/>
        <w:ind w:firstLine="480"/>
        <w:rPr>
          <w:rFonts w:ascii="Times New Roman" w:hAnsi="Times New Roman" w:cs="Times New Roman"/>
          <w:color w:val="auto"/>
          <w:szCs w:val="24"/>
        </w:rPr>
      </w:pPr>
      <w:r>
        <w:rPr>
          <w:rFonts w:hint="eastAsia" w:ascii="宋体" w:hAnsi="宋体" w:cs="宋体"/>
          <w:color w:val="auto"/>
          <w:szCs w:val="24"/>
        </w:rPr>
        <w:t>②</w:t>
      </w:r>
      <w:r>
        <w:rPr>
          <w:rFonts w:ascii="Times New Roman" w:hAnsi="Times New Roman" w:cs="Times New Roman"/>
          <w:color w:val="auto"/>
          <w:szCs w:val="24"/>
        </w:rPr>
        <w:t>工作损失</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A. 工作损失周转因子</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通过输入周转量，计算出该储罐年周转次数约为8次，小于36，故工作损失周转因子取值1。</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B. 呼吸阀工作状态因子</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通过输入大气压、真实蒸汽压、工作损失周转因子、呼吸阀设定压力，计算出呼吸阀工作状态因子约为1。</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将以上计算得出的数据代入Lw公式，即得本项目单个5000m</w:t>
      </w:r>
      <w:r>
        <w:rPr>
          <w:rFonts w:ascii="Times New Roman" w:hAnsi="Times New Roman" w:cs="Times New Roman"/>
          <w:color w:val="auto"/>
          <w:szCs w:val="24"/>
          <w:vertAlign w:val="superscript"/>
        </w:rPr>
        <w:t>3</w:t>
      </w:r>
      <w:r>
        <w:rPr>
          <w:rFonts w:ascii="Times New Roman" w:hAnsi="Times New Roman" w:cs="Times New Roman"/>
          <w:color w:val="auto"/>
          <w:szCs w:val="24"/>
        </w:rPr>
        <w:t>柴油固定顶储罐工作损失约为Lw=1.81 t。</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综上，单个5000m</w:t>
      </w:r>
      <w:r>
        <w:rPr>
          <w:rFonts w:ascii="Times New Roman" w:hAnsi="Times New Roman" w:cs="Times New Roman"/>
          <w:color w:val="auto"/>
          <w:szCs w:val="24"/>
          <w:vertAlign w:val="superscript"/>
        </w:rPr>
        <w:t>3</w:t>
      </w:r>
      <w:r>
        <w:rPr>
          <w:rFonts w:ascii="Times New Roman" w:hAnsi="Times New Roman" w:cs="Times New Roman"/>
          <w:color w:val="auto"/>
          <w:szCs w:val="24"/>
        </w:rPr>
        <w:t>柴油固定顶储罐的总损耗LT = 静置损耗LS+工作损耗Lw=2.89t。</w:t>
      </w:r>
    </w:p>
    <w:p>
      <w:pPr>
        <w:pStyle w:val="25"/>
        <w:spacing w:line="360" w:lineRule="auto"/>
        <w:ind w:firstLine="422"/>
        <w:jc w:val="center"/>
        <w:rPr>
          <w:rFonts w:ascii="Times New Roman" w:hAnsi="Times New Roman" w:cs="Times New Roman"/>
          <w:color w:val="auto"/>
          <w:szCs w:val="24"/>
        </w:rPr>
      </w:pPr>
      <w:r>
        <w:rPr>
          <w:rFonts w:ascii="Times New Roman" w:hAnsi="Times New Roman" w:cs="Times New Roman"/>
          <w:b/>
          <w:bCs/>
          <w:color w:val="auto"/>
          <w:sz w:val="21"/>
          <w:szCs w:val="21"/>
        </w:rPr>
        <w:t>表3.10-9     固定顶罐损耗计算参数明细表</w:t>
      </w:r>
    </w:p>
    <w:tbl>
      <w:tblPr>
        <w:tblStyle w:val="62"/>
        <w:tblW w:w="915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15"/>
        <w:gridCol w:w="610"/>
        <w:gridCol w:w="577"/>
        <w:gridCol w:w="1055"/>
        <w:gridCol w:w="738"/>
        <w:gridCol w:w="623"/>
        <w:gridCol w:w="546"/>
        <w:gridCol w:w="736"/>
        <w:gridCol w:w="709"/>
        <w:gridCol w:w="738"/>
        <w:gridCol w:w="724"/>
        <w:gridCol w:w="659"/>
        <w:gridCol w:w="711"/>
        <w:gridCol w:w="1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957" w:type="dxa"/>
            <w:gridSpan w:val="4"/>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气象参数</w:t>
            </w:r>
          </w:p>
        </w:tc>
        <w:tc>
          <w:tcPr>
            <w:tcW w:w="6195" w:type="dxa"/>
            <w:gridSpan w:val="10"/>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储罐构造参数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1" w:type="dxa"/>
          <w:trHeight w:val="341" w:hRule="atLeast"/>
        </w:trPr>
        <w:tc>
          <w:tcPr>
            <w:tcW w:w="715" w:type="dxa"/>
            <w:shd w:val="clear" w:color="000000"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大气压(kPa)</w:t>
            </w:r>
          </w:p>
        </w:tc>
        <w:tc>
          <w:tcPr>
            <w:tcW w:w="610" w:type="dxa"/>
            <w:shd w:val="clear" w:color="000000"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日平均最高环境温度(℃)</w:t>
            </w:r>
          </w:p>
        </w:tc>
        <w:tc>
          <w:tcPr>
            <w:tcW w:w="577" w:type="dxa"/>
            <w:shd w:val="clear" w:color="000000"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日平均最低环境温度(℃)</w:t>
            </w:r>
          </w:p>
        </w:tc>
        <w:tc>
          <w:tcPr>
            <w:tcW w:w="1055" w:type="dxa"/>
            <w:shd w:val="clear" w:color="000000"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水平面太阳能总辐射(Btu/ft</w:t>
            </w:r>
            <w:r>
              <w:rPr>
                <w:rFonts w:ascii="Times New Roman" w:hAnsi="Times New Roman" w:cs="Times New Roman"/>
                <w:kern w:val="0"/>
                <w:sz w:val="18"/>
                <w:szCs w:val="18"/>
                <w:vertAlign w:val="superscript"/>
              </w:rPr>
              <w:t>2</w:t>
            </w:r>
            <w:r>
              <w:rPr>
                <w:rFonts w:ascii="Times New Roman" w:hAnsi="Times New Roman" w:cs="Times New Roman"/>
                <w:kern w:val="0"/>
                <w:sz w:val="18"/>
                <w:szCs w:val="18"/>
              </w:rPr>
              <w:t>.day)</w:t>
            </w:r>
          </w:p>
        </w:tc>
        <w:tc>
          <w:tcPr>
            <w:tcW w:w="738"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容积（m</w:t>
            </w:r>
            <w:r>
              <w:rPr>
                <w:rFonts w:ascii="Times New Roman" w:hAnsi="Times New Roman" w:cs="Times New Roman"/>
                <w:color w:val="auto"/>
                <w:kern w:val="0"/>
                <w:sz w:val="18"/>
                <w:szCs w:val="18"/>
                <w:vertAlign w:val="superscript"/>
              </w:rPr>
              <w:t>3</w:t>
            </w:r>
            <w:r>
              <w:rPr>
                <w:rFonts w:ascii="Times New Roman" w:hAnsi="Times New Roman" w:cs="Times New Roman"/>
                <w:color w:val="auto"/>
                <w:kern w:val="0"/>
                <w:sz w:val="18"/>
                <w:szCs w:val="18"/>
              </w:rPr>
              <w:t>）</w:t>
            </w:r>
          </w:p>
        </w:tc>
        <w:tc>
          <w:tcPr>
            <w:tcW w:w="623"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直径(m)</w:t>
            </w:r>
          </w:p>
        </w:tc>
        <w:tc>
          <w:tcPr>
            <w:tcW w:w="546" w:type="dxa"/>
            <w:shd w:val="clear" w:color="000000"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罐壁/顶颜色</w:t>
            </w:r>
          </w:p>
        </w:tc>
        <w:tc>
          <w:tcPr>
            <w:tcW w:w="736" w:type="dxa"/>
            <w:shd w:val="clear" w:color="000000"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呼吸阀压力设定</w:t>
            </w:r>
            <w:r>
              <w:rPr>
                <w:rFonts w:ascii="Times New Roman" w:hAnsi="Times New Roman" w:cs="Times New Roman"/>
                <w:kern w:val="0"/>
                <w:sz w:val="18"/>
                <w:szCs w:val="18"/>
                <w:vertAlign w:val="subscript"/>
              </w:rPr>
              <w:t xml:space="preserve"> </w:t>
            </w:r>
            <w:r>
              <w:rPr>
                <w:rFonts w:ascii="Times New Roman" w:hAnsi="Times New Roman" w:cs="Times New Roman"/>
                <w:kern w:val="0"/>
                <w:sz w:val="18"/>
                <w:szCs w:val="18"/>
              </w:rPr>
              <w:t>(pa)</w:t>
            </w:r>
          </w:p>
        </w:tc>
        <w:tc>
          <w:tcPr>
            <w:tcW w:w="709" w:type="dxa"/>
            <w:shd w:val="clear" w:color="000000"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呼吸阀真空设定 (pa)</w:t>
            </w:r>
          </w:p>
        </w:tc>
        <w:tc>
          <w:tcPr>
            <w:tcW w:w="738"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罐体高度（m）</w:t>
            </w:r>
          </w:p>
        </w:tc>
        <w:tc>
          <w:tcPr>
            <w:tcW w:w="724"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年平均储存高度（m）</w:t>
            </w:r>
          </w:p>
        </w:tc>
        <w:tc>
          <w:tcPr>
            <w:tcW w:w="659"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罐穹顶半径(m)</w:t>
            </w:r>
          </w:p>
        </w:tc>
        <w:tc>
          <w:tcPr>
            <w:tcW w:w="711"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罐半径（米）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1" w:type="dxa"/>
          <w:trHeight w:val="90" w:hRule="atLeast"/>
        </w:trPr>
        <w:tc>
          <w:tcPr>
            <w:tcW w:w="715"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100.3</w:t>
            </w:r>
          </w:p>
        </w:tc>
        <w:tc>
          <w:tcPr>
            <w:tcW w:w="610"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22</w:t>
            </w:r>
          </w:p>
        </w:tc>
        <w:tc>
          <w:tcPr>
            <w:tcW w:w="5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w:t>
            </w:r>
          </w:p>
        </w:tc>
        <w:tc>
          <w:tcPr>
            <w:tcW w:w="1055" w:type="dxa"/>
            <w:shd w:val="clear" w:color="000000"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1500</w:t>
            </w:r>
          </w:p>
        </w:tc>
        <w:tc>
          <w:tcPr>
            <w:tcW w:w="738"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5000</w:t>
            </w:r>
          </w:p>
        </w:tc>
        <w:tc>
          <w:tcPr>
            <w:tcW w:w="623"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19.5</w:t>
            </w:r>
          </w:p>
        </w:tc>
        <w:tc>
          <w:tcPr>
            <w:tcW w:w="546"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b/>
                <w:bCs/>
                <w:color w:val="auto"/>
                <w:kern w:val="0"/>
                <w:sz w:val="18"/>
                <w:szCs w:val="18"/>
              </w:rPr>
              <w:t>白色</w:t>
            </w:r>
          </w:p>
        </w:tc>
        <w:tc>
          <w:tcPr>
            <w:tcW w:w="736" w:type="dxa"/>
            <w:shd w:val="clear" w:color="000000"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980</w:t>
            </w:r>
          </w:p>
        </w:tc>
        <w:tc>
          <w:tcPr>
            <w:tcW w:w="709" w:type="dxa"/>
            <w:shd w:val="clear" w:color="000000"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-295</w:t>
            </w:r>
          </w:p>
        </w:tc>
        <w:tc>
          <w:tcPr>
            <w:tcW w:w="73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17.84</w:t>
            </w:r>
          </w:p>
        </w:tc>
        <w:tc>
          <w:tcPr>
            <w:tcW w:w="724"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w:t>
            </w:r>
          </w:p>
        </w:tc>
        <w:tc>
          <w:tcPr>
            <w:tcW w:w="65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19.5</w:t>
            </w:r>
          </w:p>
        </w:tc>
        <w:tc>
          <w:tcPr>
            <w:tcW w:w="711"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9.75</w:t>
            </w:r>
          </w:p>
        </w:tc>
      </w:tr>
    </w:tbl>
    <w:p>
      <w:pPr>
        <w:pStyle w:val="25"/>
        <w:spacing w:before="160" w:line="360" w:lineRule="auto"/>
        <w:ind w:firstLine="422"/>
        <w:jc w:val="center"/>
        <w:rPr>
          <w:rFonts w:ascii="Times New Roman" w:hAnsi="Times New Roman" w:cs="Times New Roman"/>
          <w:color w:val="auto"/>
          <w:szCs w:val="24"/>
        </w:rPr>
      </w:pPr>
      <w:r>
        <w:rPr>
          <w:rFonts w:ascii="Times New Roman" w:hAnsi="Times New Roman" w:cs="Times New Roman"/>
          <w:b/>
          <w:bCs/>
          <w:color w:val="auto"/>
          <w:sz w:val="21"/>
          <w:szCs w:val="21"/>
        </w:rPr>
        <w:t>表3.10-10    本项目固定顶罐损耗计算参数明细表</w:t>
      </w:r>
    </w:p>
    <w:tbl>
      <w:tblPr>
        <w:tblStyle w:val="62"/>
        <w:tblW w:w="921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1375"/>
        <w:gridCol w:w="984"/>
        <w:gridCol w:w="1180"/>
        <w:gridCol w:w="1011"/>
        <w:gridCol w:w="1180"/>
        <w:gridCol w:w="1279"/>
        <w:gridCol w:w="1062"/>
        <w:gridCol w:w="114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29" w:hRule="atLeast"/>
          <w:jc w:val="center"/>
        </w:trPr>
        <w:tc>
          <w:tcPr>
            <w:tcW w:w="1375"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罐型</w:t>
            </w:r>
          </w:p>
        </w:tc>
        <w:tc>
          <w:tcPr>
            <w:tcW w:w="984"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容积</w:t>
            </w:r>
          </w:p>
        </w:tc>
        <w:tc>
          <w:tcPr>
            <w:tcW w:w="1180"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静置损失（t/y）</w:t>
            </w:r>
          </w:p>
        </w:tc>
        <w:tc>
          <w:tcPr>
            <w:tcW w:w="1011"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单罐年周转量（t）</w:t>
            </w:r>
          </w:p>
        </w:tc>
        <w:tc>
          <w:tcPr>
            <w:tcW w:w="1180"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工作损失(t/y）</w:t>
            </w:r>
          </w:p>
        </w:tc>
        <w:tc>
          <w:tcPr>
            <w:tcW w:w="1279"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单罐总损失</w:t>
            </w:r>
          </w:p>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t/y</w:t>
            </w:r>
          </w:p>
        </w:tc>
        <w:tc>
          <w:tcPr>
            <w:tcW w:w="1062"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罐个数</w:t>
            </w:r>
          </w:p>
        </w:tc>
        <w:tc>
          <w:tcPr>
            <w:tcW w:w="1141"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排放量(t/y)</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258" w:hRule="atLeast"/>
          <w:jc w:val="center"/>
        </w:trPr>
        <w:tc>
          <w:tcPr>
            <w:tcW w:w="1375"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柴油固定顶</w:t>
            </w:r>
          </w:p>
        </w:tc>
        <w:tc>
          <w:tcPr>
            <w:tcW w:w="984"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bookmarkStart w:id="244" w:name="_Hlk104385556"/>
            <w:r>
              <w:rPr>
                <w:rFonts w:ascii="Times New Roman" w:hAnsi="Times New Roman" w:cs="Times New Roman"/>
                <w:color w:val="auto"/>
                <w:kern w:val="0"/>
                <w:sz w:val="18"/>
                <w:szCs w:val="18"/>
              </w:rPr>
              <w:t>5000m</w:t>
            </w:r>
            <w:r>
              <w:rPr>
                <w:rFonts w:ascii="Times New Roman" w:hAnsi="Times New Roman" w:cs="Times New Roman"/>
                <w:color w:val="auto"/>
                <w:kern w:val="0"/>
                <w:sz w:val="18"/>
                <w:szCs w:val="18"/>
                <w:vertAlign w:val="superscript"/>
              </w:rPr>
              <w:t>3</w:t>
            </w:r>
          </w:p>
        </w:tc>
        <w:tc>
          <w:tcPr>
            <w:tcW w:w="1180"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1.08177907</w:t>
            </w:r>
          </w:p>
        </w:tc>
        <w:tc>
          <w:tcPr>
            <w:tcW w:w="1011" w:type="dxa"/>
            <w:shd w:val="clear" w:color="auto"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29615</w:t>
            </w:r>
          </w:p>
        </w:tc>
        <w:tc>
          <w:tcPr>
            <w:tcW w:w="1180"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1.81229277</w:t>
            </w:r>
          </w:p>
        </w:tc>
        <w:tc>
          <w:tcPr>
            <w:tcW w:w="1279"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2.89</w:t>
            </w:r>
          </w:p>
        </w:tc>
        <w:tc>
          <w:tcPr>
            <w:tcW w:w="1062"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13</w:t>
            </w:r>
          </w:p>
        </w:tc>
        <w:tc>
          <w:tcPr>
            <w:tcW w:w="1141" w:type="dxa"/>
            <w:shd w:val="clear" w:color="auto" w:fill="FFFFFF"/>
            <w:vAlign w:val="center"/>
          </w:tcPr>
          <w:p>
            <w:pPr>
              <w:widowControl/>
              <w:adjustRightInd/>
              <w:spacing w:line="240" w:lineRule="auto"/>
              <w:ind w:firstLine="0" w:firstLineChars="0"/>
              <w:jc w:val="center"/>
              <w:rPr>
                <w:rFonts w:ascii="Times New Roman" w:hAnsi="Times New Roman" w:eastAsia="Times New Roman" w:cs="Times New Roman"/>
                <w:color w:val="auto"/>
                <w:kern w:val="0"/>
                <w:sz w:val="18"/>
                <w:szCs w:val="18"/>
              </w:rPr>
            </w:pPr>
            <w:r>
              <w:rPr>
                <w:rFonts w:ascii="Times New Roman" w:hAnsi="Times New Roman" w:cs="Times New Roman"/>
                <w:color w:val="auto"/>
                <w:kern w:val="0"/>
                <w:sz w:val="18"/>
                <w:szCs w:val="18"/>
              </w:rPr>
              <w:t>37.57</w:t>
            </w:r>
          </w:p>
        </w:tc>
      </w:tr>
      <w:bookmarkEnd w:id="244"/>
    </w:tbl>
    <w:p>
      <w:pPr>
        <w:pStyle w:val="25"/>
        <w:spacing w:before="160" w:line="360" w:lineRule="auto"/>
        <w:ind w:firstLine="482"/>
        <w:rPr>
          <w:rFonts w:ascii="Times New Roman" w:hAnsi="Times New Roman" w:cs="Times New Roman"/>
          <w:b/>
          <w:bCs/>
          <w:color w:val="auto"/>
          <w:szCs w:val="24"/>
        </w:rPr>
      </w:pPr>
      <w:r>
        <w:rPr>
          <w:rFonts w:ascii="Times New Roman" w:hAnsi="Times New Roman" w:cs="Times New Roman"/>
          <w:b/>
          <w:bCs/>
          <w:color w:val="auto"/>
          <w:szCs w:val="24"/>
        </w:rPr>
        <w:t>根据计算，单个5000m</w:t>
      </w:r>
      <w:r>
        <w:rPr>
          <w:rFonts w:ascii="Times New Roman" w:hAnsi="Times New Roman" w:cs="Times New Roman"/>
          <w:b/>
          <w:bCs/>
          <w:color w:val="auto"/>
          <w:szCs w:val="24"/>
          <w:vertAlign w:val="superscript"/>
        </w:rPr>
        <w:t>3</w:t>
      </w:r>
      <w:r>
        <w:rPr>
          <w:rFonts w:ascii="Times New Roman" w:hAnsi="Times New Roman" w:cs="Times New Roman"/>
          <w:b/>
          <w:bCs/>
          <w:color w:val="auto"/>
          <w:szCs w:val="24"/>
        </w:rPr>
        <w:t>柴油固定顶储罐的损耗VOCs产生量为2.89t/a，项目13个5000m</w:t>
      </w:r>
      <w:r>
        <w:rPr>
          <w:rFonts w:ascii="Times New Roman" w:hAnsi="Times New Roman" w:cs="Times New Roman"/>
          <w:b/>
          <w:bCs/>
          <w:color w:val="auto"/>
          <w:szCs w:val="24"/>
          <w:vertAlign w:val="superscript"/>
        </w:rPr>
        <w:t>3</w:t>
      </w:r>
      <w:r>
        <w:rPr>
          <w:rFonts w:ascii="Times New Roman" w:hAnsi="Times New Roman" w:cs="Times New Roman"/>
          <w:b/>
          <w:bCs/>
          <w:color w:val="auto"/>
          <w:szCs w:val="24"/>
        </w:rPr>
        <w:t>柴油固定顶储罐的全年VOCs排放量为37.57t/a，固定顶储罐工时8000h/a，则VOCs的产生速率约为4.70kg/h</w:t>
      </w:r>
      <w:r>
        <w:rPr>
          <w:rFonts w:ascii="Times New Roman" w:hAnsi="Times New Roman" w:cs="Times New Roman"/>
          <w:color w:val="auto"/>
          <w:kern w:val="0"/>
          <w:szCs w:val="24"/>
        </w:rPr>
        <w:t>。</w:t>
      </w:r>
    </w:p>
    <w:p>
      <w:pPr>
        <w:pStyle w:val="25"/>
        <w:spacing w:before="160" w:line="360" w:lineRule="auto"/>
        <w:ind w:firstLine="482"/>
        <w:rPr>
          <w:rFonts w:ascii="Times New Roman" w:hAnsi="Times New Roman" w:cs="Times New Roman"/>
          <w:b/>
          <w:bCs/>
          <w:color w:val="auto"/>
        </w:rPr>
      </w:pPr>
      <w:r>
        <w:rPr>
          <w:rFonts w:ascii="Times New Roman" w:hAnsi="Times New Roman" w:cs="Times New Roman"/>
          <w:b/>
          <w:bCs/>
          <w:color w:val="auto"/>
          <w:szCs w:val="24"/>
        </w:rPr>
        <w:t>（2）浮顶罐总损耗VOCs产生及排放量核算</w:t>
      </w:r>
      <w:r>
        <w:rPr>
          <w:rFonts w:ascii="Times New Roman" w:hAnsi="Times New Roman" w:cs="Times New Roman"/>
          <w:b/>
          <w:bCs/>
          <w:color w:val="auto"/>
          <w:szCs w:val="24"/>
        </w:rPr>
        <w:cr/>
      </w:r>
      <w:r>
        <w:rPr>
          <w:rFonts w:ascii="Times New Roman" w:hAnsi="Times New Roman" w:cs="Times New Roman"/>
          <w:b/>
          <w:bCs/>
          <w:color w:val="auto"/>
          <w:szCs w:val="24"/>
        </w:rPr>
        <w:t xml:space="preserve">   </w:t>
      </w:r>
      <w:r>
        <w:rPr>
          <w:rFonts w:ascii="Times New Roman" w:hAnsi="Times New Roman" w:cs="Times New Roman"/>
          <w:color w:val="auto"/>
          <w:szCs w:val="24"/>
        </w:rPr>
        <w:t xml:space="preserve"> 浮顶罐的总损耗是边缘密封、出料、浮盘附件和浮盘缝隙损耗的总和。本项目共13座3000m</w:t>
      </w:r>
      <w:r>
        <w:rPr>
          <w:rFonts w:ascii="Times New Roman" w:hAnsi="Times New Roman" w:cs="Times New Roman"/>
          <w:color w:val="auto"/>
          <w:szCs w:val="24"/>
          <w:vertAlign w:val="superscript"/>
        </w:rPr>
        <w:t>3</w:t>
      </w:r>
      <w:r>
        <w:rPr>
          <w:rFonts w:ascii="Times New Roman" w:hAnsi="Times New Roman" w:cs="Times New Roman"/>
          <w:color w:val="auto"/>
          <w:szCs w:val="24"/>
        </w:rPr>
        <w:t>汽油内浮顶储罐，3座5000m</w:t>
      </w:r>
      <w:r>
        <w:rPr>
          <w:rFonts w:ascii="Times New Roman" w:hAnsi="Times New Roman" w:cs="Times New Roman"/>
          <w:color w:val="auto"/>
          <w:szCs w:val="24"/>
          <w:vertAlign w:val="superscript"/>
        </w:rPr>
        <w:t>3</w:t>
      </w:r>
      <w:r>
        <w:rPr>
          <w:rFonts w:ascii="Times New Roman" w:hAnsi="Times New Roman" w:cs="Times New Roman"/>
          <w:color w:val="auto"/>
          <w:szCs w:val="24"/>
        </w:rPr>
        <w:t>航空煤油内浮顶储罐，1座1000m</w:t>
      </w:r>
      <w:r>
        <w:rPr>
          <w:rFonts w:ascii="Times New Roman" w:hAnsi="Times New Roman" w:cs="Times New Roman"/>
          <w:color w:val="auto"/>
          <w:szCs w:val="24"/>
          <w:vertAlign w:val="superscript"/>
        </w:rPr>
        <w:t>3</w:t>
      </w:r>
      <w:r>
        <w:rPr>
          <w:rFonts w:ascii="Times New Roman" w:hAnsi="Times New Roman" w:cs="Times New Roman"/>
          <w:color w:val="auto"/>
          <w:szCs w:val="24"/>
        </w:rPr>
        <w:t>乙醇储罐和1座500m</w:t>
      </w:r>
      <w:r>
        <w:rPr>
          <w:rFonts w:ascii="Times New Roman" w:hAnsi="Times New Roman" w:cs="Times New Roman"/>
          <w:color w:val="auto"/>
          <w:szCs w:val="24"/>
          <w:vertAlign w:val="superscript"/>
        </w:rPr>
        <w:t>3</w:t>
      </w:r>
      <w:r>
        <w:rPr>
          <w:rFonts w:ascii="Times New Roman" w:hAnsi="Times New Roman" w:cs="Times New Roman"/>
          <w:color w:val="auto"/>
          <w:szCs w:val="24"/>
        </w:rPr>
        <w:t>乙醇储罐。</w:t>
      </w:r>
      <w:r>
        <w:rPr>
          <w:rFonts w:ascii="Times New Roman" w:hAnsi="Times New Roman" w:cs="Times New Roman"/>
          <w:color w:val="auto"/>
        </w:rPr>
        <w:t>根据《关于加快解决当前挥发性有机物治理突出问题的通知》环大气〔2021〕65号的要求；重点区域存储汽油、航空煤油、石脑油以及苯、甲苯、二甲苯的内浮顶罐罐顶气未收集治理的，宜配备新型高效浮盘与配件，选用“全接液高效浮盘+二次密封”结构。鼓励企业对内浮顶罐排气进行收集处理。</w:t>
      </w:r>
    </w:p>
    <w:p>
      <w:pPr>
        <w:pStyle w:val="25"/>
        <w:spacing w:line="360" w:lineRule="auto"/>
        <w:ind w:firstLine="482"/>
        <w:rPr>
          <w:rFonts w:ascii="Times New Roman" w:hAnsi="Times New Roman" w:cs="Times New Roman"/>
          <w:b/>
          <w:bCs/>
          <w:color w:val="auto"/>
          <w:szCs w:val="24"/>
        </w:rPr>
      </w:pPr>
      <w:r>
        <w:rPr>
          <w:rFonts w:ascii="Times New Roman" w:hAnsi="Times New Roman" w:cs="Times New Roman"/>
          <w:b/>
          <w:bCs/>
          <w:color w:val="auto"/>
          <w:szCs w:val="24"/>
        </w:rPr>
        <w:t>根据上述要求，建设单位及设计单位对13座3000m</w:t>
      </w:r>
      <w:r>
        <w:rPr>
          <w:rFonts w:ascii="Times New Roman" w:hAnsi="Times New Roman" w:cs="Times New Roman"/>
          <w:b/>
          <w:bCs/>
          <w:color w:val="auto"/>
          <w:szCs w:val="24"/>
          <w:vertAlign w:val="superscript"/>
        </w:rPr>
        <w:t>3</w:t>
      </w:r>
      <w:r>
        <w:rPr>
          <w:rFonts w:ascii="Times New Roman" w:hAnsi="Times New Roman" w:cs="Times New Roman"/>
          <w:b/>
          <w:bCs/>
          <w:color w:val="auto"/>
          <w:szCs w:val="24"/>
        </w:rPr>
        <w:t>汽油内浮顶储罐，3座5000m</w:t>
      </w:r>
      <w:r>
        <w:rPr>
          <w:rFonts w:ascii="Times New Roman" w:hAnsi="Times New Roman" w:cs="Times New Roman"/>
          <w:b/>
          <w:bCs/>
          <w:color w:val="auto"/>
          <w:szCs w:val="24"/>
          <w:vertAlign w:val="superscript"/>
        </w:rPr>
        <w:t>3</w:t>
      </w:r>
      <w:r>
        <w:rPr>
          <w:rFonts w:ascii="Times New Roman" w:hAnsi="Times New Roman" w:cs="Times New Roman"/>
          <w:b/>
          <w:bCs/>
          <w:color w:val="auto"/>
          <w:szCs w:val="24"/>
        </w:rPr>
        <w:t>航空煤油内浮顶储罐及1座1000m</w:t>
      </w:r>
      <w:r>
        <w:rPr>
          <w:rFonts w:ascii="Times New Roman" w:hAnsi="Times New Roman" w:cs="Times New Roman"/>
          <w:b/>
          <w:bCs/>
          <w:color w:val="auto"/>
          <w:szCs w:val="24"/>
          <w:vertAlign w:val="superscript"/>
        </w:rPr>
        <w:t>3</w:t>
      </w:r>
      <w:r>
        <w:rPr>
          <w:rFonts w:ascii="Times New Roman" w:hAnsi="Times New Roman" w:cs="Times New Roman"/>
          <w:b/>
          <w:bCs/>
          <w:color w:val="auto"/>
          <w:szCs w:val="24"/>
        </w:rPr>
        <w:t>乙醇储罐和1座500m</w:t>
      </w:r>
      <w:r>
        <w:rPr>
          <w:rFonts w:ascii="Times New Roman" w:hAnsi="Times New Roman" w:cs="Times New Roman"/>
          <w:b/>
          <w:bCs/>
          <w:color w:val="auto"/>
          <w:szCs w:val="24"/>
          <w:vertAlign w:val="superscript"/>
        </w:rPr>
        <w:t>3</w:t>
      </w:r>
      <w:r>
        <w:rPr>
          <w:rFonts w:ascii="Times New Roman" w:hAnsi="Times New Roman" w:cs="Times New Roman"/>
          <w:b/>
          <w:bCs/>
          <w:color w:val="auto"/>
          <w:szCs w:val="24"/>
        </w:rPr>
        <w:t>乙醇储罐均采取了</w:t>
      </w:r>
      <w:r>
        <w:rPr>
          <w:rFonts w:ascii="Times New Roman" w:hAnsi="Times New Roman" w:cs="Times New Roman"/>
          <w:b/>
          <w:bCs/>
          <w:color w:val="auto"/>
        </w:rPr>
        <w:t>“不锈钢全接液高效浮盘+二次高效密封”结构。</w:t>
      </w:r>
    </w:p>
    <w:p>
      <w:pPr>
        <w:pStyle w:val="25"/>
        <w:spacing w:line="360" w:lineRule="auto"/>
        <w:ind w:firstLine="480"/>
        <w:rPr>
          <w:rFonts w:ascii="Times New Roman" w:hAnsi="Times New Roman" w:cs="Times New Roman"/>
        </w:rPr>
      </w:pPr>
      <w:r>
        <w:rPr>
          <w:rFonts w:ascii="Times New Roman" w:hAnsi="Times New Roman" w:cs="Times New Roman"/>
          <w:color w:val="auto"/>
          <w:szCs w:val="24"/>
        </w:rPr>
        <w:t>浮顶罐的总损耗如下：</w:t>
      </w:r>
      <w:r>
        <w:rPr>
          <w:rFonts w:ascii="Times New Roman" w:hAnsi="Times New Roman" w:cs="Times New Roman"/>
          <w:color w:val="auto"/>
          <w:szCs w:val="24"/>
        </w:rPr>
        <w:cr/>
      </w:r>
      <w:r>
        <w:rPr>
          <w:rFonts w:ascii="Times New Roman" w:hAnsi="Times New Roman" w:cs="Times New Roman"/>
        </w:rPr>
        <w:drawing>
          <wp:inline distT="0" distB="0" distL="0" distR="0">
            <wp:extent cx="2317750" cy="457200"/>
            <wp:effectExtent l="0" t="0" r="0" b="0"/>
            <wp:docPr id="39" name="图片 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true" noChangeArrowheads="true"/>
                    </pic:cNvPicPr>
                  </pic:nvPicPr>
                  <pic:blipFill>
                    <a:blip r:embed="rId80"/>
                    <a:srcRect/>
                    <a:stretch>
                      <a:fillRect/>
                    </a:stretch>
                  </pic:blipFill>
                  <pic:spPr>
                    <a:xfrm>
                      <a:off x="0" y="0"/>
                      <a:ext cx="2317750" cy="457200"/>
                    </a:xfrm>
                    <a:prstGeom prst="rect">
                      <a:avLst/>
                    </a:prstGeom>
                    <a:noFill/>
                    <a:ln>
                      <a:noFill/>
                    </a:ln>
                  </pic:spPr>
                </pic:pic>
              </a:graphicData>
            </a:graphic>
          </wp:inline>
        </w:drawing>
      </w:r>
    </w:p>
    <w:p>
      <w:pPr>
        <w:pStyle w:val="25"/>
        <w:ind w:firstLine="480"/>
        <w:rPr>
          <w:rFonts w:ascii="Times New Roman" w:hAnsi="Times New Roman" w:cs="Times New Roman"/>
          <w:color w:val="auto"/>
          <w:szCs w:val="24"/>
        </w:rPr>
      </w:pPr>
      <w:r>
        <w:rPr>
          <w:rFonts w:ascii="Times New Roman" w:hAnsi="Times New Roman" w:cs="Times New Roman"/>
          <w:color w:val="auto"/>
          <w:szCs w:val="24"/>
        </w:rPr>
        <w:t>式中：</w:t>
      </w:r>
    </w:p>
    <w:p>
      <w:pPr>
        <w:pStyle w:val="25"/>
        <w:ind w:firstLine="480"/>
        <w:rPr>
          <w:rFonts w:ascii="Times New Roman" w:hAnsi="Times New Roman" w:cs="Times New Roman"/>
          <w:color w:val="auto"/>
          <w:szCs w:val="24"/>
        </w:rPr>
      </w:pPr>
      <w:r>
        <w:rPr>
          <w:rFonts w:ascii="Times New Roman" w:hAnsi="Times New Roman" w:cs="Times New Roman"/>
          <w:color w:val="auto"/>
          <w:szCs w:val="24"/>
        </w:rPr>
        <w:t>L</w:t>
      </w:r>
      <w:r>
        <w:rPr>
          <w:rFonts w:ascii="Times New Roman" w:hAnsi="Times New Roman" w:cs="Times New Roman"/>
          <w:color w:val="auto"/>
          <w:szCs w:val="24"/>
          <w:vertAlign w:val="subscript"/>
        </w:rPr>
        <w:t>T</w:t>
      </w:r>
      <w:r>
        <w:rPr>
          <w:rFonts w:ascii="Times New Roman" w:hAnsi="Times New Roman" w:cs="Times New Roman"/>
          <w:color w:val="auto"/>
          <w:szCs w:val="24"/>
        </w:rPr>
        <w:t xml:space="preserve"> 总损耗，lb/a；</w:t>
      </w:r>
    </w:p>
    <w:p>
      <w:pPr>
        <w:pStyle w:val="25"/>
        <w:ind w:firstLine="480"/>
        <w:rPr>
          <w:rFonts w:ascii="Times New Roman" w:hAnsi="Times New Roman" w:cs="Times New Roman"/>
          <w:color w:val="auto"/>
          <w:szCs w:val="24"/>
        </w:rPr>
      </w:pPr>
      <w:r>
        <w:rPr>
          <w:rFonts w:ascii="Times New Roman" w:hAnsi="Times New Roman" w:cs="Times New Roman"/>
          <w:color w:val="auto"/>
          <w:szCs w:val="24"/>
        </w:rPr>
        <w:t>L</w:t>
      </w:r>
      <w:r>
        <w:rPr>
          <w:rFonts w:ascii="Times New Roman" w:hAnsi="Times New Roman" w:cs="Times New Roman"/>
          <w:color w:val="auto"/>
          <w:szCs w:val="24"/>
          <w:vertAlign w:val="subscript"/>
        </w:rPr>
        <w:t>R</w:t>
      </w:r>
      <w:r>
        <w:rPr>
          <w:rFonts w:ascii="Times New Roman" w:hAnsi="Times New Roman" w:cs="Times New Roman"/>
          <w:color w:val="auto"/>
          <w:szCs w:val="24"/>
        </w:rPr>
        <w:t xml:space="preserve"> 边缘密封损耗，lb/a；</w:t>
      </w:r>
    </w:p>
    <w:p>
      <w:pPr>
        <w:pStyle w:val="25"/>
        <w:ind w:firstLine="480"/>
        <w:rPr>
          <w:rFonts w:ascii="Times New Roman" w:hAnsi="Times New Roman" w:cs="Times New Roman"/>
          <w:color w:val="auto"/>
          <w:szCs w:val="24"/>
        </w:rPr>
      </w:pPr>
      <w:r>
        <w:rPr>
          <w:rFonts w:ascii="Times New Roman" w:hAnsi="Times New Roman" w:cs="Times New Roman"/>
          <w:color w:val="auto"/>
          <w:szCs w:val="24"/>
        </w:rPr>
        <w:t>L</w:t>
      </w:r>
      <w:r>
        <w:rPr>
          <w:rFonts w:ascii="Times New Roman" w:hAnsi="Times New Roman" w:cs="Times New Roman"/>
          <w:color w:val="auto"/>
          <w:szCs w:val="24"/>
          <w:vertAlign w:val="subscript"/>
        </w:rPr>
        <w:t>WD</w:t>
      </w:r>
      <w:r>
        <w:rPr>
          <w:rFonts w:ascii="Times New Roman" w:hAnsi="Times New Roman" w:cs="Times New Roman"/>
          <w:color w:val="auto"/>
          <w:szCs w:val="24"/>
        </w:rPr>
        <w:t xml:space="preserve"> 排放损耗，lb/a；</w:t>
      </w:r>
    </w:p>
    <w:p>
      <w:pPr>
        <w:pStyle w:val="25"/>
        <w:ind w:firstLine="480"/>
        <w:rPr>
          <w:rFonts w:ascii="Times New Roman" w:hAnsi="Times New Roman" w:cs="Times New Roman"/>
          <w:color w:val="auto"/>
          <w:szCs w:val="24"/>
        </w:rPr>
      </w:pPr>
      <w:r>
        <w:rPr>
          <w:rFonts w:ascii="Times New Roman" w:hAnsi="Times New Roman" w:cs="Times New Roman"/>
          <w:color w:val="auto"/>
          <w:szCs w:val="24"/>
        </w:rPr>
        <w:t>L</w:t>
      </w:r>
      <w:r>
        <w:rPr>
          <w:rFonts w:ascii="Times New Roman" w:hAnsi="Times New Roman" w:cs="Times New Roman"/>
          <w:color w:val="auto"/>
          <w:szCs w:val="24"/>
          <w:vertAlign w:val="subscript"/>
        </w:rPr>
        <w:t>F</w:t>
      </w:r>
      <w:r>
        <w:rPr>
          <w:rFonts w:ascii="Times New Roman" w:hAnsi="Times New Roman" w:cs="Times New Roman"/>
          <w:color w:val="auto"/>
          <w:szCs w:val="24"/>
        </w:rPr>
        <w:t xml:space="preserve"> 浮盘附件损耗，lb/a；</w:t>
      </w:r>
    </w:p>
    <w:p>
      <w:pPr>
        <w:pStyle w:val="25"/>
        <w:ind w:firstLine="480"/>
        <w:rPr>
          <w:rFonts w:ascii="Times New Roman" w:hAnsi="Times New Roman" w:cs="Times New Roman"/>
          <w:color w:val="auto"/>
          <w:szCs w:val="24"/>
        </w:rPr>
      </w:pPr>
      <w:r>
        <w:rPr>
          <w:rFonts w:ascii="Times New Roman" w:hAnsi="Times New Roman" w:cs="Times New Roman"/>
          <w:color w:val="auto"/>
          <w:szCs w:val="24"/>
        </w:rPr>
        <w:t>L</w:t>
      </w:r>
      <w:r>
        <w:rPr>
          <w:rFonts w:ascii="Times New Roman" w:hAnsi="Times New Roman" w:cs="Times New Roman"/>
          <w:color w:val="auto"/>
          <w:szCs w:val="24"/>
          <w:vertAlign w:val="subscript"/>
        </w:rPr>
        <w:t xml:space="preserve">D </w:t>
      </w:r>
      <w:r>
        <w:rPr>
          <w:rFonts w:ascii="Times New Roman" w:hAnsi="Times New Roman" w:cs="Times New Roman"/>
          <w:color w:val="auto"/>
          <w:szCs w:val="24"/>
        </w:rPr>
        <w:t>浮盘缝隙损耗（只限螺栓连接式的浮盘或浮顶），lb/a。</w:t>
      </w:r>
    </w:p>
    <w:p>
      <w:pPr>
        <w:pStyle w:val="25"/>
        <w:spacing w:before="160"/>
        <w:ind w:firstLine="482"/>
        <w:rPr>
          <w:rFonts w:ascii="Times New Roman" w:hAnsi="Times New Roman" w:cs="Times New Roman"/>
          <w:b/>
          <w:bCs/>
          <w:color w:val="auto"/>
        </w:rPr>
      </w:pPr>
      <w:r>
        <w:rPr>
          <w:rFonts w:hint="eastAsia" w:ascii="宋体" w:hAnsi="宋体" w:cs="宋体"/>
          <w:b/>
          <w:bCs/>
          <w:color w:val="auto"/>
        </w:rPr>
        <w:t>①</w:t>
      </w:r>
      <w:r>
        <w:rPr>
          <w:rFonts w:ascii="Times New Roman" w:hAnsi="Times New Roman" w:cs="Times New Roman"/>
          <w:b/>
          <w:bCs/>
          <w:color w:val="auto"/>
        </w:rPr>
        <w:t>边缘密封损耗</w:t>
      </w:r>
    </w:p>
    <w:p>
      <w:pPr>
        <w:pStyle w:val="25"/>
        <w:spacing w:before="160"/>
        <w:ind w:left="240" w:leftChars="100" w:firstLine="240" w:firstLineChars="100"/>
        <w:rPr>
          <w:rFonts w:ascii="Times New Roman" w:hAnsi="Times New Roman" w:cs="Times New Roman"/>
        </w:rPr>
      </w:pPr>
      <w:r>
        <w:rPr>
          <w:rFonts w:ascii="Times New Roman" w:hAnsi="Times New Roman" w:cs="Times New Roman"/>
          <w:color w:val="auto"/>
        </w:rPr>
        <w:t>浮顶罐的边缘密封损耗可由下列公式估算得出：</w:t>
      </w:r>
      <w:r>
        <w:rPr>
          <w:rFonts w:ascii="Times New Roman" w:hAnsi="Times New Roman" w:cs="Times New Roman"/>
          <w:b/>
          <w:bCs/>
          <w:color w:val="auto"/>
        </w:rPr>
        <w:cr/>
      </w:r>
      <w:r>
        <w:rPr>
          <w:rFonts w:ascii="Times New Roman" w:hAnsi="Times New Roman" w:cs="Times New Roman"/>
        </w:rPr>
        <w:drawing>
          <wp:inline distT="0" distB="0" distL="0" distR="0">
            <wp:extent cx="2583815" cy="446405"/>
            <wp:effectExtent l="0" t="0" r="0" b="0"/>
            <wp:docPr id="40" name="图片 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true" noChangeArrowheads="true"/>
                    </pic:cNvPicPr>
                  </pic:nvPicPr>
                  <pic:blipFill>
                    <a:blip r:embed="rId81"/>
                    <a:srcRect/>
                    <a:stretch>
                      <a:fillRect/>
                    </a:stretch>
                  </pic:blipFill>
                  <pic:spPr>
                    <a:xfrm>
                      <a:off x="0" y="0"/>
                      <a:ext cx="2583815" cy="446405"/>
                    </a:xfrm>
                    <a:prstGeom prst="rect">
                      <a:avLst/>
                    </a:prstGeom>
                    <a:noFill/>
                    <a:ln>
                      <a:noFill/>
                    </a:ln>
                  </pic:spPr>
                </pic:pic>
              </a:graphicData>
            </a:graphic>
          </wp:inline>
        </w:drawing>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式中：</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L</w:t>
      </w:r>
      <w:r>
        <w:rPr>
          <w:rFonts w:ascii="Times New Roman" w:hAnsi="Times New Roman" w:cs="Times New Roman"/>
          <w:vertAlign w:val="subscript"/>
        </w:rPr>
        <w:t>R</w:t>
      </w:r>
      <w:r>
        <w:rPr>
          <w:rFonts w:ascii="Times New Roman" w:hAnsi="Times New Roman" w:cs="Times New Roman"/>
        </w:rPr>
        <w:t xml:space="preserve"> 边缘密封损耗，lb/a；</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K</w:t>
      </w:r>
      <w:r>
        <w:rPr>
          <w:rFonts w:ascii="Times New Roman" w:hAnsi="Times New Roman" w:cs="Times New Roman"/>
          <w:vertAlign w:val="subscript"/>
        </w:rPr>
        <w:t>Ra</w:t>
      </w:r>
      <w:r>
        <w:rPr>
          <w:rFonts w:ascii="Times New Roman" w:hAnsi="Times New Roman" w:cs="Times New Roman"/>
        </w:rPr>
        <w:t xml:space="preserve"> 零风速边缘密封损耗因子，lb-mol/ft·a；</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K</w:t>
      </w:r>
      <w:r>
        <w:rPr>
          <w:rFonts w:ascii="Times New Roman" w:hAnsi="Times New Roman" w:cs="Times New Roman"/>
          <w:vertAlign w:val="subscript"/>
        </w:rPr>
        <w:t>R</w:t>
      </w:r>
      <w:r>
        <w:rPr>
          <w:rFonts w:ascii="Times New Roman" w:hAnsi="Times New Roman" w:cs="Times New Roman"/>
        </w:rPr>
        <w:t xml:space="preserve"> 有风时边缘密封损耗因子，</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lb-mol/（mph）n·ft·a；</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v 罐点平均环境风速，mph；</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n 密封相关风速指数，无量纲量；</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M</w:t>
      </w:r>
      <w:r>
        <w:rPr>
          <w:rFonts w:ascii="Times New Roman" w:hAnsi="Times New Roman" w:cs="Times New Roman"/>
          <w:vertAlign w:val="subscript"/>
        </w:rPr>
        <w:t>V</w:t>
      </w:r>
      <w:r>
        <w:rPr>
          <w:rFonts w:ascii="Times New Roman" w:hAnsi="Times New Roman" w:cs="Times New Roman"/>
        </w:rPr>
        <w:t xml:space="preserve"> 气相分子质量，lb/lb-mol；</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K</w:t>
      </w:r>
      <w:r>
        <w:rPr>
          <w:rFonts w:ascii="Times New Roman" w:hAnsi="Times New Roman" w:cs="Times New Roman"/>
          <w:vertAlign w:val="subscript"/>
        </w:rPr>
        <w:t>C</w:t>
      </w:r>
      <w:r>
        <w:rPr>
          <w:rFonts w:ascii="Times New Roman" w:hAnsi="Times New Roman" w:cs="Times New Roman"/>
        </w:rPr>
        <w:t xml:space="preserve"> 产品因子；原油为0.4，其它有机液体为1.0。</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D 罐体直径，ft；</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P* 蒸汽压函数，无量纲量；</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drawing>
          <wp:inline distT="0" distB="0" distL="0" distR="0">
            <wp:extent cx="1903095" cy="1031240"/>
            <wp:effectExtent l="0" t="0" r="0" b="0"/>
            <wp:docPr id="41" name="图片 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true" noChangeArrowheads="true"/>
                    </pic:cNvPicPr>
                  </pic:nvPicPr>
                  <pic:blipFill>
                    <a:blip r:embed="rId82"/>
                    <a:srcRect/>
                    <a:stretch>
                      <a:fillRect/>
                    </a:stretch>
                  </pic:blipFill>
                  <pic:spPr>
                    <a:xfrm>
                      <a:off x="0" y="0"/>
                      <a:ext cx="1903095" cy="1031240"/>
                    </a:xfrm>
                    <a:prstGeom prst="rect">
                      <a:avLst/>
                    </a:prstGeom>
                    <a:noFill/>
                    <a:ln>
                      <a:noFill/>
                    </a:ln>
                  </pic:spPr>
                </pic:pic>
              </a:graphicData>
            </a:graphic>
          </wp:inline>
        </w:drawing>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式中：</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P</w:t>
      </w:r>
      <w:r>
        <w:rPr>
          <w:rFonts w:ascii="Times New Roman" w:hAnsi="Times New Roman" w:cs="Times New Roman"/>
          <w:vertAlign w:val="subscript"/>
        </w:rPr>
        <w:t>VA</w:t>
      </w:r>
      <w:r>
        <w:rPr>
          <w:rFonts w:ascii="Times New Roman" w:hAnsi="Times New Roman" w:cs="Times New Roman"/>
        </w:rPr>
        <w:t>日平均液体表面蒸汽压；</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P</w:t>
      </w:r>
      <w:r>
        <w:rPr>
          <w:rFonts w:ascii="Times New Roman" w:hAnsi="Times New Roman" w:cs="Times New Roman"/>
          <w:vertAlign w:val="subscript"/>
        </w:rPr>
        <w:t>A</w:t>
      </w:r>
      <w:r>
        <w:rPr>
          <w:rFonts w:ascii="Times New Roman" w:hAnsi="Times New Roman" w:cs="Times New Roman"/>
        </w:rPr>
        <w:t xml:space="preserve"> 大气压，psia；</w:t>
      </w:r>
      <w:r>
        <w:rPr>
          <w:rFonts w:ascii="Times New Roman" w:hAnsi="Times New Roman" w:cs="Times New Roman"/>
        </w:rPr>
        <w:cr/>
      </w:r>
      <w:r>
        <w:rPr>
          <w:rFonts w:hint="eastAsia" w:ascii="宋体" w:hAnsi="宋体" w:cs="宋体"/>
          <w:b/>
          <w:bCs/>
        </w:rPr>
        <w:t>②</w:t>
      </w:r>
      <w:r>
        <w:rPr>
          <w:rFonts w:ascii="Times New Roman" w:hAnsi="Times New Roman" w:cs="Times New Roman"/>
          <w:b/>
          <w:bCs/>
        </w:rPr>
        <w:t>挂壁损耗</w:t>
      </w:r>
    </w:p>
    <w:p>
      <w:pPr>
        <w:pStyle w:val="25"/>
        <w:spacing w:before="160"/>
        <w:ind w:left="240" w:leftChars="100" w:firstLine="240" w:firstLineChars="100"/>
        <w:rPr>
          <w:rFonts w:ascii="Times New Roman" w:hAnsi="Times New Roman" w:cs="Times New Roman"/>
        </w:rPr>
      </w:pPr>
      <w:r>
        <w:rPr>
          <w:rFonts w:ascii="Times New Roman" w:hAnsi="Times New Roman" w:cs="Times New Roman"/>
        </w:rPr>
        <w:t>浮顶罐的罐壁排放损耗可由以下公式估算得出：</w:t>
      </w:r>
      <w:r>
        <w:rPr>
          <w:rFonts w:ascii="Times New Roman" w:hAnsi="Times New Roman" w:cs="Times New Roman"/>
        </w:rPr>
        <w:cr/>
      </w:r>
      <w:r>
        <w:rPr>
          <w:rFonts w:ascii="Times New Roman" w:hAnsi="Times New Roman" w:cs="Times New Roman"/>
        </w:rPr>
        <w:drawing>
          <wp:inline distT="0" distB="0" distL="0" distR="0">
            <wp:extent cx="2381885" cy="478155"/>
            <wp:effectExtent l="0" t="0" r="0" b="0"/>
            <wp:docPr id="42"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true" noChangeArrowheads="true"/>
                    </pic:cNvPicPr>
                  </pic:nvPicPr>
                  <pic:blipFill>
                    <a:blip r:embed="rId83"/>
                    <a:srcRect/>
                    <a:stretch>
                      <a:fillRect/>
                    </a:stretch>
                  </pic:blipFill>
                  <pic:spPr>
                    <a:xfrm>
                      <a:off x="0" y="0"/>
                      <a:ext cx="2381885" cy="478155"/>
                    </a:xfrm>
                    <a:prstGeom prst="rect">
                      <a:avLst/>
                    </a:prstGeom>
                    <a:noFill/>
                    <a:ln>
                      <a:noFill/>
                    </a:ln>
                  </pic:spPr>
                </pic:pic>
              </a:graphicData>
            </a:graphic>
          </wp:inline>
        </w:drawing>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color w:val="auto"/>
        </w:rPr>
        <w:t>式中：</w:t>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color w:val="auto"/>
        </w:rPr>
        <w:t>L</w:t>
      </w:r>
      <w:r>
        <w:rPr>
          <w:rFonts w:ascii="Times New Roman" w:hAnsi="Times New Roman" w:cs="Times New Roman"/>
          <w:color w:val="auto"/>
          <w:vertAlign w:val="subscript"/>
        </w:rPr>
        <w:t>WD</w:t>
      </w:r>
      <w:r>
        <w:rPr>
          <w:rFonts w:ascii="Times New Roman" w:hAnsi="Times New Roman" w:cs="Times New Roman"/>
          <w:color w:val="auto"/>
        </w:rPr>
        <w:t xml:space="preserve"> 挂壁损耗，lb/a；</w:t>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color w:val="auto"/>
        </w:rPr>
        <w:t>Q 年周转量，bbl/a；</w:t>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color w:val="auto"/>
        </w:rPr>
        <w:t>C</w:t>
      </w:r>
      <w:r>
        <w:rPr>
          <w:rFonts w:ascii="Times New Roman" w:hAnsi="Times New Roman" w:cs="Times New Roman"/>
          <w:color w:val="auto"/>
          <w:vertAlign w:val="subscript"/>
        </w:rPr>
        <w:t>S</w:t>
      </w:r>
      <w:r>
        <w:rPr>
          <w:rFonts w:ascii="Times New Roman" w:hAnsi="Times New Roman" w:cs="Times New Roman"/>
          <w:color w:val="auto"/>
        </w:rPr>
        <w:t xml:space="preserve"> 罐体油垢因子；</w:t>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color w:val="auto"/>
        </w:rPr>
        <w:t>W</w:t>
      </w:r>
      <w:r>
        <w:rPr>
          <w:rFonts w:ascii="Times New Roman" w:hAnsi="Times New Roman" w:cs="Times New Roman"/>
          <w:color w:val="auto"/>
          <w:vertAlign w:val="subscript"/>
        </w:rPr>
        <w:t>L</w:t>
      </w:r>
      <w:r>
        <w:rPr>
          <w:rFonts w:ascii="Times New Roman" w:hAnsi="Times New Roman" w:cs="Times New Roman"/>
          <w:color w:val="auto"/>
        </w:rPr>
        <w:t xml:space="preserve"> 有机液体密度，lb/gal；</w:t>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color w:val="auto"/>
        </w:rPr>
        <w:t>D 罐体直径，ft</w:t>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color w:val="auto"/>
        </w:rPr>
        <w:t>0.943 常数，1000ft</w:t>
      </w:r>
      <w:r>
        <w:rPr>
          <w:rFonts w:ascii="Times New Roman" w:hAnsi="Times New Roman" w:cs="Times New Roman"/>
          <w:color w:val="auto"/>
          <w:vertAlign w:val="superscript"/>
        </w:rPr>
        <w:t>3</w:t>
      </w:r>
      <w:r>
        <w:rPr>
          <w:rFonts w:ascii="Times New Roman" w:hAnsi="Times New Roman" w:cs="Times New Roman"/>
          <w:color w:val="auto"/>
        </w:rPr>
        <w:t>·gal/bbl</w:t>
      </w:r>
      <w:r>
        <w:rPr>
          <w:rFonts w:ascii="Times New Roman" w:hAnsi="Times New Roman" w:cs="Times New Roman"/>
          <w:color w:val="auto"/>
          <w:vertAlign w:val="superscript"/>
        </w:rPr>
        <w:t>2</w:t>
      </w:r>
      <w:r>
        <w:rPr>
          <w:rFonts w:ascii="Times New Roman" w:hAnsi="Times New Roman" w:cs="Times New Roman"/>
          <w:color w:val="auto"/>
        </w:rPr>
        <w:t>；</w:t>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color w:val="auto"/>
        </w:rPr>
        <w:t>NC 固定顶支撑柱数量（对于自支撑固定浮顶或外浮顶罐：NC=0。），无量纲量；</w:t>
      </w:r>
    </w:p>
    <w:p>
      <w:pPr>
        <w:pStyle w:val="25"/>
        <w:ind w:left="240" w:leftChars="100" w:firstLine="240" w:firstLineChars="100"/>
        <w:rPr>
          <w:rFonts w:ascii="Times New Roman" w:hAnsi="Times New Roman" w:cs="Times New Roman"/>
          <w:color w:val="auto"/>
        </w:rPr>
      </w:pPr>
      <w:r>
        <w:rPr>
          <w:rFonts w:ascii="Times New Roman" w:hAnsi="Times New Roman" w:cs="Times New Roman"/>
          <w:color w:val="auto"/>
        </w:rPr>
        <w:t>F</w:t>
      </w:r>
      <w:r>
        <w:rPr>
          <w:rFonts w:ascii="Times New Roman" w:hAnsi="Times New Roman" w:cs="Times New Roman"/>
          <w:color w:val="auto"/>
          <w:vertAlign w:val="subscript"/>
        </w:rPr>
        <w:t xml:space="preserve">C </w:t>
      </w:r>
      <w:r>
        <w:rPr>
          <w:rFonts w:ascii="Times New Roman" w:hAnsi="Times New Roman" w:cs="Times New Roman"/>
          <w:color w:val="auto"/>
        </w:rPr>
        <w:t>有效柱直径，取值 1.0。</w:t>
      </w:r>
      <w:r>
        <w:rPr>
          <w:rFonts w:ascii="Times New Roman" w:hAnsi="Times New Roman" w:cs="Times New Roman"/>
          <w:color w:val="auto"/>
        </w:rPr>
        <w:cr/>
      </w:r>
      <w:r>
        <w:rPr>
          <w:rFonts w:hint="eastAsia" w:ascii="宋体" w:hAnsi="宋体" w:cs="宋体"/>
          <w:b/>
          <w:bCs/>
          <w:color w:val="auto"/>
        </w:rPr>
        <w:t>③</w:t>
      </w:r>
      <w:r>
        <w:rPr>
          <w:rFonts w:ascii="Times New Roman" w:hAnsi="Times New Roman" w:cs="Times New Roman"/>
          <w:b/>
          <w:bCs/>
          <w:color w:val="auto"/>
        </w:rPr>
        <w:t>浮盘附件损耗</w:t>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color w:val="auto"/>
        </w:rPr>
        <w:t>浮顶罐的浮盘附件损耗可由下面的公式估算得出：</w:t>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rPr>
        <w:drawing>
          <wp:inline distT="0" distB="0" distL="0" distR="0">
            <wp:extent cx="1680210" cy="414655"/>
            <wp:effectExtent l="0" t="0" r="0" b="0"/>
            <wp:docPr id="43" name="图片 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true" noChangeArrowheads="true"/>
                    </pic:cNvPicPr>
                  </pic:nvPicPr>
                  <pic:blipFill>
                    <a:blip r:embed="rId84"/>
                    <a:srcRect/>
                    <a:stretch>
                      <a:fillRect/>
                    </a:stretch>
                  </pic:blipFill>
                  <pic:spPr>
                    <a:xfrm>
                      <a:off x="0" y="0"/>
                      <a:ext cx="1680210" cy="414655"/>
                    </a:xfrm>
                    <a:prstGeom prst="rect">
                      <a:avLst/>
                    </a:prstGeom>
                    <a:noFill/>
                    <a:ln>
                      <a:noFill/>
                    </a:ln>
                  </pic:spPr>
                </pic:pic>
              </a:graphicData>
            </a:graphic>
          </wp:inline>
        </w:drawing>
      </w:r>
      <w:r>
        <w:rPr>
          <w:rFonts w:ascii="Times New Roman" w:hAnsi="Times New Roman" w:cs="Times New Roman"/>
          <w:color w:val="auto"/>
        </w:rPr>
        <w:cr/>
      </w:r>
      <w:r>
        <w:rPr>
          <w:rFonts w:ascii="Times New Roman" w:hAnsi="Times New Roman" w:cs="Times New Roman"/>
          <w:color w:val="auto"/>
        </w:rPr>
        <w:t>式中：</w:t>
      </w:r>
    </w:p>
    <w:p>
      <w:pPr>
        <w:pStyle w:val="25"/>
        <w:ind w:left="240" w:leftChars="100" w:firstLine="240" w:firstLineChars="100"/>
        <w:rPr>
          <w:rFonts w:ascii="Times New Roman" w:hAnsi="Times New Roman" w:cs="Times New Roman"/>
          <w:color w:val="auto"/>
        </w:rPr>
      </w:pPr>
      <w:r>
        <w:rPr>
          <w:rFonts w:ascii="Times New Roman" w:hAnsi="Times New Roman" w:cs="Times New Roman"/>
          <w:color w:val="auto"/>
        </w:rPr>
        <w:t>L</w:t>
      </w:r>
      <w:r>
        <w:rPr>
          <w:rFonts w:ascii="Times New Roman" w:hAnsi="Times New Roman" w:cs="Times New Roman"/>
          <w:color w:val="auto"/>
          <w:vertAlign w:val="subscript"/>
        </w:rPr>
        <w:t>F</w:t>
      </w:r>
      <w:r>
        <w:rPr>
          <w:rFonts w:ascii="Times New Roman" w:hAnsi="Times New Roman" w:cs="Times New Roman"/>
          <w:color w:val="auto"/>
        </w:rPr>
        <w:t xml:space="preserve"> 浮盘附件损耗，lb/a；</w:t>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color w:val="auto"/>
        </w:rPr>
        <w:t>F</w:t>
      </w:r>
      <w:r>
        <w:rPr>
          <w:rFonts w:ascii="Times New Roman" w:hAnsi="Times New Roman" w:cs="Times New Roman"/>
          <w:color w:val="auto"/>
          <w:vertAlign w:val="subscript"/>
        </w:rPr>
        <w:t>F</w:t>
      </w:r>
      <w:r>
        <w:rPr>
          <w:rFonts w:ascii="Times New Roman" w:hAnsi="Times New Roman" w:cs="Times New Roman"/>
          <w:color w:val="auto"/>
        </w:rPr>
        <w:t xml:space="preserve"> 总浮盘附件损耗因子，lb-mol/a；</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M</w:t>
      </w:r>
      <w:r>
        <w:rPr>
          <w:rFonts w:ascii="Times New Roman" w:hAnsi="Times New Roman" w:cs="Times New Roman"/>
          <w:vertAlign w:val="subscript"/>
        </w:rPr>
        <w:t>V</w:t>
      </w:r>
      <w:r>
        <w:rPr>
          <w:rFonts w:ascii="Times New Roman" w:hAnsi="Times New Roman" w:cs="Times New Roman"/>
        </w:rPr>
        <w:t xml:space="preserve"> 气相分子质量，lb/lb-mol；</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K</w:t>
      </w:r>
      <w:r>
        <w:rPr>
          <w:rFonts w:ascii="Times New Roman" w:hAnsi="Times New Roman" w:cs="Times New Roman"/>
          <w:vertAlign w:val="subscript"/>
        </w:rPr>
        <w:t>C</w:t>
      </w:r>
      <w:r>
        <w:rPr>
          <w:rFonts w:ascii="Times New Roman" w:hAnsi="Times New Roman" w:cs="Times New Roman"/>
        </w:rPr>
        <w:t xml:space="preserve"> 产品因子；原油为0.4，其它有机液体为1.0。</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t>P* 蒸汽压函数，无量纲量；</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drawing>
          <wp:inline distT="0" distB="0" distL="0" distR="0">
            <wp:extent cx="3370580" cy="393700"/>
            <wp:effectExtent l="0" t="0" r="0" b="0"/>
            <wp:docPr id="44" name="图片 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true" noChangeArrowheads="true"/>
                    </pic:cNvPicPr>
                  </pic:nvPicPr>
                  <pic:blipFill>
                    <a:blip r:embed="rId85"/>
                    <a:srcRect/>
                    <a:stretch>
                      <a:fillRect/>
                    </a:stretch>
                  </pic:blipFill>
                  <pic:spPr>
                    <a:xfrm>
                      <a:off x="0" y="0"/>
                      <a:ext cx="3370580" cy="393700"/>
                    </a:xfrm>
                    <a:prstGeom prst="rect">
                      <a:avLst/>
                    </a:prstGeom>
                    <a:noFill/>
                    <a:ln>
                      <a:noFill/>
                    </a:ln>
                  </pic:spPr>
                </pic:pic>
              </a:graphicData>
            </a:graphic>
          </wp:inline>
        </w:drawing>
      </w:r>
    </w:p>
    <w:p>
      <w:pPr>
        <w:pStyle w:val="25"/>
        <w:ind w:left="240" w:leftChars="100" w:firstLine="240" w:firstLineChars="100"/>
        <w:rPr>
          <w:rFonts w:ascii="Times New Roman" w:hAnsi="Times New Roman" w:cs="Times New Roman"/>
          <w:color w:val="auto"/>
        </w:rPr>
      </w:pPr>
      <w:r>
        <w:rPr>
          <w:rFonts w:ascii="Times New Roman" w:hAnsi="Times New Roman" w:cs="Times New Roman"/>
          <w:color w:val="auto"/>
        </w:rPr>
        <w:t>式中：</w:t>
      </w:r>
    </w:p>
    <w:p>
      <w:pPr>
        <w:pStyle w:val="25"/>
        <w:ind w:left="240" w:leftChars="100" w:firstLine="240" w:firstLineChars="100"/>
        <w:rPr>
          <w:rFonts w:ascii="Times New Roman" w:hAnsi="Times New Roman" w:cs="Times New Roman"/>
          <w:color w:val="auto"/>
        </w:rPr>
      </w:pPr>
      <w:r>
        <w:rPr>
          <w:rFonts w:ascii="Times New Roman" w:hAnsi="Times New Roman" w:cs="Times New Roman"/>
          <w:color w:val="auto"/>
        </w:rPr>
        <w:t>N</w:t>
      </w:r>
      <w:r>
        <w:rPr>
          <w:rFonts w:ascii="Times New Roman" w:hAnsi="Times New Roman" w:cs="Times New Roman"/>
          <w:color w:val="auto"/>
          <w:vertAlign w:val="subscript"/>
        </w:rPr>
        <w:t>Fi</w:t>
      </w:r>
      <w:r>
        <w:rPr>
          <w:rFonts w:ascii="Times New Roman" w:hAnsi="Times New Roman" w:cs="Times New Roman"/>
          <w:color w:val="auto"/>
        </w:rPr>
        <w:t xml:space="preserve"> 特定规格的浮盘附件数，无量纲量；</w:t>
      </w:r>
    </w:p>
    <w:p>
      <w:pPr>
        <w:pStyle w:val="25"/>
        <w:ind w:left="240" w:leftChars="100" w:firstLine="240" w:firstLineChars="100"/>
        <w:rPr>
          <w:rFonts w:ascii="Times New Roman" w:hAnsi="Times New Roman" w:cs="Times New Roman"/>
          <w:color w:val="auto"/>
        </w:rPr>
      </w:pPr>
      <w:r>
        <w:rPr>
          <w:rFonts w:ascii="Times New Roman" w:hAnsi="Times New Roman" w:cs="Times New Roman"/>
          <w:color w:val="auto"/>
        </w:rPr>
        <w:t>K</w:t>
      </w:r>
      <w:r>
        <w:rPr>
          <w:rFonts w:ascii="Times New Roman" w:hAnsi="Times New Roman" w:cs="Times New Roman"/>
          <w:color w:val="auto"/>
          <w:vertAlign w:val="subscript"/>
        </w:rPr>
        <w:t xml:space="preserve">Fi </w:t>
      </w:r>
      <w:r>
        <w:rPr>
          <w:rFonts w:ascii="Times New Roman" w:hAnsi="Times New Roman" w:cs="Times New Roman"/>
          <w:color w:val="auto"/>
        </w:rPr>
        <w:t>特定规格的附件损耗因子，lb-mol/a；</w:t>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color w:val="auto"/>
        </w:rPr>
        <w:t>nf 不同种类的附件总数，无量纲量；</w:t>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color w:val="auto"/>
        </w:rPr>
        <w:t>对于特定类型的附件，K</w:t>
      </w:r>
      <w:r>
        <w:rPr>
          <w:rFonts w:ascii="Times New Roman" w:hAnsi="Times New Roman" w:cs="Times New Roman"/>
          <w:color w:val="auto"/>
          <w:vertAlign w:val="subscript"/>
        </w:rPr>
        <w:t>Fi</w:t>
      </w:r>
      <w:r>
        <w:rPr>
          <w:rFonts w:ascii="Times New Roman" w:hAnsi="Times New Roman" w:cs="Times New Roman"/>
          <w:color w:val="auto"/>
        </w:rPr>
        <w:t>可由下式估算：</w:t>
      </w:r>
    </w:p>
    <w:p>
      <w:pPr>
        <w:pStyle w:val="25"/>
        <w:spacing w:line="360" w:lineRule="auto"/>
        <w:ind w:left="240" w:leftChars="100" w:firstLine="240" w:firstLineChars="100"/>
        <w:rPr>
          <w:rFonts w:ascii="Times New Roman" w:hAnsi="Times New Roman" w:cs="Times New Roman"/>
        </w:rPr>
      </w:pPr>
      <w:r>
        <w:rPr>
          <w:rFonts w:ascii="Times New Roman" w:hAnsi="Times New Roman" w:cs="Times New Roman"/>
        </w:rPr>
        <w:drawing>
          <wp:inline distT="0" distB="0" distL="0" distR="0">
            <wp:extent cx="2115820" cy="436245"/>
            <wp:effectExtent l="0" t="0" r="0" b="0"/>
            <wp:docPr id="45" name="图片 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true" noChangeArrowheads="true"/>
                    </pic:cNvPicPr>
                  </pic:nvPicPr>
                  <pic:blipFill>
                    <a:blip r:embed="rId86"/>
                    <a:srcRect/>
                    <a:stretch>
                      <a:fillRect/>
                    </a:stretch>
                  </pic:blipFill>
                  <pic:spPr>
                    <a:xfrm>
                      <a:off x="0" y="0"/>
                      <a:ext cx="2115820" cy="436245"/>
                    </a:xfrm>
                    <a:prstGeom prst="rect">
                      <a:avLst/>
                    </a:prstGeom>
                    <a:noFill/>
                    <a:ln>
                      <a:noFill/>
                    </a:ln>
                  </pic:spPr>
                </pic:pic>
              </a:graphicData>
            </a:graphic>
          </wp:inline>
        </w:drawing>
      </w:r>
    </w:p>
    <w:p>
      <w:pPr>
        <w:pStyle w:val="25"/>
        <w:ind w:left="240" w:leftChars="100" w:firstLine="240" w:firstLineChars="100"/>
        <w:rPr>
          <w:rFonts w:ascii="Times New Roman" w:hAnsi="Times New Roman" w:cs="Times New Roman"/>
        </w:rPr>
      </w:pPr>
      <w:r>
        <w:rPr>
          <w:rFonts w:ascii="Times New Roman" w:hAnsi="Times New Roman" w:cs="Times New Roman"/>
        </w:rPr>
        <w:t>式中：</w:t>
      </w:r>
    </w:p>
    <w:p>
      <w:pPr>
        <w:pStyle w:val="25"/>
        <w:ind w:left="240" w:leftChars="100" w:firstLine="240" w:firstLineChars="100"/>
        <w:rPr>
          <w:rFonts w:ascii="Times New Roman" w:hAnsi="Times New Roman" w:cs="Times New Roman"/>
        </w:rPr>
      </w:pPr>
      <w:r>
        <w:rPr>
          <w:rFonts w:ascii="Times New Roman" w:hAnsi="Times New Roman" w:cs="Times New Roman"/>
        </w:rPr>
        <w:t>K</w:t>
      </w:r>
      <w:r>
        <w:rPr>
          <w:rFonts w:ascii="Times New Roman" w:hAnsi="Times New Roman" w:cs="Times New Roman"/>
          <w:vertAlign w:val="subscript"/>
        </w:rPr>
        <w:t>Fi</w:t>
      </w:r>
      <w:r>
        <w:rPr>
          <w:rFonts w:ascii="Times New Roman" w:hAnsi="Times New Roman" w:cs="Times New Roman"/>
        </w:rPr>
        <w:t xml:space="preserve"> 特定类型浮盘附件损耗因子，lb-mol/a；</w:t>
      </w:r>
    </w:p>
    <w:p>
      <w:pPr>
        <w:pStyle w:val="25"/>
        <w:ind w:left="240" w:leftChars="100" w:firstLine="240" w:firstLineChars="100"/>
        <w:rPr>
          <w:rFonts w:ascii="Times New Roman" w:hAnsi="Times New Roman" w:cs="Times New Roman"/>
        </w:rPr>
      </w:pPr>
      <w:r>
        <w:rPr>
          <w:rFonts w:ascii="Times New Roman" w:hAnsi="Times New Roman" w:cs="Times New Roman"/>
        </w:rPr>
        <w:t>K</w:t>
      </w:r>
      <w:r>
        <w:rPr>
          <w:rFonts w:ascii="Times New Roman" w:hAnsi="Times New Roman" w:cs="Times New Roman"/>
          <w:vertAlign w:val="subscript"/>
        </w:rPr>
        <w:t>Fai</w:t>
      </w:r>
      <w:r>
        <w:rPr>
          <w:rFonts w:ascii="Times New Roman" w:hAnsi="Times New Roman" w:cs="Times New Roman"/>
        </w:rPr>
        <w:t xml:space="preserve"> 无风情况下特定类型浮盘附件损耗因子，lb-mol/a；</w:t>
      </w:r>
    </w:p>
    <w:p>
      <w:pPr>
        <w:pStyle w:val="25"/>
        <w:ind w:left="240" w:leftChars="100" w:firstLine="240" w:firstLineChars="100"/>
        <w:rPr>
          <w:rFonts w:ascii="Times New Roman" w:hAnsi="Times New Roman" w:cs="Times New Roman"/>
        </w:rPr>
      </w:pPr>
      <w:r>
        <w:rPr>
          <w:rFonts w:ascii="Times New Roman" w:hAnsi="Times New Roman" w:cs="Times New Roman"/>
        </w:rPr>
        <w:t>K</w:t>
      </w:r>
      <w:r>
        <w:rPr>
          <w:rFonts w:ascii="Times New Roman" w:hAnsi="Times New Roman" w:cs="Times New Roman"/>
          <w:vertAlign w:val="subscript"/>
        </w:rPr>
        <w:t>Fbi</w:t>
      </w:r>
      <w:r>
        <w:rPr>
          <w:rFonts w:ascii="Times New Roman" w:hAnsi="Times New Roman" w:cs="Times New Roman"/>
        </w:rPr>
        <w:t xml:space="preserve"> 有风情况下特定类型浮盘附件损耗因子，lb-mol/（mph）m·a；</w:t>
      </w:r>
    </w:p>
    <w:p>
      <w:pPr>
        <w:pStyle w:val="25"/>
        <w:ind w:left="240" w:leftChars="100" w:firstLine="240" w:firstLineChars="100"/>
        <w:rPr>
          <w:rFonts w:ascii="Times New Roman" w:hAnsi="Times New Roman" w:cs="Times New Roman"/>
        </w:rPr>
      </w:pPr>
      <w:r>
        <w:rPr>
          <w:rFonts w:ascii="Times New Roman" w:hAnsi="Times New Roman" w:cs="Times New Roman"/>
        </w:rPr>
        <w:t>m</w:t>
      </w:r>
      <w:r>
        <w:rPr>
          <w:rFonts w:ascii="Times New Roman" w:hAnsi="Times New Roman" w:cs="Times New Roman"/>
          <w:vertAlign w:val="subscript"/>
        </w:rPr>
        <w:t>i</w:t>
      </w:r>
      <w:r>
        <w:rPr>
          <w:rFonts w:ascii="Times New Roman" w:hAnsi="Times New Roman" w:cs="Times New Roman"/>
        </w:rPr>
        <w:t xml:space="preserve"> 特定浮盘损耗因子，无量纲量；</w:t>
      </w:r>
    </w:p>
    <w:p>
      <w:pPr>
        <w:pStyle w:val="25"/>
        <w:ind w:left="240" w:leftChars="100" w:firstLine="240" w:firstLineChars="100"/>
        <w:rPr>
          <w:rFonts w:ascii="Times New Roman" w:hAnsi="Times New Roman" w:cs="Times New Roman"/>
        </w:rPr>
      </w:pPr>
      <w:r>
        <w:rPr>
          <w:rFonts w:ascii="Times New Roman" w:hAnsi="Times New Roman" w:cs="Times New Roman"/>
        </w:rPr>
        <w:t>Kv 附件风速修正因子，无量纲量；</w:t>
      </w:r>
    </w:p>
    <w:p>
      <w:pPr>
        <w:pStyle w:val="25"/>
        <w:spacing w:line="360" w:lineRule="auto"/>
        <w:ind w:left="240" w:leftChars="100" w:firstLine="240" w:firstLineChars="100"/>
        <w:rPr>
          <w:rFonts w:ascii="Times New Roman" w:hAnsi="Times New Roman" w:cs="Times New Roman"/>
          <w:color w:val="auto"/>
        </w:rPr>
      </w:pPr>
      <w:r>
        <w:rPr>
          <w:rFonts w:ascii="Times New Roman" w:hAnsi="Times New Roman" w:cs="Times New Roman"/>
        </w:rPr>
        <w:t>v 平均气压平均风速，mph。</w:t>
      </w:r>
      <w:r>
        <w:rPr>
          <w:rFonts w:ascii="Times New Roman" w:hAnsi="Times New Roman" w:cs="Times New Roman"/>
        </w:rPr>
        <w:cr/>
      </w:r>
      <w:r>
        <w:rPr>
          <w:rFonts w:ascii="Times New Roman" w:hAnsi="Times New Roman" w:cs="Times New Roman"/>
          <w:color w:val="auto"/>
        </w:rPr>
        <w:t>对于内浮顶罐顶罐风速，其修正因子为0，公式演变为：</w:t>
      </w:r>
    </w:p>
    <w:p>
      <w:pPr>
        <w:pStyle w:val="25"/>
        <w:ind w:left="240" w:leftChars="100" w:firstLine="240" w:firstLineChars="100"/>
        <w:rPr>
          <w:rFonts w:ascii="Times New Roman" w:hAnsi="Times New Roman" w:cs="Times New Roman"/>
          <w:color w:val="auto"/>
        </w:rPr>
      </w:pPr>
      <w:r>
        <w:rPr>
          <w:rFonts w:ascii="Times New Roman" w:hAnsi="Times New Roman" w:cs="Times New Roman"/>
        </w:rPr>
        <w:drawing>
          <wp:inline distT="0" distB="0" distL="0" distR="0">
            <wp:extent cx="988695" cy="414655"/>
            <wp:effectExtent l="0" t="0" r="0" b="0"/>
            <wp:docPr id="46" name="图片 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true" noChangeArrowheads="true"/>
                    </pic:cNvPicPr>
                  </pic:nvPicPr>
                  <pic:blipFill>
                    <a:blip r:embed="rId87"/>
                    <a:srcRect/>
                    <a:stretch>
                      <a:fillRect/>
                    </a:stretch>
                  </pic:blipFill>
                  <pic:spPr>
                    <a:xfrm>
                      <a:off x="0" y="0"/>
                      <a:ext cx="988695" cy="414655"/>
                    </a:xfrm>
                    <a:prstGeom prst="rect">
                      <a:avLst/>
                    </a:prstGeom>
                    <a:noFill/>
                    <a:ln>
                      <a:noFill/>
                    </a:ln>
                  </pic:spPr>
                </pic:pic>
              </a:graphicData>
            </a:graphic>
          </wp:inline>
        </w:drawing>
      </w:r>
      <w:r>
        <w:rPr>
          <w:rFonts w:ascii="Times New Roman" w:hAnsi="Times New Roman" w:cs="Times New Roman"/>
          <w:color w:val="auto"/>
        </w:rPr>
        <w:cr/>
      </w:r>
      <w:r>
        <w:rPr>
          <w:rFonts w:hint="eastAsia" w:ascii="宋体" w:hAnsi="宋体" w:cs="宋体"/>
          <w:b/>
          <w:bCs/>
          <w:color w:val="auto"/>
        </w:rPr>
        <w:t>④</w:t>
      </w:r>
      <w:r>
        <w:rPr>
          <w:rFonts w:ascii="Times New Roman" w:hAnsi="Times New Roman" w:cs="Times New Roman"/>
          <w:b/>
          <w:bCs/>
          <w:color w:val="auto"/>
        </w:rPr>
        <w:t>浮盘缝隙损耗</w:t>
      </w:r>
    </w:p>
    <w:p>
      <w:pPr>
        <w:pStyle w:val="25"/>
        <w:spacing w:line="360" w:lineRule="auto"/>
        <w:ind w:left="240" w:leftChars="100" w:firstLine="480"/>
        <w:rPr>
          <w:rFonts w:ascii="Times New Roman" w:hAnsi="Times New Roman" w:cs="Times New Roman"/>
          <w:color w:val="auto"/>
        </w:rPr>
      </w:pPr>
      <w:r>
        <w:rPr>
          <w:rFonts w:ascii="Times New Roman" w:hAnsi="Times New Roman" w:cs="Times New Roman"/>
          <w:color w:val="auto"/>
        </w:rPr>
        <w:t>浮盘经焊接的内浮顶罐和外浮顶罐都没有盘缝损耗。由螺栓固定的内浮顶罐可能存在盘缝损耗，可由下公估算：</w:t>
      </w:r>
    </w:p>
    <w:p>
      <w:pPr>
        <w:pStyle w:val="25"/>
        <w:ind w:left="240" w:leftChars="100" w:firstLine="480"/>
        <w:rPr>
          <w:rFonts w:ascii="Times New Roman" w:hAnsi="Times New Roman" w:cs="Times New Roman"/>
          <w:color w:val="auto"/>
        </w:rPr>
      </w:pPr>
      <w:r>
        <w:rPr>
          <w:rFonts w:ascii="Times New Roman" w:hAnsi="Times New Roman" w:cs="Times New Roman"/>
        </w:rPr>
        <w:drawing>
          <wp:inline distT="0" distB="0" distL="0" distR="0">
            <wp:extent cx="1690370" cy="361315"/>
            <wp:effectExtent l="0" t="0" r="0" b="0"/>
            <wp:docPr id="47" name="图片 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true" noChangeArrowheads="true"/>
                    </pic:cNvPicPr>
                  </pic:nvPicPr>
                  <pic:blipFill>
                    <a:blip r:embed="rId88"/>
                    <a:srcRect/>
                    <a:stretch>
                      <a:fillRect/>
                    </a:stretch>
                  </pic:blipFill>
                  <pic:spPr>
                    <a:xfrm>
                      <a:off x="0" y="0"/>
                      <a:ext cx="1690370" cy="361315"/>
                    </a:xfrm>
                    <a:prstGeom prst="rect">
                      <a:avLst/>
                    </a:prstGeom>
                    <a:noFill/>
                    <a:ln>
                      <a:noFill/>
                    </a:ln>
                  </pic:spPr>
                </pic:pic>
              </a:graphicData>
            </a:graphic>
          </wp:inline>
        </w:drawing>
      </w:r>
      <w:r>
        <w:rPr>
          <w:rFonts w:ascii="Times New Roman" w:hAnsi="Times New Roman" w:cs="Times New Roman"/>
          <w:color w:val="auto"/>
        </w:rPr>
        <w:cr/>
      </w:r>
      <w:r>
        <w:rPr>
          <w:rFonts w:ascii="Times New Roman" w:hAnsi="Times New Roman" w:cs="Times New Roman"/>
          <w:color w:val="auto"/>
        </w:rPr>
        <w:t>式中：</w:t>
      </w:r>
    </w:p>
    <w:p>
      <w:pPr>
        <w:pStyle w:val="25"/>
        <w:ind w:left="240" w:leftChars="100" w:firstLine="480"/>
        <w:rPr>
          <w:rFonts w:ascii="Times New Roman" w:hAnsi="Times New Roman" w:cs="Times New Roman"/>
          <w:color w:val="auto"/>
        </w:rPr>
      </w:pPr>
      <w:r>
        <w:rPr>
          <w:rFonts w:ascii="Times New Roman" w:hAnsi="Times New Roman" w:cs="Times New Roman"/>
          <w:color w:val="auto"/>
        </w:rPr>
        <w:t>K</w:t>
      </w:r>
      <w:r>
        <w:rPr>
          <w:rFonts w:ascii="Times New Roman" w:hAnsi="Times New Roman" w:cs="Times New Roman"/>
          <w:color w:val="auto"/>
          <w:vertAlign w:val="subscript"/>
        </w:rPr>
        <w:t xml:space="preserve">D </w:t>
      </w:r>
      <w:r>
        <w:rPr>
          <w:rFonts w:ascii="Times New Roman" w:hAnsi="Times New Roman" w:cs="Times New Roman"/>
          <w:color w:val="auto"/>
        </w:rPr>
        <w:t>盘缝损耗单位缝长因子，lb-mol/ft·a；0 对应于焊接盘，0.14 对应于螺栓固定盘；</w:t>
      </w:r>
    </w:p>
    <w:p>
      <w:pPr>
        <w:pStyle w:val="25"/>
        <w:spacing w:line="360" w:lineRule="auto"/>
        <w:ind w:left="240" w:leftChars="100" w:firstLine="480"/>
        <w:rPr>
          <w:rFonts w:ascii="Times New Roman" w:hAnsi="Times New Roman" w:cs="Times New Roman"/>
          <w:color w:val="auto"/>
        </w:rPr>
      </w:pPr>
      <w:r>
        <w:rPr>
          <w:rFonts w:ascii="Times New Roman" w:hAnsi="Times New Roman" w:cs="Times New Roman"/>
          <w:color w:val="auto"/>
        </w:rPr>
        <w:t>SD 盘缝长度因子，ft/ft</w:t>
      </w:r>
      <w:r>
        <w:rPr>
          <w:rFonts w:ascii="Times New Roman" w:hAnsi="Times New Roman" w:cs="Times New Roman"/>
          <w:color w:val="auto"/>
          <w:vertAlign w:val="superscript"/>
        </w:rPr>
        <w:t>2</w:t>
      </w:r>
      <w:r>
        <w:rPr>
          <w:rFonts w:ascii="Times New Roman" w:hAnsi="Times New Roman" w:cs="Times New Roman"/>
          <w:color w:val="auto"/>
        </w:rPr>
        <w:t>，</w:t>
      </w:r>
    </w:p>
    <w:p>
      <w:pPr>
        <w:pStyle w:val="25"/>
        <w:spacing w:line="360" w:lineRule="auto"/>
        <w:ind w:firstLine="197" w:firstLineChars="82"/>
        <w:rPr>
          <w:rFonts w:ascii="Times New Roman" w:hAnsi="Times New Roman" w:cs="Times New Roman"/>
          <w:color w:val="auto"/>
        </w:rPr>
      </w:pPr>
      <w:r>
        <w:rPr>
          <w:rFonts w:ascii="Times New Roman" w:hAnsi="Times New Roman" w:cs="Times New Roman"/>
          <w:b/>
          <w:bCs/>
          <w:color w:val="auto"/>
        </w:rPr>
        <w:fldChar w:fldCharType="begin"/>
      </w:r>
      <w:r>
        <w:rPr>
          <w:rFonts w:ascii="Times New Roman" w:hAnsi="Times New Roman" w:cs="Times New Roman"/>
          <w:b/>
          <w:bCs/>
          <w:color w:val="auto"/>
        </w:rPr>
        <w:instrText xml:space="preserve"> = 5 \* GB3 </w:instrText>
      </w:r>
      <w:r>
        <w:rPr>
          <w:rFonts w:ascii="Times New Roman" w:hAnsi="Times New Roman" w:cs="Times New Roman"/>
          <w:b/>
          <w:bCs/>
          <w:color w:val="auto"/>
        </w:rPr>
        <w:fldChar w:fldCharType="separate"/>
      </w:r>
      <w:r>
        <w:rPr>
          <w:rFonts w:hint="eastAsia" w:ascii="宋体" w:hAnsi="宋体" w:cs="宋体"/>
          <w:b/>
          <w:bCs/>
          <w:color w:val="auto"/>
        </w:rPr>
        <w:t>⑤</w:t>
      </w:r>
      <w:r>
        <w:rPr>
          <w:rFonts w:ascii="Times New Roman" w:hAnsi="Times New Roman" w:cs="Times New Roman"/>
          <w:b/>
          <w:bCs/>
          <w:color w:val="auto"/>
        </w:rPr>
        <w:fldChar w:fldCharType="end"/>
      </w:r>
      <w:r>
        <w:rPr>
          <w:rFonts w:ascii="Times New Roman" w:hAnsi="Times New Roman" w:cs="Times New Roman"/>
          <w:b/>
          <w:bCs/>
          <w:color w:val="auto"/>
        </w:rPr>
        <w:t>计算过程</w:t>
      </w:r>
      <w:r>
        <w:rPr>
          <w:rFonts w:ascii="Times New Roman" w:hAnsi="Times New Roman" w:cs="Times New Roman"/>
          <w:color w:val="auto"/>
        </w:rPr>
        <w:t>：</w:t>
      </w:r>
    </w:p>
    <w:p>
      <w:pPr>
        <w:pStyle w:val="25"/>
        <w:spacing w:line="360" w:lineRule="auto"/>
        <w:ind w:left="240" w:leftChars="100" w:firstLine="480"/>
        <w:rPr>
          <w:rFonts w:ascii="Times New Roman" w:hAnsi="Times New Roman" w:cs="Times New Roman"/>
          <w:color w:val="auto"/>
        </w:rPr>
      </w:pPr>
      <w:r>
        <w:rPr>
          <w:rFonts w:ascii="Times New Roman" w:hAnsi="Times New Roman" w:cs="Times New Roman"/>
          <w:color w:val="auto"/>
        </w:rPr>
        <w:t>第一步：梳理基础数据</w:t>
      </w:r>
    </w:p>
    <w:p>
      <w:pPr>
        <w:pStyle w:val="25"/>
        <w:spacing w:line="360" w:lineRule="auto"/>
        <w:ind w:firstLine="679" w:firstLineChars="283"/>
        <w:rPr>
          <w:rFonts w:ascii="Times New Roman" w:hAnsi="Times New Roman" w:cs="Times New Roman"/>
          <w:color w:val="auto"/>
        </w:rPr>
      </w:pPr>
      <w:r>
        <w:rPr>
          <w:rFonts w:ascii="Times New Roman" w:hAnsi="Times New Roman" w:cs="Times New Roman"/>
          <w:color w:val="auto"/>
        </w:rPr>
        <w:fldChar w:fldCharType="begin"/>
      </w:r>
      <w:r>
        <w:rPr>
          <w:rFonts w:ascii="Times New Roman" w:hAnsi="Times New Roman" w:cs="Times New Roman"/>
          <w:color w:val="auto"/>
        </w:rPr>
        <w:instrText xml:space="preserve"> = 1 \* roman </w:instrText>
      </w:r>
      <w:r>
        <w:rPr>
          <w:rFonts w:ascii="Times New Roman" w:hAnsi="Times New Roman" w:cs="Times New Roman"/>
          <w:color w:val="auto"/>
        </w:rPr>
        <w:fldChar w:fldCharType="separate"/>
      </w:r>
      <w:r>
        <w:rPr>
          <w:rFonts w:ascii="Times New Roman" w:hAnsi="Times New Roman" w:cs="Times New Roman"/>
          <w:color w:val="auto"/>
        </w:rPr>
        <w:t>i</w:t>
      </w:r>
      <w:r>
        <w:rPr>
          <w:rFonts w:ascii="Times New Roman" w:hAnsi="Times New Roman" w:cs="Times New Roman"/>
          <w:color w:val="auto"/>
        </w:rPr>
        <w:fldChar w:fldCharType="end"/>
      </w:r>
      <w:r>
        <w:rPr>
          <w:rFonts w:ascii="Times New Roman" w:hAnsi="Times New Roman" w:cs="Times New Roman"/>
          <w:color w:val="auto"/>
        </w:rPr>
        <w:t>、气象数据</w:t>
      </w:r>
    </w:p>
    <w:p>
      <w:pPr>
        <w:pStyle w:val="25"/>
        <w:spacing w:line="360" w:lineRule="auto"/>
        <w:ind w:left="283" w:leftChars="118" w:firstLine="480"/>
        <w:rPr>
          <w:rFonts w:ascii="Times New Roman" w:hAnsi="Times New Roman" w:cs="Times New Roman"/>
          <w:color w:val="auto"/>
          <w:szCs w:val="24"/>
        </w:rPr>
      </w:pPr>
      <w:r>
        <w:rPr>
          <w:rFonts w:ascii="Times New Roman" w:hAnsi="Times New Roman" w:cs="Times New Roman"/>
          <w:color w:val="auto"/>
          <w:szCs w:val="24"/>
        </w:rPr>
        <w:t>查阅资料可知，合肥市的年日平均最高温度约为22℃，日平均最低温度约为13℃，大气压为1atm，太阳辐射因子为1500Btu/（ft</w:t>
      </w:r>
      <w:r>
        <w:rPr>
          <w:rFonts w:ascii="Times New Roman" w:hAnsi="Times New Roman" w:cs="Times New Roman"/>
          <w:color w:val="auto"/>
          <w:szCs w:val="24"/>
          <w:vertAlign w:val="superscript"/>
        </w:rPr>
        <w:t>2</w:t>
      </w:r>
      <w:r>
        <w:rPr>
          <w:rFonts w:ascii="Times New Roman" w:hAnsi="Times New Roman" w:cs="Times New Roman"/>
          <w:color w:val="auto"/>
          <w:szCs w:val="24"/>
        </w:rPr>
        <w:t>·a）。</w:t>
      </w:r>
    </w:p>
    <w:p>
      <w:pPr>
        <w:pStyle w:val="25"/>
        <w:spacing w:line="360" w:lineRule="auto"/>
        <w:ind w:left="240" w:leftChars="100" w:firstLine="480"/>
        <w:rPr>
          <w:rFonts w:ascii="Times New Roman" w:hAnsi="Times New Roman" w:cs="Times New Roman"/>
          <w:color w:val="auto"/>
        </w:rPr>
      </w:pPr>
      <w:r>
        <w:rPr>
          <w:rFonts w:ascii="Times New Roman" w:hAnsi="Times New Roman" w:cs="Times New Roman"/>
          <w:color w:val="auto"/>
        </w:rPr>
        <w:fldChar w:fldCharType="begin"/>
      </w:r>
      <w:r>
        <w:rPr>
          <w:rFonts w:ascii="Times New Roman" w:hAnsi="Times New Roman" w:cs="Times New Roman"/>
          <w:color w:val="auto"/>
        </w:rPr>
        <w:instrText xml:space="preserve"> = 2 \* roman </w:instrText>
      </w:r>
      <w:r>
        <w:rPr>
          <w:rFonts w:ascii="Times New Roman" w:hAnsi="Times New Roman" w:cs="Times New Roman"/>
          <w:color w:val="auto"/>
        </w:rPr>
        <w:fldChar w:fldCharType="separate"/>
      </w:r>
      <w:r>
        <w:rPr>
          <w:rFonts w:ascii="Times New Roman" w:hAnsi="Times New Roman" w:cs="Times New Roman"/>
          <w:color w:val="auto"/>
        </w:rPr>
        <w:t>ii</w:t>
      </w:r>
      <w:r>
        <w:rPr>
          <w:rFonts w:ascii="Times New Roman" w:hAnsi="Times New Roman" w:cs="Times New Roman"/>
          <w:color w:val="auto"/>
        </w:rPr>
        <w:fldChar w:fldCharType="end"/>
      </w:r>
      <w:r>
        <w:rPr>
          <w:rFonts w:ascii="Times New Roman" w:hAnsi="Times New Roman" w:cs="Times New Roman"/>
          <w:color w:val="auto"/>
        </w:rPr>
        <w:t>、有机液体理化数据</w:t>
      </w:r>
    </w:p>
    <w:p>
      <w:pPr>
        <w:pStyle w:val="25"/>
        <w:spacing w:line="360" w:lineRule="auto"/>
        <w:ind w:left="240" w:leftChars="100" w:firstLine="480"/>
        <w:rPr>
          <w:rFonts w:ascii="Times New Roman" w:hAnsi="Times New Roman" w:cs="Times New Roman"/>
          <w:color w:val="auto"/>
        </w:rPr>
      </w:pPr>
      <w:r>
        <w:rPr>
          <w:rFonts w:ascii="Times New Roman" w:hAnsi="Times New Roman" w:cs="Times New Roman"/>
          <w:color w:val="auto"/>
        </w:rPr>
        <w:t>通过实测和查阅资料可得：</w:t>
      </w:r>
    </w:p>
    <w:p>
      <w:pPr>
        <w:pStyle w:val="25"/>
        <w:spacing w:line="360" w:lineRule="auto"/>
        <w:ind w:left="240" w:leftChars="100" w:firstLine="480"/>
        <w:rPr>
          <w:rFonts w:ascii="Times New Roman" w:hAnsi="Times New Roman" w:cs="Times New Roman"/>
          <w:color w:val="auto"/>
        </w:rPr>
      </w:pPr>
      <w:r>
        <w:rPr>
          <w:rFonts w:ascii="Times New Roman" w:hAnsi="Times New Roman" w:cs="Times New Roman"/>
          <w:color w:val="auto"/>
        </w:rPr>
        <w:t>A.汽油成品在20℃时的真实蒸汽压约为44kPa，油气摩尔质量为 68g/mol；B.液体密度为 0.77t/m</w:t>
      </w:r>
      <w:r>
        <w:rPr>
          <w:rFonts w:ascii="Times New Roman" w:hAnsi="Times New Roman" w:cs="Times New Roman"/>
          <w:color w:val="auto"/>
          <w:vertAlign w:val="superscript"/>
        </w:rPr>
        <w:t>3</w:t>
      </w:r>
      <w:r>
        <w:rPr>
          <w:rFonts w:ascii="Times New Roman" w:hAnsi="Times New Roman" w:cs="Times New Roman"/>
          <w:color w:val="auto"/>
        </w:rPr>
        <w:t>。</w:t>
      </w:r>
    </w:p>
    <w:p>
      <w:pPr>
        <w:pStyle w:val="25"/>
        <w:spacing w:line="360" w:lineRule="auto"/>
        <w:ind w:left="240" w:leftChars="100" w:firstLine="480"/>
        <w:rPr>
          <w:rFonts w:ascii="Times New Roman" w:hAnsi="Times New Roman" w:cs="Times New Roman"/>
          <w:color w:val="auto"/>
        </w:rPr>
      </w:pPr>
      <w:r>
        <w:rPr>
          <w:rFonts w:ascii="Times New Roman" w:hAnsi="Times New Roman" w:cs="Times New Roman"/>
          <w:color w:val="auto"/>
        </w:rPr>
        <w:t>A.航空煤油成品在20℃时的真实蒸汽压约为15.56kPa，油气摩尔质量为130g/ mol；B.液体密度为 0.78t/m</w:t>
      </w:r>
      <w:r>
        <w:rPr>
          <w:rFonts w:ascii="Times New Roman" w:hAnsi="Times New Roman" w:cs="Times New Roman"/>
          <w:color w:val="auto"/>
          <w:vertAlign w:val="superscript"/>
        </w:rPr>
        <w:t>3</w:t>
      </w:r>
      <w:r>
        <w:rPr>
          <w:rFonts w:ascii="Times New Roman" w:hAnsi="Times New Roman" w:cs="Times New Roman"/>
          <w:color w:val="auto"/>
        </w:rPr>
        <w:t>。</w:t>
      </w:r>
    </w:p>
    <w:p>
      <w:pPr>
        <w:pStyle w:val="25"/>
        <w:spacing w:line="360" w:lineRule="auto"/>
        <w:ind w:left="240" w:leftChars="100" w:firstLine="480"/>
        <w:rPr>
          <w:rFonts w:ascii="Times New Roman" w:hAnsi="Times New Roman" w:cs="Times New Roman"/>
          <w:color w:val="auto"/>
        </w:rPr>
      </w:pPr>
      <w:r>
        <w:rPr>
          <w:rFonts w:ascii="Times New Roman" w:hAnsi="Times New Roman" w:cs="Times New Roman"/>
          <w:color w:val="auto"/>
        </w:rPr>
        <w:t>A.乙醇在20℃时的真实蒸汽压约为5.94kPa，油气摩尔质量为46g/mol；B.液体密度为0.79t/m</w:t>
      </w:r>
      <w:r>
        <w:rPr>
          <w:rFonts w:ascii="Times New Roman" w:hAnsi="Times New Roman" w:cs="Times New Roman"/>
          <w:color w:val="auto"/>
          <w:vertAlign w:val="superscript"/>
        </w:rPr>
        <w:t>3</w:t>
      </w:r>
      <w:r>
        <w:rPr>
          <w:rFonts w:ascii="Times New Roman" w:hAnsi="Times New Roman" w:cs="Times New Roman"/>
          <w:color w:val="auto"/>
        </w:rPr>
        <w:t>。</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fldChar w:fldCharType="begin"/>
      </w:r>
      <w:r>
        <w:rPr>
          <w:rFonts w:ascii="Times New Roman" w:hAnsi="Times New Roman" w:cs="Times New Roman"/>
          <w:color w:val="auto"/>
        </w:rPr>
        <w:instrText xml:space="preserve"> = 3 \* roman </w:instrText>
      </w:r>
      <w:r>
        <w:rPr>
          <w:rFonts w:ascii="Times New Roman" w:hAnsi="Times New Roman" w:cs="Times New Roman"/>
          <w:color w:val="auto"/>
        </w:rPr>
        <w:fldChar w:fldCharType="separate"/>
      </w:r>
      <w:r>
        <w:rPr>
          <w:rFonts w:ascii="Times New Roman" w:hAnsi="Times New Roman" w:cs="Times New Roman"/>
          <w:color w:val="auto"/>
        </w:rPr>
        <w:t>iii</w:t>
      </w:r>
      <w:r>
        <w:rPr>
          <w:rFonts w:ascii="Times New Roman" w:hAnsi="Times New Roman" w:cs="Times New Roman"/>
          <w:color w:val="auto"/>
        </w:rPr>
        <w:fldChar w:fldCharType="end"/>
      </w:r>
      <w:r>
        <w:rPr>
          <w:rFonts w:ascii="Times New Roman" w:hAnsi="Times New Roman" w:cs="Times New Roman"/>
          <w:color w:val="auto"/>
        </w:rPr>
        <w:t>、构造数据</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汽油储罐，容积：3000m</w:t>
      </w:r>
      <w:r>
        <w:rPr>
          <w:rFonts w:ascii="Times New Roman" w:hAnsi="Times New Roman" w:cs="Times New Roman"/>
          <w:color w:val="auto"/>
          <w:vertAlign w:val="superscript"/>
        </w:rPr>
        <w:t>3</w:t>
      </w:r>
      <w:r>
        <w:rPr>
          <w:rFonts w:ascii="Times New Roman" w:hAnsi="Times New Roman" w:cs="Times New Roman"/>
          <w:color w:val="auto"/>
        </w:rPr>
        <w:t>；直径：17米；航煤储罐，容积：5000m</w:t>
      </w:r>
      <w:r>
        <w:rPr>
          <w:rFonts w:ascii="Times New Roman" w:hAnsi="Times New Roman" w:cs="Times New Roman"/>
          <w:color w:val="auto"/>
          <w:vertAlign w:val="superscript"/>
        </w:rPr>
        <w:t>3</w:t>
      </w:r>
      <w:r>
        <w:rPr>
          <w:rFonts w:ascii="Times New Roman" w:hAnsi="Times New Roman" w:cs="Times New Roman"/>
          <w:color w:val="auto"/>
        </w:rPr>
        <w:t>；直径：19.5米；乙醇储罐，容积：1000m</w:t>
      </w:r>
      <w:r>
        <w:rPr>
          <w:rFonts w:ascii="Times New Roman" w:hAnsi="Times New Roman" w:cs="Times New Roman"/>
          <w:color w:val="auto"/>
          <w:vertAlign w:val="superscript"/>
        </w:rPr>
        <w:t>3</w:t>
      </w:r>
      <w:r>
        <w:rPr>
          <w:rFonts w:ascii="Times New Roman" w:hAnsi="Times New Roman" w:cs="Times New Roman"/>
          <w:color w:val="auto"/>
        </w:rPr>
        <w:t>；直径：11.5米；容积：500m</w:t>
      </w:r>
      <w:r>
        <w:rPr>
          <w:rFonts w:ascii="Times New Roman" w:hAnsi="Times New Roman" w:cs="Times New Roman"/>
          <w:color w:val="auto"/>
          <w:vertAlign w:val="superscript"/>
        </w:rPr>
        <w:t>3</w:t>
      </w:r>
      <w:r>
        <w:rPr>
          <w:rFonts w:ascii="Times New Roman" w:hAnsi="Times New Roman" w:cs="Times New Roman"/>
          <w:color w:val="auto"/>
        </w:rPr>
        <w:t>；直径：8.5米。</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边缘密封：高效二次密封，浮盘类型：</w:t>
      </w:r>
      <w:r>
        <w:rPr>
          <w:rFonts w:ascii="Times New Roman" w:hAnsi="Times New Roman" w:cs="Times New Roman"/>
          <w:b/>
          <w:bCs/>
          <w:color w:val="auto"/>
        </w:rPr>
        <w:t>不锈钢全接液高效浮盘</w:t>
      </w:r>
      <w:r>
        <w:rPr>
          <w:rFonts w:ascii="Times New Roman" w:hAnsi="Times New Roman" w:cs="Times New Roman"/>
          <w:color w:val="auto"/>
        </w:rPr>
        <w:t>；浮盘附件的开口（孔），除采样、计量、例行检查、维护和其他正常活动外，一直处于密闭状态；浮盘边缘密封不得破损。</w:t>
      </w:r>
      <w:r>
        <w:rPr>
          <w:rFonts w:ascii="Times New Roman" w:hAnsi="Times New Roman" w:cs="Times New Roman"/>
          <w:b/>
          <w:bCs/>
          <w:color w:val="auto"/>
        </w:rPr>
        <w:t>不锈钢全接液高效浮盘无</w:t>
      </w:r>
      <w:r>
        <w:rPr>
          <w:rFonts w:ascii="Times New Roman" w:hAnsi="Times New Roman" w:cs="Times New Roman"/>
          <w:color w:val="auto"/>
        </w:rPr>
        <w:t>浮盘支不设边缘通气孔。</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fldChar w:fldCharType="begin"/>
      </w:r>
      <w:r>
        <w:rPr>
          <w:rFonts w:ascii="Times New Roman" w:hAnsi="Times New Roman" w:cs="Times New Roman"/>
          <w:color w:val="auto"/>
        </w:rPr>
        <w:instrText xml:space="preserve"> = 4 \* roman </w:instrText>
      </w:r>
      <w:r>
        <w:rPr>
          <w:rFonts w:ascii="Times New Roman" w:hAnsi="Times New Roman" w:cs="Times New Roman"/>
          <w:color w:val="auto"/>
        </w:rPr>
        <w:fldChar w:fldCharType="separate"/>
      </w:r>
      <w:r>
        <w:rPr>
          <w:rFonts w:ascii="Times New Roman" w:hAnsi="Times New Roman" w:cs="Times New Roman"/>
          <w:color w:val="auto"/>
        </w:rPr>
        <w:t>iv</w:t>
      </w:r>
      <w:r>
        <w:rPr>
          <w:rFonts w:ascii="Times New Roman" w:hAnsi="Times New Roman" w:cs="Times New Roman"/>
          <w:color w:val="auto"/>
        </w:rPr>
        <w:fldChar w:fldCharType="end"/>
      </w:r>
      <w:r>
        <w:rPr>
          <w:rFonts w:ascii="Times New Roman" w:hAnsi="Times New Roman" w:cs="Times New Roman"/>
          <w:color w:val="auto"/>
        </w:rPr>
        <w:t>、周转数据</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平均单个3000m</w:t>
      </w:r>
      <w:r>
        <w:rPr>
          <w:rFonts w:ascii="Times New Roman" w:hAnsi="Times New Roman" w:cs="Times New Roman"/>
          <w:color w:val="auto"/>
          <w:vertAlign w:val="superscript"/>
        </w:rPr>
        <w:t>3</w:t>
      </w:r>
      <w:r>
        <w:rPr>
          <w:rFonts w:ascii="Times New Roman" w:hAnsi="Times New Roman" w:cs="Times New Roman"/>
          <w:color w:val="auto"/>
        </w:rPr>
        <w:t>汽油内浮顶罐的年周转量20000t/a；单个5000m</w:t>
      </w:r>
      <w:r>
        <w:rPr>
          <w:rFonts w:ascii="Times New Roman" w:hAnsi="Times New Roman" w:cs="Times New Roman"/>
          <w:color w:val="auto"/>
          <w:vertAlign w:val="superscript"/>
        </w:rPr>
        <w:t>3</w:t>
      </w:r>
      <w:r>
        <w:rPr>
          <w:rFonts w:ascii="Times New Roman" w:hAnsi="Times New Roman" w:cs="Times New Roman"/>
          <w:color w:val="auto"/>
        </w:rPr>
        <w:t>航煤内浮顶罐的年周转量5000t/a；单个500m</w:t>
      </w:r>
      <w:r>
        <w:rPr>
          <w:rFonts w:ascii="Times New Roman" w:hAnsi="Times New Roman" w:cs="Times New Roman"/>
          <w:color w:val="auto"/>
          <w:vertAlign w:val="superscript"/>
        </w:rPr>
        <w:t>3</w:t>
      </w:r>
      <w:r>
        <w:rPr>
          <w:rFonts w:ascii="Times New Roman" w:hAnsi="Times New Roman" w:cs="Times New Roman"/>
          <w:color w:val="auto"/>
        </w:rPr>
        <w:t>乙醇内浮顶罐的年周转量5000t/a，单个1000m</w:t>
      </w:r>
      <w:r>
        <w:rPr>
          <w:rFonts w:ascii="Times New Roman" w:hAnsi="Times New Roman" w:cs="Times New Roman"/>
          <w:color w:val="auto"/>
          <w:vertAlign w:val="superscript"/>
        </w:rPr>
        <w:t>3</w:t>
      </w:r>
      <w:r>
        <w:rPr>
          <w:rFonts w:ascii="Times New Roman" w:hAnsi="Times New Roman" w:cs="Times New Roman"/>
          <w:color w:val="auto"/>
        </w:rPr>
        <w:t>乙醇内浮顶罐的年周转量13000t/a。</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第二步：计算各附件损耗</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结合工程设计方案提供的相关信息和数据，代入相应的公式，计算出内浮顶罐的边缘密封损耗、挂壁损耗、浮盘附件损耗和盘缝损耗。</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fldChar w:fldCharType="begin"/>
      </w:r>
      <w:r>
        <w:rPr>
          <w:rFonts w:ascii="Times New Roman" w:hAnsi="Times New Roman" w:cs="Times New Roman"/>
          <w:color w:val="auto"/>
        </w:rPr>
        <w:instrText xml:space="preserve"> = 1 \* roman </w:instrText>
      </w:r>
      <w:r>
        <w:rPr>
          <w:rFonts w:ascii="Times New Roman" w:hAnsi="Times New Roman" w:cs="Times New Roman"/>
          <w:color w:val="auto"/>
        </w:rPr>
        <w:fldChar w:fldCharType="separate"/>
      </w:r>
      <w:r>
        <w:rPr>
          <w:rFonts w:ascii="Times New Roman" w:hAnsi="Times New Roman" w:cs="Times New Roman"/>
          <w:color w:val="auto"/>
        </w:rPr>
        <w:t>i</w:t>
      </w:r>
      <w:r>
        <w:rPr>
          <w:rFonts w:ascii="Times New Roman" w:hAnsi="Times New Roman" w:cs="Times New Roman"/>
          <w:color w:val="auto"/>
        </w:rPr>
        <w:fldChar w:fldCharType="end"/>
      </w:r>
      <w:r>
        <w:rPr>
          <w:rFonts w:ascii="Times New Roman" w:hAnsi="Times New Roman" w:cs="Times New Roman"/>
          <w:color w:val="auto"/>
        </w:rPr>
        <w:t>、边缘密封损耗</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通过输入以下参数：当地大气压，汽油、航煤及乙醇在 20℃时的真实蒸汽压；再将半径、油气分子量、密封类型、产品代入公式，结合“指南”提供的密封损耗系数和油品因子系数。</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计算得出3000m</w:t>
      </w:r>
      <w:r>
        <w:rPr>
          <w:rFonts w:ascii="Times New Roman" w:hAnsi="Times New Roman" w:cs="Times New Roman"/>
          <w:color w:val="auto"/>
          <w:vertAlign w:val="superscript"/>
        </w:rPr>
        <w:t>3</w:t>
      </w:r>
      <w:r>
        <w:rPr>
          <w:rFonts w:ascii="Times New Roman" w:hAnsi="Times New Roman" w:cs="Times New Roman"/>
          <w:color w:val="auto"/>
        </w:rPr>
        <w:t>汽油内浮顶罐边缘密封损耗量为0.15 t/a；5000m</w:t>
      </w:r>
      <w:r>
        <w:rPr>
          <w:rFonts w:ascii="Times New Roman" w:hAnsi="Times New Roman" w:cs="Times New Roman"/>
          <w:color w:val="auto"/>
          <w:vertAlign w:val="superscript"/>
        </w:rPr>
        <w:t>3</w:t>
      </w:r>
      <w:r>
        <w:rPr>
          <w:rFonts w:ascii="Times New Roman" w:hAnsi="Times New Roman" w:cs="Times New Roman"/>
          <w:color w:val="auto"/>
        </w:rPr>
        <w:t>航煤内浮顶罐边缘密封损耗量为0.073t/a，500m</w:t>
      </w:r>
      <w:r>
        <w:rPr>
          <w:rFonts w:ascii="Times New Roman" w:hAnsi="Times New Roman" w:cs="Times New Roman"/>
          <w:color w:val="auto"/>
          <w:vertAlign w:val="superscript"/>
        </w:rPr>
        <w:t>3</w:t>
      </w:r>
      <w:r>
        <w:rPr>
          <w:rFonts w:ascii="Times New Roman" w:hAnsi="Times New Roman" w:cs="Times New Roman"/>
          <w:color w:val="auto"/>
        </w:rPr>
        <w:t>乙醇内浮顶罐的边缘密封损耗量为0.0036t/a，1000m</w:t>
      </w:r>
      <w:r>
        <w:rPr>
          <w:rFonts w:ascii="Times New Roman" w:hAnsi="Times New Roman" w:cs="Times New Roman"/>
          <w:color w:val="auto"/>
          <w:vertAlign w:val="superscript"/>
        </w:rPr>
        <w:t>3</w:t>
      </w:r>
      <w:r>
        <w:rPr>
          <w:rFonts w:ascii="Times New Roman" w:hAnsi="Times New Roman" w:cs="Times New Roman"/>
          <w:color w:val="auto"/>
        </w:rPr>
        <w:t>乙醇内浮顶罐的边缘密封损耗量为0.0049t/a。</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fldChar w:fldCharType="begin"/>
      </w:r>
      <w:r>
        <w:rPr>
          <w:rFonts w:ascii="Times New Roman" w:hAnsi="Times New Roman" w:cs="Times New Roman"/>
          <w:color w:val="auto"/>
        </w:rPr>
        <w:instrText xml:space="preserve"> = 2 \* roman </w:instrText>
      </w:r>
      <w:r>
        <w:rPr>
          <w:rFonts w:ascii="Times New Roman" w:hAnsi="Times New Roman" w:cs="Times New Roman"/>
          <w:color w:val="auto"/>
        </w:rPr>
        <w:fldChar w:fldCharType="separate"/>
      </w:r>
      <w:r>
        <w:rPr>
          <w:rFonts w:ascii="Times New Roman" w:hAnsi="Times New Roman" w:cs="Times New Roman"/>
          <w:color w:val="auto"/>
        </w:rPr>
        <w:t>ii</w:t>
      </w:r>
      <w:r>
        <w:rPr>
          <w:rFonts w:ascii="Times New Roman" w:hAnsi="Times New Roman" w:cs="Times New Roman"/>
          <w:color w:val="auto"/>
        </w:rPr>
        <w:fldChar w:fldCharType="end"/>
      </w:r>
      <w:r>
        <w:rPr>
          <w:rFonts w:ascii="Times New Roman" w:hAnsi="Times New Roman" w:cs="Times New Roman"/>
          <w:color w:val="auto"/>
        </w:rPr>
        <w:t>、挂壁损耗</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通过输入年周转量、容积、液体密度代入公式，结合“指南”提供的油垢因子系数，计算得出3000m</w:t>
      </w:r>
      <w:r>
        <w:rPr>
          <w:rFonts w:ascii="Times New Roman" w:hAnsi="Times New Roman" w:cs="Times New Roman"/>
          <w:color w:val="auto"/>
          <w:vertAlign w:val="superscript"/>
        </w:rPr>
        <w:t>3</w:t>
      </w:r>
      <w:r>
        <w:rPr>
          <w:rFonts w:ascii="Times New Roman" w:hAnsi="Times New Roman" w:cs="Times New Roman"/>
          <w:color w:val="auto"/>
        </w:rPr>
        <w:t>汽油内浮顶罐挂壁损耗量为1.51t/a；5000m</w:t>
      </w:r>
      <w:r>
        <w:rPr>
          <w:rFonts w:ascii="Times New Roman" w:hAnsi="Times New Roman" w:cs="Times New Roman"/>
          <w:color w:val="auto"/>
          <w:vertAlign w:val="superscript"/>
        </w:rPr>
        <w:t>3</w:t>
      </w:r>
      <w:r>
        <w:rPr>
          <w:rFonts w:ascii="Times New Roman" w:hAnsi="Times New Roman" w:cs="Times New Roman"/>
          <w:color w:val="auto"/>
        </w:rPr>
        <w:t>航煤内浮顶罐挂壁损耗量为0.27t/a。500m</w:t>
      </w:r>
      <w:r>
        <w:rPr>
          <w:rFonts w:ascii="Times New Roman" w:hAnsi="Times New Roman" w:cs="Times New Roman"/>
          <w:color w:val="auto"/>
          <w:vertAlign w:val="superscript"/>
        </w:rPr>
        <w:t>3</w:t>
      </w:r>
      <w:r>
        <w:rPr>
          <w:rFonts w:ascii="Times New Roman" w:hAnsi="Times New Roman" w:cs="Times New Roman"/>
          <w:color w:val="auto"/>
        </w:rPr>
        <w:t>乙醇内浮顶罐的挂壁损耗量为0.6t/a，1000m</w:t>
      </w:r>
      <w:r>
        <w:rPr>
          <w:rFonts w:ascii="Times New Roman" w:hAnsi="Times New Roman" w:cs="Times New Roman"/>
          <w:color w:val="auto"/>
          <w:vertAlign w:val="superscript"/>
        </w:rPr>
        <w:t>3</w:t>
      </w:r>
      <w:r>
        <w:rPr>
          <w:rFonts w:ascii="Times New Roman" w:hAnsi="Times New Roman" w:cs="Times New Roman"/>
          <w:color w:val="auto"/>
        </w:rPr>
        <w:t>乙醇内浮顶罐的挂壁损耗量为1.16t/a。</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fldChar w:fldCharType="begin"/>
      </w:r>
      <w:r>
        <w:rPr>
          <w:rFonts w:ascii="Times New Roman" w:hAnsi="Times New Roman" w:cs="Times New Roman"/>
          <w:color w:val="auto"/>
        </w:rPr>
        <w:instrText xml:space="preserve"> = 3 \* roman </w:instrText>
      </w:r>
      <w:r>
        <w:rPr>
          <w:rFonts w:ascii="Times New Roman" w:hAnsi="Times New Roman" w:cs="Times New Roman"/>
          <w:color w:val="auto"/>
        </w:rPr>
        <w:fldChar w:fldCharType="separate"/>
      </w:r>
      <w:r>
        <w:rPr>
          <w:rFonts w:ascii="Times New Roman" w:hAnsi="Times New Roman" w:cs="Times New Roman"/>
          <w:color w:val="auto"/>
        </w:rPr>
        <w:t>iii</w:t>
      </w:r>
      <w:r>
        <w:rPr>
          <w:rFonts w:ascii="Times New Roman" w:hAnsi="Times New Roman" w:cs="Times New Roman"/>
          <w:color w:val="auto"/>
        </w:rPr>
        <w:fldChar w:fldCharType="end"/>
      </w:r>
      <w:r>
        <w:rPr>
          <w:rFonts w:ascii="Times New Roman" w:hAnsi="Times New Roman" w:cs="Times New Roman"/>
          <w:color w:val="auto"/>
        </w:rPr>
        <w:t>、浮盘附件损耗</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通过输入各类附件的数量及参数，结合“指南”提供的浮盘附件损耗系数，计算得出3000m</w:t>
      </w:r>
      <w:r>
        <w:rPr>
          <w:rFonts w:ascii="Times New Roman" w:hAnsi="Times New Roman" w:cs="Times New Roman"/>
          <w:color w:val="auto"/>
          <w:vertAlign w:val="superscript"/>
        </w:rPr>
        <w:t>3</w:t>
      </w:r>
      <w:r>
        <w:rPr>
          <w:rFonts w:ascii="Times New Roman" w:hAnsi="Times New Roman" w:cs="Times New Roman"/>
          <w:color w:val="auto"/>
        </w:rPr>
        <w:t>汽油内浮顶罐浮盘附件损耗量为0.266t/a；5000m</w:t>
      </w:r>
      <w:r>
        <w:rPr>
          <w:rFonts w:ascii="Times New Roman" w:hAnsi="Times New Roman" w:cs="Times New Roman"/>
          <w:color w:val="auto"/>
          <w:vertAlign w:val="superscript"/>
        </w:rPr>
        <w:t>3</w:t>
      </w:r>
      <w:r>
        <w:rPr>
          <w:rFonts w:ascii="Times New Roman" w:hAnsi="Times New Roman" w:cs="Times New Roman"/>
          <w:color w:val="auto"/>
        </w:rPr>
        <w:t>航煤内浮顶罐浮盘附件损耗量为0.263t/a。500m</w:t>
      </w:r>
      <w:r>
        <w:rPr>
          <w:rFonts w:ascii="Times New Roman" w:hAnsi="Times New Roman" w:cs="Times New Roman"/>
          <w:color w:val="auto"/>
          <w:vertAlign w:val="superscript"/>
        </w:rPr>
        <w:t>3</w:t>
      </w:r>
      <w:r>
        <w:rPr>
          <w:rFonts w:ascii="Times New Roman" w:hAnsi="Times New Roman" w:cs="Times New Roman"/>
          <w:color w:val="auto"/>
        </w:rPr>
        <w:t>乙醇内浮顶罐的浮盘附件损耗量为0.003t/a，1000m</w:t>
      </w:r>
      <w:r>
        <w:rPr>
          <w:rFonts w:ascii="Times New Roman" w:hAnsi="Times New Roman" w:cs="Times New Roman"/>
          <w:color w:val="auto"/>
          <w:vertAlign w:val="superscript"/>
        </w:rPr>
        <w:t>3</w:t>
      </w:r>
      <w:r>
        <w:rPr>
          <w:rFonts w:ascii="Times New Roman" w:hAnsi="Times New Roman" w:cs="Times New Roman"/>
          <w:color w:val="auto"/>
        </w:rPr>
        <w:t>乙醇内浮顶罐的浮盘附件损耗量为0.01t/a。</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fldChar w:fldCharType="begin"/>
      </w:r>
      <w:r>
        <w:rPr>
          <w:rFonts w:ascii="Times New Roman" w:hAnsi="Times New Roman" w:cs="Times New Roman"/>
          <w:color w:val="auto"/>
        </w:rPr>
        <w:instrText xml:space="preserve"> = 4 \* roman </w:instrText>
      </w:r>
      <w:r>
        <w:rPr>
          <w:rFonts w:ascii="Times New Roman" w:hAnsi="Times New Roman" w:cs="Times New Roman"/>
          <w:color w:val="auto"/>
        </w:rPr>
        <w:fldChar w:fldCharType="separate"/>
      </w:r>
      <w:r>
        <w:rPr>
          <w:rFonts w:ascii="Times New Roman" w:hAnsi="Times New Roman" w:cs="Times New Roman"/>
          <w:color w:val="auto"/>
        </w:rPr>
        <w:t>iv</w:t>
      </w:r>
      <w:r>
        <w:rPr>
          <w:rFonts w:ascii="Times New Roman" w:hAnsi="Times New Roman" w:cs="Times New Roman"/>
          <w:color w:val="auto"/>
        </w:rPr>
        <w:fldChar w:fldCharType="end"/>
      </w:r>
      <w:r>
        <w:rPr>
          <w:rFonts w:ascii="Times New Roman" w:hAnsi="Times New Roman" w:cs="Times New Roman"/>
          <w:color w:val="auto"/>
        </w:rPr>
        <w:t>、浮盘盘缝损耗</w:t>
      </w:r>
    </w:p>
    <w:p>
      <w:pPr>
        <w:pStyle w:val="25"/>
        <w:spacing w:line="360" w:lineRule="auto"/>
        <w:ind w:firstLine="482"/>
        <w:rPr>
          <w:rFonts w:ascii="Times New Roman" w:hAnsi="Times New Roman" w:cs="Times New Roman"/>
          <w:color w:val="auto"/>
        </w:rPr>
      </w:pPr>
      <w:r>
        <w:rPr>
          <w:rFonts w:ascii="Times New Roman" w:hAnsi="Times New Roman" w:cs="Times New Roman"/>
          <w:b/>
          <w:bCs/>
          <w:color w:val="auto"/>
        </w:rPr>
        <w:t>本项目罐区内浮顶罐均采取不锈钢全接液高效浮盘，</w:t>
      </w:r>
      <w:r>
        <w:rPr>
          <w:rFonts w:ascii="Times New Roman" w:hAnsi="Times New Roman" w:cs="Times New Roman"/>
          <w:color w:val="auto"/>
        </w:rPr>
        <w:t>根据“指南”中浮盘经焊接的内浮顶罐和外浮顶罐都没有盘缝损耗。本项目内浮顶罐不考虑浮盘盘缝损耗量。</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单个3000m</w:t>
      </w:r>
      <w:r>
        <w:rPr>
          <w:rFonts w:ascii="Times New Roman" w:hAnsi="Times New Roman" w:cs="Times New Roman"/>
          <w:color w:val="auto"/>
          <w:vertAlign w:val="superscript"/>
        </w:rPr>
        <w:t>3</w:t>
      </w:r>
      <w:r>
        <w:rPr>
          <w:rFonts w:ascii="Times New Roman" w:hAnsi="Times New Roman" w:cs="Times New Roman"/>
          <w:color w:val="auto"/>
        </w:rPr>
        <w:t>汽油内浮顶罐的总损耗=边缘密封损耗L</w:t>
      </w:r>
      <w:r>
        <w:rPr>
          <w:rFonts w:ascii="Times New Roman" w:hAnsi="Times New Roman" w:cs="Times New Roman"/>
          <w:color w:val="auto"/>
          <w:vertAlign w:val="subscript"/>
        </w:rPr>
        <w:t>R</w:t>
      </w:r>
      <w:r>
        <w:rPr>
          <w:rFonts w:ascii="Times New Roman" w:hAnsi="Times New Roman" w:cs="Times New Roman"/>
          <w:color w:val="auto"/>
        </w:rPr>
        <w:t>+挂壁损耗L</w:t>
      </w:r>
      <w:r>
        <w:rPr>
          <w:rFonts w:ascii="Times New Roman" w:hAnsi="Times New Roman" w:cs="Times New Roman"/>
          <w:color w:val="auto"/>
          <w:vertAlign w:val="subscript"/>
        </w:rPr>
        <w:t>WD</w:t>
      </w:r>
      <w:r>
        <w:rPr>
          <w:rFonts w:ascii="Times New Roman" w:hAnsi="Times New Roman" w:cs="Times New Roman"/>
          <w:color w:val="auto"/>
        </w:rPr>
        <w:t>+浮盘附件损耗L</w:t>
      </w:r>
      <w:r>
        <w:rPr>
          <w:rFonts w:ascii="Times New Roman" w:hAnsi="Times New Roman" w:cs="Times New Roman"/>
          <w:color w:val="auto"/>
          <w:vertAlign w:val="subscript"/>
        </w:rPr>
        <w:t>F</w:t>
      </w:r>
      <w:r>
        <w:rPr>
          <w:rFonts w:ascii="Times New Roman" w:hAnsi="Times New Roman" w:cs="Times New Roman"/>
          <w:color w:val="auto"/>
        </w:rPr>
        <w:t>+盘缝损耗L</w:t>
      </w:r>
      <w:r>
        <w:rPr>
          <w:rFonts w:ascii="Times New Roman" w:hAnsi="Times New Roman" w:cs="Times New Roman"/>
          <w:color w:val="auto"/>
          <w:vertAlign w:val="subscript"/>
        </w:rPr>
        <w:t>D</w:t>
      </w:r>
      <w:r>
        <w:rPr>
          <w:rFonts w:ascii="Times New Roman" w:hAnsi="Times New Roman" w:cs="Times New Roman"/>
          <w:color w:val="auto"/>
        </w:rPr>
        <w:t xml:space="preserve"> = 0.15+1.51+0.266+0=1.926t。</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单个5000m</w:t>
      </w:r>
      <w:r>
        <w:rPr>
          <w:rFonts w:ascii="Times New Roman" w:hAnsi="Times New Roman" w:cs="Times New Roman"/>
          <w:color w:val="auto"/>
          <w:vertAlign w:val="superscript"/>
        </w:rPr>
        <w:t>3</w:t>
      </w:r>
      <w:r>
        <w:rPr>
          <w:rFonts w:ascii="Times New Roman" w:hAnsi="Times New Roman" w:cs="Times New Roman"/>
          <w:color w:val="auto"/>
        </w:rPr>
        <w:t>航煤内浮顶罐的总损耗=边缘密封损耗L</w:t>
      </w:r>
      <w:r>
        <w:rPr>
          <w:rFonts w:ascii="Times New Roman" w:hAnsi="Times New Roman" w:cs="Times New Roman"/>
          <w:color w:val="auto"/>
          <w:vertAlign w:val="subscript"/>
        </w:rPr>
        <w:t>R</w:t>
      </w:r>
      <w:r>
        <w:rPr>
          <w:rFonts w:ascii="Times New Roman" w:hAnsi="Times New Roman" w:cs="Times New Roman"/>
          <w:color w:val="auto"/>
        </w:rPr>
        <w:t>+挂壁损耗L</w:t>
      </w:r>
      <w:r>
        <w:rPr>
          <w:rFonts w:ascii="Times New Roman" w:hAnsi="Times New Roman" w:cs="Times New Roman"/>
          <w:color w:val="auto"/>
          <w:vertAlign w:val="subscript"/>
        </w:rPr>
        <w:t>WD</w:t>
      </w:r>
      <w:r>
        <w:rPr>
          <w:rFonts w:ascii="Times New Roman" w:hAnsi="Times New Roman" w:cs="Times New Roman"/>
          <w:color w:val="auto"/>
        </w:rPr>
        <w:t>+浮盘附件损耗L</w:t>
      </w:r>
      <w:r>
        <w:rPr>
          <w:rFonts w:ascii="Times New Roman" w:hAnsi="Times New Roman" w:cs="Times New Roman"/>
          <w:color w:val="auto"/>
          <w:vertAlign w:val="subscript"/>
        </w:rPr>
        <w:t>F</w:t>
      </w:r>
      <w:r>
        <w:rPr>
          <w:rFonts w:ascii="Times New Roman" w:hAnsi="Times New Roman" w:cs="Times New Roman"/>
          <w:color w:val="auto"/>
        </w:rPr>
        <w:t>+盘缝损耗L</w:t>
      </w:r>
      <w:r>
        <w:rPr>
          <w:rFonts w:ascii="Times New Roman" w:hAnsi="Times New Roman" w:cs="Times New Roman"/>
          <w:color w:val="auto"/>
          <w:vertAlign w:val="subscript"/>
        </w:rPr>
        <w:t>D</w:t>
      </w:r>
      <w:r>
        <w:rPr>
          <w:rFonts w:ascii="Times New Roman" w:hAnsi="Times New Roman" w:cs="Times New Roman"/>
          <w:color w:val="auto"/>
        </w:rPr>
        <w:t xml:space="preserve"> = 0.073+0.27+0.263+0=0.606t。</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单个500m</w:t>
      </w:r>
      <w:r>
        <w:rPr>
          <w:rFonts w:ascii="Times New Roman" w:hAnsi="Times New Roman" w:cs="Times New Roman"/>
          <w:color w:val="auto"/>
          <w:vertAlign w:val="superscript"/>
        </w:rPr>
        <w:t>3</w:t>
      </w:r>
      <w:r>
        <w:rPr>
          <w:rFonts w:ascii="Times New Roman" w:hAnsi="Times New Roman" w:cs="Times New Roman"/>
          <w:color w:val="auto"/>
        </w:rPr>
        <w:t>乙醇内浮顶罐的总损耗=边缘密封损耗L</w:t>
      </w:r>
      <w:r>
        <w:rPr>
          <w:rFonts w:ascii="Times New Roman" w:hAnsi="Times New Roman" w:cs="Times New Roman"/>
          <w:color w:val="auto"/>
          <w:vertAlign w:val="subscript"/>
        </w:rPr>
        <w:t>R</w:t>
      </w:r>
      <w:r>
        <w:rPr>
          <w:rFonts w:ascii="Times New Roman" w:hAnsi="Times New Roman" w:cs="Times New Roman"/>
          <w:color w:val="auto"/>
        </w:rPr>
        <w:t>+挂壁损耗L</w:t>
      </w:r>
      <w:r>
        <w:rPr>
          <w:rFonts w:ascii="Times New Roman" w:hAnsi="Times New Roman" w:cs="Times New Roman"/>
          <w:color w:val="auto"/>
          <w:vertAlign w:val="subscript"/>
        </w:rPr>
        <w:t>WD</w:t>
      </w:r>
      <w:r>
        <w:rPr>
          <w:rFonts w:ascii="Times New Roman" w:hAnsi="Times New Roman" w:cs="Times New Roman"/>
          <w:color w:val="auto"/>
        </w:rPr>
        <w:t>+浮盘附件损耗L</w:t>
      </w:r>
      <w:r>
        <w:rPr>
          <w:rFonts w:ascii="Times New Roman" w:hAnsi="Times New Roman" w:cs="Times New Roman"/>
          <w:color w:val="auto"/>
          <w:vertAlign w:val="subscript"/>
        </w:rPr>
        <w:t>F</w:t>
      </w:r>
      <w:r>
        <w:rPr>
          <w:rFonts w:ascii="Times New Roman" w:hAnsi="Times New Roman" w:cs="Times New Roman"/>
          <w:color w:val="auto"/>
        </w:rPr>
        <w:t>+盘缝损耗L</w:t>
      </w:r>
      <w:r>
        <w:rPr>
          <w:rFonts w:ascii="Times New Roman" w:hAnsi="Times New Roman" w:cs="Times New Roman"/>
          <w:color w:val="auto"/>
          <w:vertAlign w:val="subscript"/>
        </w:rPr>
        <w:t>D</w:t>
      </w:r>
      <w:r>
        <w:rPr>
          <w:rFonts w:ascii="Times New Roman" w:hAnsi="Times New Roman" w:cs="Times New Roman"/>
          <w:color w:val="auto"/>
        </w:rPr>
        <w:t xml:space="preserve"> = 0.0036+0.6+0.003+0=0.607t。</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单个1000m</w:t>
      </w:r>
      <w:r>
        <w:rPr>
          <w:rFonts w:ascii="Times New Roman" w:hAnsi="Times New Roman" w:cs="Times New Roman"/>
          <w:color w:val="auto"/>
          <w:vertAlign w:val="superscript"/>
        </w:rPr>
        <w:t>3</w:t>
      </w:r>
      <w:r>
        <w:rPr>
          <w:rFonts w:ascii="Times New Roman" w:hAnsi="Times New Roman" w:cs="Times New Roman"/>
          <w:color w:val="auto"/>
        </w:rPr>
        <w:t>乙醇内浮顶罐的总损耗=边缘密封损耗L</w:t>
      </w:r>
      <w:r>
        <w:rPr>
          <w:rFonts w:ascii="Times New Roman" w:hAnsi="Times New Roman" w:cs="Times New Roman"/>
          <w:color w:val="auto"/>
          <w:vertAlign w:val="subscript"/>
        </w:rPr>
        <w:t>R</w:t>
      </w:r>
      <w:r>
        <w:rPr>
          <w:rFonts w:ascii="Times New Roman" w:hAnsi="Times New Roman" w:cs="Times New Roman"/>
          <w:color w:val="auto"/>
        </w:rPr>
        <w:t>+挂壁损耗L</w:t>
      </w:r>
      <w:r>
        <w:rPr>
          <w:rFonts w:ascii="Times New Roman" w:hAnsi="Times New Roman" w:cs="Times New Roman"/>
          <w:color w:val="auto"/>
          <w:vertAlign w:val="subscript"/>
        </w:rPr>
        <w:t>WD</w:t>
      </w:r>
      <w:r>
        <w:rPr>
          <w:rFonts w:ascii="Times New Roman" w:hAnsi="Times New Roman" w:cs="Times New Roman"/>
          <w:color w:val="auto"/>
        </w:rPr>
        <w:t>+浮盘附件损耗L</w:t>
      </w:r>
      <w:r>
        <w:rPr>
          <w:rFonts w:ascii="Times New Roman" w:hAnsi="Times New Roman" w:cs="Times New Roman"/>
          <w:color w:val="auto"/>
          <w:vertAlign w:val="subscript"/>
        </w:rPr>
        <w:t>F</w:t>
      </w:r>
      <w:r>
        <w:rPr>
          <w:rFonts w:ascii="Times New Roman" w:hAnsi="Times New Roman" w:cs="Times New Roman"/>
          <w:color w:val="auto"/>
        </w:rPr>
        <w:t>+盘缝损耗L</w:t>
      </w:r>
      <w:r>
        <w:rPr>
          <w:rFonts w:ascii="Times New Roman" w:hAnsi="Times New Roman" w:cs="Times New Roman"/>
          <w:color w:val="auto"/>
          <w:vertAlign w:val="subscript"/>
        </w:rPr>
        <w:t>D</w:t>
      </w:r>
      <w:r>
        <w:rPr>
          <w:rFonts w:ascii="Times New Roman" w:hAnsi="Times New Roman" w:cs="Times New Roman"/>
          <w:color w:val="auto"/>
        </w:rPr>
        <w:t xml:space="preserve"> = 0.0049+1.16+0.01+0=1.175t。</w:t>
      </w:r>
    </w:p>
    <w:p>
      <w:pPr>
        <w:pStyle w:val="25"/>
        <w:spacing w:line="360" w:lineRule="auto"/>
        <w:ind w:firstLine="422"/>
        <w:jc w:val="center"/>
        <w:rPr>
          <w:rFonts w:ascii="Times New Roman" w:hAnsi="Times New Roman" w:cs="Times New Roman"/>
          <w:color w:val="auto"/>
          <w:szCs w:val="24"/>
        </w:rPr>
      </w:pPr>
      <w:r>
        <w:rPr>
          <w:rFonts w:ascii="Times New Roman" w:hAnsi="Times New Roman" w:cs="Times New Roman"/>
          <w:b/>
          <w:bCs/>
          <w:color w:val="auto"/>
          <w:sz w:val="21"/>
          <w:szCs w:val="21"/>
        </w:rPr>
        <w:t>表3.10-11    内浮顶罐损耗计算参数明细表</w:t>
      </w:r>
    </w:p>
    <w:tbl>
      <w:tblPr>
        <w:tblStyle w:val="62"/>
        <w:tblW w:w="94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56"/>
        <w:gridCol w:w="818"/>
        <w:gridCol w:w="770"/>
        <w:gridCol w:w="1354"/>
        <w:gridCol w:w="973"/>
        <w:gridCol w:w="824"/>
        <w:gridCol w:w="725"/>
        <w:gridCol w:w="973"/>
        <w:gridCol w:w="940"/>
        <w:gridCol w:w="10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7" w:hRule="atLeast"/>
          <w:jc w:val="center"/>
        </w:trPr>
        <w:tc>
          <w:tcPr>
            <w:tcW w:w="3898" w:type="dxa"/>
            <w:gridSpan w:val="4"/>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气象参数</w:t>
            </w:r>
          </w:p>
        </w:tc>
        <w:tc>
          <w:tcPr>
            <w:tcW w:w="5506" w:type="dxa"/>
            <w:gridSpan w:val="6"/>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储罐构造参数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33" w:hRule="atLeast"/>
          <w:jc w:val="center"/>
        </w:trPr>
        <w:tc>
          <w:tcPr>
            <w:tcW w:w="956" w:type="dxa"/>
            <w:vMerge w:val="restart"/>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大气压(kPa)</w:t>
            </w:r>
          </w:p>
        </w:tc>
        <w:tc>
          <w:tcPr>
            <w:tcW w:w="818" w:type="dxa"/>
            <w:vMerge w:val="restart"/>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日平均最高环境温度(℃)</w:t>
            </w:r>
          </w:p>
        </w:tc>
        <w:tc>
          <w:tcPr>
            <w:tcW w:w="770" w:type="dxa"/>
            <w:vMerge w:val="restart"/>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日平均最低环境温度(℃)</w:t>
            </w:r>
          </w:p>
        </w:tc>
        <w:tc>
          <w:tcPr>
            <w:tcW w:w="1354" w:type="dxa"/>
            <w:vMerge w:val="restart"/>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水平面太阳能总辐射(Btu/ft</w:t>
            </w:r>
            <w:r>
              <w:rPr>
                <w:rFonts w:ascii="Times New Roman" w:hAnsi="Times New Roman" w:cs="Times New Roman"/>
                <w:color w:val="auto"/>
                <w:kern w:val="0"/>
                <w:sz w:val="18"/>
                <w:szCs w:val="18"/>
                <w:vertAlign w:val="superscript"/>
              </w:rPr>
              <w:t>2</w:t>
            </w:r>
            <w:r>
              <w:rPr>
                <w:rFonts w:ascii="Times New Roman" w:hAnsi="Times New Roman" w:cs="Times New Roman"/>
                <w:color w:val="auto"/>
                <w:kern w:val="0"/>
                <w:sz w:val="18"/>
                <w:szCs w:val="18"/>
              </w:rPr>
              <w:t>.day)</w:t>
            </w:r>
          </w:p>
        </w:tc>
        <w:tc>
          <w:tcPr>
            <w:tcW w:w="973" w:type="dxa"/>
            <w:vMerge w:val="restart"/>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容积（m</w:t>
            </w:r>
            <w:r>
              <w:rPr>
                <w:rFonts w:ascii="Times New Roman" w:hAnsi="Times New Roman" w:cs="Times New Roman"/>
                <w:color w:val="auto"/>
                <w:kern w:val="0"/>
                <w:sz w:val="18"/>
                <w:szCs w:val="18"/>
                <w:vertAlign w:val="superscript"/>
              </w:rPr>
              <w:t>3</w:t>
            </w:r>
            <w:r>
              <w:rPr>
                <w:rFonts w:ascii="Times New Roman" w:hAnsi="Times New Roman" w:cs="Times New Roman"/>
                <w:color w:val="auto"/>
                <w:kern w:val="0"/>
                <w:sz w:val="18"/>
                <w:szCs w:val="18"/>
              </w:rPr>
              <w:t>）</w:t>
            </w:r>
          </w:p>
        </w:tc>
        <w:tc>
          <w:tcPr>
            <w:tcW w:w="824" w:type="dxa"/>
            <w:vMerge w:val="restart"/>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直径(m)</w:t>
            </w:r>
          </w:p>
        </w:tc>
        <w:tc>
          <w:tcPr>
            <w:tcW w:w="725" w:type="dxa"/>
            <w:vMerge w:val="restart"/>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密封选型</w:t>
            </w:r>
          </w:p>
        </w:tc>
        <w:tc>
          <w:tcPr>
            <w:tcW w:w="973" w:type="dxa"/>
            <w:vMerge w:val="restart"/>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支撑柱数</w:t>
            </w:r>
          </w:p>
        </w:tc>
        <w:tc>
          <w:tcPr>
            <w:tcW w:w="940" w:type="dxa"/>
            <w:vMerge w:val="restart"/>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附件个数</w:t>
            </w:r>
          </w:p>
        </w:tc>
        <w:tc>
          <w:tcPr>
            <w:tcW w:w="1071" w:type="dxa"/>
            <w:vMerge w:val="restart"/>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浮盘类型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956"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818"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770"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1354"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973"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824"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725"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973"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940"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1071"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67" w:hRule="atLeast"/>
          <w:jc w:val="center"/>
        </w:trPr>
        <w:tc>
          <w:tcPr>
            <w:tcW w:w="956" w:type="dxa"/>
            <w:vMerge w:val="restart"/>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100.3</w:t>
            </w:r>
          </w:p>
        </w:tc>
        <w:tc>
          <w:tcPr>
            <w:tcW w:w="818" w:type="dxa"/>
            <w:vMerge w:val="restart"/>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22</w:t>
            </w:r>
          </w:p>
        </w:tc>
        <w:tc>
          <w:tcPr>
            <w:tcW w:w="770" w:type="dxa"/>
            <w:vMerge w:val="restart"/>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13</w:t>
            </w:r>
          </w:p>
        </w:tc>
        <w:tc>
          <w:tcPr>
            <w:tcW w:w="1354" w:type="dxa"/>
            <w:vMerge w:val="restart"/>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1500</w:t>
            </w:r>
          </w:p>
        </w:tc>
        <w:tc>
          <w:tcPr>
            <w:tcW w:w="973"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5000</w:t>
            </w:r>
          </w:p>
        </w:tc>
        <w:tc>
          <w:tcPr>
            <w:tcW w:w="824"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19.5</w:t>
            </w:r>
          </w:p>
        </w:tc>
        <w:tc>
          <w:tcPr>
            <w:tcW w:w="725"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二次高效密封</w:t>
            </w:r>
          </w:p>
        </w:tc>
        <w:tc>
          <w:tcPr>
            <w:tcW w:w="973"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4</w:t>
            </w:r>
          </w:p>
        </w:tc>
        <w:tc>
          <w:tcPr>
            <w:tcW w:w="940"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3</w:t>
            </w:r>
          </w:p>
        </w:tc>
        <w:tc>
          <w:tcPr>
            <w:tcW w:w="1071"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不锈钢全接液高效浮盘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7" w:hRule="atLeast"/>
          <w:jc w:val="center"/>
        </w:trPr>
        <w:tc>
          <w:tcPr>
            <w:tcW w:w="956" w:type="dxa"/>
            <w:vMerge w:val="continue"/>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818" w:type="dxa"/>
            <w:vMerge w:val="continue"/>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770" w:type="dxa"/>
            <w:vMerge w:val="continue"/>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1354" w:type="dxa"/>
            <w:vMerge w:val="continue"/>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973"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3000</w:t>
            </w:r>
          </w:p>
        </w:tc>
        <w:tc>
          <w:tcPr>
            <w:tcW w:w="824"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17</w:t>
            </w:r>
          </w:p>
        </w:tc>
        <w:tc>
          <w:tcPr>
            <w:tcW w:w="725"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二次高效密封</w:t>
            </w:r>
          </w:p>
        </w:tc>
        <w:tc>
          <w:tcPr>
            <w:tcW w:w="973"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4</w:t>
            </w:r>
          </w:p>
        </w:tc>
        <w:tc>
          <w:tcPr>
            <w:tcW w:w="940"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3</w:t>
            </w:r>
          </w:p>
        </w:tc>
        <w:tc>
          <w:tcPr>
            <w:tcW w:w="1071"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不锈钢全接液高效浮盘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67" w:hRule="atLeast"/>
          <w:jc w:val="center"/>
        </w:trPr>
        <w:tc>
          <w:tcPr>
            <w:tcW w:w="956" w:type="dxa"/>
            <w:vMerge w:val="continue"/>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818" w:type="dxa"/>
            <w:vMerge w:val="continue"/>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770" w:type="dxa"/>
            <w:vMerge w:val="continue"/>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1354" w:type="dxa"/>
            <w:vMerge w:val="continue"/>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973"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1000</w:t>
            </w:r>
          </w:p>
        </w:tc>
        <w:tc>
          <w:tcPr>
            <w:tcW w:w="824"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11.5</w:t>
            </w:r>
          </w:p>
        </w:tc>
        <w:tc>
          <w:tcPr>
            <w:tcW w:w="725"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二次高效密封</w:t>
            </w:r>
          </w:p>
        </w:tc>
        <w:tc>
          <w:tcPr>
            <w:tcW w:w="973"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4</w:t>
            </w:r>
          </w:p>
        </w:tc>
        <w:tc>
          <w:tcPr>
            <w:tcW w:w="940"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3</w:t>
            </w:r>
          </w:p>
        </w:tc>
        <w:tc>
          <w:tcPr>
            <w:tcW w:w="1071"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不锈钢全接液高效浮盘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7" w:hRule="atLeast"/>
          <w:jc w:val="center"/>
        </w:trPr>
        <w:tc>
          <w:tcPr>
            <w:tcW w:w="956" w:type="dxa"/>
            <w:vMerge w:val="continue"/>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818" w:type="dxa"/>
            <w:vMerge w:val="continue"/>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770" w:type="dxa"/>
            <w:vMerge w:val="continue"/>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1354" w:type="dxa"/>
            <w:vMerge w:val="continue"/>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973"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500</w:t>
            </w:r>
          </w:p>
        </w:tc>
        <w:tc>
          <w:tcPr>
            <w:tcW w:w="824"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8.5</w:t>
            </w:r>
          </w:p>
        </w:tc>
        <w:tc>
          <w:tcPr>
            <w:tcW w:w="725"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二次高效密封</w:t>
            </w:r>
          </w:p>
        </w:tc>
        <w:tc>
          <w:tcPr>
            <w:tcW w:w="973"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4</w:t>
            </w:r>
          </w:p>
        </w:tc>
        <w:tc>
          <w:tcPr>
            <w:tcW w:w="940" w:type="dxa"/>
            <w:shd w:val="clear" w:color="000000"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3</w:t>
            </w:r>
          </w:p>
        </w:tc>
        <w:tc>
          <w:tcPr>
            <w:tcW w:w="1071"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不锈钢全接液高效浮盘</w:t>
            </w:r>
          </w:p>
        </w:tc>
      </w:tr>
    </w:tbl>
    <w:p>
      <w:pPr>
        <w:pStyle w:val="25"/>
        <w:spacing w:before="160" w:line="360" w:lineRule="auto"/>
        <w:ind w:firstLine="422"/>
        <w:jc w:val="center"/>
        <w:rPr>
          <w:rFonts w:ascii="Times New Roman" w:hAnsi="Times New Roman" w:cs="Times New Roman"/>
          <w:color w:val="auto"/>
          <w:szCs w:val="24"/>
        </w:rPr>
      </w:pPr>
      <w:r>
        <w:rPr>
          <w:rFonts w:ascii="Times New Roman" w:hAnsi="Times New Roman" w:cs="Times New Roman"/>
          <w:b/>
          <w:bCs/>
          <w:color w:val="auto"/>
          <w:sz w:val="21"/>
          <w:szCs w:val="21"/>
        </w:rPr>
        <w:t>表3.10-12  本项目内浮顶罐损耗计算结果一览表</w:t>
      </w:r>
    </w:p>
    <w:tbl>
      <w:tblPr>
        <w:tblStyle w:val="62"/>
        <w:tblW w:w="945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826"/>
        <w:gridCol w:w="868"/>
        <w:gridCol w:w="1074"/>
        <w:gridCol w:w="920"/>
        <w:gridCol w:w="1018"/>
        <w:gridCol w:w="1057"/>
        <w:gridCol w:w="910"/>
        <w:gridCol w:w="792"/>
        <w:gridCol w:w="851"/>
        <w:gridCol w:w="11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6" w:hRule="atLeast"/>
          <w:jc w:val="center"/>
        </w:trPr>
        <w:tc>
          <w:tcPr>
            <w:tcW w:w="826"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罐型</w:t>
            </w:r>
          </w:p>
        </w:tc>
        <w:tc>
          <w:tcPr>
            <w:tcW w:w="868"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容积</w:t>
            </w:r>
          </w:p>
        </w:tc>
        <w:tc>
          <w:tcPr>
            <w:tcW w:w="1074"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单罐年平均周转量（t）</w:t>
            </w:r>
          </w:p>
        </w:tc>
        <w:tc>
          <w:tcPr>
            <w:tcW w:w="920"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边缘密封损耗L</w:t>
            </w:r>
            <w:r>
              <w:rPr>
                <w:rFonts w:ascii="Times New Roman" w:hAnsi="Times New Roman" w:cs="Times New Roman"/>
                <w:color w:val="auto"/>
                <w:sz w:val="18"/>
                <w:szCs w:val="18"/>
                <w:vertAlign w:val="subscript"/>
              </w:rPr>
              <w:t>R</w:t>
            </w:r>
            <w:r>
              <w:rPr>
                <w:rFonts w:ascii="Times New Roman" w:hAnsi="Times New Roman" w:cs="Times New Roman"/>
                <w:color w:val="auto"/>
                <w:kern w:val="0"/>
                <w:sz w:val="18"/>
                <w:szCs w:val="18"/>
              </w:rPr>
              <w:t>(t/y)</w:t>
            </w:r>
          </w:p>
        </w:tc>
        <w:tc>
          <w:tcPr>
            <w:tcW w:w="1018"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挂壁损耗L</w:t>
            </w:r>
            <w:r>
              <w:rPr>
                <w:rFonts w:ascii="Times New Roman" w:hAnsi="Times New Roman" w:cs="Times New Roman"/>
                <w:color w:val="auto"/>
                <w:sz w:val="18"/>
                <w:szCs w:val="18"/>
                <w:vertAlign w:val="subscript"/>
              </w:rPr>
              <w:t>WD</w:t>
            </w:r>
            <w:r>
              <w:rPr>
                <w:rFonts w:ascii="Times New Roman" w:hAnsi="Times New Roman" w:cs="Times New Roman"/>
                <w:color w:val="auto"/>
                <w:kern w:val="0"/>
                <w:sz w:val="18"/>
                <w:szCs w:val="18"/>
              </w:rPr>
              <w:t>(t/y)</w:t>
            </w:r>
          </w:p>
        </w:tc>
        <w:tc>
          <w:tcPr>
            <w:tcW w:w="1057"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浮盘附件损耗L</w:t>
            </w:r>
            <w:r>
              <w:rPr>
                <w:rFonts w:ascii="Times New Roman" w:hAnsi="Times New Roman" w:cs="Times New Roman"/>
                <w:color w:val="auto"/>
                <w:sz w:val="18"/>
                <w:szCs w:val="18"/>
                <w:vertAlign w:val="subscript"/>
              </w:rPr>
              <w:t>F</w:t>
            </w:r>
            <w:r>
              <w:rPr>
                <w:rFonts w:ascii="Times New Roman" w:hAnsi="Times New Roman" w:cs="Times New Roman"/>
                <w:color w:val="auto"/>
                <w:kern w:val="0"/>
                <w:sz w:val="18"/>
                <w:szCs w:val="18"/>
              </w:rPr>
              <w:t>(t/y)</w:t>
            </w:r>
          </w:p>
        </w:tc>
        <w:tc>
          <w:tcPr>
            <w:tcW w:w="910"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盘缝损耗L</w:t>
            </w:r>
            <w:r>
              <w:rPr>
                <w:rFonts w:ascii="Times New Roman" w:hAnsi="Times New Roman" w:cs="Times New Roman"/>
                <w:color w:val="auto"/>
                <w:sz w:val="18"/>
                <w:szCs w:val="18"/>
                <w:vertAlign w:val="subscript"/>
              </w:rPr>
              <w:t>D</w:t>
            </w:r>
            <w:r>
              <w:rPr>
                <w:rFonts w:ascii="Times New Roman" w:hAnsi="Times New Roman" w:cs="Times New Roman"/>
                <w:color w:val="auto"/>
                <w:kern w:val="0"/>
                <w:sz w:val="18"/>
                <w:szCs w:val="18"/>
              </w:rPr>
              <w:t>(t/y)</w:t>
            </w:r>
          </w:p>
        </w:tc>
        <w:tc>
          <w:tcPr>
            <w:tcW w:w="792"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单罐排放量(t/y)</w:t>
            </w:r>
          </w:p>
        </w:tc>
        <w:tc>
          <w:tcPr>
            <w:tcW w:w="851"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罐个数</w:t>
            </w:r>
          </w:p>
        </w:tc>
        <w:tc>
          <w:tcPr>
            <w:tcW w:w="1134"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总排放量</w:t>
            </w:r>
          </w:p>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(t/y)</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158" w:hRule="atLeast"/>
          <w:jc w:val="center"/>
        </w:trPr>
        <w:tc>
          <w:tcPr>
            <w:tcW w:w="826" w:type="dxa"/>
            <w:vMerge w:val="restart"/>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内浮顶</w:t>
            </w:r>
          </w:p>
        </w:tc>
        <w:tc>
          <w:tcPr>
            <w:tcW w:w="868"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3000m</w:t>
            </w:r>
            <w:r>
              <w:rPr>
                <w:rFonts w:ascii="Times New Roman" w:hAnsi="Times New Roman" w:cs="Times New Roman"/>
                <w:color w:val="auto"/>
                <w:kern w:val="0"/>
                <w:sz w:val="18"/>
                <w:szCs w:val="18"/>
                <w:vertAlign w:val="superscript"/>
              </w:rPr>
              <w:t>3</w:t>
            </w:r>
          </w:p>
        </w:tc>
        <w:tc>
          <w:tcPr>
            <w:tcW w:w="1074"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kern w:val="0"/>
                <w:sz w:val="18"/>
                <w:szCs w:val="18"/>
              </w:rPr>
              <w:t>20000</w:t>
            </w:r>
          </w:p>
        </w:tc>
        <w:tc>
          <w:tcPr>
            <w:tcW w:w="920" w:type="dxa"/>
            <w:shd w:val="clear" w:color="auto"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0.15</w:t>
            </w:r>
          </w:p>
        </w:tc>
        <w:tc>
          <w:tcPr>
            <w:tcW w:w="1018"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1.51</w:t>
            </w:r>
          </w:p>
        </w:tc>
        <w:tc>
          <w:tcPr>
            <w:tcW w:w="1057"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0.2666</w:t>
            </w:r>
          </w:p>
        </w:tc>
        <w:tc>
          <w:tcPr>
            <w:tcW w:w="910"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w:t>
            </w:r>
          </w:p>
        </w:tc>
        <w:tc>
          <w:tcPr>
            <w:tcW w:w="792" w:type="dxa"/>
            <w:shd w:val="clear" w:color="auto" w:fill="FFFFFF"/>
            <w:vAlign w:val="center"/>
          </w:tcPr>
          <w:p>
            <w:pPr>
              <w:widowControl/>
              <w:adjustRightInd/>
              <w:spacing w:line="240" w:lineRule="auto"/>
              <w:ind w:firstLine="0" w:firstLineChars="0"/>
              <w:jc w:val="center"/>
              <w:rPr>
                <w:rFonts w:ascii="Times New Roman" w:hAnsi="Times New Roman" w:eastAsia="等线" w:cs="Times New Roman"/>
                <w:color w:val="auto"/>
                <w:kern w:val="0"/>
                <w:sz w:val="18"/>
                <w:szCs w:val="18"/>
              </w:rPr>
            </w:pPr>
            <w:r>
              <w:rPr>
                <w:rFonts w:ascii="Times New Roman" w:hAnsi="Times New Roman" w:eastAsia="等线" w:cs="Times New Roman"/>
                <w:color w:val="auto"/>
                <w:kern w:val="0"/>
                <w:sz w:val="18"/>
                <w:szCs w:val="18"/>
              </w:rPr>
              <w:t>1.926</w:t>
            </w:r>
          </w:p>
        </w:tc>
        <w:tc>
          <w:tcPr>
            <w:tcW w:w="851" w:type="dxa"/>
            <w:shd w:val="clear" w:color="auto" w:fill="FFFFFF"/>
            <w:vAlign w:val="center"/>
          </w:tcPr>
          <w:p>
            <w:pPr>
              <w:widowControl/>
              <w:adjustRightInd/>
              <w:spacing w:line="240" w:lineRule="auto"/>
              <w:ind w:firstLine="0" w:firstLineChars="0"/>
              <w:jc w:val="center"/>
              <w:rPr>
                <w:rFonts w:ascii="Times New Roman" w:hAnsi="Times New Roman" w:eastAsia="等线" w:cs="Times New Roman"/>
                <w:color w:val="auto"/>
                <w:kern w:val="0"/>
                <w:sz w:val="18"/>
                <w:szCs w:val="18"/>
              </w:rPr>
            </w:pPr>
            <w:r>
              <w:rPr>
                <w:rFonts w:ascii="Times New Roman" w:hAnsi="Times New Roman" w:cs="Times New Roman"/>
                <w:color w:val="auto"/>
                <w:kern w:val="0"/>
                <w:sz w:val="18"/>
                <w:szCs w:val="18"/>
              </w:rPr>
              <w:t>13</w:t>
            </w:r>
          </w:p>
        </w:tc>
        <w:tc>
          <w:tcPr>
            <w:tcW w:w="1134" w:type="dxa"/>
            <w:shd w:val="clear" w:color="auto" w:fill="FFFFFF"/>
            <w:vAlign w:val="center"/>
          </w:tcPr>
          <w:p>
            <w:pPr>
              <w:widowControl/>
              <w:adjustRightInd/>
              <w:spacing w:line="240" w:lineRule="auto"/>
              <w:ind w:firstLine="0" w:firstLineChars="0"/>
              <w:jc w:val="center"/>
              <w:rPr>
                <w:rFonts w:ascii="Times New Roman" w:hAnsi="Times New Roman" w:eastAsia="等线" w:cs="Times New Roman"/>
                <w:color w:val="auto"/>
                <w:kern w:val="0"/>
                <w:sz w:val="18"/>
                <w:szCs w:val="18"/>
              </w:rPr>
            </w:pPr>
            <w:r>
              <w:rPr>
                <w:rFonts w:ascii="Times New Roman" w:hAnsi="Times New Roman" w:eastAsia="等线" w:cs="Times New Roman"/>
                <w:color w:val="auto"/>
                <w:kern w:val="0"/>
                <w:sz w:val="18"/>
                <w:szCs w:val="18"/>
              </w:rPr>
              <w:t>25.038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158" w:hRule="atLeast"/>
          <w:jc w:val="center"/>
        </w:trPr>
        <w:tc>
          <w:tcPr>
            <w:tcW w:w="826" w:type="dxa"/>
            <w:vMerge w:val="continue"/>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868"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5000m</w:t>
            </w:r>
            <w:r>
              <w:rPr>
                <w:rFonts w:ascii="Times New Roman" w:hAnsi="Times New Roman" w:cs="Times New Roman"/>
                <w:color w:val="auto"/>
                <w:kern w:val="0"/>
                <w:sz w:val="18"/>
                <w:szCs w:val="18"/>
                <w:vertAlign w:val="superscript"/>
              </w:rPr>
              <w:t>3</w:t>
            </w:r>
          </w:p>
        </w:tc>
        <w:tc>
          <w:tcPr>
            <w:tcW w:w="1074"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kern w:val="0"/>
                <w:sz w:val="18"/>
                <w:szCs w:val="18"/>
              </w:rPr>
              <w:t>5000</w:t>
            </w:r>
          </w:p>
        </w:tc>
        <w:tc>
          <w:tcPr>
            <w:tcW w:w="920" w:type="dxa"/>
            <w:shd w:val="clear" w:color="auto"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0.073</w:t>
            </w:r>
          </w:p>
        </w:tc>
        <w:tc>
          <w:tcPr>
            <w:tcW w:w="1018"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0.27</w:t>
            </w:r>
          </w:p>
        </w:tc>
        <w:tc>
          <w:tcPr>
            <w:tcW w:w="1057"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0.263</w:t>
            </w:r>
          </w:p>
        </w:tc>
        <w:tc>
          <w:tcPr>
            <w:tcW w:w="910"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w:t>
            </w:r>
          </w:p>
        </w:tc>
        <w:tc>
          <w:tcPr>
            <w:tcW w:w="792"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0.606</w:t>
            </w:r>
          </w:p>
        </w:tc>
        <w:tc>
          <w:tcPr>
            <w:tcW w:w="851"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3</w:t>
            </w:r>
          </w:p>
        </w:tc>
        <w:tc>
          <w:tcPr>
            <w:tcW w:w="1134"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1.818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PrEx>
        <w:trPr>
          <w:trHeight w:val="158" w:hRule="atLeast"/>
          <w:jc w:val="center"/>
        </w:trPr>
        <w:tc>
          <w:tcPr>
            <w:tcW w:w="826" w:type="dxa"/>
            <w:vMerge w:val="continue"/>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868"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1000m</w:t>
            </w:r>
            <w:r>
              <w:rPr>
                <w:rFonts w:ascii="Times New Roman" w:hAnsi="Times New Roman" w:cs="Times New Roman"/>
                <w:color w:val="auto"/>
                <w:kern w:val="0"/>
                <w:sz w:val="18"/>
                <w:szCs w:val="18"/>
                <w:vertAlign w:val="superscript"/>
              </w:rPr>
              <w:t>3</w:t>
            </w:r>
          </w:p>
        </w:tc>
        <w:tc>
          <w:tcPr>
            <w:tcW w:w="1074"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13000</w:t>
            </w:r>
          </w:p>
        </w:tc>
        <w:tc>
          <w:tcPr>
            <w:tcW w:w="920" w:type="dxa"/>
            <w:shd w:val="clear" w:color="auto"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0.0049</w:t>
            </w:r>
          </w:p>
        </w:tc>
        <w:tc>
          <w:tcPr>
            <w:tcW w:w="1018"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1.16</w:t>
            </w:r>
          </w:p>
        </w:tc>
        <w:tc>
          <w:tcPr>
            <w:tcW w:w="1057"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0.01</w:t>
            </w:r>
          </w:p>
        </w:tc>
        <w:tc>
          <w:tcPr>
            <w:tcW w:w="910"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w:t>
            </w:r>
          </w:p>
        </w:tc>
        <w:tc>
          <w:tcPr>
            <w:tcW w:w="792"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1.175</w:t>
            </w:r>
          </w:p>
        </w:tc>
        <w:tc>
          <w:tcPr>
            <w:tcW w:w="851"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w:t>
            </w:r>
          </w:p>
        </w:tc>
        <w:tc>
          <w:tcPr>
            <w:tcW w:w="1134"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1.175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158" w:hRule="atLeast"/>
          <w:jc w:val="center"/>
        </w:trPr>
        <w:tc>
          <w:tcPr>
            <w:tcW w:w="826" w:type="dxa"/>
            <w:vMerge w:val="continue"/>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p>
        </w:tc>
        <w:tc>
          <w:tcPr>
            <w:tcW w:w="868"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500m</w:t>
            </w:r>
            <w:r>
              <w:rPr>
                <w:rFonts w:ascii="Times New Roman" w:hAnsi="Times New Roman" w:cs="Times New Roman"/>
                <w:color w:val="auto"/>
                <w:kern w:val="0"/>
                <w:sz w:val="18"/>
                <w:szCs w:val="18"/>
                <w:vertAlign w:val="superscript"/>
              </w:rPr>
              <w:t>3</w:t>
            </w:r>
          </w:p>
        </w:tc>
        <w:tc>
          <w:tcPr>
            <w:tcW w:w="1074"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5000</w:t>
            </w:r>
          </w:p>
        </w:tc>
        <w:tc>
          <w:tcPr>
            <w:tcW w:w="920" w:type="dxa"/>
            <w:shd w:val="clear" w:color="auto" w:fill="FFFFFF"/>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0.0036</w:t>
            </w:r>
          </w:p>
        </w:tc>
        <w:tc>
          <w:tcPr>
            <w:tcW w:w="1018"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0.6</w:t>
            </w:r>
          </w:p>
        </w:tc>
        <w:tc>
          <w:tcPr>
            <w:tcW w:w="1057"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0.003</w:t>
            </w:r>
          </w:p>
        </w:tc>
        <w:tc>
          <w:tcPr>
            <w:tcW w:w="910"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w:t>
            </w:r>
          </w:p>
        </w:tc>
        <w:tc>
          <w:tcPr>
            <w:tcW w:w="792"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0.607</w:t>
            </w:r>
          </w:p>
        </w:tc>
        <w:tc>
          <w:tcPr>
            <w:tcW w:w="851"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2</w:t>
            </w:r>
          </w:p>
        </w:tc>
        <w:tc>
          <w:tcPr>
            <w:tcW w:w="1134"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1.214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158" w:hRule="atLeast"/>
          <w:jc w:val="center"/>
        </w:trPr>
        <w:tc>
          <w:tcPr>
            <w:tcW w:w="8316" w:type="dxa"/>
            <w:gridSpan w:val="9"/>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合计</w:t>
            </w:r>
          </w:p>
        </w:tc>
        <w:tc>
          <w:tcPr>
            <w:tcW w:w="1134" w:type="dxa"/>
            <w:shd w:val="clear" w:color="auto" w:fill="FFFFFF"/>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29.245</w:t>
            </w:r>
          </w:p>
        </w:tc>
      </w:tr>
    </w:tbl>
    <w:p>
      <w:pPr>
        <w:pStyle w:val="25"/>
        <w:spacing w:before="160" w:line="360" w:lineRule="auto"/>
        <w:ind w:firstLine="482"/>
        <w:rPr>
          <w:rFonts w:ascii="Times New Roman" w:hAnsi="Times New Roman" w:cs="Times New Roman"/>
          <w:b/>
          <w:bCs/>
          <w:color w:val="auto"/>
          <w:szCs w:val="24"/>
        </w:rPr>
      </w:pPr>
      <w:r>
        <w:rPr>
          <w:rFonts w:ascii="Times New Roman" w:hAnsi="Times New Roman" w:cs="Times New Roman"/>
          <w:b/>
          <w:bCs/>
          <w:color w:val="auto"/>
          <w:szCs w:val="24"/>
        </w:rPr>
        <w:t>综上，</w:t>
      </w:r>
      <w:r>
        <w:rPr>
          <w:rFonts w:ascii="Times New Roman" w:hAnsi="Times New Roman" w:cs="Times New Roman"/>
          <w:color w:val="auto"/>
          <w:kern w:val="0"/>
          <w:szCs w:val="24"/>
        </w:rPr>
        <w:t>本项目汽油、航空煤油及乙醇内浮顶罐的储存损耗VOCs的排放量为29.245t/a，储罐工时取8000h/a；排放速率为3.66kg/h。</w:t>
      </w:r>
    </w:p>
    <w:p>
      <w:pPr>
        <w:pStyle w:val="25"/>
        <w:spacing w:line="360" w:lineRule="auto"/>
        <w:ind w:firstLine="482"/>
        <w:jc w:val="left"/>
        <w:rPr>
          <w:rFonts w:ascii="Times New Roman" w:hAnsi="Times New Roman" w:cs="Times New Roman"/>
          <w:b/>
          <w:bCs/>
          <w:color w:val="auto"/>
        </w:rPr>
      </w:pPr>
      <w:r>
        <w:rPr>
          <w:rFonts w:ascii="Times New Roman" w:hAnsi="Times New Roman" w:cs="Times New Roman"/>
          <w:b/>
          <w:bCs/>
          <w:color w:val="auto"/>
          <w:szCs w:val="24"/>
        </w:rPr>
        <w:t>（3）硫酸废气产生及排放量核算</w:t>
      </w:r>
    </w:p>
    <w:p>
      <w:pPr>
        <w:pStyle w:val="25"/>
        <w:spacing w:line="360" w:lineRule="auto"/>
        <w:ind w:firstLine="482"/>
        <w:jc w:val="left"/>
        <w:rPr>
          <w:rFonts w:ascii="Times New Roman" w:hAnsi="Times New Roman" w:cs="Times New Roman"/>
          <w:color w:val="auto"/>
        </w:rPr>
      </w:pPr>
      <w:r>
        <w:rPr>
          <w:rFonts w:hint="eastAsia" w:ascii="宋体" w:hAnsi="宋体" w:cs="宋体"/>
          <w:b/>
          <w:bCs/>
          <w:color w:val="auto"/>
          <w:szCs w:val="24"/>
        </w:rPr>
        <w:t>①</w:t>
      </w:r>
      <w:r>
        <w:rPr>
          <w:rFonts w:ascii="Times New Roman" w:hAnsi="Times New Roman" w:cs="Times New Roman"/>
          <w:b/>
          <w:bCs/>
          <w:color w:val="auto"/>
          <w:szCs w:val="24"/>
        </w:rPr>
        <w:t>硫酸储罐损耗废气</w:t>
      </w:r>
    </w:p>
    <w:p>
      <w:pPr>
        <w:pStyle w:val="25"/>
        <w:spacing w:line="360" w:lineRule="auto"/>
        <w:ind w:firstLine="480"/>
        <w:jc w:val="left"/>
        <w:rPr>
          <w:rFonts w:ascii="Times New Roman" w:hAnsi="Times New Roman" w:cs="Times New Roman"/>
          <w:color w:val="auto"/>
        </w:rPr>
      </w:pPr>
      <w:r>
        <w:rPr>
          <w:rFonts w:ascii="Times New Roman" w:hAnsi="Times New Roman" w:cs="Times New Roman"/>
          <w:color w:val="auto"/>
        </w:rPr>
        <w:t>本码头罐区设置4座5000m</w:t>
      </w:r>
      <w:r>
        <w:rPr>
          <w:rFonts w:ascii="Times New Roman" w:hAnsi="Times New Roman" w:cs="Times New Roman"/>
          <w:color w:val="auto"/>
          <w:vertAlign w:val="superscript"/>
        </w:rPr>
        <w:t>3</w:t>
      </w:r>
      <w:r>
        <w:rPr>
          <w:rFonts w:ascii="Times New Roman" w:hAnsi="Times New Roman" w:cs="Times New Roman"/>
          <w:color w:val="auto"/>
        </w:rPr>
        <w:t>浓硫酸（98%）固定顶储罐，并采取氮封措施。98%浓硫酸其密度为1.84g/cm</w:t>
      </w:r>
      <w:r>
        <w:rPr>
          <w:rFonts w:ascii="Times New Roman" w:hAnsi="Times New Roman" w:cs="Times New Roman"/>
          <w:color w:val="auto"/>
          <w:vertAlign w:val="superscript"/>
        </w:rPr>
        <w:t>3</w:t>
      </w:r>
      <w:r>
        <w:rPr>
          <w:rFonts w:ascii="Times New Roman" w:hAnsi="Times New Roman" w:cs="Times New Roman"/>
          <w:color w:val="auto"/>
        </w:rPr>
        <w:t>，熔点：10℃；沸点：338℃。浓硫酸是一种高沸点难挥发的强酸，易溶于水，能以任意比与水混溶。硫酸雾的形成机理主要是硫酸中二氧化硫成为三氧化硫后，与空气中的水分结合而生成。</w:t>
      </w:r>
    </w:p>
    <w:p>
      <w:pPr>
        <w:pStyle w:val="25"/>
        <w:spacing w:line="360" w:lineRule="auto"/>
        <w:ind w:firstLine="480"/>
        <w:jc w:val="left"/>
        <w:rPr>
          <w:rFonts w:ascii="Times New Roman" w:hAnsi="Times New Roman" w:cs="Times New Roman"/>
          <w:color w:val="auto"/>
        </w:rPr>
      </w:pPr>
      <w:r>
        <w:rPr>
          <w:rFonts w:ascii="Times New Roman" w:hAnsi="Times New Roman" w:cs="Times New Roman"/>
          <w:color w:val="auto"/>
        </w:rPr>
        <w:t>由于本项目采取了氮封措施，目的是避免空气中的水份通过储罐呼吸阀进入罐内与硫酸反应生成硫酸雾，由于浓硫酸与水接触会产生大量的热量，氮封措施主要是出于安全方面的考虑；故本项目不考虑硫酸储罐的小呼吸。</w:t>
      </w:r>
    </w:p>
    <w:p>
      <w:pPr>
        <w:pStyle w:val="25"/>
        <w:spacing w:line="360" w:lineRule="auto"/>
        <w:ind w:firstLine="480"/>
        <w:jc w:val="left"/>
        <w:rPr>
          <w:rFonts w:ascii="Times New Roman" w:hAnsi="Times New Roman" w:cs="Times New Roman"/>
          <w:color w:val="auto"/>
        </w:rPr>
      </w:pPr>
      <w:r>
        <w:rPr>
          <w:rFonts w:ascii="Times New Roman" w:hAnsi="Times New Roman" w:cs="Times New Roman"/>
          <w:color w:val="auto"/>
        </w:rPr>
        <w:t>根据工程设计资料，本项目硫酸储罐呼吸阀设置收集管线与碱液中和罐连接，对硫酸储罐在进料和出料过程中的“大呼吸”废气进行收集处理。在浓硫酸的进罐与储罐过程中由于气压平衡的需要，不可避免的通过进料管道或呼吸阀带入少量的空气，从而与空气中的水份作用产生少量的硫酸雾废气。</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浓硫酸储罐的“大呼吸”废气计算：由于浓硫酸为无机液体，通过查阅资料可知，98%浓硫酸在25℃时的饱和蒸气压为0.06Kpa，其挥发性极小；故浓硫酸储罐的“大呼吸”计算采用质量蒸发公式进行计算。</w:t>
      </w:r>
    </w:p>
    <w:p>
      <w:pPr>
        <w:pStyle w:val="25"/>
        <w:ind w:firstLine="480"/>
        <w:rPr>
          <w:rFonts w:ascii="Times New Roman" w:hAnsi="Times New Roman" w:cs="Times New Roman"/>
        </w:rPr>
      </w:pPr>
      <w:r>
        <w:rPr>
          <w:rFonts w:ascii="Times New Roman" w:hAnsi="Times New Roman" w:cs="Times New Roman"/>
        </w:rPr>
        <w:drawing>
          <wp:inline distT="0" distB="0" distL="0" distR="0">
            <wp:extent cx="2062480" cy="765810"/>
            <wp:effectExtent l="0" t="0" r="0" b="0"/>
            <wp:docPr id="48" name="图片 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true" noChangeArrowheads="true"/>
                    </pic:cNvPicPr>
                  </pic:nvPicPr>
                  <pic:blipFill>
                    <a:blip r:embed="rId89"/>
                    <a:srcRect/>
                    <a:stretch>
                      <a:fillRect/>
                    </a:stretch>
                  </pic:blipFill>
                  <pic:spPr>
                    <a:xfrm>
                      <a:off x="0" y="0"/>
                      <a:ext cx="2062480" cy="765810"/>
                    </a:xfrm>
                    <a:prstGeom prst="rect">
                      <a:avLst/>
                    </a:prstGeom>
                    <a:noFill/>
                    <a:ln>
                      <a:noFill/>
                    </a:ln>
                  </pic:spPr>
                </pic:pic>
              </a:graphicData>
            </a:graphic>
          </wp:inline>
        </w:drawing>
      </w:r>
    </w:p>
    <w:p>
      <w:pPr>
        <w:pStyle w:val="25"/>
        <w:ind w:firstLine="480"/>
        <w:rPr>
          <w:rFonts w:ascii="Times New Roman" w:hAnsi="Times New Roman" w:cs="Times New Roman"/>
        </w:rPr>
      </w:pPr>
      <w:r>
        <w:rPr>
          <w:rFonts w:ascii="Times New Roman" w:hAnsi="Times New Roman" w:cs="Times New Roman"/>
        </w:rPr>
        <w:t>式中：Q</w:t>
      </w:r>
      <w:r>
        <w:rPr>
          <w:rFonts w:ascii="Times New Roman" w:hAnsi="Times New Roman" w:cs="Times New Roman"/>
          <w:vertAlign w:val="subscript"/>
        </w:rPr>
        <w:t>3</w:t>
      </w:r>
      <w:r>
        <w:rPr>
          <w:rFonts w:ascii="Times New Roman" w:hAnsi="Times New Roman" w:cs="Times New Roman"/>
        </w:rPr>
        <w:t xml:space="preserve"> ——质量蒸发速率，kg/s；</w:t>
      </w:r>
    </w:p>
    <w:p>
      <w:pPr>
        <w:pStyle w:val="25"/>
        <w:ind w:firstLine="480"/>
        <w:rPr>
          <w:rFonts w:ascii="Times New Roman" w:hAnsi="Times New Roman" w:cs="Times New Roman"/>
        </w:rPr>
      </w:pPr>
      <w:r>
        <w:rPr>
          <w:rFonts w:ascii="Times New Roman" w:hAnsi="Times New Roman" w:cs="Times New Roman"/>
        </w:rPr>
        <w:t>p ——液体表面蒸气压，Pa；浓硫酸取</w:t>
      </w:r>
      <w:r>
        <w:rPr>
          <w:rFonts w:ascii="Times New Roman" w:hAnsi="Times New Roman" w:cs="Times New Roman"/>
          <w:color w:val="auto"/>
        </w:rPr>
        <w:t>0.06Kpa。</w:t>
      </w:r>
    </w:p>
    <w:p>
      <w:pPr>
        <w:pStyle w:val="25"/>
        <w:ind w:firstLine="480"/>
        <w:rPr>
          <w:rFonts w:ascii="Times New Roman" w:hAnsi="Times New Roman" w:cs="Times New Roman"/>
        </w:rPr>
      </w:pPr>
      <w:r>
        <w:rPr>
          <w:rFonts w:ascii="Times New Roman" w:hAnsi="Times New Roman" w:cs="Times New Roman"/>
        </w:rPr>
        <w:t>R ——气体常数，J/（mol·K）；</w:t>
      </w:r>
    </w:p>
    <w:p>
      <w:pPr>
        <w:pStyle w:val="25"/>
        <w:ind w:firstLine="480"/>
        <w:rPr>
          <w:rFonts w:ascii="Times New Roman" w:hAnsi="Times New Roman" w:cs="Times New Roman"/>
        </w:rPr>
      </w:pPr>
      <w:r>
        <w:rPr>
          <w:rFonts w:ascii="Times New Roman" w:hAnsi="Times New Roman" w:cs="Times New Roman"/>
        </w:rPr>
        <w:t>T</w:t>
      </w:r>
      <w:r>
        <w:rPr>
          <w:rFonts w:ascii="Times New Roman" w:hAnsi="Times New Roman" w:cs="Times New Roman"/>
          <w:vertAlign w:val="subscript"/>
        </w:rPr>
        <w:t xml:space="preserve">0 </w:t>
      </w:r>
      <w:r>
        <w:rPr>
          <w:rFonts w:ascii="Times New Roman" w:hAnsi="Times New Roman" w:cs="Times New Roman"/>
        </w:rPr>
        <w:t>——环境温度，K；</w:t>
      </w:r>
    </w:p>
    <w:p>
      <w:pPr>
        <w:pStyle w:val="25"/>
        <w:ind w:firstLine="480"/>
        <w:rPr>
          <w:rFonts w:ascii="Times New Roman" w:hAnsi="Times New Roman" w:cs="Times New Roman"/>
        </w:rPr>
      </w:pPr>
      <w:r>
        <w:rPr>
          <w:rFonts w:ascii="Times New Roman" w:hAnsi="Times New Roman" w:cs="Times New Roman"/>
        </w:rPr>
        <w:t>M ——物质的摩尔质量，kg/mol；</w:t>
      </w:r>
    </w:p>
    <w:p>
      <w:pPr>
        <w:pStyle w:val="25"/>
        <w:ind w:firstLine="480"/>
        <w:rPr>
          <w:rFonts w:ascii="Times New Roman" w:hAnsi="Times New Roman" w:cs="Times New Roman"/>
        </w:rPr>
      </w:pPr>
      <w:r>
        <w:rPr>
          <w:rFonts w:ascii="Times New Roman" w:hAnsi="Times New Roman" w:cs="Times New Roman"/>
        </w:rPr>
        <w:t>u ——风速，m/s；储罐内，取0.005m/s。</w:t>
      </w:r>
    </w:p>
    <w:p>
      <w:pPr>
        <w:pStyle w:val="25"/>
        <w:ind w:firstLine="480"/>
        <w:rPr>
          <w:rFonts w:ascii="Times New Roman" w:hAnsi="Times New Roman" w:cs="Times New Roman"/>
        </w:rPr>
      </w:pPr>
      <w:r>
        <w:rPr>
          <w:rFonts w:ascii="Times New Roman" w:hAnsi="Times New Roman" w:cs="Times New Roman"/>
        </w:rPr>
        <w:t>r ——液池半径，m；取储罐半径</w:t>
      </w:r>
    </w:p>
    <w:p>
      <w:pPr>
        <w:pStyle w:val="25"/>
        <w:spacing w:line="360" w:lineRule="auto"/>
        <w:ind w:firstLine="480"/>
        <w:rPr>
          <w:rFonts w:ascii="Times New Roman" w:hAnsi="Times New Roman" w:cs="Times New Roman"/>
        </w:rPr>
      </w:pPr>
      <w:r>
        <w:rPr>
          <w:rFonts w:ascii="Times New Roman" w:hAnsi="Times New Roman" w:cs="Times New Roman"/>
        </w:rPr>
        <w:t>α，n——大气稳定度系数，本项目储罐采取氮封，且处于储罐内，稳定度取F。</w:t>
      </w:r>
    </w:p>
    <w:p>
      <w:pPr>
        <w:pStyle w:val="25"/>
        <w:spacing w:line="360" w:lineRule="auto"/>
        <w:ind w:firstLine="422"/>
        <w:jc w:val="center"/>
        <w:rPr>
          <w:rFonts w:ascii="Times New Roman" w:hAnsi="Times New Roman" w:cs="Times New Roman"/>
        </w:rPr>
      </w:pPr>
      <w:r>
        <w:rPr>
          <w:rFonts w:ascii="Times New Roman" w:hAnsi="Times New Roman" w:cs="Times New Roman"/>
          <w:b/>
          <w:bCs/>
          <w:color w:val="auto"/>
          <w:sz w:val="21"/>
          <w:szCs w:val="21"/>
        </w:rPr>
        <w:t>表3.10-13    本项目硫酸储罐“大呼吸”损耗计算结果一览表</w:t>
      </w:r>
    </w:p>
    <w:tbl>
      <w:tblPr>
        <w:tblStyle w:val="62"/>
        <w:tblW w:w="927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68"/>
        <w:gridCol w:w="956"/>
        <w:gridCol w:w="969"/>
        <w:gridCol w:w="957"/>
        <w:gridCol w:w="957"/>
        <w:gridCol w:w="965"/>
        <w:gridCol w:w="1210"/>
        <w:gridCol w:w="1264"/>
        <w:gridCol w:w="10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2" w:hRule="atLeast"/>
        </w:trPr>
        <w:tc>
          <w:tcPr>
            <w:tcW w:w="968"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物料名称</w:t>
            </w:r>
          </w:p>
        </w:tc>
        <w:tc>
          <w:tcPr>
            <w:tcW w:w="956"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周转量</w:t>
            </w:r>
          </w:p>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t/a</w:t>
            </w:r>
          </w:p>
        </w:tc>
        <w:tc>
          <w:tcPr>
            <w:tcW w:w="969"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储罐直径m</w:t>
            </w:r>
          </w:p>
        </w:tc>
        <w:tc>
          <w:tcPr>
            <w:tcW w:w="957"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储罐形式</w:t>
            </w:r>
          </w:p>
        </w:tc>
        <w:tc>
          <w:tcPr>
            <w:tcW w:w="957"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周转频次N</w:t>
            </w:r>
          </w:p>
        </w:tc>
        <w:tc>
          <w:tcPr>
            <w:tcW w:w="965"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物质蒸气压Pa</w:t>
            </w:r>
          </w:p>
        </w:tc>
        <w:tc>
          <w:tcPr>
            <w:tcW w:w="1210"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物质的摩尔质量kg/mol</w:t>
            </w:r>
          </w:p>
        </w:tc>
        <w:tc>
          <w:tcPr>
            <w:tcW w:w="1264"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气体常数，</w:t>
            </w:r>
          </w:p>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J/（mol·K）</w:t>
            </w:r>
          </w:p>
        </w:tc>
        <w:tc>
          <w:tcPr>
            <w:tcW w:w="1030"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损失量（kg/a）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6" w:hRule="atLeast"/>
        </w:trPr>
        <w:tc>
          <w:tcPr>
            <w:tcW w:w="968"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98%硫酸</w:t>
            </w:r>
          </w:p>
        </w:tc>
        <w:tc>
          <w:tcPr>
            <w:tcW w:w="956"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50000</w:t>
            </w:r>
          </w:p>
        </w:tc>
        <w:tc>
          <w:tcPr>
            <w:tcW w:w="969"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19m</w:t>
            </w:r>
          </w:p>
        </w:tc>
        <w:tc>
          <w:tcPr>
            <w:tcW w:w="957"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固定顶+氮封</w:t>
            </w:r>
          </w:p>
        </w:tc>
        <w:tc>
          <w:tcPr>
            <w:tcW w:w="957"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3</w:t>
            </w:r>
          </w:p>
        </w:tc>
        <w:tc>
          <w:tcPr>
            <w:tcW w:w="965"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60</w:t>
            </w:r>
          </w:p>
        </w:tc>
        <w:tc>
          <w:tcPr>
            <w:tcW w:w="1210"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98</w:t>
            </w:r>
          </w:p>
        </w:tc>
        <w:tc>
          <w:tcPr>
            <w:tcW w:w="1264"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8.3145</w:t>
            </w:r>
          </w:p>
        </w:tc>
        <w:tc>
          <w:tcPr>
            <w:tcW w:w="1030"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32.5</w:t>
            </w:r>
          </w:p>
        </w:tc>
      </w:tr>
    </w:tbl>
    <w:p>
      <w:pPr>
        <w:pStyle w:val="25"/>
        <w:spacing w:line="360" w:lineRule="auto"/>
        <w:ind w:firstLine="482"/>
        <w:jc w:val="left"/>
        <w:rPr>
          <w:rFonts w:ascii="Times New Roman" w:hAnsi="Times New Roman" w:cs="Times New Roman"/>
          <w:b/>
          <w:bCs/>
        </w:rPr>
      </w:pPr>
      <w:r>
        <w:rPr>
          <w:rFonts w:hint="eastAsia" w:ascii="宋体" w:hAnsi="宋体" w:cs="宋体"/>
          <w:b/>
          <w:bCs/>
        </w:rPr>
        <w:t>②</w:t>
      </w:r>
      <w:r>
        <w:rPr>
          <w:rFonts w:ascii="Times New Roman" w:hAnsi="Times New Roman" w:cs="Times New Roman"/>
          <w:b/>
          <w:bCs/>
        </w:rPr>
        <w:t>浓硫酸装车废气</w:t>
      </w:r>
    </w:p>
    <w:p>
      <w:pPr>
        <w:pStyle w:val="25"/>
        <w:spacing w:line="360" w:lineRule="auto"/>
        <w:ind w:firstLine="480"/>
        <w:jc w:val="left"/>
        <w:rPr>
          <w:rFonts w:ascii="Times New Roman" w:hAnsi="Times New Roman" w:cs="Times New Roman"/>
          <w:color w:val="auto"/>
        </w:rPr>
      </w:pPr>
      <w:r>
        <w:rPr>
          <w:rFonts w:ascii="Times New Roman" w:hAnsi="Times New Roman" w:cs="Times New Roman"/>
          <w:color w:val="auto"/>
        </w:rPr>
        <w:t>硫酸储罐内的98%浓硫酸，通过密闭管道采取上装鹤管的方式装载进入汽车罐车，装载过程密闭性良好，常规运输浓硫酸的汽车罐车容积为18.5m</w:t>
      </w:r>
      <w:r>
        <w:rPr>
          <w:rFonts w:ascii="Times New Roman" w:hAnsi="Times New Roman" w:cs="Times New Roman"/>
          <w:color w:val="auto"/>
          <w:vertAlign w:val="superscript"/>
        </w:rPr>
        <w:t>3</w:t>
      </w:r>
      <w:r>
        <w:rPr>
          <w:rFonts w:ascii="Times New Roman" w:hAnsi="Times New Roman" w:cs="Times New Roman"/>
          <w:color w:val="auto"/>
        </w:rPr>
        <w:t>（罐体长9.5m，内径1.7m），单车装载量一般为33吨。本项目浓硫酸最大周转量为50000t/a，则需装车约1500辆/年，浓硫酸装车过程中由于少量空气的带入，空气中的水份与浓硫酸作用产生硫酸雾，硫酸雾的产生量采用质量蒸发公式进行计算。</w:t>
      </w:r>
    </w:p>
    <w:p>
      <w:pPr>
        <w:pStyle w:val="25"/>
        <w:spacing w:line="360" w:lineRule="auto"/>
        <w:ind w:firstLine="422"/>
        <w:jc w:val="center"/>
        <w:rPr>
          <w:rFonts w:ascii="Times New Roman" w:hAnsi="Times New Roman" w:cs="Times New Roman"/>
        </w:rPr>
      </w:pPr>
      <w:r>
        <w:rPr>
          <w:rFonts w:ascii="Times New Roman" w:hAnsi="Times New Roman" w:cs="Times New Roman"/>
          <w:b/>
          <w:bCs/>
          <w:color w:val="auto"/>
          <w:sz w:val="21"/>
          <w:szCs w:val="21"/>
        </w:rPr>
        <w:t>表3.10-14    本项目硫酸装车“大呼吸”损耗计算结果一览表</w:t>
      </w:r>
    </w:p>
    <w:tbl>
      <w:tblPr>
        <w:tblStyle w:val="62"/>
        <w:tblW w:w="927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68"/>
        <w:gridCol w:w="956"/>
        <w:gridCol w:w="969"/>
        <w:gridCol w:w="957"/>
        <w:gridCol w:w="957"/>
        <w:gridCol w:w="965"/>
        <w:gridCol w:w="1210"/>
        <w:gridCol w:w="1264"/>
        <w:gridCol w:w="10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2" w:hRule="atLeast"/>
        </w:trPr>
        <w:tc>
          <w:tcPr>
            <w:tcW w:w="968"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物料名称</w:t>
            </w:r>
          </w:p>
        </w:tc>
        <w:tc>
          <w:tcPr>
            <w:tcW w:w="956"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周转量</w:t>
            </w:r>
          </w:p>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t/a</w:t>
            </w:r>
          </w:p>
        </w:tc>
        <w:tc>
          <w:tcPr>
            <w:tcW w:w="969"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储罐直径m</w:t>
            </w:r>
          </w:p>
        </w:tc>
        <w:tc>
          <w:tcPr>
            <w:tcW w:w="957"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储罐形式</w:t>
            </w:r>
          </w:p>
        </w:tc>
        <w:tc>
          <w:tcPr>
            <w:tcW w:w="957"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周转频次N</w:t>
            </w:r>
          </w:p>
        </w:tc>
        <w:tc>
          <w:tcPr>
            <w:tcW w:w="965"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物质蒸气压Pa</w:t>
            </w:r>
          </w:p>
        </w:tc>
        <w:tc>
          <w:tcPr>
            <w:tcW w:w="1210"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物质的摩尔质量kg/mol</w:t>
            </w:r>
          </w:p>
        </w:tc>
        <w:tc>
          <w:tcPr>
            <w:tcW w:w="1264"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气体常数，</w:t>
            </w:r>
          </w:p>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J/（mol·K）</w:t>
            </w:r>
          </w:p>
        </w:tc>
        <w:tc>
          <w:tcPr>
            <w:tcW w:w="1030"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损失量（kg/a）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6" w:hRule="atLeast"/>
        </w:trPr>
        <w:tc>
          <w:tcPr>
            <w:tcW w:w="968"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98%硫酸</w:t>
            </w:r>
          </w:p>
        </w:tc>
        <w:tc>
          <w:tcPr>
            <w:tcW w:w="956"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50000</w:t>
            </w:r>
          </w:p>
        </w:tc>
        <w:tc>
          <w:tcPr>
            <w:tcW w:w="969"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1.7m</w:t>
            </w:r>
          </w:p>
        </w:tc>
        <w:tc>
          <w:tcPr>
            <w:tcW w:w="957"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汽车储罐上装鹤管</w:t>
            </w:r>
          </w:p>
        </w:tc>
        <w:tc>
          <w:tcPr>
            <w:tcW w:w="957"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1500</w:t>
            </w:r>
          </w:p>
        </w:tc>
        <w:tc>
          <w:tcPr>
            <w:tcW w:w="965"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60</w:t>
            </w:r>
          </w:p>
        </w:tc>
        <w:tc>
          <w:tcPr>
            <w:tcW w:w="1210"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98</w:t>
            </w:r>
          </w:p>
        </w:tc>
        <w:tc>
          <w:tcPr>
            <w:tcW w:w="1264"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8.3145</w:t>
            </w:r>
          </w:p>
        </w:tc>
        <w:tc>
          <w:tcPr>
            <w:tcW w:w="1030" w:type="dxa"/>
            <w:shd w:val="clear" w:color="auto" w:fill="auto"/>
            <w:vAlign w:val="center"/>
          </w:tcPr>
          <w:p>
            <w:pPr>
              <w:widowControl/>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307.8</w:t>
            </w:r>
          </w:p>
        </w:tc>
      </w:tr>
    </w:tbl>
    <w:p>
      <w:pPr>
        <w:pStyle w:val="25"/>
        <w:spacing w:line="360" w:lineRule="auto"/>
        <w:ind w:firstLine="480"/>
        <w:jc w:val="left"/>
        <w:rPr>
          <w:rFonts w:ascii="Times New Roman" w:hAnsi="Times New Roman" w:cs="Times New Roman"/>
          <w:color w:val="auto"/>
        </w:rPr>
      </w:pPr>
      <w:r>
        <w:rPr>
          <w:rFonts w:ascii="Times New Roman" w:hAnsi="Times New Roman" w:cs="Times New Roman"/>
          <w:color w:val="auto"/>
        </w:rPr>
        <w:t>综上，本项目码头浓硫酸在储存及装卸过程中产生的“大呼吸”损耗的总量为340.3kg/a，卸船及装车工时合计约1000h/a，则硫酸雾产生速率为0.34kg/h。</w:t>
      </w:r>
    </w:p>
    <w:p>
      <w:pPr>
        <w:pStyle w:val="25"/>
        <w:spacing w:line="360" w:lineRule="auto"/>
        <w:ind w:firstLine="480"/>
        <w:jc w:val="left"/>
        <w:rPr>
          <w:rFonts w:ascii="Times New Roman" w:hAnsi="Times New Roman" w:cs="Times New Roman"/>
          <w:color w:val="auto"/>
        </w:rPr>
      </w:pPr>
      <w:r>
        <w:rPr>
          <w:rFonts w:ascii="Times New Roman" w:hAnsi="Times New Roman" w:cs="Times New Roman"/>
          <w:color w:val="auto"/>
        </w:rPr>
        <w:t>浓硫酸卸船进入储罐过程中的硫酸雾通过储罐呼吸阀排放，本项目针对硫酸储罐设置了气相平衡管线，将呼吸阀排出的硫酸雾引入1套碱液中和罐进行处理。</w:t>
      </w:r>
    </w:p>
    <w:p>
      <w:pPr>
        <w:pStyle w:val="25"/>
        <w:spacing w:line="360" w:lineRule="auto"/>
        <w:ind w:firstLine="480"/>
        <w:jc w:val="left"/>
        <w:rPr>
          <w:rFonts w:ascii="Times New Roman" w:hAnsi="Times New Roman" w:cs="Times New Roman"/>
          <w:color w:val="auto"/>
        </w:rPr>
      </w:pPr>
      <w:r>
        <w:rPr>
          <w:rFonts w:ascii="Times New Roman" w:hAnsi="Times New Roman" w:cs="Times New Roman"/>
          <w:color w:val="auto"/>
        </w:rPr>
        <w:t>装车过程中的硫酸雾通过罐车呼吸阀排出，本项目装车时将废气回收管线接入罐车呼吸阀，收集的硫酸雾进入1套碱液中和罐（与储罐共用）处理后排放，碱液中和罐 1根15m高排气筒（DA003），碱液中和罐对硫酸雾的去除效率取95%。则本项目硫酸雾的排放量为17kg/a。</w:t>
      </w:r>
    </w:p>
    <w:p>
      <w:pPr>
        <w:pStyle w:val="25"/>
        <w:spacing w:line="360" w:lineRule="auto"/>
        <w:ind w:firstLine="482"/>
        <w:jc w:val="left"/>
        <w:rPr>
          <w:rFonts w:ascii="Times New Roman" w:hAnsi="Times New Roman" w:cs="Times New Roman"/>
          <w:b/>
          <w:bCs/>
          <w:color w:val="auto"/>
        </w:rPr>
      </w:pPr>
      <w:r>
        <w:rPr>
          <w:rFonts w:ascii="Times New Roman" w:hAnsi="Times New Roman" w:cs="Times New Roman"/>
          <w:b/>
          <w:bCs/>
          <w:color w:val="auto"/>
        </w:rPr>
        <w:t>3、泵、阀门及法兰等动静密封点的泄漏（G3）</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由于本项目为油品及液体化工品码头，油品及液体化工品通过管道输送到后方罐区，再通过装车区将油品和液体化学品分装至汽车罐车，每次装卸完毕后管道内进行氮气扫线工艺，无装卸时管道内无油品及化工品，且氮气扫线后各管道和软管端口均用肓板堵上；因此本项目泵、管道阀门和法兰等动静密封点的泄漏基本上出现在装卸（装船、装车）期间。</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根据《石化行业VOCs污染源排查工作指南》设备动静密封点泄漏VOCs污染源排查，对泵、阀门和法兰等动静密封点损耗进行估算。</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码头、管廊区、装车区域动静密封点主要为泵、法兰和阀门，VOCs污染源排放速率和排放时间根据《石化行业VOCs污染源排查工作指南》附录设备动静密封点泄漏相关附录一.3 密封点排放速率核算方法、附录一.4 排放因子的确定和附录一.5 密封点排放时间的确定。</w:t>
      </w:r>
    </w:p>
    <w:p>
      <w:pPr>
        <w:pStyle w:val="4"/>
        <w:tabs>
          <w:tab w:val="left" w:pos="1582"/>
        </w:tabs>
        <w:spacing w:before="103" w:line="240" w:lineRule="auto"/>
        <w:ind w:firstLine="422"/>
        <w:jc w:val="center"/>
        <w:rPr>
          <w:rFonts w:ascii="Times New Roman" w:hAnsi="Times New Roman" w:cs="Times New Roman"/>
          <w:color w:val="auto"/>
          <w:sz w:val="21"/>
          <w:szCs w:val="21"/>
        </w:rPr>
      </w:pPr>
      <w:bookmarkStart w:id="245" w:name="_Toc104733358"/>
      <w:r>
        <w:rPr>
          <w:rFonts w:ascii="Times New Roman" w:hAnsi="Times New Roman" w:cs="Times New Roman"/>
          <w:color w:val="auto"/>
          <w:sz w:val="21"/>
          <w:szCs w:val="21"/>
        </w:rPr>
        <w:t>表3.10-15      石油炼制和石油化工平均组件排放系数</w:t>
      </w:r>
      <w:bookmarkEnd w:id="245"/>
    </w:p>
    <w:p>
      <w:pPr>
        <w:pStyle w:val="25"/>
        <w:spacing w:line="360" w:lineRule="auto"/>
        <w:ind w:firstLine="0" w:firstLineChars="0"/>
        <w:jc w:val="center"/>
        <w:rPr>
          <w:rFonts w:ascii="Times New Roman" w:hAnsi="Times New Roman" w:cs="Times New Roman"/>
          <w:color w:val="auto"/>
        </w:rPr>
      </w:pPr>
      <w:r>
        <w:rPr>
          <w:rFonts w:ascii="Times New Roman" w:hAnsi="Times New Roman" w:cs="Times New Roman"/>
        </w:rPr>
        <w:drawing>
          <wp:inline distT="0" distB="0" distL="0" distR="0">
            <wp:extent cx="5624830" cy="2870835"/>
            <wp:effectExtent l="0" t="0" r="0" b="0"/>
            <wp:docPr id="49" name="图片 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true" noChangeArrowheads="true"/>
                    </pic:cNvPicPr>
                  </pic:nvPicPr>
                  <pic:blipFill>
                    <a:blip r:embed="rId90"/>
                    <a:srcRect/>
                    <a:stretch>
                      <a:fillRect/>
                    </a:stretch>
                  </pic:blipFill>
                  <pic:spPr>
                    <a:xfrm>
                      <a:off x="0" y="0"/>
                      <a:ext cx="5624830" cy="2870835"/>
                    </a:xfrm>
                    <a:prstGeom prst="rect">
                      <a:avLst/>
                    </a:prstGeom>
                    <a:noFill/>
                    <a:ln>
                      <a:noFill/>
                    </a:ln>
                  </pic:spPr>
                </pic:pic>
              </a:graphicData>
            </a:graphic>
          </wp:inline>
        </w:drawing>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本码头工程共布置7个1000吨级泊位，总设计年通过能力338.9万吨/年；</w:t>
      </w:r>
      <w:r>
        <w:rPr>
          <w:rFonts w:ascii="Times New Roman" w:hAnsi="Times New Roman" w:cs="Times New Roman"/>
          <w:kern w:val="24"/>
          <w:szCs w:val="20"/>
          <w:lang w:bidi="ar"/>
        </w:rPr>
        <w:t>预测2030水平年吞吐量为300万吨，</w:t>
      </w:r>
      <w:r>
        <w:rPr>
          <w:rFonts w:ascii="Times New Roman" w:hAnsi="Times New Roman" w:cs="Times New Roman"/>
          <w:color w:val="auto"/>
        </w:rPr>
        <w:t>其中VOCs货种柴油80万吨/年，汽油60万吨/年，航空煤油20万吨/年，乙醇10万吨/年。根据工程设计资料，</w:t>
      </w:r>
      <w:r>
        <w:rPr>
          <w:rFonts w:ascii="Times New Roman" w:hAnsi="Times New Roman" w:cs="Times New Roman"/>
          <w:color w:val="auto"/>
          <w:szCs w:val="24"/>
        </w:rPr>
        <w:t>一艘1000t级油船成品油净装卸船时间为6.67h，一艘1000t级化工品净卸船时间为7.50h；按照5-7#油品专业泊位及1-4#液体化工品泊位同时进行作业计算。则码头、管廊管线及装车区的运行时间为3500h/a左右。</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本码头为新建拟建工程，属于未开展 LDAR 的企业，VOCs 污染源排放速率采用平均排放系数法估算，本项目按石油化工排放系数取值。设备数量按照设计资料进行估算统计。</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具体VOCs排放量见表3.10-16。</w:t>
      </w:r>
    </w:p>
    <w:p>
      <w:pPr>
        <w:pStyle w:val="4"/>
        <w:tabs>
          <w:tab w:val="left" w:pos="1582"/>
        </w:tabs>
        <w:spacing w:before="103" w:line="240" w:lineRule="auto"/>
        <w:ind w:firstLine="422"/>
        <w:jc w:val="center"/>
        <w:rPr>
          <w:rFonts w:ascii="Times New Roman" w:hAnsi="Times New Roman" w:cs="Times New Roman"/>
          <w:color w:val="auto"/>
          <w:sz w:val="21"/>
          <w:szCs w:val="21"/>
        </w:rPr>
      </w:pPr>
      <w:bookmarkStart w:id="246" w:name="_Toc104733359"/>
      <w:r>
        <w:rPr>
          <w:rFonts w:ascii="Times New Roman" w:hAnsi="Times New Roman" w:cs="Times New Roman"/>
          <w:color w:val="auto"/>
          <w:sz w:val="21"/>
          <w:szCs w:val="21"/>
        </w:rPr>
        <w:t>表3.10-16   本项目泵、阀门及法兰动静密封点泄漏量VOCs计算表</w:t>
      </w:r>
      <w:bookmarkEnd w:id="246"/>
    </w:p>
    <w:tbl>
      <w:tblPr>
        <w:tblStyle w:val="62"/>
        <w:tblW w:w="928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7"/>
        <w:gridCol w:w="1134"/>
        <w:gridCol w:w="1049"/>
        <w:gridCol w:w="1644"/>
        <w:gridCol w:w="1843"/>
        <w:gridCol w:w="1276"/>
        <w:gridCol w:w="152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类型</w:t>
            </w:r>
          </w:p>
        </w:tc>
        <w:tc>
          <w:tcPr>
            <w:tcW w:w="1134"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设备数量，N</w:t>
            </w:r>
          </w:p>
        </w:tc>
        <w:tc>
          <w:tcPr>
            <w:tcW w:w="1049"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介质类别</w:t>
            </w:r>
          </w:p>
        </w:tc>
        <w:tc>
          <w:tcPr>
            <w:tcW w:w="1644"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TOC 排放因子，FA</w:t>
            </w:r>
          </w:p>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（kg/（h·排放源））</w:t>
            </w:r>
          </w:p>
        </w:tc>
        <w:tc>
          <w:tcPr>
            <w:tcW w:w="1843"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TOC质量分数，WFTOC</w:t>
            </w:r>
          </w:p>
        </w:tc>
        <w:tc>
          <w:tcPr>
            <w:tcW w:w="1276"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操作时间，</w:t>
            </w:r>
          </w:p>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T（h）</w:t>
            </w:r>
          </w:p>
        </w:tc>
        <w:tc>
          <w:tcPr>
            <w:tcW w:w="1525"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VOCs 排放量</w:t>
            </w:r>
          </w:p>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（kg/a）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泵</w:t>
            </w:r>
          </w:p>
        </w:tc>
        <w:tc>
          <w:tcPr>
            <w:tcW w:w="1134"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43</w:t>
            </w:r>
          </w:p>
        </w:tc>
        <w:tc>
          <w:tcPr>
            <w:tcW w:w="1049"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轻液体</w:t>
            </w:r>
          </w:p>
        </w:tc>
        <w:tc>
          <w:tcPr>
            <w:tcW w:w="1644"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0.0199</w:t>
            </w:r>
          </w:p>
        </w:tc>
        <w:tc>
          <w:tcPr>
            <w:tcW w:w="1843"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276"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3500</w:t>
            </w:r>
          </w:p>
        </w:tc>
        <w:tc>
          <w:tcPr>
            <w:tcW w:w="1525"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2994.95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法兰*</w:t>
            </w:r>
          </w:p>
        </w:tc>
        <w:tc>
          <w:tcPr>
            <w:tcW w:w="1134"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80</w:t>
            </w:r>
          </w:p>
        </w:tc>
        <w:tc>
          <w:tcPr>
            <w:tcW w:w="1049"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轻液体</w:t>
            </w:r>
          </w:p>
        </w:tc>
        <w:tc>
          <w:tcPr>
            <w:tcW w:w="1644"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0.00183</w:t>
            </w:r>
          </w:p>
        </w:tc>
        <w:tc>
          <w:tcPr>
            <w:tcW w:w="1843"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276"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3500</w:t>
            </w:r>
          </w:p>
        </w:tc>
        <w:tc>
          <w:tcPr>
            <w:tcW w:w="1525"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512.4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817"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阀门</w:t>
            </w:r>
          </w:p>
        </w:tc>
        <w:tc>
          <w:tcPr>
            <w:tcW w:w="1134"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430</w:t>
            </w:r>
          </w:p>
        </w:tc>
        <w:tc>
          <w:tcPr>
            <w:tcW w:w="1049"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轻液体</w:t>
            </w:r>
          </w:p>
        </w:tc>
        <w:tc>
          <w:tcPr>
            <w:tcW w:w="1644"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0.00403</w:t>
            </w:r>
          </w:p>
        </w:tc>
        <w:tc>
          <w:tcPr>
            <w:tcW w:w="1843"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276"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3500</w:t>
            </w:r>
          </w:p>
        </w:tc>
        <w:tc>
          <w:tcPr>
            <w:tcW w:w="1525"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6065.15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7"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合计</w:t>
            </w:r>
          </w:p>
        </w:tc>
        <w:tc>
          <w:tcPr>
            <w:tcW w:w="1134"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553</w:t>
            </w:r>
          </w:p>
        </w:tc>
        <w:tc>
          <w:tcPr>
            <w:tcW w:w="1049"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轻液体</w:t>
            </w:r>
          </w:p>
        </w:tc>
        <w:tc>
          <w:tcPr>
            <w:tcW w:w="1644"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843"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276"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525" w:type="dxa"/>
            <w:shd w:val="clear" w:color="auto" w:fill="auto"/>
            <w:vAlign w:val="center"/>
          </w:tcPr>
          <w:p>
            <w:pPr>
              <w:pStyle w:val="25"/>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9572.5</w:t>
            </w:r>
          </w:p>
        </w:tc>
      </w:tr>
    </w:tbl>
    <w:p>
      <w:pPr>
        <w:pStyle w:val="25"/>
        <w:spacing w:line="360" w:lineRule="auto"/>
        <w:ind w:firstLine="402"/>
        <w:rPr>
          <w:rFonts w:ascii="Times New Roman" w:hAnsi="Times New Roman" w:cs="Times New Roman"/>
          <w:b/>
          <w:bCs/>
          <w:color w:val="auto"/>
          <w:sz w:val="20"/>
          <w:szCs w:val="18"/>
        </w:rPr>
      </w:pPr>
      <w:r>
        <w:rPr>
          <w:rFonts w:ascii="Times New Roman" w:hAnsi="Times New Roman" w:cs="Times New Roman"/>
          <w:b/>
          <w:bCs/>
          <w:color w:val="auto"/>
          <w:sz w:val="20"/>
          <w:szCs w:val="18"/>
        </w:rPr>
        <w:t>*注：本项目管线选用全焊接管道，法兰数量较少。</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综上，按2030年预测吞吐量的码头运行时间，本项目泵、法兰和阀门动静密封点泄露量排放量为9.57t/a，排放速率为2.74kg/h。</w:t>
      </w:r>
    </w:p>
    <w:p>
      <w:pPr>
        <w:pStyle w:val="25"/>
        <w:spacing w:before="160" w:line="360" w:lineRule="auto"/>
        <w:ind w:firstLine="0" w:firstLineChars="0"/>
        <w:rPr>
          <w:rFonts w:ascii="Times New Roman" w:hAnsi="Times New Roman" w:cs="Times New Roman"/>
          <w:b/>
          <w:bCs/>
          <w:color w:val="auto"/>
        </w:rPr>
      </w:pPr>
      <w:r>
        <w:rPr>
          <w:rFonts w:ascii="Times New Roman" w:hAnsi="Times New Roman" w:cs="Times New Roman"/>
          <w:b/>
          <w:bCs/>
          <w:color w:val="auto"/>
        </w:rPr>
        <w:t>4、扫线废气</w:t>
      </w:r>
    </w:p>
    <w:p>
      <w:pPr>
        <w:pStyle w:val="25"/>
        <w:spacing w:line="360" w:lineRule="auto"/>
        <w:ind w:right="229" w:firstLine="480"/>
        <w:rPr>
          <w:rFonts w:ascii="Times New Roman" w:hAnsi="Times New Roman" w:cs="Times New Roman"/>
          <w:color w:val="auto"/>
        </w:rPr>
      </w:pPr>
      <w:r>
        <w:rPr>
          <w:rFonts w:ascii="Times New Roman" w:hAnsi="Times New Roman" w:cs="Times New Roman"/>
          <w:color w:val="auto"/>
        </w:rPr>
        <w:t>（1）扫线工艺</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每次装卸作业完毕，需先通过阀门将气相管线与液相管线联通，由船上压缩机送来的气相置换管线内的液相，再将扫线氮气接入管线，将管线内气液吹扫至船舱后，关闭阀门，并打开装卸臂顶端的泄压阀进行泄压后，方可拆卸装卸臂；</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物料每次装卸作业完毕，须排空码头与船相连接的软接设施内的残液后，方可拆卸软管，拆卸完软管后需用盲板将管道封住。</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干管平时不扫线，检修或长期不输送货物时，由罐区压缩机送来的气相置换管线内的液相，再将扫线氮气接入管线，将管线的气相置换，汽油管线采用清管器扫线。</w:t>
      </w:r>
    </w:p>
    <w:p>
      <w:pPr>
        <w:pStyle w:val="25"/>
        <w:spacing w:line="360" w:lineRule="auto"/>
        <w:ind w:firstLine="439" w:firstLineChars="183"/>
        <w:rPr>
          <w:rFonts w:ascii="Times New Roman" w:hAnsi="Times New Roman" w:cs="Times New Roman"/>
          <w:color w:val="auto"/>
        </w:rPr>
      </w:pPr>
      <w:r>
        <w:rPr>
          <w:rFonts w:ascii="Times New Roman" w:hAnsi="Times New Roman" w:cs="Times New Roman"/>
          <w:color w:val="auto"/>
        </w:rPr>
        <w:t>（2）扫线废气</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干管扫线产生的废气在后方罐区排放，码头区域扫线废气通过船舱呼吸口进入油气回收系统。采用通球扫线，通球清管时在摩擦力和高速环隙射流的作用下，将管液体和管壁附着物一起推至船舱。</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扫线废气年排放量Q主要取决于每年到港船舶艘次、每次扫线的时间、管线内径和扫线气体流速等多种因素，具体按下式估算：</w:t>
      </w:r>
    </w:p>
    <w:p>
      <w:pPr>
        <w:pStyle w:val="467"/>
        <w:tabs>
          <w:tab w:val="left" w:pos="645"/>
        </w:tabs>
        <w:spacing w:before="0" w:after="0"/>
        <w:jc w:val="both"/>
        <w:outlineLvl w:val="9"/>
        <w:rPr>
          <w:rFonts w:ascii="Times New Roman" w:hAnsi="Times New Roman" w:cs="Times New Roman"/>
          <w:color w:val="auto"/>
        </w:rPr>
      </w:pPr>
      <w:bookmarkStart w:id="247" w:name="_Toc102979823"/>
      <w:bookmarkStart w:id="248" w:name="_Toc45545034"/>
      <w:bookmarkStart w:id="249" w:name="_Toc45469647"/>
      <w:r>
        <w:rPr>
          <w:rFonts w:ascii="Times New Roman" w:hAnsi="Times New Roman" w:cs="Times New Roman"/>
          <w:color w:val="auto"/>
        </w:rPr>
        <w:drawing>
          <wp:inline distT="0" distB="0" distL="0" distR="0">
            <wp:extent cx="5773420" cy="701675"/>
            <wp:effectExtent l="0" t="0" r="0" b="0"/>
            <wp:docPr id="50" name="图片 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true" noChangeArrowheads="true"/>
                    </pic:cNvPicPr>
                  </pic:nvPicPr>
                  <pic:blipFill>
                    <a:blip r:embed="rId91"/>
                    <a:srcRect/>
                    <a:stretch>
                      <a:fillRect/>
                    </a:stretch>
                  </pic:blipFill>
                  <pic:spPr>
                    <a:xfrm>
                      <a:off x="0" y="0"/>
                      <a:ext cx="5773420" cy="701675"/>
                    </a:xfrm>
                    <a:prstGeom prst="rect">
                      <a:avLst/>
                    </a:prstGeom>
                    <a:noFill/>
                    <a:ln>
                      <a:noFill/>
                    </a:ln>
                  </pic:spPr>
                </pic:pic>
              </a:graphicData>
            </a:graphic>
          </wp:inline>
        </w:drawing>
      </w:r>
      <w:bookmarkEnd w:id="247"/>
      <w:bookmarkEnd w:id="248"/>
      <w:bookmarkEnd w:id="249"/>
    </w:p>
    <w:p>
      <w:pPr>
        <w:pStyle w:val="25"/>
        <w:spacing w:before="120" w:line="240" w:lineRule="auto"/>
        <w:ind w:right="4536" w:firstLine="679" w:firstLineChars="283"/>
        <w:jc w:val="left"/>
        <w:rPr>
          <w:rFonts w:ascii="Times New Roman" w:hAnsi="Times New Roman" w:cs="Times New Roman"/>
          <w:color w:val="auto"/>
        </w:rPr>
      </w:pPr>
      <w:r>
        <w:rPr>
          <w:rFonts w:ascii="Times New Roman" w:hAnsi="Times New Roman" w:cs="Times New Roman"/>
          <w:color w:val="auto"/>
        </w:rPr>
        <w:t>Q—扫线废气年排放量；</w:t>
      </w:r>
    </w:p>
    <w:p>
      <w:pPr>
        <w:pStyle w:val="25"/>
        <w:spacing w:line="240" w:lineRule="auto"/>
        <w:ind w:right="4536" w:firstLine="679" w:firstLineChars="283"/>
        <w:jc w:val="left"/>
        <w:rPr>
          <w:rFonts w:ascii="Times New Roman" w:hAnsi="Times New Roman" w:cs="Times New Roman"/>
          <w:color w:val="auto"/>
        </w:rPr>
      </w:pPr>
      <w:r>
        <w:rPr>
          <w:rFonts w:ascii="Times New Roman" w:hAnsi="Times New Roman" w:cs="Times New Roman"/>
          <w:color w:val="auto"/>
        </w:rPr>
        <w:t>N--年到港船舶艘次；</w:t>
      </w:r>
    </w:p>
    <w:p>
      <w:pPr>
        <w:pStyle w:val="25"/>
        <w:spacing w:line="240" w:lineRule="auto"/>
        <w:ind w:left="697" w:right="4536" w:firstLine="12" w:firstLineChars="5"/>
        <w:jc w:val="left"/>
        <w:rPr>
          <w:rFonts w:ascii="Times New Roman" w:hAnsi="Times New Roman" w:cs="Times New Roman"/>
          <w:color w:val="auto"/>
        </w:rPr>
      </w:pPr>
      <w:r>
        <w:rPr>
          <w:rFonts w:ascii="Times New Roman" w:hAnsi="Times New Roman" w:cs="Times New Roman"/>
          <w:color w:val="auto"/>
        </w:rPr>
        <w:t>F—单次扫线废气排放量；</w:t>
      </w:r>
    </w:p>
    <w:p>
      <w:pPr>
        <w:pStyle w:val="25"/>
        <w:spacing w:line="240" w:lineRule="auto"/>
        <w:ind w:left="697" w:right="4536" w:firstLine="12" w:firstLineChars="5"/>
        <w:jc w:val="left"/>
        <w:rPr>
          <w:rFonts w:ascii="Times New Roman" w:hAnsi="Times New Roman" w:cs="Times New Roman"/>
          <w:color w:val="auto"/>
        </w:rPr>
      </w:pPr>
      <w:r>
        <w:rPr>
          <w:rFonts w:ascii="Times New Roman" w:hAnsi="Times New Roman" w:cs="Times New Roman"/>
          <w:color w:val="auto"/>
        </w:rPr>
        <w:t>α—计算系数；</w:t>
      </w:r>
    </w:p>
    <w:p>
      <w:pPr>
        <w:pStyle w:val="25"/>
        <w:spacing w:line="240" w:lineRule="auto"/>
        <w:ind w:left="697" w:right="4536" w:firstLine="12" w:firstLineChars="5"/>
        <w:jc w:val="left"/>
        <w:rPr>
          <w:rFonts w:ascii="Times New Roman" w:hAnsi="Times New Roman" w:cs="Times New Roman"/>
          <w:color w:val="auto"/>
        </w:rPr>
      </w:pPr>
      <w:r>
        <w:rPr>
          <w:rFonts w:ascii="Times New Roman" w:hAnsi="Times New Roman" w:cs="Times New Roman"/>
          <w:color w:val="auto"/>
        </w:rPr>
        <w:t>t—管内温度；</w:t>
      </w:r>
    </w:p>
    <w:p>
      <w:pPr>
        <w:pStyle w:val="25"/>
        <w:spacing w:line="240" w:lineRule="auto"/>
        <w:ind w:left="697" w:right="4536" w:firstLine="12" w:firstLineChars="5"/>
        <w:jc w:val="left"/>
        <w:rPr>
          <w:rFonts w:ascii="Times New Roman" w:hAnsi="Times New Roman" w:cs="Times New Roman"/>
          <w:color w:val="auto"/>
        </w:rPr>
      </w:pPr>
      <w:r>
        <w:rPr>
          <w:rFonts w:ascii="Times New Roman" w:hAnsi="Times New Roman" w:cs="Times New Roman"/>
          <w:color w:val="auto"/>
        </w:rPr>
        <w:t>D--管线内径；</w:t>
      </w:r>
    </w:p>
    <w:p>
      <w:pPr>
        <w:pStyle w:val="25"/>
        <w:spacing w:line="240" w:lineRule="auto"/>
        <w:ind w:left="697" w:right="4536" w:firstLine="12" w:firstLineChars="5"/>
        <w:jc w:val="left"/>
        <w:rPr>
          <w:rFonts w:ascii="Times New Roman" w:hAnsi="Times New Roman" w:cs="Times New Roman"/>
          <w:color w:val="auto"/>
        </w:rPr>
      </w:pPr>
      <w:r>
        <w:rPr>
          <w:rFonts w:ascii="Times New Roman" w:hAnsi="Times New Roman" w:cs="Times New Roman"/>
          <w:color w:val="auto"/>
        </w:rPr>
        <w:t>V--扫线气体流速；</w:t>
      </w:r>
    </w:p>
    <w:p>
      <w:pPr>
        <w:pStyle w:val="25"/>
        <w:spacing w:line="240" w:lineRule="auto"/>
        <w:ind w:left="697" w:right="4536" w:firstLine="12" w:firstLineChars="5"/>
        <w:jc w:val="left"/>
        <w:rPr>
          <w:rFonts w:ascii="Times New Roman" w:hAnsi="Times New Roman" w:cs="Times New Roman"/>
          <w:color w:val="auto"/>
        </w:rPr>
      </w:pPr>
      <w:r>
        <w:rPr>
          <w:rFonts w:ascii="Times New Roman" w:hAnsi="Times New Roman" w:cs="Times New Roman"/>
          <w:color w:val="auto"/>
        </w:rPr>
        <w:t>T--扫线时间；</w:t>
      </w:r>
    </w:p>
    <w:p>
      <w:pPr>
        <w:pStyle w:val="25"/>
        <w:spacing w:line="240" w:lineRule="auto"/>
        <w:ind w:left="697" w:right="3402" w:firstLine="12" w:firstLineChars="5"/>
        <w:jc w:val="left"/>
        <w:rPr>
          <w:rFonts w:ascii="Times New Roman" w:hAnsi="Times New Roman" w:cs="Times New Roman"/>
          <w:color w:val="auto"/>
        </w:rPr>
      </w:pPr>
      <w:r>
        <w:rPr>
          <w:rFonts w:ascii="Times New Roman" w:hAnsi="Times New Roman" w:cs="Times New Roman"/>
          <w:color w:val="auto"/>
        </w:rPr>
        <w:t>Pi—装卸货种在t温度下的饱和蒸汽压；</w:t>
      </w:r>
    </w:p>
    <w:p>
      <w:pPr>
        <w:pStyle w:val="25"/>
        <w:spacing w:line="240" w:lineRule="auto"/>
        <w:ind w:left="697" w:right="4536" w:firstLine="12" w:firstLineChars="5"/>
        <w:jc w:val="left"/>
        <w:rPr>
          <w:rFonts w:ascii="Times New Roman" w:hAnsi="Times New Roman" w:cs="Times New Roman"/>
          <w:color w:val="auto"/>
        </w:rPr>
      </w:pPr>
      <w:r>
        <w:rPr>
          <w:rFonts w:ascii="Times New Roman" w:hAnsi="Times New Roman" w:cs="Times New Roman"/>
          <w:color w:val="auto"/>
        </w:rPr>
        <w:t>P—外界压力。</w:t>
      </w:r>
    </w:p>
    <w:p>
      <w:pPr>
        <w:ind w:firstLine="480"/>
        <w:rPr>
          <w:rFonts w:ascii="Times New Roman" w:hAnsi="Times New Roman" w:cs="Times New Roman"/>
          <w:color w:val="auto"/>
        </w:rPr>
      </w:pPr>
      <w:r>
        <w:rPr>
          <w:rFonts w:ascii="Times New Roman" w:hAnsi="Times New Roman" w:cs="Times New Roman"/>
          <w:color w:val="auto"/>
        </w:rPr>
        <w:t>根据货种的吞吐量，按设计船型估算年到港船舶艘次，码头装卸臂和软管的管道较短，平均按8m计算，根据装卸臂和软管的管道长度，取每次扫线时间约为3分钟，线气体平均流速2m/s，外界压力为1个标准大气压，管内平均温度按20℃考虑，估算出各物料装卸完毕后扫线过程造成的废气排放量。扫向船舱的扫线废气全部经装船油气回收装置处理，处理效率为99％。估算结果见表3.10-17。</w:t>
      </w:r>
    </w:p>
    <w:p>
      <w:pPr>
        <w:pStyle w:val="4"/>
        <w:tabs>
          <w:tab w:val="left" w:pos="1582"/>
        </w:tabs>
        <w:spacing w:line="276" w:lineRule="auto"/>
        <w:jc w:val="center"/>
        <w:rPr>
          <w:rFonts w:ascii="Times New Roman" w:hAnsi="Times New Roman" w:cs="Times New Roman"/>
          <w:color w:val="auto"/>
          <w:sz w:val="21"/>
          <w:szCs w:val="21"/>
        </w:rPr>
      </w:pPr>
      <w:bookmarkStart w:id="250" w:name="_Toc102984322"/>
      <w:bookmarkStart w:id="251" w:name="_Toc104733360"/>
      <w:r>
        <w:rPr>
          <w:rFonts w:ascii="Times New Roman" w:hAnsi="Times New Roman" w:cs="Times New Roman"/>
          <w:color w:val="auto"/>
          <w:sz w:val="21"/>
          <w:szCs w:val="21"/>
        </w:rPr>
        <w:t>表3.10-17     本项目扫线废气排放情况一览表</w:t>
      </w:r>
      <w:bookmarkEnd w:id="250"/>
      <w:bookmarkEnd w:id="251"/>
    </w:p>
    <w:tbl>
      <w:tblPr>
        <w:tblStyle w:val="62"/>
        <w:tblW w:w="9066" w:type="dxa"/>
        <w:tblInd w:w="114"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563"/>
        <w:gridCol w:w="1712"/>
        <w:gridCol w:w="1246"/>
        <w:gridCol w:w="972"/>
        <w:gridCol w:w="1725"/>
        <w:gridCol w:w="1309"/>
        <w:gridCol w:w="153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13" w:hRule="atLeast"/>
        </w:trPr>
        <w:tc>
          <w:tcPr>
            <w:tcW w:w="56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序号</w:t>
            </w:r>
          </w:p>
        </w:tc>
        <w:tc>
          <w:tcPr>
            <w:tcW w:w="17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货 种</w:t>
            </w:r>
          </w:p>
        </w:tc>
        <w:tc>
          <w:tcPr>
            <w:tcW w:w="1246"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管径</w:t>
            </w:r>
          </w:p>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（DN）</w:t>
            </w:r>
          </w:p>
        </w:tc>
        <w:tc>
          <w:tcPr>
            <w:tcW w:w="97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码头作业次数</w:t>
            </w:r>
          </w:p>
        </w:tc>
        <w:tc>
          <w:tcPr>
            <w:tcW w:w="17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扫线废气产生</w:t>
            </w:r>
          </w:p>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量（t/a）</w:t>
            </w:r>
          </w:p>
        </w:tc>
        <w:tc>
          <w:tcPr>
            <w:tcW w:w="13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油气回收装置</w:t>
            </w:r>
          </w:p>
        </w:tc>
        <w:tc>
          <w:tcPr>
            <w:tcW w:w="153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扫线废气排放</w:t>
            </w:r>
          </w:p>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量（t/a）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6" w:hRule="atLeast"/>
        </w:trPr>
        <w:tc>
          <w:tcPr>
            <w:tcW w:w="56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7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汽油</w:t>
            </w:r>
          </w:p>
        </w:tc>
        <w:tc>
          <w:tcPr>
            <w:tcW w:w="1246"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150</w:t>
            </w:r>
          </w:p>
        </w:tc>
        <w:tc>
          <w:tcPr>
            <w:tcW w:w="97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600</w:t>
            </w:r>
          </w:p>
        </w:tc>
        <w:tc>
          <w:tcPr>
            <w:tcW w:w="17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0.35655</w:t>
            </w:r>
          </w:p>
        </w:tc>
        <w:tc>
          <w:tcPr>
            <w:tcW w:w="1309" w:type="dxa"/>
            <w:vMerge w:val="restart"/>
            <w:vAlign w:val="center"/>
          </w:tcPr>
          <w:p>
            <w:pPr>
              <w:spacing w:line="240" w:lineRule="auto"/>
              <w:ind w:firstLine="0" w:firstLineChars="0"/>
              <w:contextualSpacing/>
              <w:rPr>
                <w:rFonts w:ascii="Times New Roman" w:hAnsi="Times New Roman" w:cs="Times New Roman"/>
                <w:color w:val="auto"/>
                <w:sz w:val="18"/>
                <w:szCs w:val="18"/>
              </w:rPr>
            </w:pPr>
            <w:r>
              <w:rPr>
                <w:rFonts w:ascii="Times New Roman" w:hAnsi="Times New Roman" w:cs="Times New Roman"/>
                <w:color w:val="auto"/>
                <w:sz w:val="18"/>
                <w:szCs w:val="18"/>
              </w:rPr>
              <w:t>处理效率99%</w:t>
            </w:r>
          </w:p>
        </w:tc>
        <w:tc>
          <w:tcPr>
            <w:tcW w:w="153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0.00356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6" w:hRule="atLeast"/>
        </w:trPr>
        <w:tc>
          <w:tcPr>
            <w:tcW w:w="56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7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柴油</w:t>
            </w:r>
          </w:p>
        </w:tc>
        <w:tc>
          <w:tcPr>
            <w:tcW w:w="1246" w:type="dxa"/>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150</w:t>
            </w:r>
          </w:p>
        </w:tc>
        <w:tc>
          <w:tcPr>
            <w:tcW w:w="97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800</w:t>
            </w:r>
          </w:p>
        </w:tc>
        <w:tc>
          <w:tcPr>
            <w:tcW w:w="17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0.06332</w:t>
            </w:r>
          </w:p>
        </w:tc>
        <w:tc>
          <w:tcPr>
            <w:tcW w:w="1309" w:type="dxa"/>
            <w:vMerge w:val="continue"/>
            <w:vAlign w:val="center"/>
          </w:tcPr>
          <w:p>
            <w:pPr>
              <w:spacing w:line="240" w:lineRule="auto"/>
              <w:ind w:firstLine="360"/>
              <w:contextualSpacing/>
              <w:jc w:val="center"/>
              <w:rPr>
                <w:rFonts w:ascii="Times New Roman" w:hAnsi="Times New Roman" w:cs="Times New Roman"/>
                <w:color w:val="auto"/>
                <w:sz w:val="18"/>
                <w:szCs w:val="18"/>
              </w:rPr>
            </w:pPr>
          </w:p>
        </w:tc>
        <w:tc>
          <w:tcPr>
            <w:tcW w:w="153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0.00633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6" w:hRule="atLeast"/>
        </w:trPr>
        <w:tc>
          <w:tcPr>
            <w:tcW w:w="56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7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航空煤油</w:t>
            </w:r>
          </w:p>
        </w:tc>
        <w:tc>
          <w:tcPr>
            <w:tcW w:w="1246" w:type="dxa"/>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150</w:t>
            </w:r>
          </w:p>
        </w:tc>
        <w:tc>
          <w:tcPr>
            <w:tcW w:w="97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200</w:t>
            </w:r>
          </w:p>
        </w:tc>
        <w:tc>
          <w:tcPr>
            <w:tcW w:w="17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0.12304</w:t>
            </w:r>
          </w:p>
        </w:tc>
        <w:tc>
          <w:tcPr>
            <w:tcW w:w="130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53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0.00123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6" w:hRule="atLeast"/>
        </w:trPr>
        <w:tc>
          <w:tcPr>
            <w:tcW w:w="56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17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乙醇</w:t>
            </w:r>
          </w:p>
        </w:tc>
        <w:tc>
          <w:tcPr>
            <w:tcW w:w="1246" w:type="dxa"/>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150</w:t>
            </w:r>
          </w:p>
        </w:tc>
        <w:tc>
          <w:tcPr>
            <w:tcW w:w="97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7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0.02345</w:t>
            </w:r>
          </w:p>
        </w:tc>
        <w:tc>
          <w:tcPr>
            <w:tcW w:w="130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53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0.000234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6" w:hRule="atLeast"/>
        </w:trPr>
        <w:tc>
          <w:tcPr>
            <w:tcW w:w="7527" w:type="dxa"/>
            <w:gridSpan w:val="6"/>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合计</w:t>
            </w:r>
          </w:p>
        </w:tc>
        <w:tc>
          <w:tcPr>
            <w:tcW w:w="153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0.0057</w:t>
            </w:r>
          </w:p>
        </w:tc>
      </w:tr>
    </w:tbl>
    <w:p>
      <w:pPr>
        <w:ind w:firstLine="480"/>
        <w:rPr>
          <w:rFonts w:ascii="Times New Roman" w:hAnsi="Times New Roman" w:cs="Times New Roman"/>
          <w:b/>
          <w:bCs/>
          <w:color w:val="auto"/>
        </w:rPr>
      </w:pPr>
      <w:bookmarkStart w:id="252" w:name="_Toc102984323"/>
      <w:r>
        <w:rPr>
          <w:rFonts w:ascii="Times New Roman" w:hAnsi="Times New Roman" w:cs="Times New Roman"/>
          <w:color w:val="auto"/>
        </w:rPr>
        <w:t>综上，扫线废气经油气回收装置处理后的排放量为0.0057t/a。</w:t>
      </w:r>
    </w:p>
    <w:p>
      <w:pPr>
        <w:ind w:firstLine="480"/>
        <w:rPr>
          <w:rFonts w:ascii="Times New Roman" w:hAnsi="Times New Roman" w:cs="Times New Roman"/>
          <w:color w:val="auto"/>
          <w:sz w:val="22"/>
        </w:rPr>
      </w:pPr>
      <w:r>
        <w:rPr>
          <w:rFonts w:ascii="Times New Roman" w:hAnsi="Times New Roman" w:cs="Times New Roman"/>
          <w:color w:val="auto"/>
        </w:rPr>
        <w:t>5、船舶废气</w:t>
      </w:r>
      <w:bookmarkEnd w:id="252"/>
    </w:p>
    <w:p>
      <w:pPr>
        <w:ind w:firstLine="480"/>
        <w:rPr>
          <w:rFonts w:ascii="Times New Roman" w:hAnsi="Times New Roman" w:cs="Times New Roman"/>
          <w:color w:val="auto"/>
          <w:szCs w:val="24"/>
        </w:rPr>
      </w:pPr>
      <w:r>
        <w:rPr>
          <w:rFonts w:ascii="Times New Roman" w:hAnsi="Times New Roman" w:cs="Times New Roman"/>
          <w:color w:val="auto"/>
          <w:szCs w:val="24"/>
        </w:rPr>
        <w:t>到港船舶停靠时需要通过到港船舶停靠时大气污染物排放的工作来维持船舶日常照明等动力需要，辅机燃油工作过程中会排放烟尘、SO</w:t>
      </w:r>
      <w:r>
        <w:rPr>
          <w:rFonts w:ascii="Times New Roman" w:hAnsi="Times New Roman" w:cs="Times New Roman"/>
          <w:color w:val="auto"/>
          <w:szCs w:val="24"/>
          <w:vertAlign w:val="subscript"/>
        </w:rPr>
        <w:t xml:space="preserve">2 </w:t>
      </w:r>
      <w:r>
        <w:rPr>
          <w:rFonts w:ascii="Times New Roman" w:hAnsi="Times New Roman" w:cs="Times New Roman"/>
          <w:color w:val="auto"/>
          <w:szCs w:val="24"/>
        </w:rPr>
        <w:t>和NOx 等污染物。</w:t>
      </w:r>
    </w:p>
    <w:p>
      <w:pPr>
        <w:ind w:firstLine="480"/>
        <w:rPr>
          <w:rFonts w:ascii="Times New Roman" w:hAnsi="Times New Roman" w:cs="Times New Roman"/>
          <w:color w:val="auto"/>
          <w:szCs w:val="24"/>
        </w:rPr>
      </w:pPr>
      <w:r>
        <w:rPr>
          <w:rFonts w:ascii="Times New Roman" w:hAnsi="Times New Roman" w:cs="Times New Roman"/>
          <w:color w:val="auto"/>
          <w:szCs w:val="24"/>
        </w:rPr>
        <w:t>根据相关参考资料，靠港典型船舶发电机功率和耗油量见表3.10-18所示。</w:t>
      </w:r>
    </w:p>
    <w:p>
      <w:pPr>
        <w:ind w:firstLine="442"/>
        <w:jc w:val="center"/>
        <w:rPr>
          <w:rFonts w:ascii="Times New Roman" w:hAnsi="Times New Roman" w:cs="Times New Roman"/>
          <w:b/>
          <w:bCs/>
          <w:color w:val="auto"/>
          <w:sz w:val="22"/>
        </w:rPr>
      </w:pPr>
      <w:r>
        <w:rPr>
          <w:rFonts w:ascii="Times New Roman" w:hAnsi="Times New Roman" w:cs="Times New Roman"/>
          <w:b/>
          <w:bCs/>
          <w:color w:val="auto"/>
          <w:sz w:val="22"/>
        </w:rPr>
        <w:t>表3.10-18 船舶的发电机功率和耗油量</w:t>
      </w:r>
    </w:p>
    <w:p>
      <w:pPr>
        <w:ind w:firstLine="0" w:firstLineChars="0"/>
        <w:jc w:val="center"/>
        <w:rPr>
          <w:rFonts w:ascii="Times New Roman" w:hAnsi="Times New Roman" w:cs="Times New Roman"/>
        </w:rPr>
      </w:pPr>
      <w:r>
        <w:rPr>
          <w:rFonts w:ascii="Times New Roman" w:hAnsi="Times New Roman" w:cs="Times New Roman"/>
        </w:rPr>
        <w:drawing>
          <wp:inline distT="0" distB="0" distL="0" distR="0">
            <wp:extent cx="5390515" cy="1233170"/>
            <wp:effectExtent l="0" t="0" r="0" b="0"/>
            <wp:docPr id="51" name="图片 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true" noChangeArrowheads="true"/>
                    </pic:cNvPicPr>
                  </pic:nvPicPr>
                  <pic:blipFill>
                    <a:blip r:embed="rId92"/>
                    <a:srcRect/>
                    <a:stretch>
                      <a:fillRect/>
                    </a:stretch>
                  </pic:blipFill>
                  <pic:spPr>
                    <a:xfrm>
                      <a:off x="0" y="0"/>
                      <a:ext cx="5390515" cy="1233170"/>
                    </a:xfrm>
                    <a:prstGeom prst="rect">
                      <a:avLst/>
                    </a:prstGeom>
                    <a:noFill/>
                    <a:ln>
                      <a:noFill/>
                    </a:ln>
                  </pic:spPr>
                </pic:pic>
              </a:graphicData>
            </a:graphic>
          </wp:inline>
        </w:drawing>
      </w:r>
    </w:p>
    <w:p>
      <w:pPr>
        <w:ind w:firstLine="480"/>
        <w:rPr>
          <w:rFonts w:ascii="Times New Roman" w:hAnsi="Times New Roman" w:cs="Times New Roman"/>
          <w:b/>
          <w:bCs/>
          <w:color w:val="auto"/>
          <w:szCs w:val="24"/>
        </w:rPr>
      </w:pPr>
      <w:bookmarkStart w:id="253" w:name="_Toc102984324"/>
      <w:r>
        <w:rPr>
          <w:rFonts w:ascii="Times New Roman" w:hAnsi="Times New Roman" w:cs="Times New Roman"/>
          <w:color w:val="auto"/>
          <w:szCs w:val="24"/>
        </w:rPr>
        <w:t>本工程进港船舶在港作业期间耗油量预测见表3.10-19，每年船舶泊港期间发电机耗油总量为7.344t/a。</w:t>
      </w:r>
    </w:p>
    <w:p>
      <w:pPr>
        <w:ind w:firstLine="442"/>
        <w:jc w:val="center"/>
        <w:rPr>
          <w:rFonts w:ascii="Times New Roman" w:hAnsi="Times New Roman" w:cs="Times New Roman"/>
          <w:b/>
          <w:bCs/>
          <w:color w:val="auto"/>
          <w:sz w:val="28"/>
          <w:szCs w:val="28"/>
        </w:rPr>
      </w:pPr>
      <w:r>
        <w:rPr>
          <w:rFonts w:ascii="Times New Roman" w:hAnsi="Times New Roman" w:cs="Times New Roman"/>
          <w:b/>
          <w:bCs/>
          <w:color w:val="auto"/>
          <w:sz w:val="22"/>
        </w:rPr>
        <w:t>表3.10-19  船舶的发电机功率和耗油量</w:t>
      </w:r>
    </w:p>
    <w:tbl>
      <w:tblPr>
        <w:tblStyle w:val="62"/>
        <w:tblW w:w="903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42"/>
        <w:gridCol w:w="1418"/>
        <w:gridCol w:w="1701"/>
        <w:gridCol w:w="1417"/>
        <w:gridCol w:w="1706"/>
        <w:gridCol w:w="155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242" w:type="dxa"/>
            <w:shd w:val="clear" w:color="auto" w:fill="auto"/>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船型</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DWT</w:t>
            </w:r>
          </w:p>
        </w:tc>
        <w:tc>
          <w:tcPr>
            <w:tcW w:w="1418" w:type="dxa"/>
            <w:shd w:val="clear" w:color="auto" w:fill="auto"/>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年到港次数</w:t>
            </w:r>
          </w:p>
        </w:tc>
        <w:tc>
          <w:tcPr>
            <w:tcW w:w="1701" w:type="dxa"/>
            <w:shd w:val="clear" w:color="auto" w:fill="auto"/>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船舶在港停泊时间</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（h/艘·次）</w:t>
            </w:r>
          </w:p>
        </w:tc>
        <w:tc>
          <w:tcPr>
            <w:tcW w:w="1417" w:type="dxa"/>
            <w:shd w:val="clear" w:color="auto" w:fill="auto"/>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耗油系数</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（t/h·艘）</w:t>
            </w:r>
          </w:p>
        </w:tc>
        <w:tc>
          <w:tcPr>
            <w:tcW w:w="1706" w:type="dxa"/>
            <w:shd w:val="clear" w:color="auto" w:fill="auto"/>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年停靠时</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间（h）</w:t>
            </w:r>
          </w:p>
        </w:tc>
        <w:tc>
          <w:tcPr>
            <w:tcW w:w="1555" w:type="dxa"/>
            <w:shd w:val="clear" w:color="auto" w:fill="auto"/>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耗油量</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7" w:hRule="atLeast"/>
          <w:jc w:val="center"/>
        </w:trPr>
        <w:tc>
          <w:tcPr>
            <w:tcW w:w="1242" w:type="dxa"/>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1000</w:t>
            </w:r>
          </w:p>
        </w:tc>
        <w:tc>
          <w:tcPr>
            <w:tcW w:w="1418" w:type="dxa"/>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300</w:t>
            </w:r>
          </w:p>
        </w:tc>
        <w:tc>
          <w:tcPr>
            <w:tcW w:w="1701" w:type="dxa"/>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12</w:t>
            </w:r>
          </w:p>
        </w:tc>
        <w:tc>
          <w:tcPr>
            <w:tcW w:w="1417" w:type="dxa"/>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0.00204</w:t>
            </w:r>
          </w:p>
        </w:tc>
        <w:tc>
          <w:tcPr>
            <w:tcW w:w="1706" w:type="dxa"/>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3600</w:t>
            </w:r>
          </w:p>
        </w:tc>
        <w:tc>
          <w:tcPr>
            <w:tcW w:w="1555" w:type="dxa"/>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7.344</w:t>
            </w:r>
          </w:p>
        </w:tc>
      </w:tr>
    </w:tbl>
    <w:p>
      <w:pPr>
        <w:ind w:firstLine="480"/>
        <w:rPr>
          <w:rFonts w:ascii="Times New Roman" w:hAnsi="Times New Roman" w:cs="Times New Roman"/>
          <w:b/>
          <w:bCs/>
          <w:color w:val="auto"/>
          <w:szCs w:val="24"/>
        </w:rPr>
      </w:pPr>
      <w:r>
        <w:rPr>
          <w:rFonts w:ascii="Times New Roman" w:hAnsi="Times New Roman" w:cs="Times New Roman"/>
          <w:color w:val="auto"/>
          <w:szCs w:val="24"/>
        </w:rPr>
        <w:t>根据《普通柴油》（GB252-2015）“表 1 普通柴油技术要求和试验方法”的要求，自2018年1月1日起硫含量不大于10mg/kg，即0.001%。船舶使用含硫量小于0.001%的优质轻柴油作为燃料，燃油污染物按照《燃料燃烧排放大气污染物物料衡算办法（暂行）》计算：</w:t>
      </w:r>
    </w:p>
    <w:p>
      <w:pPr>
        <w:ind w:firstLine="480"/>
        <w:rPr>
          <w:rFonts w:ascii="Times New Roman" w:hAnsi="Times New Roman" w:cs="Times New Roman"/>
          <w:b/>
          <w:bCs/>
          <w:color w:val="auto"/>
          <w:szCs w:val="24"/>
        </w:rPr>
      </w:pPr>
      <w:r>
        <w:rPr>
          <w:rFonts w:hint="eastAsia" w:ascii="宋体" w:hAnsi="宋体" w:cs="宋体"/>
          <w:color w:val="auto"/>
          <w:szCs w:val="24"/>
        </w:rPr>
        <w:t>①</w:t>
      </w:r>
      <w:r>
        <w:rPr>
          <w:rFonts w:ascii="Times New Roman" w:hAnsi="Times New Roman" w:cs="Times New Roman"/>
          <w:color w:val="auto"/>
          <w:szCs w:val="24"/>
        </w:rPr>
        <w:t>SO</w:t>
      </w:r>
      <w:r>
        <w:rPr>
          <w:rFonts w:ascii="Times New Roman" w:hAnsi="Times New Roman" w:cs="Times New Roman"/>
          <w:color w:val="auto"/>
          <w:szCs w:val="24"/>
          <w:vertAlign w:val="subscript"/>
        </w:rPr>
        <w:t>2</w:t>
      </w:r>
      <w:r>
        <w:rPr>
          <w:rFonts w:ascii="Times New Roman" w:hAnsi="Times New Roman" w:cs="Times New Roman"/>
          <w:color w:val="auto"/>
          <w:szCs w:val="24"/>
        </w:rPr>
        <w:t>：</w:t>
      </w:r>
    </w:p>
    <w:p>
      <w:pPr>
        <w:ind w:firstLine="480"/>
        <w:rPr>
          <w:rFonts w:ascii="Times New Roman" w:hAnsi="Times New Roman" w:cs="Times New Roman"/>
          <w:b/>
          <w:bCs/>
          <w:color w:val="auto"/>
          <w:szCs w:val="24"/>
        </w:rPr>
      </w:pPr>
      <w:r>
        <w:rPr>
          <w:rFonts w:ascii="Times New Roman" w:hAnsi="Times New Roman" w:cs="Times New Roman"/>
        </w:rPr>
        <w:drawing>
          <wp:inline distT="0" distB="0" distL="0" distR="0">
            <wp:extent cx="1297305" cy="329565"/>
            <wp:effectExtent l="0" t="0" r="0" b="0"/>
            <wp:docPr id="52" name="图片 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true" noChangeArrowheads="true"/>
                    </pic:cNvPicPr>
                  </pic:nvPicPr>
                  <pic:blipFill>
                    <a:blip r:embed="rId93"/>
                    <a:srcRect/>
                    <a:stretch>
                      <a:fillRect/>
                    </a:stretch>
                  </pic:blipFill>
                  <pic:spPr>
                    <a:xfrm>
                      <a:off x="0" y="0"/>
                      <a:ext cx="1297305" cy="329565"/>
                    </a:xfrm>
                    <a:prstGeom prst="rect">
                      <a:avLst/>
                    </a:prstGeom>
                    <a:noFill/>
                    <a:ln>
                      <a:noFill/>
                    </a:ln>
                  </pic:spPr>
                </pic:pic>
              </a:graphicData>
            </a:graphic>
          </wp:inline>
        </w:drawing>
      </w:r>
      <w:r>
        <w:rPr>
          <w:rFonts w:ascii="Times New Roman" w:hAnsi="Times New Roman" w:cs="Times New Roman"/>
          <w:color w:val="auto"/>
          <w:szCs w:val="24"/>
        </w:rPr>
        <w:t xml:space="preserve">  </w:t>
      </w:r>
    </w:p>
    <w:p>
      <w:pPr>
        <w:ind w:firstLine="480"/>
        <w:rPr>
          <w:rFonts w:ascii="Times New Roman" w:hAnsi="Times New Roman" w:cs="Times New Roman"/>
        </w:rPr>
      </w:pPr>
      <w:r>
        <w:rPr>
          <w:rFonts w:ascii="Times New Roman" w:hAnsi="Times New Roman" w:cs="Times New Roman"/>
        </w:rPr>
        <w:drawing>
          <wp:inline distT="0" distB="0" distL="0" distR="0">
            <wp:extent cx="3529965" cy="893445"/>
            <wp:effectExtent l="0" t="0" r="0" b="0"/>
            <wp:docPr id="53" name="图片 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true" noChangeArrowheads="true"/>
                    </pic:cNvPicPr>
                  </pic:nvPicPr>
                  <pic:blipFill>
                    <a:blip r:embed="rId94"/>
                    <a:srcRect/>
                    <a:stretch>
                      <a:fillRect/>
                    </a:stretch>
                  </pic:blipFill>
                  <pic:spPr>
                    <a:xfrm>
                      <a:off x="0" y="0"/>
                      <a:ext cx="3529965" cy="893445"/>
                    </a:xfrm>
                    <a:prstGeom prst="rect">
                      <a:avLst/>
                    </a:prstGeom>
                    <a:noFill/>
                    <a:ln>
                      <a:noFill/>
                    </a:ln>
                  </pic:spPr>
                </pic:pic>
              </a:graphicData>
            </a:graphic>
          </wp:inline>
        </w:drawing>
      </w:r>
    </w:p>
    <w:p>
      <w:pPr>
        <w:ind w:firstLine="480"/>
        <w:rPr>
          <w:rFonts w:ascii="Times New Roman" w:hAnsi="Times New Roman" w:cs="Times New Roman"/>
          <w:b/>
          <w:bCs/>
          <w:color w:val="auto"/>
          <w:szCs w:val="24"/>
        </w:rPr>
      </w:pPr>
      <w:r>
        <w:rPr>
          <w:rFonts w:hint="eastAsia" w:ascii="宋体" w:hAnsi="宋体" w:cs="宋体"/>
          <w:color w:val="auto"/>
          <w:szCs w:val="24"/>
        </w:rPr>
        <w:t>②</w:t>
      </w:r>
      <w:r>
        <w:rPr>
          <w:rFonts w:ascii="Times New Roman" w:hAnsi="Times New Roman" w:cs="Times New Roman"/>
          <w:color w:val="auto"/>
          <w:szCs w:val="24"/>
        </w:rPr>
        <w:t>NO</w:t>
      </w:r>
      <w:r>
        <w:rPr>
          <w:rFonts w:ascii="Times New Roman" w:hAnsi="Times New Roman" w:cs="Times New Roman"/>
          <w:color w:val="auto"/>
          <w:szCs w:val="24"/>
          <w:vertAlign w:val="subscript"/>
        </w:rPr>
        <w:t>X</w:t>
      </w:r>
      <w:r>
        <w:rPr>
          <w:rFonts w:ascii="Times New Roman" w:hAnsi="Times New Roman" w:cs="Times New Roman"/>
          <w:color w:val="auto"/>
          <w:szCs w:val="24"/>
        </w:rPr>
        <w:t>：</w:t>
      </w:r>
    </w:p>
    <w:p>
      <w:pPr>
        <w:ind w:firstLine="480"/>
        <w:rPr>
          <w:rFonts w:ascii="Times New Roman" w:hAnsi="Times New Roman" w:cs="Times New Roman"/>
          <w:b/>
          <w:bCs/>
          <w:color w:val="auto"/>
          <w:szCs w:val="24"/>
        </w:rPr>
      </w:pPr>
      <w:r>
        <w:rPr>
          <w:rFonts w:ascii="Times New Roman" w:hAnsi="Times New Roman" w:cs="Times New Roman"/>
        </w:rPr>
        <w:drawing>
          <wp:inline distT="0" distB="0" distL="0" distR="0">
            <wp:extent cx="2424430" cy="297815"/>
            <wp:effectExtent l="0" t="0" r="0" b="0"/>
            <wp:docPr id="54" name="图片 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true" noChangeArrowheads="true"/>
                    </pic:cNvPicPr>
                  </pic:nvPicPr>
                  <pic:blipFill>
                    <a:blip r:embed="rId95"/>
                    <a:srcRect/>
                    <a:stretch>
                      <a:fillRect/>
                    </a:stretch>
                  </pic:blipFill>
                  <pic:spPr>
                    <a:xfrm>
                      <a:off x="0" y="0"/>
                      <a:ext cx="2424430" cy="297815"/>
                    </a:xfrm>
                    <a:prstGeom prst="rect">
                      <a:avLst/>
                    </a:prstGeom>
                    <a:noFill/>
                    <a:ln>
                      <a:noFill/>
                    </a:ln>
                  </pic:spPr>
                </pic:pic>
              </a:graphicData>
            </a:graphic>
          </wp:inline>
        </w:drawing>
      </w:r>
    </w:p>
    <w:p>
      <w:pPr>
        <w:ind w:firstLine="480"/>
        <w:rPr>
          <w:rFonts w:ascii="Times New Roman" w:hAnsi="Times New Roman" w:cs="Times New Roman"/>
        </w:rPr>
      </w:pPr>
      <w:r>
        <w:rPr>
          <w:rFonts w:ascii="Times New Roman" w:hAnsi="Times New Roman" w:cs="Times New Roman"/>
        </w:rPr>
        <w:drawing>
          <wp:inline distT="0" distB="0" distL="0" distR="0">
            <wp:extent cx="3731895" cy="1158875"/>
            <wp:effectExtent l="0" t="0" r="0" b="0"/>
            <wp:docPr id="55" name="图片 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true" noChangeArrowheads="true"/>
                    </pic:cNvPicPr>
                  </pic:nvPicPr>
                  <pic:blipFill>
                    <a:blip r:embed="rId96"/>
                    <a:srcRect/>
                    <a:stretch>
                      <a:fillRect/>
                    </a:stretch>
                  </pic:blipFill>
                  <pic:spPr>
                    <a:xfrm>
                      <a:off x="0" y="0"/>
                      <a:ext cx="3731895" cy="1158875"/>
                    </a:xfrm>
                    <a:prstGeom prst="rect">
                      <a:avLst/>
                    </a:prstGeom>
                    <a:noFill/>
                    <a:ln>
                      <a:noFill/>
                    </a:ln>
                  </pic:spPr>
                </pic:pic>
              </a:graphicData>
            </a:graphic>
          </wp:inline>
        </w:drawing>
      </w:r>
    </w:p>
    <w:p>
      <w:pPr>
        <w:ind w:firstLine="480"/>
        <w:rPr>
          <w:rFonts w:ascii="Times New Roman" w:hAnsi="Times New Roman" w:cs="Times New Roman"/>
        </w:rPr>
      </w:pPr>
      <w:r>
        <w:rPr>
          <w:rFonts w:hint="eastAsia" w:ascii="宋体" w:hAnsi="宋体" w:cs="宋体"/>
        </w:rPr>
        <w:t>③</w:t>
      </w:r>
      <w:r>
        <w:rPr>
          <w:rFonts w:ascii="Times New Roman" w:hAnsi="Times New Roman" w:cs="Times New Roman"/>
        </w:rPr>
        <w:t>烟尘：</w:t>
      </w:r>
    </w:p>
    <w:p>
      <w:pPr>
        <w:ind w:firstLine="480"/>
        <w:rPr>
          <w:rFonts w:ascii="Times New Roman" w:hAnsi="Times New Roman" w:cs="Times New Roman"/>
        </w:rPr>
      </w:pPr>
      <w:r>
        <w:rPr>
          <w:rFonts w:ascii="Times New Roman" w:hAnsi="Times New Roman" w:cs="Times New Roman"/>
        </w:rPr>
        <w:drawing>
          <wp:inline distT="0" distB="0" distL="0" distR="0">
            <wp:extent cx="882650" cy="287020"/>
            <wp:effectExtent l="0" t="0" r="0" b="0"/>
            <wp:docPr id="56" name="图片 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true" noChangeArrowheads="true"/>
                    </pic:cNvPicPr>
                  </pic:nvPicPr>
                  <pic:blipFill>
                    <a:blip r:embed="rId97"/>
                    <a:srcRect/>
                    <a:stretch>
                      <a:fillRect/>
                    </a:stretch>
                  </pic:blipFill>
                  <pic:spPr>
                    <a:xfrm>
                      <a:off x="0" y="0"/>
                      <a:ext cx="882650" cy="287020"/>
                    </a:xfrm>
                    <a:prstGeom prst="rect">
                      <a:avLst/>
                    </a:prstGeom>
                    <a:noFill/>
                    <a:ln>
                      <a:noFill/>
                    </a:ln>
                  </pic:spPr>
                </pic:pic>
              </a:graphicData>
            </a:graphic>
          </wp:inline>
        </w:drawing>
      </w:r>
    </w:p>
    <w:p>
      <w:pPr>
        <w:ind w:firstLine="480"/>
        <w:rPr>
          <w:rFonts w:ascii="Times New Roman" w:hAnsi="Times New Roman" w:cs="Times New Roman"/>
        </w:rPr>
      </w:pPr>
      <w:r>
        <w:rPr>
          <w:rFonts w:ascii="Times New Roman" w:hAnsi="Times New Roman" w:cs="Times New Roman"/>
        </w:rPr>
        <w:drawing>
          <wp:inline distT="0" distB="0" distL="0" distR="0">
            <wp:extent cx="3051810" cy="797560"/>
            <wp:effectExtent l="0" t="0" r="0" b="0"/>
            <wp:docPr id="57" name="图片 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true" noChangeArrowheads="true"/>
                    </pic:cNvPicPr>
                  </pic:nvPicPr>
                  <pic:blipFill>
                    <a:blip r:embed="rId98"/>
                    <a:srcRect/>
                    <a:stretch>
                      <a:fillRect/>
                    </a:stretch>
                  </pic:blipFill>
                  <pic:spPr>
                    <a:xfrm>
                      <a:off x="0" y="0"/>
                      <a:ext cx="3051810" cy="797560"/>
                    </a:xfrm>
                    <a:prstGeom prst="rect">
                      <a:avLst/>
                    </a:prstGeom>
                    <a:noFill/>
                    <a:ln>
                      <a:noFill/>
                    </a:ln>
                  </pic:spPr>
                </pic:pic>
              </a:graphicData>
            </a:graphic>
          </wp:inline>
        </w:drawing>
      </w:r>
    </w:p>
    <w:p>
      <w:pPr>
        <w:ind w:firstLine="480"/>
        <w:rPr>
          <w:rFonts w:ascii="Times New Roman" w:hAnsi="Times New Roman" w:cs="Times New Roman"/>
        </w:rPr>
      </w:pPr>
      <w:r>
        <w:rPr>
          <w:rFonts w:ascii="Times New Roman" w:hAnsi="Times New Roman" w:cs="Times New Roman"/>
        </w:rPr>
        <w:t>计算船舶污染源强见表3.10-20，船舶尾气为无组织排放。</w:t>
      </w:r>
    </w:p>
    <w:p>
      <w:pPr>
        <w:spacing w:line="240" w:lineRule="auto"/>
        <w:ind w:firstLine="442"/>
        <w:jc w:val="center"/>
        <w:rPr>
          <w:rFonts w:ascii="Times New Roman" w:hAnsi="Times New Roman" w:cs="Times New Roman"/>
          <w:b/>
          <w:bCs/>
          <w:color w:val="auto"/>
          <w:sz w:val="22"/>
        </w:rPr>
      </w:pPr>
      <w:r>
        <w:rPr>
          <w:rFonts w:ascii="Times New Roman" w:hAnsi="Times New Roman" w:cs="Times New Roman"/>
          <w:b/>
          <w:bCs/>
          <w:color w:val="auto"/>
          <w:sz w:val="22"/>
        </w:rPr>
        <w:t>表3.10-20   船舶废气污染物产生情况一览表</w:t>
      </w:r>
    </w:p>
    <w:tbl>
      <w:tblPr>
        <w:tblStyle w:val="62"/>
        <w:tblW w:w="928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22"/>
        <w:gridCol w:w="2322"/>
        <w:gridCol w:w="2322"/>
        <w:gridCol w:w="23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322" w:type="dxa"/>
            <w:shd w:val="clear" w:color="auto" w:fill="auto"/>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污染物</w:t>
            </w:r>
          </w:p>
        </w:tc>
        <w:tc>
          <w:tcPr>
            <w:tcW w:w="2322" w:type="dxa"/>
            <w:shd w:val="clear" w:color="auto" w:fill="auto"/>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二氧化硫</w:t>
            </w:r>
          </w:p>
        </w:tc>
        <w:tc>
          <w:tcPr>
            <w:tcW w:w="2322" w:type="dxa"/>
            <w:shd w:val="clear" w:color="auto" w:fill="auto"/>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颗粒物</w:t>
            </w:r>
          </w:p>
        </w:tc>
        <w:tc>
          <w:tcPr>
            <w:tcW w:w="2322" w:type="dxa"/>
            <w:shd w:val="clear" w:color="auto" w:fill="auto"/>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NOx</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322" w:type="dxa"/>
            <w:shd w:val="clear" w:color="auto" w:fill="auto"/>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排放系数（kg/t）</w:t>
            </w:r>
          </w:p>
        </w:tc>
        <w:tc>
          <w:tcPr>
            <w:tcW w:w="2322" w:type="dxa"/>
            <w:shd w:val="clear" w:color="auto" w:fill="auto"/>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0.02</w:t>
            </w:r>
          </w:p>
        </w:tc>
        <w:tc>
          <w:tcPr>
            <w:tcW w:w="2322" w:type="dxa"/>
            <w:shd w:val="clear" w:color="auto" w:fill="auto"/>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0.10</w:t>
            </w:r>
          </w:p>
        </w:tc>
        <w:tc>
          <w:tcPr>
            <w:tcW w:w="2322" w:type="dxa"/>
            <w:shd w:val="clear" w:color="auto" w:fill="auto"/>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322" w:type="dxa"/>
            <w:shd w:val="clear" w:color="auto" w:fill="auto"/>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年排放量（kg/a）</w:t>
            </w:r>
          </w:p>
        </w:tc>
        <w:tc>
          <w:tcPr>
            <w:tcW w:w="2322" w:type="dxa"/>
            <w:shd w:val="clear" w:color="auto" w:fill="auto"/>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0.147</w:t>
            </w:r>
          </w:p>
        </w:tc>
        <w:tc>
          <w:tcPr>
            <w:tcW w:w="2322" w:type="dxa"/>
            <w:shd w:val="clear" w:color="auto" w:fill="auto"/>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0.7344</w:t>
            </w:r>
          </w:p>
        </w:tc>
        <w:tc>
          <w:tcPr>
            <w:tcW w:w="2322" w:type="dxa"/>
            <w:shd w:val="clear" w:color="auto" w:fill="auto"/>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12.19</w:t>
            </w:r>
          </w:p>
        </w:tc>
      </w:tr>
    </w:tbl>
    <w:p>
      <w:pPr>
        <w:ind w:firstLine="480"/>
        <w:rPr>
          <w:rFonts w:ascii="Times New Roman" w:hAnsi="Times New Roman" w:cs="Times New Roman"/>
          <w:color w:val="auto"/>
        </w:rPr>
      </w:pPr>
      <w:r>
        <w:rPr>
          <w:rFonts w:ascii="Times New Roman" w:hAnsi="Times New Roman" w:cs="Times New Roman"/>
          <w:color w:val="auto"/>
        </w:rPr>
        <w:t>6、化验废气</w:t>
      </w:r>
    </w:p>
    <w:p>
      <w:pPr>
        <w:ind w:firstLine="480"/>
        <w:rPr>
          <w:rFonts w:ascii="Times New Roman" w:hAnsi="Times New Roman" w:cs="Times New Roman"/>
        </w:rPr>
      </w:pPr>
      <w:r>
        <w:rPr>
          <w:rFonts w:ascii="Times New Roman" w:hAnsi="Times New Roman" w:cs="Times New Roman"/>
          <w:szCs w:val="24"/>
        </w:rPr>
        <w:t>化验室位于后方陆域，为2F独立建筑，主要从事油品及化学品的质检工作化验室的检测工作在分析室内的通风橱内进行，化验过程中会使用到有机溶剂及酸碱等试剂；检测废气经通风橱排放进入“碱液吸收+除雾+二级活性炭吸附装置”处理后经所在建筑顶部15m高（DA004）排气筒排放，由于环评阶段化验室的具体化验内容尚未明确，本次评价仅进行定性说明。</w:t>
      </w:r>
    </w:p>
    <w:p>
      <w:pPr>
        <w:ind w:firstLine="480"/>
        <w:rPr>
          <w:rFonts w:ascii="Times New Roman" w:hAnsi="Times New Roman" w:cs="Times New Roman"/>
          <w:color w:val="auto"/>
        </w:rPr>
      </w:pPr>
      <w:r>
        <w:rPr>
          <w:rFonts w:ascii="Times New Roman" w:hAnsi="Times New Roman" w:cs="Times New Roman"/>
          <w:color w:val="auto"/>
        </w:rPr>
        <w:t>7、非正常工况</w:t>
      </w:r>
      <w:bookmarkEnd w:id="253"/>
    </w:p>
    <w:p>
      <w:pPr>
        <w:ind w:firstLine="480"/>
        <w:rPr>
          <w:rFonts w:ascii="Times New Roman" w:hAnsi="Times New Roman" w:cs="Times New Roman"/>
        </w:rPr>
      </w:pPr>
      <w:r>
        <w:rPr>
          <w:rFonts w:ascii="Times New Roman" w:hAnsi="Times New Roman" w:cs="Times New Roman"/>
          <w:color w:val="auto"/>
          <w:szCs w:val="24"/>
        </w:rPr>
        <w:t>本次评价非正常工况主要考虑油气回收装置及碱液中和罐出现故障，其处理效率达不到设定的处理效率，非正常工况下按处理效率60%考虑，发生时间按每年一次，每次3h计，则非正常工况下油气回收系统的大气污染排放情况见表3.10-21.2。非正常工况下油气回收装置和碱液中和罐的废气排放均超出了标准要求，建设单位应加强污染治理设备的维护，减少和杜绝非正常工况的发生。</w:t>
      </w:r>
      <w:r>
        <w:rPr>
          <w:rFonts w:ascii="Times New Roman" w:hAnsi="Times New Roman" w:cs="Times New Roman"/>
        </w:rPr>
        <w:t xml:space="preserve"> </w:t>
      </w:r>
    </w:p>
    <w:p>
      <w:pPr>
        <w:ind w:firstLine="480"/>
        <w:rPr>
          <w:rFonts w:ascii="Times New Roman" w:hAnsi="Times New Roman" w:cs="Times New Roman"/>
          <w:color w:val="auto"/>
        </w:rPr>
      </w:pPr>
      <w:r>
        <w:rPr>
          <w:rFonts w:ascii="Times New Roman" w:hAnsi="Times New Roman" w:cs="Times New Roman"/>
          <w:color w:val="auto"/>
        </w:rPr>
        <w:t>8、废气污染物排放汇总</w:t>
      </w:r>
    </w:p>
    <w:p>
      <w:pPr>
        <w:ind w:firstLine="0" w:firstLineChars="0"/>
        <w:rPr>
          <w:rFonts w:ascii="Times New Roman" w:hAnsi="Times New Roman" w:cs="Times New Roman"/>
        </w:rPr>
      </w:pPr>
      <w:r>
        <w:rPr>
          <w:rFonts w:ascii="Times New Roman" w:hAnsi="Times New Roman" w:cs="Times New Roman"/>
        </w:rPr>
        <w:drawing>
          <wp:inline distT="0" distB="0" distL="0" distR="0">
            <wp:extent cx="5752465" cy="1360805"/>
            <wp:effectExtent l="0" t="0" r="0" b="0"/>
            <wp:docPr id="58" name="图片 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true" noChangeArrowheads="true"/>
                    </pic:cNvPicPr>
                  </pic:nvPicPr>
                  <pic:blipFill>
                    <a:blip r:embed="rId99"/>
                    <a:srcRect/>
                    <a:stretch>
                      <a:fillRect/>
                    </a:stretch>
                  </pic:blipFill>
                  <pic:spPr>
                    <a:xfrm>
                      <a:off x="0" y="0"/>
                      <a:ext cx="5752465" cy="1360805"/>
                    </a:xfrm>
                    <a:prstGeom prst="rect">
                      <a:avLst/>
                    </a:prstGeom>
                    <a:noFill/>
                    <a:ln>
                      <a:noFill/>
                    </a:ln>
                  </pic:spPr>
                </pic:pic>
              </a:graphicData>
            </a:graphic>
          </wp:inline>
        </w:drawing>
      </w:r>
    </w:p>
    <w:p>
      <w:pPr>
        <w:ind w:firstLine="442"/>
        <w:jc w:val="center"/>
        <w:rPr>
          <w:rFonts w:ascii="Times New Roman" w:hAnsi="Times New Roman" w:cs="Times New Roman"/>
          <w:b/>
          <w:bCs/>
          <w:sz w:val="22"/>
        </w:rPr>
      </w:pPr>
      <w:r>
        <w:rPr>
          <w:rFonts w:ascii="Times New Roman" w:hAnsi="Times New Roman" w:cs="Times New Roman"/>
          <w:b/>
          <w:bCs/>
          <w:sz w:val="22"/>
        </w:rPr>
        <w:t>图3.10-1   本项目装船废气产污环节及去向示意图</w:t>
      </w:r>
    </w:p>
    <w:p>
      <w:pPr>
        <w:ind w:firstLine="0" w:firstLineChars="0"/>
        <w:rPr>
          <w:rFonts w:ascii="Times New Roman" w:hAnsi="Times New Roman" w:cs="Times New Roman"/>
        </w:rPr>
      </w:pPr>
      <w:r>
        <w:rPr>
          <w:rFonts w:ascii="Times New Roman" w:hAnsi="Times New Roman" w:cs="Times New Roman"/>
        </w:rPr>
        <w:drawing>
          <wp:inline distT="0" distB="0" distL="0" distR="0">
            <wp:extent cx="5868035" cy="1666875"/>
            <wp:effectExtent l="0" t="0" r="0" b="0"/>
            <wp:docPr id="59" name="图片 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true" noChangeArrowheads="true"/>
                    </pic:cNvPicPr>
                  </pic:nvPicPr>
                  <pic:blipFill>
                    <a:blip r:embed="rId100"/>
                    <a:srcRect/>
                    <a:stretch>
                      <a:fillRect/>
                    </a:stretch>
                  </pic:blipFill>
                  <pic:spPr>
                    <a:xfrm>
                      <a:off x="0" y="0"/>
                      <a:ext cx="5874195" cy="1668519"/>
                    </a:xfrm>
                    <a:prstGeom prst="rect">
                      <a:avLst/>
                    </a:prstGeom>
                    <a:noFill/>
                    <a:ln>
                      <a:noFill/>
                    </a:ln>
                  </pic:spPr>
                </pic:pic>
              </a:graphicData>
            </a:graphic>
          </wp:inline>
        </w:drawing>
      </w:r>
    </w:p>
    <w:p>
      <w:pPr>
        <w:ind w:firstLine="0" w:firstLineChars="0"/>
        <w:rPr>
          <w:rFonts w:ascii="Times New Roman" w:hAnsi="Times New Roman" w:cs="Times New Roman"/>
        </w:rPr>
      </w:pPr>
      <w:r>
        <w:rPr>
          <w:rFonts w:ascii="Times New Roman" w:hAnsi="Times New Roman" w:cs="Times New Roman"/>
        </w:rPr>
        <w:drawing>
          <wp:inline distT="0" distB="0" distL="0" distR="0">
            <wp:extent cx="5889625" cy="1638300"/>
            <wp:effectExtent l="0" t="0" r="0" b="0"/>
            <wp:docPr id="60" name="图片 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true" noChangeArrowheads="true"/>
                    </pic:cNvPicPr>
                  </pic:nvPicPr>
                  <pic:blipFill>
                    <a:blip r:embed="rId101"/>
                    <a:srcRect/>
                    <a:stretch>
                      <a:fillRect/>
                    </a:stretch>
                  </pic:blipFill>
                  <pic:spPr>
                    <a:xfrm>
                      <a:off x="0" y="0"/>
                      <a:ext cx="5894439" cy="1639513"/>
                    </a:xfrm>
                    <a:prstGeom prst="rect">
                      <a:avLst/>
                    </a:prstGeom>
                    <a:noFill/>
                    <a:ln>
                      <a:noFill/>
                    </a:ln>
                  </pic:spPr>
                </pic:pic>
              </a:graphicData>
            </a:graphic>
          </wp:inline>
        </w:drawing>
      </w:r>
    </w:p>
    <w:p>
      <w:pPr>
        <w:ind w:firstLine="442"/>
        <w:jc w:val="center"/>
        <w:rPr>
          <w:rFonts w:ascii="Times New Roman" w:hAnsi="Times New Roman" w:cs="Times New Roman"/>
          <w:b/>
          <w:bCs/>
          <w:sz w:val="21"/>
          <w:szCs w:val="21"/>
        </w:rPr>
      </w:pPr>
      <w:r>
        <w:rPr>
          <w:rFonts w:ascii="Times New Roman" w:hAnsi="Times New Roman" w:cs="Times New Roman"/>
          <w:b/>
          <w:bCs/>
          <w:sz w:val="22"/>
        </w:rPr>
        <w:t>图3.10-2   本项目装车废气产污环节及去向示意图</w:t>
      </w:r>
    </w:p>
    <w:p>
      <w:pPr>
        <w:spacing w:before="166" w:beforeLines="50"/>
        <w:ind w:leftChars="-118" w:hanging="283" w:hangingChars="118"/>
        <w:jc w:val="center"/>
        <w:rPr>
          <w:rFonts w:ascii="Times New Roman" w:hAnsi="Times New Roman" w:cs="Times New Roman"/>
        </w:rPr>
      </w:pPr>
      <w:r>
        <w:rPr>
          <w:rFonts w:ascii="Times New Roman" w:hAnsi="Times New Roman" w:cs="Times New Roman"/>
        </w:rPr>
        <w:object>
          <v:shape id="_x0000_i1036" o:spt="75" type="#_x0000_t75" style="height:177pt;width:471pt;" o:ole="t" filled="f" o:preferrelative="t" stroked="f" coordsize="21600,21600">
            <v:path/>
            <v:fill on="f" focussize="0,0"/>
            <v:stroke on="f" joinstyle="miter"/>
            <v:imagedata r:id="rId103" o:title=""/>
            <o:lock v:ext="edit" aspectratio="t"/>
            <w10:wrap type="none"/>
            <w10:anchorlock/>
          </v:shape>
          <o:OLEObject Type="Embed" ProgID="Visio.Drawing.15" ShapeID="_x0000_i1036" DrawAspect="Content" ObjectID="_1468075736" r:id="rId102">
            <o:LockedField>false</o:LockedField>
          </o:OLEObject>
        </w:object>
      </w:r>
    </w:p>
    <w:p>
      <w:pPr>
        <w:spacing w:before="166" w:beforeLines="50"/>
        <w:ind w:left="-23" w:leftChars="-118" w:hanging="260" w:hangingChars="118"/>
        <w:jc w:val="center"/>
        <w:rPr>
          <w:rFonts w:ascii="Times New Roman" w:hAnsi="Times New Roman" w:cs="Times New Roman"/>
          <w:b/>
          <w:bCs/>
          <w:szCs w:val="24"/>
        </w:rPr>
      </w:pPr>
      <w:r>
        <w:rPr>
          <w:rFonts w:ascii="Times New Roman" w:hAnsi="Times New Roman" w:cs="Times New Roman"/>
          <w:b/>
          <w:bCs/>
          <w:sz w:val="22"/>
        </w:rPr>
        <w:t>图3.10-3   本项目卸船及储罐储存废气产污环节及去向示意图</w:t>
      </w:r>
    </w:p>
    <w:p>
      <w:pPr>
        <w:ind w:firstLine="480"/>
        <w:rPr>
          <w:rFonts w:ascii="Times New Roman" w:hAnsi="Times New Roman" w:cs="Times New Roman"/>
        </w:rPr>
      </w:pPr>
      <w:r>
        <w:rPr>
          <w:rFonts w:ascii="Times New Roman" w:hAnsi="Times New Roman" w:cs="Times New Roman"/>
        </w:rPr>
        <w:t xml:space="preserve">本项目各废气污染物产生和排放情况汇总见表3.10-21.1。 </w:t>
      </w:r>
      <w:r>
        <w:rPr>
          <w:rFonts w:ascii="Times New Roman" w:hAnsi="Times New Roman" w:cs="Times New Roman"/>
          <w:b/>
          <w:bCs/>
        </w:rPr>
        <w:t xml:space="preserve"> </w:t>
      </w:r>
    </w:p>
    <w:p>
      <w:pPr>
        <w:ind w:firstLine="480"/>
        <w:rPr>
          <w:rFonts w:ascii="Times New Roman" w:hAnsi="Times New Roman" w:cs="Times New Roman"/>
        </w:rPr>
        <w:sectPr>
          <w:pgSz w:w="11906" w:h="16838"/>
          <w:pgMar w:top="1417" w:right="1417" w:bottom="1417" w:left="1417" w:header="850" w:footer="992" w:gutter="0"/>
          <w:cols w:space="720" w:num="1"/>
          <w:docGrid w:type="lines" w:linePitch="333" w:charSpace="0"/>
        </w:sectPr>
      </w:pPr>
    </w:p>
    <w:p>
      <w:pPr>
        <w:spacing w:line="240" w:lineRule="auto"/>
        <w:ind w:firstLine="442"/>
        <w:jc w:val="center"/>
        <w:rPr>
          <w:rFonts w:ascii="Times New Roman" w:hAnsi="Times New Roman" w:cs="Times New Roman"/>
          <w:b/>
          <w:bCs/>
          <w:color w:val="auto"/>
          <w:sz w:val="22"/>
          <w:szCs w:val="28"/>
        </w:rPr>
      </w:pPr>
      <w:bookmarkStart w:id="254" w:name="_Toc102984325"/>
      <w:r>
        <w:rPr>
          <w:rFonts w:ascii="Times New Roman" w:hAnsi="Times New Roman" w:cs="Times New Roman"/>
          <w:b/>
          <w:bCs/>
          <w:color w:val="auto"/>
          <w:sz w:val="22"/>
          <w:szCs w:val="28"/>
        </w:rPr>
        <w:t>表3.10-21.1   本项目大气污染物产生及排放汇总一览表</w:t>
      </w:r>
      <w:bookmarkEnd w:id="254"/>
    </w:p>
    <w:tbl>
      <w:tblPr>
        <w:tblStyle w:val="62"/>
        <w:tblW w:w="1543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31"/>
        <w:gridCol w:w="845"/>
        <w:gridCol w:w="1134"/>
        <w:gridCol w:w="709"/>
        <w:gridCol w:w="1007"/>
        <w:gridCol w:w="993"/>
        <w:gridCol w:w="1125"/>
        <w:gridCol w:w="1145"/>
        <w:gridCol w:w="1068"/>
        <w:gridCol w:w="934"/>
        <w:gridCol w:w="1241"/>
        <w:gridCol w:w="1134"/>
        <w:gridCol w:w="992"/>
        <w:gridCol w:w="934"/>
        <w:gridCol w:w="174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70" w:hRule="atLeast"/>
          <w:tblHeader/>
          <w:jc w:val="center"/>
        </w:trPr>
        <w:tc>
          <w:tcPr>
            <w:tcW w:w="43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类别</w:t>
            </w:r>
          </w:p>
        </w:tc>
        <w:tc>
          <w:tcPr>
            <w:tcW w:w="84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污染源</w:t>
            </w:r>
          </w:p>
        </w:tc>
        <w:tc>
          <w:tcPr>
            <w:tcW w:w="113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治理措施</w:t>
            </w:r>
          </w:p>
        </w:tc>
        <w:tc>
          <w:tcPr>
            <w:tcW w:w="709"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排放方式</w:t>
            </w:r>
          </w:p>
        </w:tc>
        <w:tc>
          <w:tcPr>
            <w:tcW w:w="1007"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货种</w:t>
            </w:r>
          </w:p>
        </w:tc>
        <w:tc>
          <w:tcPr>
            <w:tcW w:w="993"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废气量</w:t>
            </w:r>
          </w:p>
        </w:tc>
        <w:tc>
          <w:tcPr>
            <w:tcW w:w="112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污染物</w:t>
            </w:r>
          </w:p>
        </w:tc>
        <w:tc>
          <w:tcPr>
            <w:tcW w:w="114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产生浓度</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（mg/m3）</w:t>
            </w:r>
          </w:p>
        </w:tc>
        <w:tc>
          <w:tcPr>
            <w:tcW w:w="1068"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产生速率</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（kg/h）</w:t>
            </w:r>
          </w:p>
        </w:tc>
        <w:tc>
          <w:tcPr>
            <w:tcW w:w="93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产生量</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（t/a）</w:t>
            </w:r>
          </w:p>
        </w:tc>
        <w:tc>
          <w:tcPr>
            <w:tcW w:w="124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治理措施处理效率</w:t>
            </w:r>
          </w:p>
        </w:tc>
        <w:tc>
          <w:tcPr>
            <w:tcW w:w="113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排放浓度</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（mg/m</w:t>
            </w:r>
            <w:r>
              <w:rPr>
                <w:rFonts w:ascii="Times New Roman" w:hAnsi="Times New Roman" w:cs="Times New Roman"/>
                <w:b/>
                <w:bCs/>
                <w:color w:val="auto"/>
                <w:sz w:val="18"/>
                <w:szCs w:val="18"/>
                <w:vertAlign w:val="superscript"/>
              </w:rPr>
              <w:t>3</w:t>
            </w:r>
            <w:r>
              <w:rPr>
                <w:rFonts w:ascii="Times New Roman" w:hAnsi="Times New Roman" w:cs="Times New Roman"/>
                <w:b/>
                <w:bCs/>
                <w:color w:val="auto"/>
                <w:sz w:val="18"/>
                <w:szCs w:val="18"/>
              </w:rPr>
              <w:t>）</w:t>
            </w:r>
          </w:p>
        </w:tc>
        <w:tc>
          <w:tcPr>
            <w:tcW w:w="992"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排放速率</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（kg/h）</w:t>
            </w:r>
          </w:p>
        </w:tc>
        <w:tc>
          <w:tcPr>
            <w:tcW w:w="93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排放量</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（t/a）</w:t>
            </w:r>
          </w:p>
        </w:tc>
        <w:tc>
          <w:tcPr>
            <w:tcW w:w="1740"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排放方式及编号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54" w:hRule="atLeast"/>
          <w:jc w:val="center"/>
        </w:trPr>
        <w:tc>
          <w:tcPr>
            <w:tcW w:w="431" w:type="dxa"/>
            <w:vMerge w:val="restart"/>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正常工况</w:t>
            </w:r>
          </w:p>
        </w:tc>
        <w:tc>
          <w:tcPr>
            <w:tcW w:w="8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装船（含扫线）</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油气回收</w:t>
            </w:r>
            <w:r>
              <w:rPr>
                <w:rFonts w:hint="eastAsia" w:ascii="Times New Roman" w:hAnsi="Times New Roman" w:cs="Times New Roman"/>
                <w:color w:val="auto"/>
                <w:sz w:val="18"/>
                <w:szCs w:val="18"/>
              </w:rPr>
              <w:t>装置</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有组织</w:t>
            </w:r>
          </w:p>
        </w:tc>
        <w:tc>
          <w:tcPr>
            <w:tcW w:w="100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汽油</w:t>
            </w:r>
          </w:p>
        </w:tc>
        <w:tc>
          <w:tcPr>
            <w:tcW w:w="9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250m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/h</w:t>
            </w:r>
          </w:p>
        </w:tc>
        <w:tc>
          <w:tcPr>
            <w:tcW w:w="11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非甲烷总烃</w:t>
            </w:r>
          </w:p>
        </w:tc>
        <w:tc>
          <w:tcPr>
            <w:tcW w:w="11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432g/m</w:t>
            </w:r>
            <w:r>
              <w:rPr>
                <w:rFonts w:ascii="Times New Roman" w:hAnsi="Times New Roman" w:cs="Times New Roman"/>
                <w:color w:val="auto"/>
                <w:sz w:val="18"/>
                <w:szCs w:val="18"/>
                <w:vertAlign w:val="superscript"/>
              </w:rPr>
              <w:t>3</w:t>
            </w:r>
          </w:p>
        </w:tc>
        <w:tc>
          <w:tcPr>
            <w:tcW w:w="106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107.9</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53.95</w:t>
            </w:r>
          </w:p>
        </w:tc>
        <w:tc>
          <w:tcPr>
            <w:tcW w:w="124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油气回收装置（三级冷凝+活性炭吸附）</w:t>
            </w:r>
            <w:r>
              <w:rPr>
                <w:rFonts w:ascii="Times New Roman" w:hAnsi="Times New Roman" w:cs="Times New Roman"/>
                <w:color w:val="auto"/>
                <w:sz w:val="18"/>
                <w:szCs w:val="18"/>
              </w:rPr>
              <w:t>99%</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4.32g/m</w:t>
            </w:r>
            <w:r>
              <w:rPr>
                <w:rFonts w:ascii="Times New Roman" w:hAnsi="Times New Roman" w:cs="Times New Roman"/>
                <w:color w:val="auto"/>
                <w:sz w:val="18"/>
                <w:szCs w:val="18"/>
                <w:vertAlign w:val="superscript"/>
              </w:rPr>
              <w:t>3</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1.08</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0.54</w:t>
            </w:r>
          </w:p>
        </w:tc>
        <w:tc>
          <w:tcPr>
            <w:tcW w:w="174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15m高排气筒（DA001）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54"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8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柴油固定顶储罐</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无组织</w:t>
            </w:r>
          </w:p>
        </w:tc>
        <w:tc>
          <w:tcPr>
            <w:tcW w:w="100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柴油</w:t>
            </w:r>
          </w:p>
        </w:tc>
        <w:tc>
          <w:tcPr>
            <w:tcW w:w="9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非甲烷总烃</w:t>
            </w:r>
          </w:p>
        </w:tc>
        <w:tc>
          <w:tcPr>
            <w:tcW w:w="11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06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4.70</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37.57</w:t>
            </w:r>
          </w:p>
        </w:tc>
        <w:tc>
          <w:tcPr>
            <w:tcW w:w="124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kern w:val="0"/>
                <w:sz w:val="18"/>
                <w:szCs w:val="18"/>
              </w:rPr>
              <w:t>/</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4.70</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37.57</w:t>
            </w:r>
          </w:p>
        </w:tc>
        <w:tc>
          <w:tcPr>
            <w:tcW w:w="174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加强结构的维护，选用低泄露呼吸阀优化呼吸阀设定压力；减少泄露，开展LADR工作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1"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845"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装车</w:t>
            </w:r>
          </w:p>
        </w:tc>
        <w:tc>
          <w:tcPr>
            <w:tcW w:w="1134"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油气回收</w:t>
            </w:r>
            <w:r>
              <w:rPr>
                <w:rFonts w:hint="eastAsia" w:ascii="Times New Roman" w:hAnsi="Times New Roman" w:cs="Times New Roman"/>
                <w:color w:val="auto"/>
                <w:sz w:val="18"/>
                <w:szCs w:val="18"/>
              </w:rPr>
              <w:t>装置</w:t>
            </w:r>
          </w:p>
        </w:tc>
        <w:tc>
          <w:tcPr>
            <w:tcW w:w="709"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有组织</w:t>
            </w:r>
          </w:p>
        </w:tc>
        <w:tc>
          <w:tcPr>
            <w:tcW w:w="100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汽油</w:t>
            </w:r>
          </w:p>
        </w:tc>
        <w:tc>
          <w:tcPr>
            <w:tcW w:w="993"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880 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/h</w:t>
            </w:r>
          </w:p>
        </w:tc>
        <w:tc>
          <w:tcPr>
            <w:tcW w:w="1125"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非甲烷总烃</w:t>
            </w:r>
          </w:p>
        </w:tc>
        <w:tc>
          <w:tcPr>
            <w:tcW w:w="1145"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145g/m</w:t>
            </w:r>
            <w:r>
              <w:rPr>
                <w:rFonts w:ascii="Times New Roman" w:hAnsi="Times New Roman" w:cs="Times New Roman"/>
                <w:color w:val="auto"/>
                <w:sz w:val="18"/>
                <w:szCs w:val="18"/>
                <w:vertAlign w:val="superscript"/>
              </w:rPr>
              <w:t>3</w:t>
            </w:r>
          </w:p>
        </w:tc>
        <w:tc>
          <w:tcPr>
            <w:tcW w:w="1068"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123.73</w:t>
            </w:r>
          </w:p>
        </w:tc>
        <w:tc>
          <w:tcPr>
            <w:tcW w:w="934"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433.055</w:t>
            </w:r>
          </w:p>
        </w:tc>
        <w:tc>
          <w:tcPr>
            <w:tcW w:w="1241"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油气回收装置（三级冷凝+活性炭吸附）</w:t>
            </w:r>
            <w:r>
              <w:rPr>
                <w:rFonts w:ascii="Times New Roman" w:hAnsi="Times New Roman" w:cs="Times New Roman"/>
                <w:color w:val="auto"/>
                <w:sz w:val="18"/>
                <w:szCs w:val="18"/>
              </w:rPr>
              <w:t>99%</w:t>
            </w:r>
          </w:p>
        </w:tc>
        <w:tc>
          <w:tcPr>
            <w:tcW w:w="1134"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1.45g/m</w:t>
            </w:r>
            <w:r>
              <w:rPr>
                <w:rFonts w:ascii="Times New Roman" w:hAnsi="Times New Roman" w:cs="Times New Roman"/>
                <w:color w:val="auto"/>
                <w:sz w:val="18"/>
                <w:szCs w:val="18"/>
                <w:vertAlign w:val="superscript"/>
              </w:rPr>
              <w:t>3</w:t>
            </w:r>
          </w:p>
        </w:tc>
        <w:tc>
          <w:tcPr>
            <w:tcW w:w="992"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1.24</w:t>
            </w:r>
          </w:p>
        </w:tc>
        <w:tc>
          <w:tcPr>
            <w:tcW w:w="934"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4.32</w:t>
            </w:r>
          </w:p>
        </w:tc>
        <w:tc>
          <w:tcPr>
            <w:tcW w:w="1740"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15m高排气筒（DA002）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1"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84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70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柴油</w:t>
            </w:r>
          </w:p>
        </w:tc>
        <w:tc>
          <w:tcPr>
            <w:tcW w:w="99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2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4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6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241"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92"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74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1"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84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70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航空煤油</w:t>
            </w:r>
          </w:p>
        </w:tc>
        <w:tc>
          <w:tcPr>
            <w:tcW w:w="99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2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4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6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241"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92"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74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1"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84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70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乙醇</w:t>
            </w:r>
          </w:p>
        </w:tc>
        <w:tc>
          <w:tcPr>
            <w:tcW w:w="99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2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4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6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241"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92"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74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1"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8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硫酸储罐、装车</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碱液中和罐</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有组织</w:t>
            </w:r>
          </w:p>
        </w:tc>
        <w:tc>
          <w:tcPr>
            <w:tcW w:w="100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98%硫酸</w:t>
            </w:r>
          </w:p>
        </w:tc>
        <w:tc>
          <w:tcPr>
            <w:tcW w:w="9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1000 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/h</w:t>
            </w:r>
          </w:p>
        </w:tc>
        <w:tc>
          <w:tcPr>
            <w:tcW w:w="11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硫酸雾</w:t>
            </w:r>
          </w:p>
        </w:tc>
        <w:tc>
          <w:tcPr>
            <w:tcW w:w="11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680</w:t>
            </w:r>
          </w:p>
        </w:tc>
        <w:tc>
          <w:tcPr>
            <w:tcW w:w="106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0.68</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0.34</w:t>
            </w:r>
          </w:p>
        </w:tc>
        <w:tc>
          <w:tcPr>
            <w:tcW w:w="124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碱液中和罐</w:t>
            </w:r>
            <w:r>
              <w:rPr>
                <w:rFonts w:ascii="Times New Roman" w:hAnsi="Times New Roman" w:cs="Times New Roman"/>
                <w:color w:val="auto"/>
                <w:sz w:val="18"/>
                <w:szCs w:val="18"/>
              </w:rPr>
              <w:t>95%</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34</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0.017</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0.017</w:t>
            </w:r>
          </w:p>
        </w:tc>
        <w:tc>
          <w:tcPr>
            <w:tcW w:w="174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15m高排气筒（DA003）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88"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8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码头平台、管廊及装车区</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动静密封点泄漏</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无组织</w:t>
            </w:r>
          </w:p>
        </w:tc>
        <w:tc>
          <w:tcPr>
            <w:tcW w:w="100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汽油</w:t>
            </w:r>
          </w:p>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柴油</w:t>
            </w:r>
          </w:p>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航空煤油</w:t>
            </w:r>
          </w:p>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乙醇</w:t>
            </w:r>
          </w:p>
        </w:tc>
        <w:tc>
          <w:tcPr>
            <w:tcW w:w="9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非甲烷总烃</w:t>
            </w:r>
          </w:p>
        </w:tc>
        <w:tc>
          <w:tcPr>
            <w:tcW w:w="11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06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2.74</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9.57</w:t>
            </w:r>
          </w:p>
        </w:tc>
        <w:tc>
          <w:tcPr>
            <w:tcW w:w="124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2.74</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9.57</w:t>
            </w:r>
          </w:p>
        </w:tc>
        <w:tc>
          <w:tcPr>
            <w:tcW w:w="174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加强泵、阀门及法兰的维护，减少跑冒滴漏，开展LADR工作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88"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8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罐区内浮顶储罐</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内浮顶罐损耗</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无组织</w:t>
            </w:r>
          </w:p>
        </w:tc>
        <w:tc>
          <w:tcPr>
            <w:tcW w:w="100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汽油</w:t>
            </w:r>
          </w:p>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航空煤油</w:t>
            </w:r>
          </w:p>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乙醇</w:t>
            </w:r>
          </w:p>
        </w:tc>
        <w:tc>
          <w:tcPr>
            <w:tcW w:w="9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非甲烷总烃</w:t>
            </w:r>
          </w:p>
        </w:tc>
        <w:tc>
          <w:tcPr>
            <w:tcW w:w="11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06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3.66</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29.245</w:t>
            </w:r>
          </w:p>
        </w:tc>
        <w:tc>
          <w:tcPr>
            <w:tcW w:w="124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3.66</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29.245</w:t>
            </w:r>
          </w:p>
        </w:tc>
        <w:tc>
          <w:tcPr>
            <w:tcW w:w="174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加强内浮顶罐浮盘及密封结构的维护，减少泄露，开展LADR工作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88"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845"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船舶动力废气</w:t>
            </w:r>
          </w:p>
        </w:tc>
        <w:tc>
          <w:tcPr>
            <w:tcW w:w="1134"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709"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无组织</w:t>
            </w:r>
          </w:p>
        </w:tc>
        <w:tc>
          <w:tcPr>
            <w:tcW w:w="1007"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93"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SO</w:t>
            </w:r>
            <w:r>
              <w:rPr>
                <w:rFonts w:ascii="Times New Roman" w:hAnsi="Times New Roman" w:cs="Times New Roman"/>
                <w:color w:val="auto"/>
                <w:sz w:val="18"/>
                <w:szCs w:val="18"/>
                <w:vertAlign w:val="subscript"/>
              </w:rPr>
              <w:t>2</w:t>
            </w:r>
          </w:p>
        </w:tc>
        <w:tc>
          <w:tcPr>
            <w:tcW w:w="11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06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0.02kg/a</w:t>
            </w:r>
          </w:p>
        </w:tc>
        <w:tc>
          <w:tcPr>
            <w:tcW w:w="124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0.02kg/a</w:t>
            </w:r>
          </w:p>
        </w:tc>
        <w:tc>
          <w:tcPr>
            <w:tcW w:w="1740"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加强船舶的维护</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88"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84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70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9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颗粒物</w:t>
            </w:r>
          </w:p>
        </w:tc>
        <w:tc>
          <w:tcPr>
            <w:tcW w:w="11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06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0.7344 kg/a</w:t>
            </w:r>
          </w:p>
        </w:tc>
        <w:tc>
          <w:tcPr>
            <w:tcW w:w="124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0.7344 kg/a</w:t>
            </w:r>
          </w:p>
        </w:tc>
        <w:tc>
          <w:tcPr>
            <w:tcW w:w="174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88"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84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70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9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NOx</w:t>
            </w:r>
          </w:p>
        </w:tc>
        <w:tc>
          <w:tcPr>
            <w:tcW w:w="11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06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12.19 kg/a</w:t>
            </w:r>
          </w:p>
        </w:tc>
        <w:tc>
          <w:tcPr>
            <w:tcW w:w="124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12.19 kg/a</w:t>
            </w:r>
          </w:p>
        </w:tc>
        <w:tc>
          <w:tcPr>
            <w:tcW w:w="174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88"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8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化验室</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通风橱+碱液吸收+除雾+二级活性炭吸附装置</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有组织</w:t>
            </w:r>
          </w:p>
        </w:tc>
        <w:tc>
          <w:tcPr>
            <w:tcW w:w="100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非甲烷总烃</w:t>
            </w:r>
          </w:p>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酸性气体</w:t>
            </w:r>
          </w:p>
        </w:tc>
        <w:tc>
          <w:tcPr>
            <w:tcW w:w="11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06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定性说明</w:t>
            </w:r>
          </w:p>
        </w:tc>
        <w:tc>
          <w:tcPr>
            <w:tcW w:w="124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定性说明</w:t>
            </w:r>
          </w:p>
        </w:tc>
        <w:tc>
          <w:tcPr>
            <w:tcW w:w="174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15m高排气筒（DA004）</w:t>
            </w:r>
          </w:p>
        </w:tc>
      </w:tr>
    </w:tbl>
    <w:p>
      <w:pPr>
        <w:ind w:firstLine="480"/>
        <w:rPr>
          <w:rFonts w:ascii="Times New Roman" w:hAnsi="Times New Roman" w:cs="Times New Roman"/>
          <w:color w:val="auto"/>
        </w:rPr>
      </w:pPr>
    </w:p>
    <w:p>
      <w:pPr>
        <w:ind w:firstLine="442"/>
        <w:jc w:val="center"/>
        <w:rPr>
          <w:rFonts w:ascii="Times New Roman" w:hAnsi="Times New Roman" w:cs="Times New Roman"/>
          <w:b/>
          <w:bCs/>
          <w:color w:val="auto"/>
          <w:sz w:val="22"/>
          <w:szCs w:val="28"/>
        </w:rPr>
      </w:pPr>
      <w:r>
        <w:rPr>
          <w:rFonts w:ascii="Times New Roman" w:hAnsi="Times New Roman" w:cs="Times New Roman"/>
          <w:b/>
          <w:bCs/>
          <w:color w:val="auto"/>
          <w:sz w:val="22"/>
          <w:szCs w:val="28"/>
        </w:rPr>
        <w:t>表3.10-21.2   非正常工况下本项目大气污染物产生及排放汇总一览表</w:t>
      </w:r>
    </w:p>
    <w:tbl>
      <w:tblPr>
        <w:tblStyle w:val="62"/>
        <w:tblW w:w="1441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31"/>
        <w:gridCol w:w="949"/>
        <w:gridCol w:w="801"/>
        <w:gridCol w:w="944"/>
        <w:gridCol w:w="1001"/>
        <w:gridCol w:w="993"/>
        <w:gridCol w:w="1125"/>
        <w:gridCol w:w="1145"/>
        <w:gridCol w:w="1068"/>
        <w:gridCol w:w="934"/>
        <w:gridCol w:w="1068"/>
        <w:gridCol w:w="1165"/>
        <w:gridCol w:w="1046"/>
        <w:gridCol w:w="174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70" w:hRule="atLeast"/>
          <w:tblHeader/>
          <w:jc w:val="center"/>
        </w:trPr>
        <w:tc>
          <w:tcPr>
            <w:tcW w:w="43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类别</w:t>
            </w:r>
          </w:p>
        </w:tc>
        <w:tc>
          <w:tcPr>
            <w:tcW w:w="949"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污染源</w:t>
            </w:r>
          </w:p>
        </w:tc>
        <w:tc>
          <w:tcPr>
            <w:tcW w:w="80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治理措施</w:t>
            </w:r>
          </w:p>
        </w:tc>
        <w:tc>
          <w:tcPr>
            <w:tcW w:w="94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排放方式</w:t>
            </w:r>
          </w:p>
        </w:tc>
        <w:tc>
          <w:tcPr>
            <w:tcW w:w="100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货种</w:t>
            </w:r>
          </w:p>
        </w:tc>
        <w:tc>
          <w:tcPr>
            <w:tcW w:w="993"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废气量</w:t>
            </w:r>
          </w:p>
        </w:tc>
        <w:tc>
          <w:tcPr>
            <w:tcW w:w="112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污染物</w:t>
            </w:r>
          </w:p>
        </w:tc>
        <w:tc>
          <w:tcPr>
            <w:tcW w:w="114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产生浓度</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（mg/m</w:t>
            </w:r>
            <w:r>
              <w:rPr>
                <w:rFonts w:ascii="Times New Roman" w:hAnsi="Times New Roman" w:cs="Times New Roman"/>
                <w:b/>
                <w:bCs/>
                <w:color w:val="auto"/>
                <w:sz w:val="18"/>
                <w:szCs w:val="18"/>
                <w:vertAlign w:val="superscript"/>
              </w:rPr>
              <w:t>3</w:t>
            </w:r>
            <w:r>
              <w:rPr>
                <w:rFonts w:ascii="Times New Roman" w:hAnsi="Times New Roman" w:cs="Times New Roman"/>
                <w:b/>
                <w:bCs/>
                <w:color w:val="auto"/>
                <w:sz w:val="18"/>
                <w:szCs w:val="18"/>
              </w:rPr>
              <w:t>）</w:t>
            </w:r>
          </w:p>
        </w:tc>
        <w:tc>
          <w:tcPr>
            <w:tcW w:w="1068"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产生速率</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（kg/h）</w:t>
            </w:r>
          </w:p>
        </w:tc>
        <w:tc>
          <w:tcPr>
            <w:tcW w:w="93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产生量</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（t/a）</w:t>
            </w:r>
          </w:p>
        </w:tc>
        <w:tc>
          <w:tcPr>
            <w:tcW w:w="1068"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非正常工况下治理措施处理效率</w:t>
            </w:r>
          </w:p>
        </w:tc>
        <w:tc>
          <w:tcPr>
            <w:tcW w:w="116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排放浓度</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（mg/m</w:t>
            </w:r>
            <w:r>
              <w:rPr>
                <w:rFonts w:ascii="Times New Roman" w:hAnsi="Times New Roman" w:cs="Times New Roman"/>
                <w:b/>
                <w:bCs/>
                <w:color w:val="auto"/>
                <w:sz w:val="18"/>
                <w:szCs w:val="18"/>
                <w:vertAlign w:val="superscript"/>
              </w:rPr>
              <w:t>3</w:t>
            </w:r>
            <w:r>
              <w:rPr>
                <w:rFonts w:ascii="Times New Roman" w:hAnsi="Times New Roman" w:cs="Times New Roman"/>
                <w:b/>
                <w:bCs/>
                <w:color w:val="auto"/>
                <w:sz w:val="18"/>
                <w:szCs w:val="18"/>
              </w:rPr>
              <w:t>）</w:t>
            </w:r>
          </w:p>
        </w:tc>
        <w:tc>
          <w:tcPr>
            <w:tcW w:w="1046"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排放速率</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（kg/h）</w:t>
            </w:r>
          </w:p>
        </w:tc>
        <w:tc>
          <w:tcPr>
            <w:tcW w:w="1740"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排放方式及编号</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54" w:hRule="atLeast"/>
          <w:jc w:val="center"/>
        </w:trPr>
        <w:tc>
          <w:tcPr>
            <w:tcW w:w="431" w:type="dxa"/>
            <w:vMerge w:val="restart"/>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非正常工况</w:t>
            </w:r>
          </w:p>
        </w:tc>
        <w:tc>
          <w:tcPr>
            <w:tcW w:w="94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装船（含扫线）</w:t>
            </w:r>
          </w:p>
        </w:tc>
        <w:tc>
          <w:tcPr>
            <w:tcW w:w="80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油气回收</w:t>
            </w:r>
          </w:p>
        </w:tc>
        <w:tc>
          <w:tcPr>
            <w:tcW w:w="94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有组织</w:t>
            </w:r>
          </w:p>
        </w:tc>
        <w:tc>
          <w:tcPr>
            <w:tcW w:w="100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汽油</w:t>
            </w:r>
          </w:p>
        </w:tc>
        <w:tc>
          <w:tcPr>
            <w:tcW w:w="9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250 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/h</w:t>
            </w:r>
          </w:p>
        </w:tc>
        <w:tc>
          <w:tcPr>
            <w:tcW w:w="11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非甲烷总烃</w:t>
            </w:r>
          </w:p>
        </w:tc>
        <w:tc>
          <w:tcPr>
            <w:tcW w:w="11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432g/m</w:t>
            </w:r>
            <w:r>
              <w:rPr>
                <w:rFonts w:ascii="Times New Roman" w:hAnsi="Times New Roman" w:cs="Times New Roman"/>
                <w:color w:val="auto"/>
                <w:sz w:val="18"/>
                <w:szCs w:val="18"/>
                <w:vertAlign w:val="superscript"/>
              </w:rPr>
              <w:t>3</w:t>
            </w:r>
          </w:p>
        </w:tc>
        <w:tc>
          <w:tcPr>
            <w:tcW w:w="106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107.9</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53.95</w:t>
            </w:r>
          </w:p>
        </w:tc>
        <w:tc>
          <w:tcPr>
            <w:tcW w:w="106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60%</w:t>
            </w:r>
          </w:p>
        </w:tc>
        <w:tc>
          <w:tcPr>
            <w:tcW w:w="11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172.8 g/m</w:t>
            </w:r>
            <w:r>
              <w:rPr>
                <w:rFonts w:ascii="Times New Roman" w:hAnsi="Times New Roman" w:cs="Times New Roman"/>
                <w:color w:val="auto"/>
                <w:sz w:val="18"/>
                <w:szCs w:val="18"/>
                <w:vertAlign w:val="superscript"/>
              </w:rPr>
              <w:t>3</w:t>
            </w:r>
          </w:p>
        </w:tc>
        <w:tc>
          <w:tcPr>
            <w:tcW w:w="1046"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43.15</w:t>
            </w:r>
          </w:p>
        </w:tc>
        <w:tc>
          <w:tcPr>
            <w:tcW w:w="174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15m高排气筒（DA001）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4"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949"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装车</w:t>
            </w:r>
          </w:p>
        </w:tc>
        <w:tc>
          <w:tcPr>
            <w:tcW w:w="801"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油气回收</w:t>
            </w:r>
          </w:p>
        </w:tc>
        <w:tc>
          <w:tcPr>
            <w:tcW w:w="944"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有组织</w:t>
            </w:r>
          </w:p>
        </w:tc>
        <w:tc>
          <w:tcPr>
            <w:tcW w:w="100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汽油</w:t>
            </w:r>
          </w:p>
        </w:tc>
        <w:tc>
          <w:tcPr>
            <w:tcW w:w="993"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880 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/h</w:t>
            </w:r>
          </w:p>
        </w:tc>
        <w:tc>
          <w:tcPr>
            <w:tcW w:w="1125"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非甲烷总烃</w:t>
            </w:r>
          </w:p>
        </w:tc>
        <w:tc>
          <w:tcPr>
            <w:tcW w:w="1145"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145g/m</w:t>
            </w:r>
            <w:r>
              <w:rPr>
                <w:rFonts w:ascii="Times New Roman" w:hAnsi="Times New Roman" w:cs="Times New Roman"/>
                <w:color w:val="auto"/>
                <w:sz w:val="18"/>
                <w:szCs w:val="18"/>
                <w:vertAlign w:val="superscript"/>
              </w:rPr>
              <w:t>3</w:t>
            </w:r>
          </w:p>
        </w:tc>
        <w:tc>
          <w:tcPr>
            <w:tcW w:w="1068"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123.73</w:t>
            </w:r>
          </w:p>
        </w:tc>
        <w:tc>
          <w:tcPr>
            <w:tcW w:w="934"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433.055</w:t>
            </w:r>
          </w:p>
        </w:tc>
        <w:tc>
          <w:tcPr>
            <w:tcW w:w="1068"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60%</w:t>
            </w:r>
          </w:p>
        </w:tc>
        <w:tc>
          <w:tcPr>
            <w:tcW w:w="1165"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58 g/m</w:t>
            </w:r>
            <w:r>
              <w:rPr>
                <w:rFonts w:ascii="Times New Roman" w:hAnsi="Times New Roman" w:cs="Times New Roman"/>
                <w:color w:val="auto"/>
                <w:sz w:val="18"/>
                <w:szCs w:val="18"/>
                <w:vertAlign w:val="superscript"/>
              </w:rPr>
              <w:t>3</w:t>
            </w:r>
          </w:p>
        </w:tc>
        <w:tc>
          <w:tcPr>
            <w:tcW w:w="1046"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49.5</w:t>
            </w:r>
          </w:p>
        </w:tc>
        <w:tc>
          <w:tcPr>
            <w:tcW w:w="1740"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15m高排气筒（DA002）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1"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94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801"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4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柴油</w:t>
            </w:r>
          </w:p>
        </w:tc>
        <w:tc>
          <w:tcPr>
            <w:tcW w:w="99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2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4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6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6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6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46"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74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8"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94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801"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4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航空煤油</w:t>
            </w:r>
          </w:p>
        </w:tc>
        <w:tc>
          <w:tcPr>
            <w:tcW w:w="99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2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4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6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6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6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46"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74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36"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94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801"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4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乙醇</w:t>
            </w:r>
          </w:p>
        </w:tc>
        <w:tc>
          <w:tcPr>
            <w:tcW w:w="99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2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4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6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934"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6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65"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46"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74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1" w:hRule="atLeast"/>
          <w:jc w:val="center"/>
        </w:trPr>
        <w:tc>
          <w:tcPr>
            <w:tcW w:w="431"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94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硫酸储罐、装车</w:t>
            </w:r>
          </w:p>
        </w:tc>
        <w:tc>
          <w:tcPr>
            <w:tcW w:w="80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碱液中和罐</w:t>
            </w:r>
          </w:p>
        </w:tc>
        <w:tc>
          <w:tcPr>
            <w:tcW w:w="94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有组织</w:t>
            </w:r>
          </w:p>
        </w:tc>
        <w:tc>
          <w:tcPr>
            <w:tcW w:w="100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98%硫酸</w:t>
            </w:r>
          </w:p>
        </w:tc>
        <w:tc>
          <w:tcPr>
            <w:tcW w:w="9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1000 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/h</w:t>
            </w:r>
          </w:p>
        </w:tc>
        <w:tc>
          <w:tcPr>
            <w:tcW w:w="112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硫酸雾</w:t>
            </w:r>
          </w:p>
        </w:tc>
        <w:tc>
          <w:tcPr>
            <w:tcW w:w="114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680</w:t>
            </w:r>
          </w:p>
        </w:tc>
        <w:tc>
          <w:tcPr>
            <w:tcW w:w="106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0.68</w:t>
            </w:r>
          </w:p>
        </w:tc>
        <w:tc>
          <w:tcPr>
            <w:tcW w:w="9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0.34</w:t>
            </w:r>
          </w:p>
        </w:tc>
        <w:tc>
          <w:tcPr>
            <w:tcW w:w="106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60%</w:t>
            </w:r>
          </w:p>
        </w:tc>
        <w:tc>
          <w:tcPr>
            <w:tcW w:w="11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 xml:space="preserve">272 </w:t>
            </w:r>
          </w:p>
        </w:tc>
        <w:tc>
          <w:tcPr>
            <w:tcW w:w="1046"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0.272</w:t>
            </w:r>
          </w:p>
        </w:tc>
        <w:tc>
          <w:tcPr>
            <w:tcW w:w="174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15m高排气筒（DA003）</w:t>
            </w:r>
          </w:p>
        </w:tc>
      </w:tr>
    </w:tbl>
    <w:p>
      <w:pPr>
        <w:ind w:firstLine="480"/>
        <w:rPr>
          <w:rFonts w:ascii="Times New Roman" w:hAnsi="Times New Roman" w:cs="Times New Roman"/>
          <w:color w:val="auto"/>
        </w:rPr>
        <w:sectPr>
          <w:pgSz w:w="16838" w:h="11906" w:orient="landscape"/>
          <w:pgMar w:top="1418" w:right="1418" w:bottom="1418" w:left="1418" w:header="851" w:footer="992" w:gutter="0"/>
          <w:cols w:space="720" w:num="1"/>
          <w:docGrid w:type="linesAndChars" w:linePitch="333" w:charSpace="0"/>
        </w:sectPr>
      </w:pPr>
    </w:p>
    <w:p>
      <w:pPr>
        <w:pStyle w:val="4"/>
        <w:numPr>
          <w:ilvl w:val="2"/>
          <w:numId w:val="0"/>
        </w:numPr>
        <w:spacing w:before="166" w:beforeLines="50"/>
        <w:jc w:val="both"/>
        <w:rPr>
          <w:rFonts w:ascii="Times New Roman" w:hAnsi="Times New Roman" w:cs="Times New Roman"/>
          <w:color w:val="auto"/>
        </w:rPr>
      </w:pPr>
      <w:bookmarkStart w:id="255" w:name="_Toc104733361"/>
      <w:bookmarkStart w:id="256" w:name="_Toc102984326"/>
      <w:r>
        <w:rPr>
          <w:rFonts w:ascii="Times New Roman" w:hAnsi="Times New Roman" w:cs="Times New Roman"/>
          <w:color w:val="auto"/>
        </w:rPr>
        <w:t>3.10.2.2运营期废水污染物</w:t>
      </w:r>
      <w:bookmarkEnd w:id="255"/>
      <w:bookmarkEnd w:id="256"/>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合肥东航码头工程建设船舶生活污水、油污水接收设施及船舶生活垃圾接收设施。</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本项目营运期正常工况产生的废水主要包括：到港船舶的污水（船舶生活污水、舱底</w:t>
      </w:r>
      <w:r>
        <w:rPr>
          <w:rFonts w:hint="eastAsia" w:ascii="Times New Roman" w:hAnsi="Times New Roman" w:cs="Times New Roman"/>
          <w:color w:val="auto"/>
          <w:szCs w:val="24"/>
        </w:rPr>
        <w:t>含</w:t>
      </w:r>
      <w:r>
        <w:rPr>
          <w:rFonts w:ascii="Times New Roman" w:hAnsi="Times New Roman" w:cs="Times New Roman"/>
          <w:color w:val="auto"/>
          <w:szCs w:val="24"/>
        </w:rPr>
        <w:t xml:space="preserve">油污水）以及码头工程污水（初期雨污水、冲洗废水、储罐切水废水和生活污水）。 </w:t>
      </w:r>
    </w:p>
    <w:p>
      <w:pPr>
        <w:pStyle w:val="25"/>
        <w:spacing w:line="360" w:lineRule="auto"/>
        <w:ind w:firstLine="0" w:firstLineChars="0"/>
        <w:rPr>
          <w:rFonts w:ascii="Times New Roman" w:hAnsi="Times New Roman" w:cs="Times New Roman"/>
          <w:b/>
          <w:bCs/>
          <w:color w:val="auto"/>
        </w:rPr>
      </w:pPr>
      <w:r>
        <w:rPr>
          <w:rFonts w:ascii="Times New Roman" w:hAnsi="Times New Roman" w:cs="Times New Roman"/>
          <w:b/>
          <w:bCs/>
          <w:color w:val="auto"/>
        </w:rPr>
        <w:t>1、到港船舶污水</w:t>
      </w:r>
    </w:p>
    <w:p>
      <w:pPr>
        <w:pStyle w:val="25"/>
        <w:spacing w:line="360" w:lineRule="auto"/>
        <w:ind w:firstLine="482"/>
        <w:rPr>
          <w:rFonts w:ascii="Times New Roman" w:hAnsi="Times New Roman" w:cs="Times New Roman"/>
          <w:b/>
          <w:bCs/>
          <w:color w:val="auto"/>
          <w:szCs w:val="24"/>
        </w:rPr>
      </w:pPr>
      <w:r>
        <w:rPr>
          <w:rFonts w:ascii="Times New Roman" w:hAnsi="Times New Roman" w:cs="Times New Roman"/>
          <w:b/>
          <w:bCs/>
          <w:color w:val="auto"/>
          <w:szCs w:val="24"/>
        </w:rPr>
        <w:tab/>
      </w:r>
      <w:r>
        <w:rPr>
          <w:rFonts w:ascii="Times New Roman" w:hAnsi="Times New Roman" w:cs="Times New Roman"/>
          <w:b/>
          <w:bCs/>
          <w:color w:val="auto"/>
          <w:szCs w:val="24"/>
        </w:rPr>
        <w:t>（1）船舶生活污水</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根据《船舶水污染物排放控制标准》（GB 3552-2018），自2018年7月1日起，400总吨及以上的船舶，以及400总吨以下且经核定许可载运15人及以上的船舶，在内河水域船舶生活污水的排放控制分别按以下要求执行。</w:t>
      </w:r>
    </w:p>
    <w:p>
      <w:pPr>
        <w:pStyle w:val="25"/>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在内河和距最近陆地3海里以内（含）的海域，船舶生活污水应采用下列方式之一进行处理，不得直接排入环境水体：</w:t>
      </w:r>
    </w:p>
    <w:p>
      <w:pPr>
        <w:pStyle w:val="25"/>
        <w:spacing w:line="360" w:lineRule="auto"/>
        <w:ind w:left="240" w:right="233" w:firstLine="460"/>
        <w:rPr>
          <w:rFonts w:ascii="Times New Roman" w:hAnsi="Times New Roman" w:cs="Times New Roman"/>
          <w:color w:val="auto"/>
          <w:spacing w:val="-5"/>
        </w:rPr>
      </w:pPr>
      <w:r>
        <w:rPr>
          <w:rFonts w:ascii="Times New Roman" w:hAnsi="Times New Roman" w:cs="Times New Roman"/>
          <w:color w:val="auto"/>
          <w:spacing w:val="-5"/>
        </w:rPr>
        <w:t>a）利用船载收集装置收集，排入接收设施；</w:t>
      </w:r>
    </w:p>
    <w:p>
      <w:pPr>
        <w:pStyle w:val="25"/>
        <w:spacing w:line="360" w:lineRule="auto"/>
        <w:ind w:left="240" w:right="233" w:firstLine="460"/>
        <w:rPr>
          <w:rFonts w:ascii="Times New Roman" w:hAnsi="Times New Roman" w:cs="Times New Roman"/>
          <w:color w:val="auto"/>
          <w:spacing w:val="-5"/>
        </w:rPr>
      </w:pPr>
      <w:r>
        <w:rPr>
          <w:rFonts w:ascii="Times New Roman" w:hAnsi="Times New Roman" w:cs="Times New Roman"/>
          <w:color w:val="auto"/>
          <w:spacing w:val="-5"/>
        </w:rPr>
        <w:t>b）利用船载生活污水处理装置处理，达到5.2 规定要求后在航行中排放。</w:t>
      </w:r>
    </w:p>
    <w:p>
      <w:pPr>
        <w:pStyle w:val="25"/>
        <w:spacing w:line="360" w:lineRule="auto"/>
        <w:ind w:firstLine="460"/>
        <w:rPr>
          <w:rFonts w:ascii="Times New Roman" w:hAnsi="Times New Roman" w:cs="Times New Roman"/>
          <w:color w:val="auto"/>
          <w:spacing w:val="-5"/>
        </w:rPr>
      </w:pPr>
      <w:r>
        <w:rPr>
          <w:rFonts w:ascii="Times New Roman" w:hAnsi="Times New Roman" w:cs="Times New Roman"/>
          <w:color w:val="auto"/>
          <w:spacing w:val="-5"/>
        </w:rPr>
        <w:t>根据</w:t>
      </w:r>
      <w:r>
        <w:rPr>
          <w:rFonts w:ascii="Times New Roman" w:hAnsi="Times New Roman" w:cs="Times New Roman"/>
          <w:color w:val="auto"/>
        </w:rPr>
        <w:t>《水运工程环境保护设计规范》（JTS149-2018），按照码头预测吞吐量下的到港船舶数量进行核算，</w:t>
      </w:r>
      <w:r>
        <w:rPr>
          <w:rFonts w:ascii="Times New Roman" w:hAnsi="Times New Roman" w:cs="Times New Roman"/>
          <w:color w:val="auto"/>
          <w:spacing w:val="-5"/>
        </w:rPr>
        <w:t>本码头船舶在港期间产生的船舶生活污水，见</w:t>
      </w:r>
      <w:r>
        <w:fldChar w:fldCharType="begin"/>
      </w:r>
      <w:r>
        <w:instrText xml:space="preserve"> HYPERLINK \l "_bookmark66" </w:instrText>
      </w:r>
      <w:r>
        <w:fldChar w:fldCharType="separate"/>
      </w:r>
      <w:r>
        <w:rPr>
          <w:rFonts w:ascii="Times New Roman" w:hAnsi="Times New Roman" w:cs="Times New Roman"/>
          <w:color w:val="auto"/>
          <w:spacing w:val="-5"/>
        </w:rPr>
        <w:t>表</w:t>
      </w:r>
      <w:r>
        <w:rPr>
          <w:rFonts w:ascii="Times New Roman" w:hAnsi="Times New Roman" w:cs="Times New Roman"/>
          <w:color w:val="auto"/>
          <w:spacing w:val="-5"/>
        </w:rPr>
        <w:fldChar w:fldCharType="end"/>
      </w:r>
      <w:r>
        <w:rPr>
          <w:rFonts w:ascii="Times New Roman" w:hAnsi="Times New Roman" w:cs="Times New Roman"/>
        </w:rPr>
        <w:t>3.10-22</w:t>
      </w:r>
      <w:r>
        <w:rPr>
          <w:rFonts w:ascii="Times New Roman" w:hAnsi="Times New Roman" w:cs="Times New Roman"/>
          <w:color w:val="auto"/>
          <w:spacing w:val="-5"/>
        </w:rPr>
        <w:t>。</w:t>
      </w:r>
    </w:p>
    <w:p>
      <w:pPr>
        <w:spacing w:line="240" w:lineRule="auto"/>
        <w:ind w:firstLine="442"/>
        <w:jc w:val="center"/>
        <w:rPr>
          <w:rFonts w:ascii="Times New Roman" w:hAnsi="Times New Roman" w:cs="Times New Roman"/>
          <w:b/>
          <w:bCs/>
          <w:color w:val="auto"/>
          <w:sz w:val="22"/>
        </w:rPr>
      </w:pPr>
      <w:bookmarkStart w:id="257" w:name="_bookmark66"/>
      <w:bookmarkEnd w:id="257"/>
      <w:bookmarkStart w:id="258" w:name="_Toc102984327"/>
      <w:r>
        <w:rPr>
          <w:rFonts w:ascii="Times New Roman" w:hAnsi="Times New Roman" w:cs="Times New Roman"/>
          <w:b/>
          <w:bCs/>
          <w:color w:val="auto"/>
          <w:sz w:val="22"/>
        </w:rPr>
        <w:t>表3.10-22   到港船舶生活污水产生量</w:t>
      </w:r>
      <w:bookmarkEnd w:id="258"/>
    </w:p>
    <w:p>
      <w:pPr>
        <w:ind w:firstLine="120"/>
        <w:rPr>
          <w:rFonts w:ascii="Times New Roman" w:hAnsi="Times New Roman" w:cs="Times New Roman"/>
          <w:b/>
          <w:color w:val="auto"/>
          <w:sz w:val="6"/>
        </w:rPr>
      </w:pPr>
    </w:p>
    <w:tbl>
      <w:tblPr>
        <w:tblStyle w:val="62"/>
        <w:tblW w:w="9180"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139"/>
        <w:gridCol w:w="815"/>
        <w:gridCol w:w="976"/>
        <w:gridCol w:w="1943"/>
        <w:gridCol w:w="1152"/>
        <w:gridCol w:w="1465"/>
        <w:gridCol w:w="169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58" w:hRule="atLeast"/>
        </w:trPr>
        <w:tc>
          <w:tcPr>
            <w:tcW w:w="1954" w:type="dxa"/>
            <w:gridSpan w:val="2"/>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船舶吨级</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（t）</w:t>
            </w:r>
          </w:p>
        </w:tc>
        <w:tc>
          <w:tcPr>
            <w:tcW w:w="976"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船员数</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(人/艘)</w:t>
            </w:r>
          </w:p>
        </w:tc>
        <w:tc>
          <w:tcPr>
            <w:tcW w:w="1943"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船舶生活污水产生系数(t/d.艘)</w:t>
            </w:r>
          </w:p>
        </w:tc>
        <w:tc>
          <w:tcPr>
            <w:tcW w:w="1152"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到港艘次/年</w:t>
            </w:r>
          </w:p>
        </w:tc>
        <w:tc>
          <w:tcPr>
            <w:tcW w:w="146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停泊时间</w:t>
            </w:r>
            <w:r>
              <w:rPr>
                <w:rFonts w:hint="eastAsia" w:ascii="Times New Roman" w:hAnsi="Times New Roman" w:cs="Times New Roman"/>
                <w:b/>
                <w:bCs/>
                <w:color w:val="auto"/>
                <w:sz w:val="18"/>
                <w:szCs w:val="18"/>
              </w:rPr>
              <w:t>*</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（d）</w:t>
            </w:r>
          </w:p>
        </w:tc>
        <w:tc>
          <w:tcPr>
            <w:tcW w:w="1690"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船舶生活污水年产生量（t/a）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94" w:hRule="atLeast"/>
        </w:trPr>
        <w:tc>
          <w:tcPr>
            <w:tcW w:w="113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设计船型</w:t>
            </w:r>
          </w:p>
        </w:tc>
        <w:tc>
          <w:tcPr>
            <w:tcW w:w="81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1000</w:t>
            </w:r>
          </w:p>
        </w:tc>
        <w:tc>
          <w:tcPr>
            <w:tcW w:w="976"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6</w:t>
            </w:r>
          </w:p>
        </w:tc>
        <w:tc>
          <w:tcPr>
            <w:tcW w:w="194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0.48</w:t>
            </w:r>
          </w:p>
        </w:tc>
        <w:tc>
          <w:tcPr>
            <w:tcW w:w="115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3000</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0.5</w:t>
            </w:r>
          </w:p>
        </w:tc>
        <w:tc>
          <w:tcPr>
            <w:tcW w:w="169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720</w:t>
            </w:r>
          </w:p>
        </w:tc>
      </w:tr>
    </w:tbl>
    <w:p>
      <w:pPr>
        <w:ind w:firstLine="361"/>
        <w:rPr>
          <w:rFonts w:ascii="Times New Roman" w:hAnsi="Times New Roman" w:cs="Times New Roman"/>
          <w:b/>
          <w:bCs/>
          <w:color w:val="auto"/>
          <w:sz w:val="18"/>
          <w:szCs w:val="18"/>
        </w:rPr>
      </w:pPr>
      <w:r>
        <w:rPr>
          <w:rFonts w:hint="eastAsia" w:ascii="Times New Roman" w:hAnsi="Times New Roman" w:cs="Times New Roman"/>
          <w:b/>
          <w:bCs/>
          <w:color w:val="auto"/>
          <w:sz w:val="18"/>
          <w:szCs w:val="18"/>
        </w:rPr>
        <w:t>注：停泊时间考虑靠泊、等待及装卸，按1</w:t>
      </w:r>
      <w:r>
        <w:rPr>
          <w:rFonts w:ascii="Times New Roman" w:hAnsi="Times New Roman" w:cs="Times New Roman"/>
          <w:b/>
          <w:bCs/>
          <w:color w:val="auto"/>
          <w:sz w:val="18"/>
          <w:szCs w:val="18"/>
        </w:rPr>
        <w:t>2</w:t>
      </w:r>
      <w:r>
        <w:rPr>
          <w:rFonts w:hint="eastAsia" w:ascii="Times New Roman" w:hAnsi="Times New Roman" w:cs="Times New Roman"/>
          <w:b/>
          <w:bCs/>
          <w:color w:val="auto"/>
          <w:sz w:val="18"/>
          <w:szCs w:val="18"/>
        </w:rPr>
        <w:t>h</w:t>
      </w:r>
      <w:r>
        <w:rPr>
          <w:rFonts w:ascii="Times New Roman" w:hAnsi="Times New Roman" w:cs="Times New Roman"/>
          <w:b/>
          <w:bCs/>
          <w:color w:val="auto"/>
          <w:sz w:val="18"/>
          <w:szCs w:val="18"/>
        </w:rPr>
        <w:t>/艘次</w:t>
      </w:r>
      <w:r>
        <w:rPr>
          <w:rFonts w:hint="eastAsia" w:ascii="Times New Roman" w:hAnsi="Times New Roman" w:cs="Times New Roman"/>
          <w:b/>
          <w:bCs/>
          <w:color w:val="auto"/>
          <w:sz w:val="18"/>
          <w:szCs w:val="18"/>
        </w:rPr>
        <w:t>计。</w:t>
      </w:r>
    </w:p>
    <w:p>
      <w:pPr>
        <w:ind w:firstLine="482"/>
        <w:rPr>
          <w:rFonts w:ascii="Times New Roman" w:hAnsi="Times New Roman" w:cs="Times New Roman"/>
          <w:b/>
          <w:bCs/>
          <w:color w:val="auto"/>
        </w:rPr>
      </w:pPr>
      <w:r>
        <w:rPr>
          <w:rFonts w:ascii="Times New Roman" w:hAnsi="Times New Roman" w:cs="Times New Roman"/>
          <w:b/>
          <w:bCs/>
          <w:color w:val="auto"/>
        </w:rPr>
        <w:t>（2）船舶舱底油污水</w:t>
      </w:r>
    </w:p>
    <w:p>
      <w:pPr>
        <w:ind w:firstLine="480"/>
        <w:rPr>
          <w:rFonts w:ascii="Times New Roman" w:hAnsi="Times New Roman" w:cs="Times New Roman"/>
          <w:color w:val="auto"/>
          <w:szCs w:val="24"/>
        </w:rPr>
      </w:pPr>
      <w:r>
        <w:rPr>
          <w:rFonts w:ascii="Times New Roman" w:hAnsi="Times New Roman" w:cs="Times New Roman"/>
          <w:color w:val="auto"/>
          <w:szCs w:val="24"/>
        </w:rPr>
        <w:t>主要是机舱内各闸阀和管路中漏出的水与机器在运转时漏出的润滑油，主辅机燃料油，加油时的溢出油，机械及机舱板洗刷时产生的油污水。</w:t>
      </w:r>
    </w:p>
    <w:p>
      <w:pPr>
        <w:ind w:firstLine="460"/>
        <w:rPr>
          <w:rFonts w:ascii="Times New Roman" w:hAnsi="Times New Roman" w:cs="Times New Roman"/>
          <w:color w:val="auto"/>
          <w:szCs w:val="24"/>
        </w:rPr>
      </w:pPr>
      <w:r>
        <w:rPr>
          <w:rFonts w:ascii="Times New Roman" w:hAnsi="Times New Roman" w:cs="Times New Roman"/>
          <w:color w:val="auto"/>
          <w:spacing w:val="-5"/>
          <w:szCs w:val="24"/>
        </w:rPr>
        <w:t>根据</w:t>
      </w:r>
      <w:r>
        <w:rPr>
          <w:rFonts w:ascii="Times New Roman" w:hAnsi="Times New Roman" w:cs="Times New Roman"/>
          <w:color w:val="auto"/>
          <w:szCs w:val="24"/>
        </w:rPr>
        <w:t>《水运工程环境保护设计规范》（JTS149-2018），1000t级船舶的舱底油污水产生量约0.27 t/d·艘，石油类浓度一般在5000mg/L，COD在1000mg/L左右</w:t>
      </w:r>
      <w:r>
        <w:rPr>
          <w:rFonts w:ascii="Times New Roman" w:hAnsi="Times New Roman" w:cs="Times New Roman"/>
          <w:color w:val="auto"/>
          <w:sz w:val="18"/>
          <w:szCs w:val="18"/>
        </w:rPr>
        <w:t>；</w:t>
      </w:r>
      <w:r>
        <w:rPr>
          <w:rFonts w:ascii="Times New Roman" w:hAnsi="Times New Roman" w:cs="Times New Roman"/>
          <w:color w:val="auto"/>
        </w:rPr>
        <w:t>按照码头预测吞吐量下的到港船舶数量进行核算，</w:t>
      </w:r>
      <w:r>
        <w:rPr>
          <w:rFonts w:ascii="Times New Roman" w:hAnsi="Times New Roman" w:cs="Times New Roman"/>
          <w:color w:val="auto"/>
          <w:spacing w:val="-5"/>
        </w:rPr>
        <w:t>本码头船舶在港期间产生的船舶油污水，见</w:t>
      </w:r>
      <w:r>
        <w:fldChar w:fldCharType="begin"/>
      </w:r>
      <w:r>
        <w:instrText xml:space="preserve"> HYPERLINK \l "_bookmark66" </w:instrText>
      </w:r>
      <w:r>
        <w:fldChar w:fldCharType="separate"/>
      </w:r>
      <w:r>
        <w:rPr>
          <w:rFonts w:ascii="Times New Roman" w:hAnsi="Times New Roman" w:cs="Times New Roman"/>
          <w:color w:val="auto"/>
          <w:spacing w:val="-5"/>
        </w:rPr>
        <w:t>表</w:t>
      </w:r>
      <w:r>
        <w:rPr>
          <w:rFonts w:ascii="Times New Roman" w:hAnsi="Times New Roman" w:cs="Times New Roman"/>
          <w:color w:val="auto"/>
          <w:spacing w:val="-5"/>
        </w:rPr>
        <w:fldChar w:fldCharType="end"/>
      </w:r>
      <w:r>
        <w:fldChar w:fldCharType="begin"/>
      </w:r>
      <w:r>
        <w:instrText xml:space="preserve"> HYPERLINK \l "_bookmark66" </w:instrText>
      </w:r>
      <w:r>
        <w:fldChar w:fldCharType="separate"/>
      </w:r>
      <w:r>
        <w:rPr>
          <w:rFonts w:ascii="Times New Roman" w:hAnsi="Times New Roman" w:cs="Times New Roman"/>
          <w:color w:val="auto"/>
          <w:spacing w:val="-5"/>
        </w:rPr>
        <w:t>3.10-23</w:t>
      </w:r>
      <w:r>
        <w:rPr>
          <w:rFonts w:ascii="Times New Roman" w:hAnsi="Times New Roman" w:cs="Times New Roman"/>
          <w:color w:val="auto"/>
          <w:spacing w:val="-5"/>
        </w:rPr>
        <w:fldChar w:fldCharType="end"/>
      </w:r>
      <w:r>
        <w:rPr>
          <w:rFonts w:ascii="Times New Roman" w:hAnsi="Times New Roman" w:cs="Times New Roman"/>
          <w:color w:val="auto"/>
          <w:spacing w:val="-5"/>
        </w:rPr>
        <w:t>。</w:t>
      </w:r>
    </w:p>
    <w:p>
      <w:pPr>
        <w:spacing w:line="240" w:lineRule="auto"/>
        <w:ind w:firstLine="442"/>
        <w:jc w:val="center"/>
        <w:rPr>
          <w:rFonts w:ascii="Times New Roman" w:hAnsi="Times New Roman" w:cs="Times New Roman"/>
          <w:b/>
          <w:bCs/>
          <w:color w:val="auto"/>
          <w:sz w:val="22"/>
        </w:rPr>
      </w:pPr>
      <w:bookmarkStart w:id="259" w:name="_Toc102984328"/>
      <w:r>
        <w:rPr>
          <w:rFonts w:ascii="Times New Roman" w:hAnsi="Times New Roman" w:cs="Times New Roman"/>
          <w:b/>
          <w:bCs/>
          <w:color w:val="auto"/>
          <w:sz w:val="22"/>
        </w:rPr>
        <w:t>表3.10-23     本码头到港船舶舱底油污水产生量</w:t>
      </w:r>
      <w:bookmarkEnd w:id="259"/>
    </w:p>
    <w:tbl>
      <w:tblPr>
        <w:tblStyle w:val="62"/>
        <w:tblW w:w="9307"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102"/>
        <w:gridCol w:w="782"/>
        <w:gridCol w:w="2464"/>
        <w:gridCol w:w="1147"/>
        <w:gridCol w:w="1628"/>
        <w:gridCol w:w="218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209" w:hRule="atLeast"/>
        </w:trPr>
        <w:tc>
          <w:tcPr>
            <w:tcW w:w="1884" w:type="dxa"/>
            <w:gridSpan w:val="2"/>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船舶吨级</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（t）</w:t>
            </w:r>
          </w:p>
        </w:tc>
        <w:tc>
          <w:tcPr>
            <w:tcW w:w="246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船舶油污水产生系数(t/d·艘)</w:t>
            </w:r>
          </w:p>
        </w:tc>
        <w:tc>
          <w:tcPr>
            <w:tcW w:w="1147"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到港艘次/年</w:t>
            </w:r>
          </w:p>
        </w:tc>
        <w:tc>
          <w:tcPr>
            <w:tcW w:w="1628"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单船停泊时间</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（d）</w:t>
            </w:r>
          </w:p>
        </w:tc>
        <w:tc>
          <w:tcPr>
            <w:tcW w:w="218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船舶油污水产生量（t/a）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24" w:hRule="atLeast"/>
        </w:trPr>
        <w:tc>
          <w:tcPr>
            <w:tcW w:w="110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设计船型</w:t>
            </w:r>
          </w:p>
        </w:tc>
        <w:tc>
          <w:tcPr>
            <w:tcW w:w="78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1000</w:t>
            </w:r>
          </w:p>
        </w:tc>
        <w:tc>
          <w:tcPr>
            <w:tcW w:w="246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0.27</w:t>
            </w:r>
          </w:p>
        </w:tc>
        <w:tc>
          <w:tcPr>
            <w:tcW w:w="114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3000</w:t>
            </w:r>
          </w:p>
        </w:tc>
        <w:tc>
          <w:tcPr>
            <w:tcW w:w="162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0.5</w:t>
            </w:r>
          </w:p>
        </w:tc>
        <w:tc>
          <w:tcPr>
            <w:tcW w:w="218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405</w:t>
            </w:r>
          </w:p>
        </w:tc>
      </w:tr>
    </w:tbl>
    <w:p>
      <w:pPr>
        <w:ind w:firstLine="480"/>
        <w:rPr>
          <w:rFonts w:ascii="Times New Roman" w:hAnsi="Times New Roman" w:cs="Times New Roman"/>
          <w:color w:val="auto"/>
          <w:szCs w:val="24"/>
        </w:rPr>
      </w:pPr>
      <w:r>
        <w:rPr>
          <w:rFonts w:ascii="Times New Roman" w:hAnsi="Times New Roman" w:cs="Times New Roman"/>
          <w:color w:val="auto"/>
          <w:szCs w:val="24"/>
        </w:rPr>
        <w:t>根据《船舶污染物排放控制标准》（GB 3552-2018），内河水域2021年1月1日之前建造的船舶，自2018年7月1日起，按本标准4.2执行或收集并排入接收设施。2021年1月1日及以后建造的船舶收集并排入接收设施。</w:t>
      </w:r>
    </w:p>
    <w:p>
      <w:pPr>
        <w:ind w:firstLine="480"/>
        <w:rPr>
          <w:rFonts w:ascii="Times New Roman" w:hAnsi="Times New Roman" w:cs="Times New Roman"/>
          <w:color w:val="auto"/>
        </w:rPr>
      </w:pPr>
      <w:r>
        <w:rPr>
          <w:rFonts w:ascii="Times New Roman" w:hAnsi="Times New Roman" w:cs="Times New Roman"/>
          <w:color w:val="auto"/>
        </w:rPr>
        <w:t>本码头船舶生活污水及油污水经码头建设的接收设施收集后，经码头后方陆域建设封闭式含油污水处理装置处理后，接管排入合肥循环经济示范园污水处理厂处理。</w:t>
      </w:r>
    </w:p>
    <w:p>
      <w:pPr>
        <w:ind w:firstLine="482"/>
        <w:rPr>
          <w:rFonts w:ascii="Times New Roman" w:hAnsi="Times New Roman" w:cs="Times New Roman"/>
          <w:b/>
          <w:bCs/>
          <w:color w:val="auto"/>
        </w:rPr>
      </w:pPr>
      <w:r>
        <w:rPr>
          <w:rFonts w:ascii="Times New Roman" w:hAnsi="Times New Roman" w:cs="Times New Roman"/>
          <w:b/>
          <w:bCs/>
          <w:color w:val="auto"/>
        </w:rPr>
        <w:t>（3）船舶压舱水及洗舱废水</w:t>
      </w:r>
    </w:p>
    <w:p>
      <w:pPr>
        <w:ind w:firstLine="480"/>
        <w:rPr>
          <w:rFonts w:ascii="Times New Roman" w:hAnsi="Times New Roman" w:cs="Times New Roman"/>
          <w:color w:val="auto"/>
        </w:rPr>
      </w:pPr>
      <w:r>
        <w:rPr>
          <w:rFonts w:ascii="Times New Roman" w:hAnsi="Times New Roman" w:cs="Times New Roman"/>
          <w:color w:val="auto"/>
        </w:rPr>
        <w:t>压载水一般来自船舶的始发港或途经的沿岸水域，装载的压载水量依船型、载货情况、航线、港口条件和海况有较大的变化范围。正常航行条件下，压载水并非满舱压载，仅在空载、航行条件较差时有可能满舱压载。</w:t>
      </w:r>
    </w:p>
    <w:p>
      <w:pPr>
        <w:ind w:firstLine="480"/>
        <w:rPr>
          <w:rFonts w:ascii="Times New Roman" w:hAnsi="Times New Roman" w:cs="Times New Roman"/>
          <w:color w:val="auto"/>
        </w:rPr>
      </w:pPr>
      <w:r>
        <w:rPr>
          <w:rFonts w:ascii="Times New Roman" w:hAnsi="Times New Roman" w:cs="Times New Roman"/>
          <w:color w:val="auto"/>
        </w:rPr>
        <w:t>满载到港内河化学品船往往不涉及船舶压载水的排放。但为保证船舶航行安全、充分考虑船舶平衡稳定条件下，即使满载航行，也适当装载少量压载水。在特殊航行条件、过驳作业、到港装卸时，通过调节各压载舱内水量，实现船舶配载平衡，但由于各压载舱之间相互连通，仍然不会涉及压载水排放。</w:t>
      </w:r>
    </w:p>
    <w:p>
      <w:pPr>
        <w:ind w:firstLine="480"/>
        <w:rPr>
          <w:rFonts w:ascii="Times New Roman" w:hAnsi="Times New Roman" w:cs="Times New Roman"/>
          <w:color w:val="auto"/>
        </w:rPr>
      </w:pPr>
      <w:r>
        <w:rPr>
          <w:rFonts w:ascii="Times New Roman" w:hAnsi="Times New Roman" w:cs="Times New Roman"/>
          <w:color w:val="auto"/>
        </w:rPr>
        <w:t>根据工程设计资料，本次评价不考虑船舶压载水上岸处理。</w:t>
      </w:r>
    </w:p>
    <w:p>
      <w:pPr>
        <w:ind w:firstLine="480"/>
        <w:rPr>
          <w:rFonts w:ascii="Times New Roman" w:hAnsi="Times New Roman" w:cs="Times New Roman"/>
          <w:color w:val="auto"/>
        </w:rPr>
      </w:pPr>
      <w:r>
        <w:rPr>
          <w:rFonts w:ascii="Times New Roman" w:hAnsi="Times New Roman" w:cs="Times New Roman"/>
          <w:color w:val="auto"/>
        </w:rPr>
        <w:t>根据工程设计资料，本码头拒绝需要洗舱的船舶进港（进港申报时应明确无需在港口洗舱，如果经海事检验需要洗舱的船舶应请其离港洗好舱达要求后才能进港装货）。</w:t>
      </w:r>
    </w:p>
    <w:p>
      <w:pPr>
        <w:ind w:firstLine="522"/>
        <w:rPr>
          <w:rFonts w:ascii="Times New Roman" w:hAnsi="Times New Roman" w:cs="Times New Roman"/>
          <w:b/>
          <w:color w:val="auto"/>
        </w:rPr>
      </w:pPr>
      <w:r>
        <w:rPr>
          <w:rFonts w:ascii="Times New Roman" w:hAnsi="Times New Roman" w:cs="Times New Roman"/>
          <w:b/>
          <w:color w:val="auto"/>
          <w:sz w:val="26"/>
        </w:rPr>
        <w:t>2、</w:t>
      </w:r>
      <w:r>
        <w:rPr>
          <w:rFonts w:ascii="Times New Roman" w:hAnsi="Times New Roman" w:cs="Times New Roman"/>
          <w:b/>
          <w:color w:val="auto"/>
        </w:rPr>
        <w:t>本码头工程污水</w:t>
      </w:r>
    </w:p>
    <w:p>
      <w:pPr>
        <w:ind w:firstLine="480"/>
        <w:rPr>
          <w:rFonts w:ascii="Times New Roman" w:hAnsi="Times New Roman" w:cs="Times New Roman"/>
          <w:color w:val="auto"/>
        </w:rPr>
      </w:pPr>
      <w:r>
        <w:rPr>
          <w:rFonts w:ascii="Times New Roman" w:hAnsi="Times New Roman" w:cs="Times New Roman"/>
          <w:color w:val="auto"/>
        </w:rPr>
        <w:t>本码头工程污水主要包括码头工作人员生活污水，码头、罐区及装车区冲洗废水以及初期雨污水。</w:t>
      </w:r>
    </w:p>
    <w:p>
      <w:pPr>
        <w:ind w:firstLine="482"/>
        <w:rPr>
          <w:rFonts w:ascii="Times New Roman" w:hAnsi="Times New Roman" w:cs="Times New Roman"/>
          <w:b/>
          <w:bCs/>
          <w:color w:val="auto"/>
        </w:rPr>
      </w:pPr>
      <w:r>
        <w:rPr>
          <w:rFonts w:ascii="Times New Roman" w:hAnsi="Times New Roman" w:cs="Times New Roman"/>
          <w:b/>
          <w:bCs/>
          <w:color w:val="auto"/>
        </w:rPr>
        <w:t>（1）码头员工生活污水</w:t>
      </w:r>
    </w:p>
    <w:p>
      <w:pPr>
        <w:ind w:firstLine="480"/>
        <w:rPr>
          <w:rFonts w:ascii="Times New Roman" w:hAnsi="Times New Roman" w:cs="Times New Roman"/>
          <w:color w:val="auto"/>
        </w:rPr>
      </w:pPr>
      <w:r>
        <w:rPr>
          <w:rFonts w:ascii="Times New Roman" w:hAnsi="Times New Roman" w:cs="Times New Roman"/>
          <w:color w:val="auto"/>
        </w:rPr>
        <w:t>码头生活用水点包括发油管理室、综合楼及化验室等建筑内设有的卫生间，港区定员暂定80人，其生活用水按120L/人·次（含食堂及洗浴用水）。港区员工生活水量为9.6m</w:t>
      </w:r>
      <w:r>
        <w:rPr>
          <w:rFonts w:ascii="Times New Roman" w:hAnsi="Times New Roman" w:cs="Times New Roman"/>
          <w:color w:val="auto"/>
          <w:vertAlign w:val="superscript"/>
        </w:rPr>
        <w:t>3</w:t>
      </w:r>
      <w:r>
        <w:rPr>
          <w:rFonts w:ascii="Times New Roman" w:hAnsi="Times New Roman" w:cs="Times New Roman"/>
          <w:color w:val="auto"/>
        </w:rPr>
        <w:t>/d。</w:t>
      </w:r>
    </w:p>
    <w:p>
      <w:pPr>
        <w:ind w:firstLine="480"/>
        <w:rPr>
          <w:rFonts w:ascii="Times New Roman" w:hAnsi="Times New Roman" w:cs="Times New Roman"/>
          <w:color w:val="auto"/>
        </w:rPr>
      </w:pPr>
      <w:r>
        <w:rPr>
          <w:rFonts w:ascii="Times New Roman" w:hAnsi="Times New Roman" w:cs="Times New Roman"/>
          <w:color w:val="auto"/>
        </w:rPr>
        <w:t>生活污水量按用水量的85%计算，本工程生活污水量为8.16m</w:t>
      </w:r>
      <w:r>
        <w:rPr>
          <w:rFonts w:ascii="Times New Roman" w:hAnsi="Times New Roman" w:cs="Times New Roman"/>
          <w:color w:val="auto"/>
          <w:vertAlign w:val="superscript"/>
        </w:rPr>
        <w:t>3</w:t>
      </w:r>
      <w:r>
        <w:rPr>
          <w:rFonts w:ascii="Times New Roman" w:hAnsi="Times New Roman" w:cs="Times New Roman"/>
          <w:color w:val="auto"/>
        </w:rPr>
        <w:t>/d（2692m</w:t>
      </w:r>
      <w:r>
        <w:rPr>
          <w:rFonts w:ascii="Times New Roman" w:hAnsi="Times New Roman" w:cs="Times New Roman"/>
          <w:color w:val="auto"/>
          <w:vertAlign w:val="superscript"/>
        </w:rPr>
        <w:t>3</w:t>
      </w:r>
      <w:r>
        <w:rPr>
          <w:rFonts w:ascii="Times New Roman" w:hAnsi="Times New Roman" w:cs="Times New Roman"/>
          <w:color w:val="auto"/>
        </w:rPr>
        <w:t>/a）。生活污水中 COD、</w:t>
      </w:r>
      <w:r>
        <w:rPr>
          <w:rFonts w:hint="eastAsia" w:ascii="Times New Roman" w:hAnsi="Times New Roman" w:cs="Times New Roman"/>
          <w:color w:val="auto"/>
        </w:rPr>
        <w:t>B</w:t>
      </w:r>
      <w:r>
        <w:rPr>
          <w:rFonts w:ascii="Times New Roman" w:hAnsi="Times New Roman" w:cs="Times New Roman"/>
          <w:color w:val="auto"/>
        </w:rPr>
        <w:t>OD</w:t>
      </w:r>
      <w:r>
        <w:rPr>
          <w:rFonts w:ascii="Times New Roman" w:hAnsi="Times New Roman" w:cs="Times New Roman"/>
          <w:color w:val="auto"/>
          <w:vertAlign w:val="subscript"/>
        </w:rPr>
        <w:t>5</w:t>
      </w:r>
      <w:r>
        <w:rPr>
          <w:rFonts w:hint="eastAsia" w:ascii="Times New Roman" w:hAnsi="Times New Roman" w:cs="Times New Roman"/>
          <w:color w:val="auto"/>
        </w:rPr>
        <w:t>、</w:t>
      </w:r>
      <w:r>
        <w:rPr>
          <w:rFonts w:ascii="Times New Roman" w:hAnsi="Times New Roman" w:cs="Times New Roman"/>
          <w:color w:val="auto"/>
        </w:rPr>
        <w:t>氨氮、动植物油浓度分别按 400mg/L、200mg/L</w:t>
      </w:r>
      <w:r>
        <w:rPr>
          <w:rFonts w:hint="eastAsia" w:ascii="Times New Roman" w:hAnsi="Times New Roman" w:cs="Times New Roman"/>
          <w:color w:val="auto"/>
        </w:rPr>
        <w:t>、</w:t>
      </w:r>
      <w:r>
        <w:rPr>
          <w:rFonts w:ascii="Times New Roman" w:hAnsi="Times New Roman" w:cs="Times New Roman"/>
          <w:color w:val="auto"/>
        </w:rPr>
        <w:t>30mg/L、100mg/L计，主要污染物 COD、氨氮、动植物油产生量分别约为1.08t/a、</w:t>
      </w:r>
      <w:r>
        <w:rPr>
          <w:rFonts w:hint="eastAsia" w:ascii="Times New Roman" w:hAnsi="Times New Roman" w:cs="Times New Roman"/>
          <w:color w:val="auto"/>
        </w:rPr>
        <w:t>0</w:t>
      </w:r>
      <w:r>
        <w:rPr>
          <w:rFonts w:ascii="Times New Roman" w:hAnsi="Times New Roman" w:cs="Times New Roman"/>
          <w:color w:val="auto"/>
        </w:rPr>
        <w:t>.54t/a、0.081t/a，0.27t/a。</w:t>
      </w:r>
    </w:p>
    <w:p>
      <w:pPr>
        <w:ind w:firstLine="480"/>
        <w:rPr>
          <w:rFonts w:ascii="Times New Roman" w:hAnsi="Times New Roman" w:cs="Times New Roman"/>
          <w:color w:val="auto"/>
        </w:rPr>
      </w:pPr>
      <w:r>
        <w:rPr>
          <w:rFonts w:ascii="Times New Roman" w:hAnsi="Times New Roman" w:cs="Times New Roman"/>
          <w:color w:val="auto"/>
        </w:rPr>
        <w:t>港区生活污水经隔油池及化粪池预处理后COD、</w:t>
      </w:r>
      <w:r>
        <w:rPr>
          <w:rFonts w:hint="eastAsia" w:ascii="Times New Roman" w:hAnsi="Times New Roman" w:cs="Times New Roman"/>
          <w:color w:val="auto"/>
        </w:rPr>
        <w:t>B</w:t>
      </w:r>
      <w:r>
        <w:rPr>
          <w:rFonts w:ascii="Times New Roman" w:hAnsi="Times New Roman" w:cs="Times New Roman"/>
          <w:color w:val="auto"/>
        </w:rPr>
        <w:t>OD</w:t>
      </w:r>
      <w:r>
        <w:rPr>
          <w:rFonts w:ascii="Times New Roman" w:hAnsi="Times New Roman" w:cs="Times New Roman"/>
          <w:color w:val="auto"/>
          <w:vertAlign w:val="subscript"/>
        </w:rPr>
        <w:t>5</w:t>
      </w:r>
      <w:r>
        <w:rPr>
          <w:rFonts w:hint="eastAsia" w:ascii="Times New Roman" w:hAnsi="Times New Roman" w:cs="Times New Roman"/>
          <w:color w:val="auto"/>
        </w:rPr>
        <w:t>、</w:t>
      </w:r>
      <w:r>
        <w:rPr>
          <w:rFonts w:ascii="Times New Roman" w:hAnsi="Times New Roman" w:cs="Times New Roman"/>
          <w:color w:val="auto"/>
        </w:rPr>
        <w:t>氨氮、动植物油的排放浓度分别为350mg/L、150mg/L、25mg/L、10mg/L计，主要污染物 COD、氨氮、动植物油产生量分别约为0.84t/a、</w:t>
      </w:r>
      <w:r>
        <w:rPr>
          <w:rFonts w:hint="eastAsia" w:ascii="Times New Roman" w:hAnsi="Times New Roman" w:cs="Times New Roman"/>
          <w:color w:val="auto"/>
        </w:rPr>
        <w:t>0</w:t>
      </w:r>
      <w:r>
        <w:rPr>
          <w:rFonts w:ascii="Times New Roman" w:hAnsi="Times New Roman" w:cs="Times New Roman"/>
          <w:color w:val="auto"/>
        </w:rPr>
        <w:t xml:space="preserve">.4 t/a </w:t>
      </w:r>
      <w:r>
        <w:rPr>
          <w:rFonts w:hint="eastAsia" w:ascii="Times New Roman" w:hAnsi="Times New Roman" w:cs="Times New Roman"/>
          <w:color w:val="auto"/>
        </w:rPr>
        <w:t>、</w:t>
      </w:r>
      <w:r>
        <w:rPr>
          <w:rFonts w:ascii="Times New Roman" w:hAnsi="Times New Roman" w:cs="Times New Roman"/>
          <w:color w:val="auto"/>
        </w:rPr>
        <w:t>0.067t/a，0.027t/a。</w:t>
      </w:r>
    </w:p>
    <w:p>
      <w:pPr>
        <w:ind w:firstLine="480"/>
        <w:rPr>
          <w:rFonts w:ascii="Times New Roman" w:hAnsi="Times New Roman" w:cs="Times New Roman"/>
          <w:color w:val="auto"/>
        </w:rPr>
      </w:pPr>
      <w:r>
        <w:rPr>
          <w:rFonts w:ascii="Times New Roman" w:hAnsi="Times New Roman" w:cs="Times New Roman"/>
          <w:color w:val="auto"/>
        </w:rPr>
        <w:t>港区产生的生活污水收集经隔油池及化粪池预处理后排入生活污水管网后排入排入合肥循环经济示范园污水处理厂统一处理。</w:t>
      </w:r>
    </w:p>
    <w:p>
      <w:pPr>
        <w:ind w:firstLine="482"/>
        <w:rPr>
          <w:rFonts w:ascii="Times New Roman" w:hAnsi="Times New Roman" w:cs="Times New Roman"/>
          <w:b/>
          <w:bCs/>
          <w:color w:val="auto"/>
        </w:rPr>
      </w:pPr>
      <w:r>
        <w:rPr>
          <w:rFonts w:ascii="Times New Roman" w:hAnsi="Times New Roman" w:cs="Times New Roman"/>
          <w:b/>
          <w:bCs/>
          <w:color w:val="auto"/>
        </w:rPr>
        <w:t>（2）码头装卸区冲洗废水</w:t>
      </w:r>
    </w:p>
    <w:p>
      <w:pPr>
        <w:ind w:firstLine="480"/>
        <w:rPr>
          <w:rFonts w:ascii="Times New Roman" w:hAnsi="Times New Roman" w:cs="Times New Roman"/>
          <w:color w:val="auto"/>
        </w:rPr>
      </w:pPr>
      <w:r>
        <w:rPr>
          <w:rFonts w:ascii="Times New Roman" w:hAnsi="Times New Roman" w:cs="Times New Roman"/>
          <w:color w:val="auto"/>
        </w:rPr>
        <w:t>码头在装卸过程中码头平台及装车区地面可能洒落有少量油品及化学品，在非雨季需定期对码头平台及装车区进行冲洗，按照《水运工程环境保护设计规范》（JTS149-2018），冲洗水量取为4L/m</w:t>
      </w:r>
      <w:r>
        <w:rPr>
          <w:rFonts w:ascii="Times New Roman" w:hAnsi="Times New Roman" w:cs="Times New Roman"/>
          <w:color w:val="auto"/>
          <w:vertAlign w:val="superscript"/>
        </w:rPr>
        <w:t>2</w:t>
      </w:r>
      <w:r>
        <w:rPr>
          <w:rFonts w:ascii="Times New Roman" w:hAnsi="Times New Roman" w:cs="Times New Roman"/>
          <w:color w:val="auto"/>
        </w:rPr>
        <w:t>·次。</w:t>
      </w:r>
    </w:p>
    <w:p>
      <w:pPr>
        <w:ind w:firstLine="480"/>
        <w:rPr>
          <w:rFonts w:ascii="Times New Roman" w:hAnsi="Times New Roman" w:cs="Times New Roman"/>
          <w:color w:val="auto"/>
        </w:rPr>
      </w:pPr>
      <w:r>
        <w:rPr>
          <w:rFonts w:ascii="Times New Roman" w:hAnsi="Times New Roman" w:cs="Times New Roman"/>
          <w:color w:val="auto"/>
        </w:rPr>
        <w:t>本项目码头工作平台面积为16000m</w:t>
      </w:r>
      <w:r>
        <w:rPr>
          <w:rFonts w:ascii="Times New Roman" w:hAnsi="Times New Roman" w:cs="Times New Roman"/>
          <w:color w:val="auto"/>
          <w:vertAlign w:val="superscript"/>
        </w:rPr>
        <w:t>2</w:t>
      </w:r>
      <w:r>
        <w:rPr>
          <w:rFonts w:ascii="Times New Roman" w:hAnsi="Times New Roman" w:cs="Times New Roman"/>
          <w:color w:val="auto"/>
        </w:rPr>
        <w:t>，则码头面冲洗水用量为64m</w:t>
      </w:r>
      <w:r>
        <w:rPr>
          <w:rFonts w:ascii="Times New Roman" w:hAnsi="Times New Roman" w:cs="Times New Roman"/>
          <w:color w:val="auto"/>
          <w:vertAlign w:val="superscript"/>
        </w:rPr>
        <w:t>3</w:t>
      </w:r>
      <w:r>
        <w:rPr>
          <w:rFonts w:ascii="Times New Roman" w:hAnsi="Times New Roman" w:cs="Times New Roman"/>
          <w:color w:val="auto"/>
        </w:rPr>
        <w:t>/次。装卸车区面积约15000m</w:t>
      </w:r>
      <w:r>
        <w:rPr>
          <w:rFonts w:ascii="Times New Roman" w:hAnsi="Times New Roman" w:cs="Times New Roman"/>
          <w:color w:val="auto"/>
          <w:vertAlign w:val="superscript"/>
        </w:rPr>
        <w:t>2</w:t>
      </w:r>
      <w:r>
        <w:rPr>
          <w:rFonts w:ascii="Times New Roman" w:hAnsi="Times New Roman" w:cs="Times New Roman"/>
          <w:color w:val="auto"/>
        </w:rPr>
        <w:t>，则装卸车区冲洗水用量为60m</w:t>
      </w:r>
      <w:r>
        <w:rPr>
          <w:rFonts w:ascii="Times New Roman" w:hAnsi="Times New Roman" w:cs="Times New Roman"/>
          <w:color w:val="auto"/>
          <w:vertAlign w:val="superscript"/>
        </w:rPr>
        <w:t>3</w:t>
      </w:r>
      <w:r>
        <w:rPr>
          <w:rFonts w:ascii="Times New Roman" w:hAnsi="Times New Roman" w:cs="Times New Roman"/>
          <w:color w:val="auto"/>
        </w:rPr>
        <w:t>/次。</w:t>
      </w:r>
    </w:p>
    <w:p>
      <w:pPr>
        <w:ind w:firstLine="480"/>
        <w:rPr>
          <w:rFonts w:ascii="Times New Roman" w:hAnsi="Times New Roman" w:cs="Times New Roman"/>
          <w:color w:val="auto"/>
          <w:szCs w:val="24"/>
        </w:rPr>
      </w:pPr>
      <w:r>
        <w:rPr>
          <w:rFonts w:ascii="Times New Roman" w:hAnsi="Times New Roman" w:cs="Times New Roman"/>
          <w:color w:val="auto"/>
        </w:rPr>
        <w:t>本码头年作业天数350天，年冲洗天数按100天，每天一次计，用水量约为12400t/a，废水量按用水量的90%计算，则废水产生量为11160m</w:t>
      </w:r>
      <w:r>
        <w:rPr>
          <w:rFonts w:ascii="Times New Roman" w:hAnsi="Times New Roman" w:cs="Times New Roman"/>
          <w:color w:val="auto"/>
          <w:vertAlign w:val="superscript"/>
        </w:rPr>
        <w:t>3</w:t>
      </w:r>
      <w:r>
        <w:rPr>
          <w:rFonts w:ascii="Times New Roman" w:hAnsi="Times New Roman" w:cs="Times New Roman"/>
          <w:color w:val="auto"/>
        </w:rPr>
        <w:t>/a（折33.82m</w:t>
      </w:r>
      <w:r>
        <w:rPr>
          <w:rFonts w:ascii="Times New Roman" w:hAnsi="Times New Roman" w:cs="Times New Roman"/>
          <w:color w:val="auto"/>
          <w:vertAlign w:val="superscript"/>
        </w:rPr>
        <w:t>3</w:t>
      </w:r>
      <w:r>
        <w:rPr>
          <w:rFonts w:ascii="Times New Roman" w:hAnsi="Times New Roman" w:cs="Times New Roman"/>
          <w:color w:val="auto"/>
        </w:rPr>
        <w:t>/d）。石油类浓度约为60~80mg/L（本次评价取均值80mg/L）。码头每个泊位作业面四周均设档水坎，对码头面冲洗废水进行收集，码头平台设置2座30m</w:t>
      </w:r>
      <w:r>
        <w:rPr>
          <w:rFonts w:ascii="Times New Roman" w:hAnsi="Times New Roman" w:cs="Times New Roman"/>
          <w:color w:val="auto"/>
          <w:vertAlign w:val="superscript"/>
        </w:rPr>
        <w:t>3</w:t>
      </w:r>
      <w:r>
        <w:rPr>
          <w:rFonts w:ascii="Times New Roman" w:hAnsi="Times New Roman" w:cs="Times New Roman"/>
          <w:color w:val="auto"/>
        </w:rPr>
        <w:t xml:space="preserve"> 码头面废水收集池（兼初期雨水收集池）；装卸车区四周设置围堰，通过收集沟，酸碱罐区冲洗水单独收集进入中和池预处理后，再与油品罐区、码头平台及装卸车区冲洗水进入密闭式含油污水收集池，经含油污水处理装置进行处理</w:t>
      </w:r>
      <w:r>
        <w:rPr>
          <w:rFonts w:ascii="Times New Roman" w:hAnsi="Times New Roman" w:cs="Times New Roman"/>
          <w:color w:val="auto"/>
          <w:szCs w:val="24"/>
        </w:rPr>
        <w:t>后，接管进入合肥循环经济示范园污水处理厂进行处理。</w:t>
      </w:r>
    </w:p>
    <w:p>
      <w:pPr>
        <w:ind w:firstLine="442"/>
        <w:jc w:val="center"/>
        <w:rPr>
          <w:rFonts w:ascii="Times New Roman" w:hAnsi="Times New Roman" w:cs="Times New Roman"/>
          <w:b/>
          <w:bCs/>
          <w:color w:val="auto"/>
          <w:sz w:val="22"/>
        </w:rPr>
      </w:pPr>
      <w:r>
        <w:rPr>
          <w:rFonts w:ascii="Times New Roman" w:hAnsi="Times New Roman" w:cs="Times New Roman"/>
          <w:b/>
          <w:bCs/>
          <w:color w:val="auto"/>
          <w:sz w:val="22"/>
        </w:rPr>
        <w:t>表3.3-24  地面冲洗废水污染物产生及排放情况</w:t>
      </w:r>
    </w:p>
    <w:tbl>
      <w:tblPr>
        <w:tblStyle w:val="62"/>
        <w:tblW w:w="921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83"/>
        <w:gridCol w:w="1694"/>
        <w:gridCol w:w="1712"/>
        <w:gridCol w:w="1465"/>
        <w:gridCol w:w="1955"/>
        <w:gridCol w:w="17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3" w:hRule="atLeast"/>
        </w:trPr>
        <w:tc>
          <w:tcPr>
            <w:tcW w:w="683"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序号</w:t>
            </w:r>
          </w:p>
        </w:tc>
        <w:tc>
          <w:tcPr>
            <w:tcW w:w="169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污染物名称</w:t>
            </w:r>
          </w:p>
        </w:tc>
        <w:tc>
          <w:tcPr>
            <w:tcW w:w="1712"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产生浓度(mg/L)</w:t>
            </w:r>
          </w:p>
        </w:tc>
        <w:tc>
          <w:tcPr>
            <w:tcW w:w="146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产生量(t/a)</w:t>
            </w:r>
          </w:p>
        </w:tc>
        <w:tc>
          <w:tcPr>
            <w:tcW w:w="195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经密闭式含油污水预处理后浓度(mg/L)</w:t>
            </w:r>
          </w:p>
        </w:tc>
        <w:tc>
          <w:tcPr>
            <w:tcW w:w="1708"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接管量</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3" w:hRule="atLeast"/>
        </w:trPr>
        <w:tc>
          <w:tcPr>
            <w:tcW w:w="683"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1</w:t>
            </w:r>
          </w:p>
        </w:tc>
        <w:tc>
          <w:tcPr>
            <w:tcW w:w="169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PH</w:t>
            </w:r>
          </w:p>
        </w:tc>
        <w:tc>
          <w:tcPr>
            <w:tcW w:w="1712"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5-10</w:t>
            </w:r>
          </w:p>
        </w:tc>
        <w:tc>
          <w:tcPr>
            <w:tcW w:w="146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w:t>
            </w:r>
          </w:p>
        </w:tc>
        <w:tc>
          <w:tcPr>
            <w:tcW w:w="195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w:t>
            </w:r>
          </w:p>
        </w:tc>
        <w:tc>
          <w:tcPr>
            <w:tcW w:w="1708"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 w:hRule="atLeast"/>
        </w:trPr>
        <w:tc>
          <w:tcPr>
            <w:tcW w:w="68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69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SS</w:t>
            </w:r>
          </w:p>
        </w:tc>
        <w:tc>
          <w:tcPr>
            <w:tcW w:w="17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400</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4.46</w:t>
            </w:r>
          </w:p>
        </w:tc>
        <w:tc>
          <w:tcPr>
            <w:tcW w:w="195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150</w:t>
            </w:r>
          </w:p>
        </w:tc>
        <w:tc>
          <w:tcPr>
            <w:tcW w:w="1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 w:hRule="atLeast"/>
        </w:trPr>
        <w:tc>
          <w:tcPr>
            <w:tcW w:w="68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69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石油类</w:t>
            </w:r>
          </w:p>
        </w:tc>
        <w:tc>
          <w:tcPr>
            <w:tcW w:w="17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80</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0.89</w:t>
            </w:r>
          </w:p>
        </w:tc>
        <w:tc>
          <w:tcPr>
            <w:tcW w:w="195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1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30" w:hRule="atLeast"/>
        </w:trPr>
        <w:tc>
          <w:tcPr>
            <w:tcW w:w="68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169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COD</w:t>
            </w:r>
          </w:p>
        </w:tc>
        <w:tc>
          <w:tcPr>
            <w:tcW w:w="17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150</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1.67</w:t>
            </w:r>
          </w:p>
        </w:tc>
        <w:tc>
          <w:tcPr>
            <w:tcW w:w="195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1.11</w:t>
            </w:r>
          </w:p>
        </w:tc>
      </w:tr>
    </w:tbl>
    <w:p>
      <w:pPr>
        <w:ind w:firstLine="462"/>
        <w:rPr>
          <w:rFonts w:ascii="Times New Roman" w:hAnsi="Times New Roman" w:cs="Times New Roman"/>
          <w:b/>
          <w:bCs/>
          <w:color w:val="auto"/>
          <w:spacing w:val="-5"/>
        </w:rPr>
      </w:pPr>
      <w:r>
        <w:rPr>
          <w:rFonts w:ascii="Times New Roman" w:hAnsi="Times New Roman" w:cs="Times New Roman"/>
          <w:b/>
          <w:bCs/>
          <w:color w:val="auto"/>
          <w:spacing w:val="-5"/>
        </w:rPr>
        <w:t>（3）初期雨污水</w:t>
      </w:r>
    </w:p>
    <w:p>
      <w:pPr>
        <w:ind w:firstLine="480"/>
        <w:rPr>
          <w:rFonts w:ascii="Times New Roman" w:hAnsi="Times New Roman" w:cs="Times New Roman"/>
          <w:color w:val="auto"/>
        </w:rPr>
      </w:pPr>
      <w:r>
        <w:rPr>
          <w:rFonts w:ascii="Times New Roman" w:hAnsi="Times New Roman" w:cs="Times New Roman"/>
          <w:color w:val="auto"/>
        </w:rPr>
        <w:t>根据《水运工程环境保护设计规范》（JTS149-2018）中介绍，初期雨污水产生量计算参照《石油化工污水处理设计规范》（GB50747-2012）提出的：一次降雨污染雨水总量宜按污染面积与其15mm降水深度的乘积计算。</w:t>
      </w:r>
    </w:p>
    <w:p>
      <w:pPr>
        <w:ind w:firstLine="600"/>
        <w:rPr>
          <w:rFonts w:ascii="Times New Roman" w:hAnsi="Times New Roman" w:cs="Times New Roman"/>
          <w:color w:val="auto"/>
          <w:sz w:val="30"/>
          <w:szCs w:val="30"/>
        </w:rPr>
      </w:pPr>
      <w:r>
        <w:rPr>
          <w:rFonts w:ascii="Times New Roman" w:hAnsi="Times New Roman" w:cs="Times New Roman"/>
          <w:color w:val="auto"/>
          <w:sz w:val="30"/>
          <w:szCs w:val="30"/>
        </w:rPr>
        <w:t>V=¢hF</w:t>
      </w:r>
    </w:p>
    <w:p>
      <w:pPr>
        <w:ind w:firstLine="480"/>
        <w:rPr>
          <w:rFonts w:ascii="Times New Roman" w:hAnsi="Times New Roman" w:cs="Times New Roman"/>
          <w:color w:val="auto"/>
          <w:szCs w:val="24"/>
        </w:rPr>
      </w:pPr>
      <w:r>
        <w:rPr>
          <w:rFonts w:ascii="Times New Roman" w:hAnsi="Times New Roman" w:cs="Times New Roman"/>
          <w:color w:val="auto"/>
          <w:szCs w:val="24"/>
        </w:rPr>
        <w:t>式中：V-初期雨水量（m</w:t>
      </w:r>
      <w:r>
        <w:rPr>
          <w:rFonts w:ascii="Times New Roman" w:hAnsi="Times New Roman" w:cs="Times New Roman"/>
          <w:color w:val="auto"/>
          <w:szCs w:val="24"/>
          <w:vertAlign w:val="superscript"/>
        </w:rPr>
        <w:t>3</w:t>
      </w:r>
      <w:r>
        <w:rPr>
          <w:rFonts w:ascii="Times New Roman" w:hAnsi="Times New Roman" w:cs="Times New Roman"/>
          <w:color w:val="auto"/>
          <w:szCs w:val="24"/>
        </w:rPr>
        <w:t>）</w:t>
      </w:r>
    </w:p>
    <w:p>
      <w:pPr>
        <w:ind w:firstLine="480"/>
        <w:rPr>
          <w:rFonts w:ascii="Times New Roman" w:hAnsi="Times New Roman" w:cs="Times New Roman"/>
          <w:color w:val="auto"/>
          <w:szCs w:val="24"/>
        </w:rPr>
      </w:pPr>
      <w:r>
        <w:rPr>
          <w:rFonts w:ascii="Times New Roman" w:hAnsi="Times New Roman" w:cs="Times New Roman"/>
          <w:color w:val="auto"/>
          <w:szCs w:val="24"/>
        </w:rPr>
        <w:t>¢-径流系数，取0.9</w:t>
      </w:r>
    </w:p>
    <w:p>
      <w:pPr>
        <w:ind w:firstLine="480"/>
        <w:rPr>
          <w:rFonts w:ascii="Times New Roman" w:hAnsi="Times New Roman" w:cs="Times New Roman"/>
          <w:color w:val="auto"/>
          <w:szCs w:val="24"/>
        </w:rPr>
      </w:pPr>
      <w:r>
        <w:rPr>
          <w:rFonts w:ascii="Times New Roman" w:hAnsi="Times New Roman" w:cs="Times New Roman"/>
          <w:color w:val="auto"/>
          <w:szCs w:val="24"/>
        </w:rPr>
        <w:t>h-降雨深度（m），取0.015m；</w:t>
      </w:r>
    </w:p>
    <w:p>
      <w:pPr>
        <w:ind w:firstLine="480"/>
        <w:rPr>
          <w:rFonts w:ascii="Times New Roman" w:hAnsi="Times New Roman" w:cs="Times New Roman"/>
          <w:color w:val="auto"/>
          <w:szCs w:val="24"/>
        </w:rPr>
      </w:pPr>
      <w:r>
        <w:rPr>
          <w:rFonts w:ascii="Times New Roman" w:hAnsi="Times New Roman" w:cs="Times New Roman"/>
          <w:color w:val="auto"/>
          <w:szCs w:val="24"/>
        </w:rPr>
        <w:t>F-汇水面积（m</w:t>
      </w:r>
      <w:r>
        <w:rPr>
          <w:rFonts w:ascii="Times New Roman" w:hAnsi="Times New Roman" w:cs="Times New Roman"/>
          <w:color w:val="auto"/>
          <w:szCs w:val="24"/>
          <w:vertAlign w:val="superscript"/>
        </w:rPr>
        <w:t>2</w:t>
      </w:r>
      <w:r>
        <w:rPr>
          <w:rFonts w:ascii="Times New Roman" w:hAnsi="Times New Roman" w:cs="Times New Roman"/>
          <w:color w:val="auto"/>
          <w:szCs w:val="24"/>
        </w:rPr>
        <w:t>）。</w:t>
      </w:r>
    </w:p>
    <w:p>
      <w:pPr>
        <w:ind w:firstLine="480"/>
        <w:rPr>
          <w:rFonts w:ascii="Times New Roman" w:hAnsi="Times New Roman" w:cs="Times New Roman"/>
          <w:color w:val="auto"/>
        </w:rPr>
      </w:pPr>
      <w:r>
        <w:rPr>
          <w:rFonts w:ascii="Times New Roman" w:hAnsi="Times New Roman" w:cs="Times New Roman"/>
          <w:color w:val="auto"/>
        </w:rPr>
        <w:t>本项目需要对码头平台、罐区及汽车装卸区的初期雨水进行收集处理。码头工作平台面积为7000m</w:t>
      </w:r>
      <w:r>
        <w:rPr>
          <w:rFonts w:ascii="Times New Roman" w:hAnsi="Times New Roman" w:cs="Times New Roman"/>
          <w:color w:val="auto"/>
          <w:vertAlign w:val="superscript"/>
        </w:rPr>
        <w:t>2</w:t>
      </w:r>
      <w:r>
        <w:rPr>
          <w:rFonts w:ascii="Times New Roman" w:hAnsi="Times New Roman" w:cs="Times New Roman"/>
          <w:color w:val="auto"/>
        </w:rPr>
        <w:t>（考虑到码头面设置有围坎，围坎内的码头面面积期为污染面积），装卸车区面积约为5000m</w:t>
      </w:r>
      <w:r>
        <w:rPr>
          <w:rFonts w:ascii="Times New Roman" w:hAnsi="Times New Roman" w:cs="Times New Roman"/>
          <w:color w:val="auto"/>
          <w:vertAlign w:val="superscript"/>
        </w:rPr>
        <w:t>2</w:t>
      </w:r>
      <w:r>
        <w:rPr>
          <w:rFonts w:ascii="Times New Roman" w:hAnsi="Times New Roman" w:cs="Times New Roman"/>
          <w:color w:val="auto"/>
        </w:rPr>
        <w:t>（罩棚面积）。根据《石油库设计规范》（GB50074-2014），油罐含油初期雨水设计量按照油罐顶全面积计算，本项目罐区的储罐顶面积总计约为14000m</w:t>
      </w:r>
      <w:r>
        <w:rPr>
          <w:rFonts w:ascii="Times New Roman" w:hAnsi="Times New Roman" w:cs="Times New Roman"/>
          <w:color w:val="auto"/>
          <w:vertAlign w:val="superscript"/>
        </w:rPr>
        <w:t>2</w:t>
      </w:r>
      <w:r>
        <w:rPr>
          <w:rFonts w:ascii="Times New Roman" w:hAnsi="Times New Roman" w:cs="Times New Roman"/>
          <w:color w:val="auto"/>
        </w:rPr>
        <w:t>。</w:t>
      </w:r>
    </w:p>
    <w:p>
      <w:pPr>
        <w:ind w:firstLine="480"/>
        <w:rPr>
          <w:rFonts w:ascii="Times New Roman" w:hAnsi="Times New Roman" w:cs="Times New Roman"/>
          <w:color w:val="auto"/>
        </w:rPr>
      </w:pPr>
      <w:r>
        <w:rPr>
          <w:rFonts w:ascii="Times New Roman" w:hAnsi="Times New Roman" w:cs="Times New Roman"/>
          <w:color w:val="auto"/>
        </w:rPr>
        <w:t>根据公式计算，本项目码头污染区初期雨污水量约为351m</w:t>
      </w:r>
      <w:r>
        <w:rPr>
          <w:rFonts w:ascii="Times New Roman" w:hAnsi="Times New Roman" w:cs="Times New Roman"/>
          <w:color w:val="auto"/>
          <w:vertAlign w:val="superscript"/>
        </w:rPr>
        <w:t>3</w:t>
      </w:r>
      <w:r>
        <w:rPr>
          <w:rFonts w:ascii="Times New Roman" w:hAnsi="Times New Roman" w:cs="Times New Roman"/>
          <w:color w:val="auto"/>
        </w:rPr>
        <w:t>/次，根据合肥市气象资料，项目所在地全年有明显降雨天数约为100天左右，则初期雨水收集量为35100m</w:t>
      </w:r>
      <w:r>
        <w:rPr>
          <w:rFonts w:ascii="Times New Roman" w:hAnsi="Times New Roman" w:cs="Times New Roman"/>
          <w:color w:val="auto"/>
          <w:vertAlign w:val="superscript"/>
        </w:rPr>
        <w:t>3</w:t>
      </w:r>
      <w:r>
        <w:rPr>
          <w:rFonts w:ascii="Times New Roman" w:hAnsi="Times New Roman" w:cs="Times New Roman"/>
          <w:color w:val="auto"/>
        </w:rPr>
        <w:t>/a（折100.3m</w:t>
      </w:r>
      <w:r>
        <w:rPr>
          <w:rFonts w:ascii="Times New Roman" w:hAnsi="Times New Roman" w:cs="Times New Roman"/>
          <w:color w:val="auto"/>
          <w:vertAlign w:val="superscript"/>
        </w:rPr>
        <w:t>3</w:t>
      </w:r>
      <w:r>
        <w:rPr>
          <w:rFonts w:ascii="Times New Roman" w:hAnsi="Times New Roman" w:cs="Times New Roman"/>
          <w:color w:val="auto"/>
        </w:rPr>
        <w:t>/d）：其中码头平台初期雨水经收集后进入码头平台2座30m</w:t>
      </w:r>
      <w:r>
        <w:rPr>
          <w:rFonts w:ascii="Times New Roman" w:hAnsi="Times New Roman" w:cs="Times New Roman"/>
          <w:color w:val="auto"/>
          <w:vertAlign w:val="superscript"/>
        </w:rPr>
        <w:t>3</w:t>
      </w:r>
      <w:r>
        <w:rPr>
          <w:rFonts w:ascii="Times New Roman" w:hAnsi="Times New Roman" w:cs="Times New Roman"/>
          <w:color w:val="auto"/>
        </w:rPr>
        <w:t>的初期雨水收集池（兼冲洗废水收集池及事故水收集池），通过泵送方式送入后方罐区容积为600m</w:t>
      </w:r>
      <w:r>
        <w:rPr>
          <w:rFonts w:ascii="Times New Roman" w:hAnsi="Times New Roman" w:cs="Times New Roman"/>
          <w:color w:val="auto"/>
          <w:vertAlign w:val="superscript"/>
        </w:rPr>
        <w:t>3</w:t>
      </w:r>
      <w:r>
        <w:rPr>
          <w:rFonts w:ascii="Times New Roman" w:hAnsi="Times New Roman" w:cs="Times New Roman"/>
          <w:color w:val="auto"/>
        </w:rPr>
        <w:t>的密闭含油污水收集池（兼初期雨水池）内，通过含油污水处理装置处理</w:t>
      </w:r>
      <w:r>
        <w:rPr>
          <w:rFonts w:ascii="Times New Roman" w:hAnsi="Times New Roman" w:cs="Times New Roman"/>
          <w:color w:val="auto"/>
          <w:szCs w:val="24"/>
        </w:rPr>
        <w:t>后</w:t>
      </w:r>
      <w:r>
        <w:rPr>
          <w:rFonts w:ascii="Times New Roman" w:hAnsi="Times New Roman" w:cs="Times New Roman"/>
          <w:color w:val="auto"/>
        </w:rPr>
        <w:t>接管排放。</w:t>
      </w:r>
    </w:p>
    <w:p>
      <w:pPr>
        <w:ind w:firstLine="480"/>
        <w:rPr>
          <w:rFonts w:ascii="Times New Roman" w:hAnsi="Times New Roman" w:cs="Times New Roman"/>
          <w:color w:val="auto"/>
        </w:rPr>
      </w:pPr>
      <w:r>
        <w:rPr>
          <w:rFonts w:ascii="Times New Roman" w:hAnsi="Times New Roman" w:cs="Times New Roman"/>
          <w:shd w:val="clear" w:color="auto" w:fill="FFFFFF"/>
        </w:rPr>
        <w:t>初期雨水径过专用管道排至初期雨水收集池内，15min后雨水可自动切换排入港区雨水管道。</w:t>
      </w:r>
    </w:p>
    <w:p>
      <w:pPr>
        <w:ind w:firstLine="462"/>
        <w:rPr>
          <w:rFonts w:ascii="Times New Roman" w:hAnsi="Times New Roman" w:cs="Times New Roman"/>
          <w:b/>
          <w:bCs/>
          <w:color w:val="auto"/>
          <w:spacing w:val="-5"/>
        </w:rPr>
      </w:pPr>
      <w:bookmarkStart w:id="260" w:name="_Toc102984330"/>
      <w:r>
        <w:rPr>
          <w:rFonts w:ascii="Times New Roman" w:hAnsi="Times New Roman" w:cs="Times New Roman"/>
          <w:b/>
          <w:bCs/>
          <w:color w:val="auto"/>
          <w:spacing w:val="-5"/>
        </w:rPr>
        <w:t>（4）化验室用排水</w:t>
      </w:r>
    </w:p>
    <w:p>
      <w:pPr>
        <w:ind w:firstLine="480"/>
        <w:rPr>
          <w:rFonts w:ascii="Times New Roman" w:hAnsi="Times New Roman" w:cs="Times New Roman"/>
          <w:b/>
          <w:bCs/>
          <w:color w:val="auto"/>
        </w:rPr>
      </w:pPr>
      <w:r>
        <w:rPr>
          <w:rFonts w:ascii="Times New Roman" w:hAnsi="Times New Roman" w:cs="Times New Roman"/>
          <w:color w:val="auto"/>
        </w:rPr>
        <w:t>化验室位于后方陆域，为2F独立建筑，主要从事油品及化学品的质检工作，化验室在分析化验的用水量约0.5m</w:t>
      </w:r>
      <w:r>
        <w:rPr>
          <w:rFonts w:ascii="Times New Roman" w:hAnsi="Times New Roman" w:cs="Times New Roman"/>
          <w:color w:val="auto"/>
          <w:vertAlign w:val="superscript"/>
        </w:rPr>
        <w:t>3</w:t>
      </w:r>
      <w:r>
        <w:rPr>
          <w:rFonts w:ascii="Times New Roman" w:hAnsi="Times New Roman" w:cs="Times New Roman"/>
          <w:color w:val="auto"/>
        </w:rPr>
        <w:t>/d，抽样化验天数取100d/a，则化验室化验用水量为50 m</w:t>
      </w:r>
      <w:r>
        <w:rPr>
          <w:rFonts w:ascii="Times New Roman" w:hAnsi="Times New Roman" w:cs="Times New Roman"/>
          <w:color w:val="auto"/>
          <w:vertAlign w:val="superscript"/>
        </w:rPr>
        <w:t>3</w:t>
      </w:r>
      <w:r>
        <w:rPr>
          <w:rFonts w:ascii="Times New Roman" w:hAnsi="Times New Roman" w:cs="Times New Roman"/>
          <w:color w:val="auto"/>
        </w:rPr>
        <w:t>/a；化验废水的产生量约0.45 m</w:t>
      </w:r>
      <w:r>
        <w:rPr>
          <w:rFonts w:ascii="Times New Roman" w:hAnsi="Times New Roman" w:cs="Times New Roman"/>
          <w:color w:val="auto"/>
          <w:vertAlign w:val="superscript"/>
        </w:rPr>
        <w:t>3</w:t>
      </w:r>
      <w:r>
        <w:rPr>
          <w:rFonts w:ascii="Times New Roman" w:hAnsi="Times New Roman" w:cs="Times New Roman"/>
          <w:color w:val="auto"/>
        </w:rPr>
        <w:t>/d（45m</w:t>
      </w:r>
      <w:r>
        <w:rPr>
          <w:rFonts w:ascii="Times New Roman" w:hAnsi="Times New Roman" w:cs="Times New Roman"/>
          <w:color w:val="auto"/>
          <w:vertAlign w:val="superscript"/>
        </w:rPr>
        <w:t>3</w:t>
      </w:r>
      <w:r>
        <w:rPr>
          <w:rFonts w:ascii="Times New Roman" w:hAnsi="Times New Roman" w:cs="Times New Roman"/>
          <w:color w:val="auto"/>
        </w:rPr>
        <w:t>/a），由化验废水积存桶（室内成品）统一收集，定期外运至具有资质的危险废物处置单位进行处置。</w:t>
      </w:r>
    </w:p>
    <w:p>
      <w:pPr>
        <w:ind w:firstLine="462"/>
        <w:rPr>
          <w:rFonts w:ascii="Times New Roman" w:hAnsi="Times New Roman" w:cs="Times New Roman"/>
          <w:b/>
          <w:bCs/>
          <w:color w:val="auto"/>
          <w:spacing w:val="-5"/>
        </w:rPr>
      </w:pPr>
      <w:r>
        <w:rPr>
          <w:rFonts w:ascii="Times New Roman" w:hAnsi="Times New Roman" w:cs="Times New Roman"/>
          <w:b/>
          <w:bCs/>
          <w:color w:val="auto"/>
          <w:spacing w:val="-5"/>
        </w:rPr>
        <w:t>（5）罐区洗罐废水</w:t>
      </w:r>
    </w:p>
    <w:p>
      <w:pPr>
        <w:ind w:firstLine="480"/>
        <w:rPr>
          <w:rFonts w:ascii="Times New Roman" w:hAnsi="Times New Roman" w:cs="Times New Roman"/>
        </w:rPr>
      </w:pPr>
      <w:r>
        <w:rPr>
          <w:rFonts w:ascii="Times New Roman" w:hAnsi="Times New Roman" w:cs="Times New Roman"/>
        </w:rPr>
        <w:t>储罐清洗就是除去堆积在储罐中的淤渣，一般每5年清洗一次，清洗采用COW技术，单罐清洗，不同时清罐，根据国内中石油油品罐区的洗舱经验数据，1万m</w:t>
      </w:r>
      <w:r>
        <w:rPr>
          <w:rFonts w:ascii="Times New Roman" w:hAnsi="Times New Roman" w:cs="Times New Roman"/>
          <w:vertAlign w:val="superscript"/>
        </w:rPr>
        <w:t>3</w:t>
      </w:r>
      <w:r>
        <w:rPr>
          <w:rFonts w:ascii="Times New Roman" w:hAnsi="Times New Roman" w:cs="Times New Roman"/>
        </w:rPr>
        <w:t>储罐清罐废水约50t。</w:t>
      </w:r>
    </w:p>
    <w:p>
      <w:pPr>
        <w:ind w:firstLine="480"/>
        <w:rPr>
          <w:rFonts w:ascii="Times New Roman" w:hAnsi="Times New Roman" w:cs="Times New Roman"/>
          <w:szCs w:val="21"/>
          <w:lang w:bidi="ar"/>
        </w:rPr>
      </w:pPr>
      <w:r>
        <w:rPr>
          <w:rFonts w:ascii="Times New Roman" w:hAnsi="Times New Roman" w:cs="Times New Roman"/>
          <w:szCs w:val="21"/>
          <w:lang w:bidi="ar"/>
        </w:rPr>
        <w:t>本项目罐区建设3个罐组，1#罐组建设13座3000m³汽油内浮顶罐、1座1000m³乙醇内浮顶罐、2座500m³乙醇内浮顶罐；2#罐组建设13座5000m³柴油固定顶罐、3座航煤/柴油内浮顶罐；3#罐组建设16座5000m³化工品固定顶罐。总库容20.1×10</w:t>
      </w:r>
      <w:r>
        <w:rPr>
          <w:rFonts w:ascii="Times New Roman" w:hAnsi="Times New Roman" w:cs="Times New Roman"/>
          <w:szCs w:val="21"/>
          <w:vertAlign w:val="superscript"/>
          <w:lang w:bidi="ar"/>
        </w:rPr>
        <w:t>4</w:t>
      </w:r>
      <w:r>
        <w:rPr>
          <w:rFonts w:ascii="Times New Roman" w:hAnsi="Times New Roman" w:cs="Times New Roman"/>
          <w:szCs w:val="21"/>
          <w:lang w:bidi="ar"/>
        </w:rPr>
        <w:t>m³，其中汽油库容3.9×10</w:t>
      </w:r>
      <w:r>
        <w:rPr>
          <w:rFonts w:ascii="Times New Roman" w:hAnsi="Times New Roman" w:cs="Times New Roman"/>
          <w:szCs w:val="21"/>
          <w:vertAlign w:val="superscript"/>
          <w:lang w:bidi="ar"/>
        </w:rPr>
        <w:t>4</w:t>
      </w:r>
      <w:r>
        <w:rPr>
          <w:rFonts w:ascii="Times New Roman" w:hAnsi="Times New Roman" w:cs="Times New Roman"/>
          <w:szCs w:val="21"/>
          <w:lang w:bidi="ar"/>
        </w:rPr>
        <w:t>m³，乙醇库容0.2×10</w:t>
      </w:r>
      <w:r>
        <w:rPr>
          <w:rFonts w:ascii="Times New Roman" w:hAnsi="Times New Roman" w:cs="Times New Roman"/>
          <w:szCs w:val="21"/>
          <w:vertAlign w:val="superscript"/>
          <w:lang w:bidi="ar"/>
        </w:rPr>
        <w:t>4</w:t>
      </w:r>
      <w:r>
        <w:rPr>
          <w:rFonts w:ascii="Times New Roman" w:hAnsi="Times New Roman" w:cs="Times New Roman"/>
          <w:szCs w:val="21"/>
          <w:lang w:bidi="ar"/>
        </w:rPr>
        <w:t>m³，航煤库容1.5×10</w:t>
      </w:r>
      <w:r>
        <w:rPr>
          <w:rFonts w:ascii="Times New Roman" w:hAnsi="Times New Roman" w:cs="Times New Roman"/>
          <w:szCs w:val="21"/>
          <w:vertAlign w:val="superscript"/>
          <w:lang w:bidi="ar"/>
        </w:rPr>
        <w:t>4</w:t>
      </w:r>
      <w:r>
        <w:rPr>
          <w:rFonts w:ascii="Times New Roman" w:hAnsi="Times New Roman" w:cs="Times New Roman"/>
          <w:szCs w:val="21"/>
          <w:lang w:bidi="ar"/>
        </w:rPr>
        <w:t>m³，0#/-10#柴油库容6.5×10</w:t>
      </w:r>
      <w:r>
        <w:rPr>
          <w:rFonts w:ascii="Times New Roman" w:hAnsi="Times New Roman" w:cs="Times New Roman"/>
          <w:szCs w:val="21"/>
          <w:vertAlign w:val="superscript"/>
          <w:lang w:bidi="ar"/>
        </w:rPr>
        <w:t>4</w:t>
      </w:r>
      <w:r>
        <w:rPr>
          <w:rFonts w:ascii="Times New Roman" w:hAnsi="Times New Roman" w:cs="Times New Roman"/>
          <w:szCs w:val="21"/>
          <w:lang w:bidi="ar"/>
        </w:rPr>
        <w:t>m³，不燃化工品库容5×10</w:t>
      </w:r>
      <w:r>
        <w:rPr>
          <w:rFonts w:ascii="Times New Roman" w:hAnsi="Times New Roman" w:cs="Times New Roman"/>
          <w:szCs w:val="21"/>
          <w:vertAlign w:val="superscript"/>
          <w:lang w:bidi="ar"/>
        </w:rPr>
        <w:t>4</w:t>
      </w:r>
      <w:r>
        <w:rPr>
          <w:rFonts w:ascii="Times New Roman" w:hAnsi="Times New Roman" w:cs="Times New Roman"/>
          <w:szCs w:val="21"/>
          <w:lang w:bidi="ar"/>
        </w:rPr>
        <w:t>m³，</w:t>
      </w:r>
    </w:p>
    <w:p>
      <w:pPr>
        <w:ind w:firstLine="480"/>
        <w:rPr>
          <w:rFonts w:ascii="Times New Roman" w:hAnsi="Times New Roman" w:cs="Times New Roman"/>
        </w:rPr>
      </w:pPr>
      <w:r>
        <w:rPr>
          <w:rFonts w:ascii="Times New Roman" w:hAnsi="Times New Roman" w:cs="Times New Roman"/>
        </w:rPr>
        <w:t>本项目油品及液体化工品的总库容为20.1万m</w:t>
      </w:r>
      <w:r>
        <w:rPr>
          <w:rFonts w:ascii="Times New Roman" w:hAnsi="Times New Roman" w:cs="Times New Roman"/>
          <w:vertAlign w:val="superscript"/>
        </w:rPr>
        <w:t>3</w:t>
      </w:r>
      <w:r>
        <w:rPr>
          <w:rFonts w:ascii="Times New Roman" w:hAnsi="Times New Roman" w:cs="Times New Roman"/>
        </w:rPr>
        <w:t>，则清洗储罐排放的废水量为1000m</w:t>
      </w:r>
      <w:r>
        <w:rPr>
          <w:rFonts w:ascii="Times New Roman" w:hAnsi="Times New Roman" w:cs="Times New Roman"/>
          <w:vertAlign w:val="superscript"/>
        </w:rPr>
        <w:t>3</w:t>
      </w:r>
      <w:r>
        <w:rPr>
          <w:rFonts w:ascii="Times New Roman" w:hAnsi="Times New Roman" w:cs="Times New Roman"/>
        </w:rPr>
        <w:t>/次（5年）。以石油类浓度均值 300mg/L，COD1000mg/L计，石油类发生量约为 0.3t/a，COD 发生量约为1.0t/a。本工程储罐清洗委托有资质的专业清洗队伍进行清洗，洗罐废水由专业清洗队伍接收处置；建设单位在清罐过程中应与委托的专业清洗队伍约定环保责任，督促清洗队伍按照环保要求对洗罐废水进行合理处置。</w:t>
      </w:r>
    </w:p>
    <w:p>
      <w:pPr>
        <w:ind w:firstLine="462"/>
        <w:rPr>
          <w:rFonts w:ascii="Times New Roman" w:hAnsi="Times New Roman" w:cs="Times New Roman"/>
          <w:b/>
          <w:bCs/>
          <w:color w:val="auto"/>
          <w:spacing w:val="-5"/>
        </w:rPr>
      </w:pPr>
      <w:r>
        <w:rPr>
          <w:rFonts w:ascii="Times New Roman" w:hAnsi="Times New Roman" w:cs="Times New Roman"/>
          <w:b/>
          <w:bCs/>
          <w:color w:val="auto"/>
          <w:spacing w:val="-5"/>
        </w:rPr>
        <w:t>（6）储罐切罐废水</w:t>
      </w:r>
    </w:p>
    <w:p>
      <w:pPr>
        <w:ind w:firstLine="480"/>
        <w:rPr>
          <w:rFonts w:ascii="Times New Roman" w:hAnsi="Times New Roman" w:cs="Times New Roman"/>
        </w:rPr>
      </w:pPr>
      <w:r>
        <w:rPr>
          <w:rFonts w:ascii="Times New Roman" w:hAnsi="Times New Roman" w:cs="Times New Roman"/>
        </w:rPr>
        <w:t>油罐切水是指油品在储存过程中，因油的密度轻于水，油水自然分离后沉至罐体底部废水，这部分水需要定期排出。根据石油化工储运系统罐区设计规范《SHT3007-2014》及工程设计资料，本项目油品库容12.1万m</w:t>
      </w:r>
      <w:r>
        <w:rPr>
          <w:rFonts w:ascii="Times New Roman" w:hAnsi="Times New Roman" w:cs="Times New Roman"/>
          <w:vertAlign w:val="superscript"/>
        </w:rPr>
        <w:t>3</w:t>
      </w:r>
      <w:r>
        <w:rPr>
          <w:rFonts w:ascii="Times New Roman" w:hAnsi="Times New Roman" w:cs="Times New Roman"/>
        </w:rPr>
        <w:t>，切水量约210m</w:t>
      </w:r>
      <w:r>
        <w:rPr>
          <w:rFonts w:ascii="Times New Roman" w:hAnsi="Times New Roman" w:cs="Times New Roman"/>
          <w:vertAlign w:val="superscript"/>
        </w:rPr>
        <w:t>3</w:t>
      </w:r>
      <w:r>
        <w:rPr>
          <w:rFonts w:ascii="Times New Roman" w:hAnsi="Times New Roman" w:cs="Times New Roman"/>
        </w:rPr>
        <w:t>/次，每年排一次，废水 COD浓度约2400mg/L，石油类约1000mg/L。油罐切水送</w:t>
      </w:r>
      <w:r>
        <w:rPr>
          <w:rFonts w:ascii="Times New Roman" w:hAnsi="Times New Roman" w:cs="Times New Roman"/>
          <w:color w:val="auto"/>
        </w:rPr>
        <w:t>密闭式含油污水处理装置处理</w:t>
      </w:r>
      <w:r>
        <w:rPr>
          <w:rFonts w:ascii="Times New Roman" w:hAnsi="Times New Roman" w:cs="Times New Roman"/>
          <w:color w:val="auto"/>
          <w:szCs w:val="24"/>
        </w:rPr>
        <w:t>后</w:t>
      </w:r>
      <w:r>
        <w:rPr>
          <w:rFonts w:ascii="Times New Roman" w:hAnsi="Times New Roman" w:cs="Times New Roman"/>
          <w:color w:val="auto"/>
        </w:rPr>
        <w:t>接管排放。</w:t>
      </w:r>
    </w:p>
    <w:p>
      <w:pPr>
        <w:ind w:firstLine="462"/>
        <w:rPr>
          <w:rFonts w:ascii="Times New Roman" w:hAnsi="Times New Roman" w:cs="Times New Roman"/>
          <w:b/>
          <w:bCs/>
          <w:color w:val="auto"/>
          <w:spacing w:val="-5"/>
        </w:rPr>
      </w:pPr>
      <w:r>
        <w:rPr>
          <w:rFonts w:ascii="Times New Roman" w:hAnsi="Times New Roman" w:cs="Times New Roman"/>
          <w:b/>
          <w:bCs/>
          <w:color w:val="auto"/>
          <w:spacing w:val="-5"/>
        </w:rPr>
        <w:t>（7）绿化用水</w:t>
      </w:r>
    </w:p>
    <w:p>
      <w:pPr>
        <w:ind w:firstLine="480"/>
        <w:rPr>
          <w:rFonts w:ascii="Times New Roman" w:hAnsi="Times New Roman" w:cs="Times New Roman"/>
        </w:rPr>
      </w:pPr>
      <w:r>
        <w:rPr>
          <w:rFonts w:ascii="Times New Roman" w:hAnsi="Times New Roman" w:cs="Times New Roman"/>
        </w:rPr>
        <w:t>根据工程平面布局设计资料，本项目绿化面积约25000m</w:t>
      </w:r>
      <w:r>
        <w:rPr>
          <w:rFonts w:ascii="Times New Roman" w:hAnsi="Times New Roman" w:cs="Times New Roman"/>
          <w:vertAlign w:val="superscript"/>
        </w:rPr>
        <w:t>2</w:t>
      </w:r>
      <w:r>
        <w:rPr>
          <w:rFonts w:ascii="Times New Roman" w:hAnsi="Times New Roman" w:cs="Times New Roman"/>
        </w:rPr>
        <w:t>，根据《建筑给水排水设计标准GB50015-2019》，绿化用水取1.0L/m</w:t>
      </w:r>
      <w:r>
        <w:rPr>
          <w:rFonts w:ascii="Times New Roman" w:hAnsi="Times New Roman" w:cs="Times New Roman"/>
          <w:vertAlign w:val="superscript"/>
        </w:rPr>
        <w:t>2</w:t>
      </w:r>
      <w:r>
        <w:rPr>
          <w:rFonts w:ascii="Times New Roman" w:hAnsi="Times New Roman" w:cs="Times New Roman"/>
        </w:rPr>
        <w:t>·d，本项目绿化用水量25m</w:t>
      </w:r>
      <w:r>
        <w:rPr>
          <w:rFonts w:ascii="Times New Roman" w:hAnsi="Times New Roman" w:cs="Times New Roman"/>
          <w:vertAlign w:val="superscript"/>
        </w:rPr>
        <w:t>3</w:t>
      </w:r>
      <w:r>
        <w:rPr>
          <w:rFonts w:ascii="Times New Roman" w:hAnsi="Times New Roman" w:cs="Times New Roman"/>
        </w:rPr>
        <w:t>/d。</w:t>
      </w:r>
    </w:p>
    <w:p>
      <w:pPr>
        <w:ind w:firstLine="0" w:firstLineChars="0"/>
        <w:rPr>
          <w:rFonts w:ascii="Times New Roman" w:hAnsi="Times New Roman" w:cs="Times New Roman"/>
        </w:rPr>
      </w:pPr>
      <w:r>
        <w:rPr>
          <w:rFonts w:ascii="Times New Roman" w:hAnsi="Times New Roman" w:cs="Times New Roman"/>
        </w:rPr>
        <w:object>
          <v:shape id="_x0000_i1037" o:spt="75" type="#_x0000_t75" style="height:429pt;width:453pt;" o:ole="t" filled="f" o:preferrelative="t" stroked="f" coordsize="21600,21600">
            <v:path/>
            <v:fill on="f" focussize="0,0"/>
            <v:stroke on="f" joinstyle="miter"/>
            <v:imagedata r:id="rId105" o:title=""/>
            <o:lock v:ext="edit" aspectratio="t"/>
            <w10:wrap type="none"/>
            <w10:anchorlock/>
          </v:shape>
          <o:OLEObject Type="Embed" ProgID="Visio.Drawing.15" ShapeID="_x0000_i1037" DrawAspect="Content" ObjectID="_1468075737" r:id="rId104">
            <o:LockedField>false</o:LockedField>
          </o:OLEObject>
        </w:object>
      </w:r>
    </w:p>
    <w:p>
      <w:pPr>
        <w:ind w:firstLine="442"/>
        <w:jc w:val="center"/>
        <w:rPr>
          <w:rFonts w:ascii="Times New Roman" w:hAnsi="Times New Roman" w:cs="Times New Roman"/>
          <w:b/>
          <w:bCs/>
          <w:sz w:val="22"/>
        </w:rPr>
      </w:pPr>
      <w:r>
        <w:rPr>
          <w:rFonts w:ascii="Times New Roman" w:hAnsi="Times New Roman" w:cs="Times New Roman"/>
          <w:b/>
          <w:bCs/>
          <w:sz w:val="22"/>
        </w:rPr>
        <w:t>图3.10-4   本项目水平衡图（单位：t/d）</w:t>
      </w:r>
    </w:p>
    <w:p>
      <w:pPr>
        <w:pStyle w:val="25"/>
        <w:ind w:firstLine="480"/>
        <w:rPr>
          <w:rFonts w:ascii="Times New Roman" w:hAnsi="Times New Roman" w:cs="Times New Roman"/>
        </w:rPr>
      </w:pPr>
    </w:p>
    <w:p>
      <w:pPr>
        <w:ind w:firstLine="462"/>
        <w:rPr>
          <w:rFonts w:ascii="Times New Roman" w:hAnsi="Times New Roman" w:cs="Times New Roman"/>
          <w:b/>
          <w:bCs/>
          <w:color w:val="auto"/>
          <w:spacing w:val="-5"/>
        </w:rPr>
      </w:pPr>
      <w:r>
        <w:rPr>
          <w:rFonts w:ascii="Times New Roman" w:hAnsi="Times New Roman" w:cs="Times New Roman"/>
          <w:b/>
          <w:bCs/>
          <w:color w:val="auto"/>
          <w:spacing w:val="-5"/>
        </w:rPr>
        <w:t>（8）本项目码头废水产生及排放情况汇总</w:t>
      </w:r>
    </w:p>
    <w:p>
      <w:pPr>
        <w:ind w:firstLine="480"/>
        <w:rPr>
          <w:rFonts w:ascii="Times New Roman" w:hAnsi="Times New Roman" w:cs="Times New Roman"/>
        </w:rPr>
      </w:pPr>
      <w:r>
        <w:rPr>
          <w:rFonts w:ascii="Times New Roman" w:hAnsi="Times New Roman" w:cs="Times New Roman"/>
        </w:rPr>
        <w:t>本项目码头各废水产生及排放情况见表3.10-25。</w:t>
      </w:r>
    </w:p>
    <w:p>
      <w:pPr>
        <w:ind w:firstLine="442"/>
        <w:jc w:val="center"/>
        <w:rPr>
          <w:rFonts w:ascii="Times New Roman" w:hAnsi="Times New Roman" w:cs="Times New Roman"/>
          <w:b/>
          <w:bCs/>
          <w:sz w:val="22"/>
        </w:rPr>
        <w:sectPr>
          <w:pgSz w:w="11906" w:h="16838"/>
          <w:pgMar w:top="1418" w:right="1418" w:bottom="1418" w:left="1418" w:header="851" w:footer="992" w:gutter="0"/>
          <w:cols w:space="720" w:num="1"/>
          <w:docGrid w:type="lines" w:linePitch="333" w:charSpace="0"/>
        </w:sectPr>
      </w:pPr>
    </w:p>
    <w:p>
      <w:pPr>
        <w:spacing w:line="240" w:lineRule="auto"/>
        <w:ind w:firstLine="422"/>
        <w:jc w:val="center"/>
        <w:rPr>
          <w:rFonts w:ascii="Times New Roman" w:hAnsi="Times New Roman" w:cs="Times New Roman"/>
          <w:b/>
          <w:bCs/>
          <w:color w:val="auto"/>
          <w:sz w:val="20"/>
          <w:szCs w:val="20"/>
        </w:rPr>
      </w:pPr>
      <w:bookmarkStart w:id="261" w:name="_Toc102984329"/>
      <w:r>
        <w:rPr>
          <w:rFonts w:ascii="Times New Roman" w:hAnsi="Times New Roman" w:cs="Times New Roman"/>
          <w:b/>
          <w:bCs/>
          <w:color w:val="auto"/>
          <w:sz w:val="21"/>
          <w:szCs w:val="21"/>
        </w:rPr>
        <w:t>表3.10-25   本项目码头水污染物排放情况</w:t>
      </w:r>
      <w:bookmarkEnd w:id="261"/>
    </w:p>
    <w:tbl>
      <w:tblPr>
        <w:tblStyle w:val="62"/>
        <w:tblW w:w="1544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74"/>
        <w:gridCol w:w="1579"/>
        <w:gridCol w:w="1003"/>
        <w:gridCol w:w="1070"/>
        <w:gridCol w:w="1171"/>
        <w:gridCol w:w="1465"/>
        <w:gridCol w:w="1434"/>
        <w:gridCol w:w="1147"/>
        <w:gridCol w:w="1095"/>
        <w:gridCol w:w="1003"/>
        <w:gridCol w:w="39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86" w:hRule="atLeast"/>
          <w:tblHeader/>
          <w:jc w:val="center"/>
        </w:trPr>
        <w:tc>
          <w:tcPr>
            <w:tcW w:w="57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序号</w:t>
            </w:r>
          </w:p>
        </w:tc>
        <w:tc>
          <w:tcPr>
            <w:tcW w:w="1579"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项目</w:t>
            </w:r>
          </w:p>
        </w:tc>
        <w:tc>
          <w:tcPr>
            <w:tcW w:w="1003"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废水量</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（t/a）</w:t>
            </w:r>
          </w:p>
        </w:tc>
        <w:tc>
          <w:tcPr>
            <w:tcW w:w="1070" w:type="dxa"/>
          </w:tcPr>
          <w:p>
            <w:pPr>
              <w:spacing w:line="240" w:lineRule="auto"/>
              <w:ind w:firstLine="0" w:firstLineChars="0"/>
              <w:contextualSpacing/>
              <w:jc w:val="center"/>
              <w:rPr>
                <w:rFonts w:ascii="Times New Roman" w:hAnsi="Times New Roman" w:cs="Times New Roman"/>
              </w:rPr>
            </w:pPr>
            <w:r>
              <w:rPr>
                <w:rFonts w:ascii="Times New Roman" w:hAnsi="Times New Roman" w:cs="Times New Roman"/>
                <w:b/>
                <w:bCs/>
                <w:color w:val="auto"/>
                <w:sz w:val="18"/>
                <w:szCs w:val="18"/>
              </w:rPr>
              <w:t>日最大废水量t/d）</w:t>
            </w:r>
          </w:p>
        </w:tc>
        <w:tc>
          <w:tcPr>
            <w:tcW w:w="117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污染因子</w:t>
            </w:r>
          </w:p>
        </w:tc>
        <w:tc>
          <w:tcPr>
            <w:tcW w:w="146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产生浓度</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（mg/L）</w:t>
            </w:r>
          </w:p>
        </w:tc>
        <w:tc>
          <w:tcPr>
            <w:tcW w:w="143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产生量</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（t/a）</w:t>
            </w:r>
          </w:p>
        </w:tc>
        <w:tc>
          <w:tcPr>
            <w:tcW w:w="1147"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排放方式</w:t>
            </w:r>
          </w:p>
        </w:tc>
        <w:tc>
          <w:tcPr>
            <w:tcW w:w="109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排放浓度</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（mg/L）</w:t>
            </w:r>
          </w:p>
        </w:tc>
        <w:tc>
          <w:tcPr>
            <w:tcW w:w="1003"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排放量</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（t/a）</w:t>
            </w:r>
          </w:p>
        </w:tc>
        <w:tc>
          <w:tcPr>
            <w:tcW w:w="3908"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处理措施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8" w:hRule="atLeast"/>
          <w:jc w:val="center"/>
        </w:trPr>
        <w:tc>
          <w:tcPr>
            <w:tcW w:w="574" w:type="dxa"/>
            <w:vMerge w:val="restart"/>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1</w:t>
            </w:r>
          </w:p>
        </w:tc>
        <w:tc>
          <w:tcPr>
            <w:tcW w:w="1579"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船舶机舱含油污水</w:t>
            </w:r>
          </w:p>
        </w:tc>
        <w:tc>
          <w:tcPr>
            <w:tcW w:w="1003"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405</w:t>
            </w:r>
          </w:p>
        </w:tc>
        <w:tc>
          <w:tcPr>
            <w:tcW w:w="1070"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1.23</w:t>
            </w: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石油类</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5000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2.03</w:t>
            </w:r>
          </w:p>
        </w:tc>
        <w:tc>
          <w:tcPr>
            <w:tcW w:w="1147"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间歇</w:t>
            </w: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0.0041</w:t>
            </w:r>
          </w:p>
        </w:tc>
        <w:tc>
          <w:tcPr>
            <w:tcW w:w="3908"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经码头船舶油污水接收装置收集后经港区含油污水处理装置预处理后送合肥循环经济示范园污水处理厂处理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0" w:hRule="atLeast"/>
          <w:jc w:val="center"/>
        </w:trPr>
        <w:tc>
          <w:tcPr>
            <w:tcW w:w="574"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157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COD</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12000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0.41</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0.041</w:t>
            </w:r>
          </w:p>
        </w:tc>
        <w:tc>
          <w:tcPr>
            <w:tcW w:w="390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81" w:hRule="atLeast"/>
          <w:jc w:val="center"/>
        </w:trPr>
        <w:tc>
          <w:tcPr>
            <w:tcW w:w="574" w:type="dxa"/>
            <w:vMerge w:val="restart"/>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2</w:t>
            </w:r>
          </w:p>
        </w:tc>
        <w:tc>
          <w:tcPr>
            <w:tcW w:w="1579"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船舶生活污水</w:t>
            </w:r>
          </w:p>
        </w:tc>
        <w:tc>
          <w:tcPr>
            <w:tcW w:w="1003"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720</w:t>
            </w:r>
          </w:p>
        </w:tc>
        <w:tc>
          <w:tcPr>
            <w:tcW w:w="1070"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2.18</w:t>
            </w: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COD</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400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0.288</w:t>
            </w:r>
          </w:p>
        </w:tc>
        <w:tc>
          <w:tcPr>
            <w:tcW w:w="1147"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间歇</w:t>
            </w: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300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0.216</w:t>
            </w:r>
          </w:p>
        </w:tc>
        <w:tc>
          <w:tcPr>
            <w:tcW w:w="3908"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经码头船舶生活污水接收装置收集后排入港区化粪池预处理后送合肥循环经济示范园污水处理厂处理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85" w:hRule="atLeast"/>
          <w:jc w:val="center"/>
        </w:trPr>
        <w:tc>
          <w:tcPr>
            <w:tcW w:w="574"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157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B</w:t>
            </w:r>
            <w:r>
              <w:rPr>
                <w:rFonts w:ascii="Times New Roman" w:hAnsi="Times New Roman" w:cs="Times New Roman"/>
                <w:color w:val="auto"/>
                <w:sz w:val="18"/>
                <w:szCs w:val="18"/>
              </w:rPr>
              <w:t>OD</w:t>
            </w:r>
            <w:r>
              <w:rPr>
                <w:rFonts w:ascii="Times New Roman" w:hAnsi="Times New Roman" w:cs="Times New Roman"/>
                <w:color w:val="auto"/>
                <w:sz w:val="18"/>
                <w:szCs w:val="18"/>
                <w:vertAlign w:val="subscript"/>
              </w:rPr>
              <w:t>5</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2</w:t>
            </w:r>
            <w:r>
              <w:rPr>
                <w:rFonts w:ascii="Times New Roman" w:hAnsi="Times New Roman" w:cs="Times New Roman"/>
                <w:color w:val="auto"/>
                <w:sz w:val="18"/>
                <w:szCs w:val="18"/>
              </w:rPr>
              <w:t>00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0.144</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50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0</w:t>
            </w:r>
            <w:r>
              <w:rPr>
                <w:rFonts w:ascii="Times New Roman" w:hAnsi="Times New Roman" w:cs="Times New Roman"/>
                <w:color w:val="auto"/>
                <w:sz w:val="18"/>
                <w:szCs w:val="18"/>
              </w:rPr>
              <w:t>.108</w:t>
            </w:r>
          </w:p>
        </w:tc>
        <w:tc>
          <w:tcPr>
            <w:tcW w:w="390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75" w:hRule="atLeast"/>
          <w:jc w:val="center"/>
        </w:trPr>
        <w:tc>
          <w:tcPr>
            <w:tcW w:w="574"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157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氨氮</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0.022</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0.018</w:t>
            </w:r>
          </w:p>
        </w:tc>
        <w:tc>
          <w:tcPr>
            <w:tcW w:w="390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89" w:hRule="atLeast"/>
          <w:jc w:val="center"/>
        </w:trPr>
        <w:tc>
          <w:tcPr>
            <w:tcW w:w="574" w:type="dxa"/>
            <w:vMerge w:val="restart"/>
            <w:vAlign w:val="center"/>
          </w:tcPr>
          <w:p>
            <w:pPr>
              <w:spacing w:line="240" w:lineRule="auto"/>
              <w:ind w:firstLine="0" w:firstLineChars="0"/>
              <w:contextualSpacing/>
              <w:jc w:val="center"/>
              <w:rPr>
                <w:rFonts w:ascii="Times New Roman" w:hAnsi="Times New Roman" w:cs="Times New Roman"/>
                <w:b/>
                <w:bCs/>
                <w:color w:val="auto"/>
                <w:sz w:val="18"/>
                <w:szCs w:val="18"/>
              </w:rPr>
            </w:pP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3</w:t>
            </w:r>
          </w:p>
        </w:tc>
        <w:tc>
          <w:tcPr>
            <w:tcW w:w="1579"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码头员工生活污水</w:t>
            </w:r>
          </w:p>
        </w:tc>
        <w:tc>
          <w:tcPr>
            <w:tcW w:w="1003"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2692</w:t>
            </w:r>
          </w:p>
        </w:tc>
        <w:tc>
          <w:tcPr>
            <w:tcW w:w="1070"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8.16</w:t>
            </w: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COD</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400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1.08</w:t>
            </w:r>
          </w:p>
        </w:tc>
        <w:tc>
          <w:tcPr>
            <w:tcW w:w="1147"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连续</w:t>
            </w: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300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0.81</w:t>
            </w:r>
          </w:p>
        </w:tc>
        <w:tc>
          <w:tcPr>
            <w:tcW w:w="3908"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经港区隔油池+化粪池预处理后接管送合肥循环经济示范园污水处理厂处理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89" w:hRule="atLeast"/>
          <w:jc w:val="center"/>
        </w:trPr>
        <w:tc>
          <w:tcPr>
            <w:tcW w:w="574"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157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B</w:t>
            </w:r>
            <w:r>
              <w:rPr>
                <w:rFonts w:ascii="Times New Roman" w:hAnsi="Times New Roman" w:cs="Times New Roman"/>
                <w:color w:val="auto"/>
                <w:sz w:val="18"/>
                <w:szCs w:val="18"/>
              </w:rPr>
              <w:t>OD</w:t>
            </w:r>
            <w:r>
              <w:rPr>
                <w:rFonts w:ascii="Times New Roman" w:hAnsi="Times New Roman" w:cs="Times New Roman"/>
                <w:color w:val="auto"/>
                <w:sz w:val="18"/>
                <w:szCs w:val="18"/>
                <w:vertAlign w:val="subscript"/>
              </w:rPr>
              <w:t>5</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2</w:t>
            </w:r>
            <w:r>
              <w:rPr>
                <w:rFonts w:ascii="Times New Roman" w:hAnsi="Times New Roman" w:cs="Times New Roman"/>
                <w:color w:val="auto"/>
                <w:sz w:val="18"/>
                <w:szCs w:val="18"/>
              </w:rPr>
              <w:t>00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0</w:t>
            </w:r>
            <w:r>
              <w:rPr>
                <w:rFonts w:ascii="Times New Roman" w:hAnsi="Times New Roman" w:cs="Times New Roman"/>
                <w:color w:val="auto"/>
                <w:sz w:val="18"/>
                <w:szCs w:val="18"/>
              </w:rPr>
              <w:t>.54</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50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0</w:t>
            </w:r>
            <w:r>
              <w:rPr>
                <w:rFonts w:ascii="Times New Roman" w:hAnsi="Times New Roman" w:cs="Times New Roman"/>
                <w:color w:val="auto"/>
                <w:sz w:val="18"/>
                <w:szCs w:val="18"/>
              </w:rPr>
              <w:t>.40</w:t>
            </w:r>
          </w:p>
        </w:tc>
        <w:tc>
          <w:tcPr>
            <w:tcW w:w="390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00" w:hRule="atLeast"/>
          <w:jc w:val="center"/>
        </w:trPr>
        <w:tc>
          <w:tcPr>
            <w:tcW w:w="574"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157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氨氮</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0.081</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0.067</w:t>
            </w:r>
          </w:p>
        </w:tc>
        <w:tc>
          <w:tcPr>
            <w:tcW w:w="390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74" w:hRule="atLeast"/>
          <w:jc w:val="center"/>
        </w:trPr>
        <w:tc>
          <w:tcPr>
            <w:tcW w:w="574"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157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动植物油</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0.27</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0.027</w:t>
            </w:r>
          </w:p>
        </w:tc>
        <w:tc>
          <w:tcPr>
            <w:tcW w:w="390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65" w:hRule="atLeast"/>
          <w:jc w:val="center"/>
        </w:trPr>
        <w:tc>
          <w:tcPr>
            <w:tcW w:w="574" w:type="dxa"/>
            <w:vMerge w:val="restart"/>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4</w:t>
            </w:r>
          </w:p>
        </w:tc>
        <w:tc>
          <w:tcPr>
            <w:tcW w:w="1579"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冲洗废水</w:t>
            </w:r>
          </w:p>
        </w:tc>
        <w:tc>
          <w:tcPr>
            <w:tcW w:w="1003"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11160</w:t>
            </w:r>
          </w:p>
        </w:tc>
        <w:tc>
          <w:tcPr>
            <w:tcW w:w="1070"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111.6</w:t>
            </w: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PH</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5-10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47"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间歇</w:t>
            </w: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3908"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酸碱储罐冲洗废水单独收集经中和池预处理后，与码头平台、油品罐区、装车区冲洗废水通过排水沟、集污池等收集泵送及自流进入密闭式含油污水处理装置进行处理后，接管进入合肥循环经济示范园污水处理厂进行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78" w:hRule="atLeast"/>
          <w:jc w:val="center"/>
        </w:trPr>
        <w:tc>
          <w:tcPr>
            <w:tcW w:w="574"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157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COD</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250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1.67</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1.11</w:t>
            </w:r>
          </w:p>
        </w:tc>
        <w:tc>
          <w:tcPr>
            <w:tcW w:w="390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85" w:hRule="atLeast"/>
          <w:jc w:val="center"/>
        </w:trPr>
        <w:tc>
          <w:tcPr>
            <w:tcW w:w="574"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157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SS</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400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0.89</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50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0.56</w:t>
            </w:r>
          </w:p>
        </w:tc>
        <w:tc>
          <w:tcPr>
            <w:tcW w:w="390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04" w:hRule="atLeast"/>
          <w:jc w:val="center"/>
        </w:trPr>
        <w:tc>
          <w:tcPr>
            <w:tcW w:w="574"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157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石油类</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4.46</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0.11</w:t>
            </w:r>
          </w:p>
        </w:tc>
        <w:tc>
          <w:tcPr>
            <w:tcW w:w="390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25" w:hRule="atLeast"/>
          <w:jc w:val="center"/>
        </w:trPr>
        <w:tc>
          <w:tcPr>
            <w:tcW w:w="574" w:type="dxa"/>
            <w:vMerge w:val="restart"/>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5</w:t>
            </w:r>
          </w:p>
        </w:tc>
        <w:tc>
          <w:tcPr>
            <w:tcW w:w="1579"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油罐切水废水</w:t>
            </w:r>
          </w:p>
        </w:tc>
        <w:tc>
          <w:tcPr>
            <w:tcW w:w="1003"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210</w:t>
            </w:r>
          </w:p>
        </w:tc>
        <w:tc>
          <w:tcPr>
            <w:tcW w:w="1070"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40</w:t>
            </w: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COD</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2400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0.504</w:t>
            </w:r>
          </w:p>
        </w:tc>
        <w:tc>
          <w:tcPr>
            <w:tcW w:w="1147"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间歇</w:t>
            </w: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0.021</w:t>
            </w:r>
          </w:p>
        </w:tc>
        <w:tc>
          <w:tcPr>
            <w:tcW w:w="3908"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密闭管线泵送进入600m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的密闭式含油污水处理装置进行处理后，接管进入合肥循环经济示范园污水处理厂进行处理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42" w:hRule="atLeast"/>
          <w:jc w:val="center"/>
        </w:trPr>
        <w:tc>
          <w:tcPr>
            <w:tcW w:w="574"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157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石油类</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0.21</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0.0021</w:t>
            </w:r>
          </w:p>
        </w:tc>
        <w:tc>
          <w:tcPr>
            <w:tcW w:w="390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3" w:hRule="atLeast"/>
          <w:jc w:val="center"/>
        </w:trPr>
        <w:tc>
          <w:tcPr>
            <w:tcW w:w="574" w:type="dxa"/>
            <w:vMerge w:val="restart"/>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6</w:t>
            </w:r>
          </w:p>
        </w:tc>
        <w:tc>
          <w:tcPr>
            <w:tcW w:w="1579"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初期雨水</w:t>
            </w:r>
          </w:p>
        </w:tc>
        <w:tc>
          <w:tcPr>
            <w:tcW w:w="1003"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351m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/次</w:t>
            </w:r>
          </w:p>
        </w:tc>
        <w:tc>
          <w:tcPr>
            <w:tcW w:w="1070"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351</w:t>
            </w: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 xml:space="preserve">COD </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200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11.34</w:t>
            </w:r>
          </w:p>
        </w:tc>
        <w:tc>
          <w:tcPr>
            <w:tcW w:w="1147"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间歇</w:t>
            </w: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3908"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通过排水沟、集污池等收集泵送及自流入后方罐区容积为600m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的密闭式含油污水收集池（初期雨水收集池）内，再分批通过密闭式含油污水处理装置处理后进入合肥循环经济示范园污水处理厂进行处理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5" w:hRule="atLeast"/>
          <w:jc w:val="center"/>
        </w:trPr>
        <w:tc>
          <w:tcPr>
            <w:tcW w:w="574"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157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石油类</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60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3.4</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390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67" w:hRule="atLeast"/>
          <w:jc w:val="center"/>
        </w:trPr>
        <w:tc>
          <w:tcPr>
            <w:tcW w:w="574" w:type="dxa"/>
            <w:vMerge w:val="continue"/>
            <w:vAlign w:val="center"/>
          </w:tcPr>
          <w:p>
            <w:pPr>
              <w:spacing w:line="240" w:lineRule="auto"/>
              <w:ind w:firstLine="0" w:firstLineChars="0"/>
              <w:contextualSpacing/>
              <w:jc w:val="center"/>
              <w:rPr>
                <w:rFonts w:ascii="Times New Roman" w:hAnsi="Times New Roman" w:cs="Times New Roman"/>
                <w:b/>
                <w:bCs/>
                <w:color w:val="auto"/>
                <w:sz w:val="18"/>
                <w:szCs w:val="18"/>
              </w:rPr>
            </w:pPr>
          </w:p>
        </w:tc>
        <w:tc>
          <w:tcPr>
            <w:tcW w:w="1579"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SS</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50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3908"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67" w:hRule="atLeast"/>
          <w:jc w:val="center"/>
        </w:trPr>
        <w:tc>
          <w:tcPr>
            <w:tcW w:w="57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7</w:t>
            </w:r>
          </w:p>
        </w:tc>
        <w:tc>
          <w:tcPr>
            <w:tcW w:w="157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化验室废水</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45</w:t>
            </w:r>
          </w:p>
        </w:tc>
        <w:tc>
          <w:tcPr>
            <w:tcW w:w="107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0.45</w:t>
            </w: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PH、COD</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4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间歇</w:t>
            </w: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39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化验室室内积存桶统一收集，定期外运至具有资质的危险废物处置单位进行处置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18" w:hRule="atLeast"/>
          <w:jc w:val="center"/>
        </w:trPr>
        <w:tc>
          <w:tcPr>
            <w:tcW w:w="574" w:type="dxa"/>
            <w:vMerge w:val="restart"/>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8</w:t>
            </w:r>
          </w:p>
        </w:tc>
        <w:tc>
          <w:tcPr>
            <w:tcW w:w="1579"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罐区洗罐废水</w:t>
            </w:r>
          </w:p>
        </w:tc>
        <w:tc>
          <w:tcPr>
            <w:tcW w:w="1003"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1000m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/次（5年）</w:t>
            </w:r>
          </w:p>
        </w:tc>
        <w:tc>
          <w:tcPr>
            <w:tcW w:w="1070"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COD</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1.0t/次</w:t>
            </w:r>
          </w:p>
        </w:tc>
        <w:tc>
          <w:tcPr>
            <w:tcW w:w="1147"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次/5年</w:t>
            </w: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1.0t/次</w:t>
            </w:r>
          </w:p>
        </w:tc>
        <w:tc>
          <w:tcPr>
            <w:tcW w:w="3908"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本工程储罐清洗委托有资质的专业清洗队伍进行清洗，洗罐废水由专业清洗队伍接收处置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3" w:hRule="atLeast"/>
          <w:jc w:val="center"/>
        </w:trPr>
        <w:tc>
          <w:tcPr>
            <w:tcW w:w="574" w:type="dxa"/>
            <w:vMerge w:val="continue"/>
            <w:vAlign w:val="center"/>
          </w:tcPr>
          <w:p>
            <w:pPr>
              <w:spacing w:line="240" w:lineRule="auto"/>
              <w:ind w:firstLine="360"/>
              <w:rPr>
                <w:rFonts w:ascii="Times New Roman" w:hAnsi="Times New Roman" w:cs="Times New Roman"/>
                <w:color w:val="auto"/>
                <w:sz w:val="18"/>
                <w:szCs w:val="18"/>
              </w:rPr>
            </w:pPr>
          </w:p>
        </w:tc>
        <w:tc>
          <w:tcPr>
            <w:tcW w:w="1579" w:type="dxa"/>
            <w:vMerge w:val="continue"/>
            <w:vAlign w:val="center"/>
          </w:tcPr>
          <w:p>
            <w:pPr>
              <w:spacing w:line="240" w:lineRule="auto"/>
              <w:ind w:firstLine="360"/>
              <w:rPr>
                <w:rFonts w:ascii="Times New Roman" w:hAnsi="Times New Roman" w:cs="Times New Roman"/>
                <w:color w:val="auto"/>
                <w:sz w:val="18"/>
                <w:szCs w:val="18"/>
              </w:rPr>
            </w:pPr>
          </w:p>
        </w:tc>
        <w:tc>
          <w:tcPr>
            <w:tcW w:w="1003" w:type="dxa"/>
            <w:vMerge w:val="continue"/>
            <w:vAlign w:val="center"/>
          </w:tcPr>
          <w:p>
            <w:pPr>
              <w:spacing w:line="240" w:lineRule="auto"/>
              <w:ind w:firstLine="360"/>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石油类</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300</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0.3t/次</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300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0.3t/次</w:t>
            </w:r>
          </w:p>
        </w:tc>
        <w:tc>
          <w:tcPr>
            <w:tcW w:w="3908" w:type="dxa"/>
            <w:vMerge w:val="continue"/>
            <w:vAlign w:val="center"/>
          </w:tcPr>
          <w:p>
            <w:pPr>
              <w:spacing w:line="240" w:lineRule="auto"/>
              <w:ind w:firstLine="360"/>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07" w:hRule="atLeast"/>
          <w:jc w:val="center"/>
        </w:trPr>
        <w:tc>
          <w:tcPr>
            <w:tcW w:w="2153" w:type="dxa"/>
            <w:gridSpan w:val="2"/>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进含油污水处理系统的综合废水</w:t>
            </w:r>
          </w:p>
        </w:tc>
        <w:tc>
          <w:tcPr>
            <w:tcW w:w="1003"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50287</w:t>
            </w:r>
          </w:p>
        </w:tc>
        <w:tc>
          <w:tcPr>
            <w:tcW w:w="1070"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152.83*</w:t>
            </w: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COD</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907.3</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47" w:type="dxa"/>
            <w:vMerge w:val="restart"/>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间歇</w:t>
            </w: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5.03</w:t>
            </w:r>
          </w:p>
        </w:tc>
        <w:tc>
          <w:tcPr>
            <w:tcW w:w="3908"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通过排水沟、集污池等收集泵送及自流入后方罐区容积为600m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的密闭式含油污水收集池（兼初期雨水收集池）内，再分批通过密闭式含油污水处理装置处理后进入合肥循环经济示范园污水处理厂进行处理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9" w:hRule="atLeast"/>
          <w:jc w:val="center"/>
        </w:trPr>
        <w:tc>
          <w:tcPr>
            <w:tcW w:w="2153" w:type="dxa"/>
            <w:gridSpan w:val="2"/>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石油类</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360.4</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0.5</w:t>
            </w:r>
          </w:p>
        </w:tc>
        <w:tc>
          <w:tcPr>
            <w:tcW w:w="3908" w:type="dxa"/>
            <w:vMerge w:val="continue"/>
            <w:vAlign w:val="center"/>
          </w:tcPr>
          <w:p>
            <w:pPr>
              <w:spacing w:line="240" w:lineRule="auto"/>
              <w:ind w:firstLine="360"/>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00" w:hRule="atLeast"/>
          <w:jc w:val="center"/>
        </w:trPr>
        <w:tc>
          <w:tcPr>
            <w:tcW w:w="2153" w:type="dxa"/>
            <w:gridSpan w:val="2"/>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70"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17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SS</w:t>
            </w:r>
          </w:p>
        </w:tc>
        <w:tc>
          <w:tcPr>
            <w:tcW w:w="146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292.1</w:t>
            </w:r>
          </w:p>
        </w:tc>
        <w:tc>
          <w:tcPr>
            <w:tcW w:w="14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47" w:type="dxa"/>
            <w:vMerge w:val="continue"/>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9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50</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2.51</w:t>
            </w:r>
          </w:p>
        </w:tc>
        <w:tc>
          <w:tcPr>
            <w:tcW w:w="3908" w:type="dxa"/>
            <w:vMerge w:val="continue"/>
            <w:vAlign w:val="center"/>
          </w:tcPr>
          <w:p>
            <w:pPr>
              <w:spacing w:line="240" w:lineRule="auto"/>
              <w:ind w:firstLine="360"/>
              <w:rPr>
                <w:rFonts w:ascii="Times New Roman" w:hAnsi="Times New Roman" w:cs="Times New Roman"/>
                <w:color w:val="auto"/>
                <w:sz w:val="18"/>
                <w:szCs w:val="18"/>
              </w:rPr>
            </w:pPr>
          </w:p>
        </w:tc>
      </w:tr>
    </w:tbl>
    <w:p>
      <w:pPr>
        <w:ind w:firstLine="402"/>
        <w:rPr>
          <w:rFonts w:ascii="Times New Roman" w:hAnsi="Times New Roman" w:cs="Times New Roman"/>
          <w:b/>
          <w:bCs/>
          <w:sz w:val="20"/>
          <w:szCs w:val="18"/>
        </w:rPr>
        <w:sectPr>
          <w:pgSz w:w="16838" w:h="11906" w:orient="landscape"/>
          <w:pgMar w:top="1418" w:right="1418" w:bottom="1418" w:left="1418" w:header="851" w:footer="992" w:gutter="0"/>
          <w:cols w:space="720" w:num="1"/>
          <w:docGrid w:type="linesAndChars" w:linePitch="333" w:charSpace="0"/>
        </w:sectPr>
      </w:pPr>
      <w:r>
        <w:rPr>
          <w:rFonts w:ascii="Times New Roman" w:hAnsi="Times New Roman" w:cs="Times New Roman"/>
          <w:b/>
          <w:bCs/>
          <w:sz w:val="20"/>
          <w:szCs w:val="18"/>
        </w:rPr>
        <w:t>*注：冲洗废水与初期雨水不同时产生，本次评价考虑进含油污水处理系统综合水质较差的情形。密闭式含油污水收集池容积按一次最大进水量进行设计。</w:t>
      </w:r>
    </w:p>
    <w:p>
      <w:pPr>
        <w:pStyle w:val="4"/>
        <w:numPr>
          <w:ilvl w:val="2"/>
          <w:numId w:val="0"/>
        </w:numPr>
        <w:spacing w:before="166" w:beforeLines="50"/>
        <w:jc w:val="both"/>
        <w:rPr>
          <w:rFonts w:ascii="Times New Roman" w:hAnsi="Times New Roman" w:cs="Times New Roman"/>
          <w:color w:val="auto"/>
        </w:rPr>
      </w:pPr>
      <w:bookmarkStart w:id="262" w:name="_Toc104733362"/>
      <w:r>
        <w:rPr>
          <w:rFonts w:ascii="Times New Roman" w:hAnsi="Times New Roman" w:cs="Times New Roman"/>
          <w:color w:val="auto"/>
        </w:rPr>
        <w:t>3.10.3运营期噪声</w:t>
      </w:r>
      <w:bookmarkEnd w:id="260"/>
      <w:bookmarkEnd w:id="262"/>
    </w:p>
    <w:p>
      <w:pPr>
        <w:adjustRightInd/>
        <w:snapToGrid/>
        <w:ind w:firstLine="480"/>
        <w:rPr>
          <w:rFonts w:ascii="Times New Roman" w:hAnsi="Times New Roman" w:cs="Times New Roman"/>
          <w:color w:val="auto"/>
          <w:kern w:val="0"/>
          <w:szCs w:val="24"/>
          <w:shd w:val="clear" w:color="auto" w:fill="FFFFFF"/>
        </w:rPr>
      </w:pPr>
      <w:bookmarkStart w:id="263" w:name="_Toc102984332"/>
      <w:r>
        <w:rPr>
          <w:rFonts w:ascii="Times New Roman" w:hAnsi="Times New Roman" w:cs="Times New Roman"/>
          <w:color w:val="auto"/>
          <w:szCs w:val="24"/>
          <w:shd w:val="clear" w:color="auto" w:fill="FFFFFF"/>
        </w:rPr>
        <w:t>项目营运期正常工况下产生的噪声主要有装卸机泵、压缩机、风机、制氮机等设备产生的机械噪声等，噪声值约80~90dB（A）。</w:t>
      </w:r>
      <w:r>
        <w:rPr>
          <w:rFonts w:ascii="Times New Roman" w:hAnsi="Times New Roman" w:cs="Times New Roman"/>
          <w:color w:val="auto"/>
          <w:kern w:val="0"/>
          <w:szCs w:val="24"/>
          <w:shd w:val="clear" w:color="auto" w:fill="FFFFFF"/>
        </w:rPr>
        <w:t>项目营运期主要噪声源见表</w:t>
      </w:r>
      <w:r>
        <w:rPr>
          <w:rFonts w:ascii="Times New Roman" w:hAnsi="Times New Roman" w:eastAsia="TimesNewRomanPSMT" w:cs="Times New Roman"/>
          <w:color w:val="auto"/>
          <w:kern w:val="0"/>
          <w:szCs w:val="24"/>
          <w:shd w:val="clear" w:color="auto" w:fill="FFFFFF"/>
        </w:rPr>
        <w:t>3.10-26</w:t>
      </w:r>
      <w:r>
        <w:rPr>
          <w:rFonts w:ascii="Times New Roman" w:hAnsi="Times New Roman" w:cs="Times New Roman"/>
          <w:color w:val="auto"/>
          <w:kern w:val="0"/>
          <w:szCs w:val="24"/>
          <w:shd w:val="clear" w:color="auto" w:fill="FFFFFF"/>
        </w:rPr>
        <w:t>。</w:t>
      </w:r>
    </w:p>
    <w:p>
      <w:pPr>
        <w:ind w:firstLine="422"/>
        <w:jc w:val="center"/>
        <w:rPr>
          <w:rFonts w:ascii="Times New Roman" w:hAnsi="Times New Roman" w:cs="Times New Roman"/>
          <w:b/>
          <w:bCs/>
          <w:color w:val="auto"/>
          <w:sz w:val="20"/>
          <w:szCs w:val="20"/>
        </w:rPr>
      </w:pPr>
      <w:r>
        <w:rPr>
          <w:rFonts w:ascii="Times New Roman" w:hAnsi="Times New Roman" w:cs="Times New Roman"/>
          <w:b/>
          <w:bCs/>
          <w:color w:val="auto"/>
          <w:sz w:val="21"/>
          <w:szCs w:val="21"/>
        </w:rPr>
        <w:t>表3.10-26     项目营运期主要噪声排放情况一览表</w:t>
      </w:r>
    </w:p>
    <w:tbl>
      <w:tblPr>
        <w:tblStyle w:val="62"/>
        <w:tblW w:w="939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91"/>
        <w:gridCol w:w="1381"/>
        <w:gridCol w:w="1189"/>
        <w:gridCol w:w="702"/>
        <w:gridCol w:w="1112"/>
        <w:gridCol w:w="1112"/>
        <w:gridCol w:w="1003"/>
        <w:gridCol w:w="22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62" w:hRule="atLeast"/>
          <w:tblHeader/>
          <w:jc w:val="center"/>
        </w:trPr>
        <w:tc>
          <w:tcPr>
            <w:tcW w:w="69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序号</w:t>
            </w:r>
          </w:p>
        </w:tc>
        <w:tc>
          <w:tcPr>
            <w:tcW w:w="138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源强位置</w:t>
            </w:r>
          </w:p>
        </w:tc>
        <w:tc>
          <w:tcPr>
            <w:tcW w:w="1189"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机械名称</w:t>
            </w:r>
          </w:p>
        </w:tc>
        <w:tc>
          <w:tcPr>
            <w:tcW w:w="702"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台数</w:t>
            </w:r>
          </w:p>
        </w:tc>
        <w:tc>
          <w:tcPr>
            <w:tcW w:w="1112"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声压级</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[dB(A)]</w:t>
            </w:r>
          </w:p>
        </w:tc>
        <w:tc>
          <w:tcPr>
            <w:tcW w:w="1112"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hint="eastAsia" w:ascii="Times New Roman" w:hAnsi="Times New Roman" w:cs="Times New Roman"/>
                <w:b/>
                <w:bCs/>
                <w:color w:val="auto"/>
                <w:sz w:val="18"/>
                <w:szCs w:val="18"/>
              </w:rPr>
              <w:t>测点位置</w:t>
            </w:r>
          </w:p>
        </w:tc>
        <w:tc>
          <w:tcPr>
            <w:tcW w:w="1003"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布置方式</w:t>
            </w:r>
          </w:p>
        </w:tc>
        <w:tc>
          <w:tcPr>
            <w:tcW w:w="220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设备降噪措施及</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降噪效果dB（A）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14" w:hRule="atLeast"/>
          <w:jc w:val="center"/>
        </w:trPr>
        <w:tc>
          <w:tcPr>
            <w:tcW w:w="69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1</w:t>
            </w:r>
          </w:p>
        </w:tc>
        <w:tc>
          <w:tcPr>
            <w:tcW w:w="138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公路装车区</w:t>
            </w:r>
          </w:p>
        </w:tc>
        <w:tc>
          <w:tcPr>
            <w:tcW w:w="118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公路装车泵</w:t>
            </w:r>
          </w:p>
        </w:tc>
        <w:tc>
          <w:tcPr>
            <w:tcW w:w="70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室内</w:t>
            </w:r>
          </w:p>
        </w:tc>
        <w:tc>
          <w:tcPr>
            <w:tcW w:w="22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减振、厂房隔声，综合降噪量不少于15dB(A)。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14" w:hRule="atLeast"/>
          <w:jc w:val="center"/>
        </w:trPr>
        <w:tc>
          <w:tcPr>
            <w:tcW w:w="69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2</w:t>
            </w:r>
          </w:p>
        </w:tc>
        <w:tc>
          <w:tcPr>
            <w:tcW w:w="138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码头平台</w:t>
            </w:r>
          </w:p>
        </w:tc>
        <w:tc>
          <w:tcPr>
            <w:tcW w:w="118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卸船泵</w:t>
            </w:r>
          </w:p>
        </w:tc>
        <w:tc>
          <w:tcPr>
            <w:tcW w:w="70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7</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室内</w:t>
            </w:r>
          </w:p>
        </w:tc>
        <w:tc>
          <w:tcPr>
            <w:tcW w:w="22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减振、厂房隔声，综合降噪量不少于15dB(A)。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14" w:hRule="atLeast"/>
          <w:jc w:val="center"/>
        </w:trPr>
        <w:tc>
          <w:tcPr>
            <w:tcW w:w="69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3</w:t>
            </w:r>
          </w:p>
        </w:tc>
        <w:tc>
          <w:tcPr>
            <w:tcW w:w="138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公路装车区</w:t>
            </w:r>
          </w:p>
        </w:tc>
        <w:tc>
          <w:tcPr>
            <w:tcW w:w="118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乙醇调和泵</w:t>
            </w:r>
          </w:p>
        </w:tc>
        <w:tc>
          <w:tcPr>
            <w:tcW w:w="70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室内</w:t>
            </w:r>
          </w:p>
        </w:tc>
        <w:tc>
          <w:tcPr>
            <w:tcW w:w="22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减振、厂房隔声，综合降噪量不少于15dB(A)。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14" w:hRule="atLeast"/>
          <w:jc w:val="center"/>
        </w:trPr>
        <w:tc>
          <w:tcPr>
            <w:tcW w:w="69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4</w:t>
            </w:r>
          </w:p>
        </w:tc>
        <w:tc>
          <w:tcPr>
            <w:tcW w:w="138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码头平台</w:t>
            </w:r>
          </w:p>
        </w:tc>
        <w:tc>
          <w:tcPr>
            <w:tcW w:w="118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扫仓泵</w:t>
            </w:r>
          </w:p>
        </w:tc>
        <w:tc>
          <w:tcPr>
            <w:tcW w:w="70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室内</w:t>
            </w:r>
          </w:p>
        </w:tc>
        <w:tc>
          <w:tcPr>
            <w:tcW w:w="22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减振、厂房隔声，综合降噪量不少于15dB(A)。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14" w:hRule="atLeast"/>
          <w:jc w:val="center"/>
        </w:trPr>
        <w:tc>
          <w:tcPr>
            <w:tcW w:w="69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5</w:t>
            </w:r>
          </w:p>
        </w:tc>
        <w:tc>
          <w:tcPr>
            <w:tcW w:w="138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公路卸车区</w:t>
            </w:r>
          </w:p>
        </w:tc>
        <w:tc>
          <w:tcPr>
            <w:tcW w:w="118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卸车泵</w:t>
            </w:r>
          </w:p>
        </w:tc>
        <w:tc>
          <w:tcPr>
            <w:tcW w:w="70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室内</w:t>
            </w:r>
          </w:p>
        </w:tc>
        <w:tc>
          <w:tcPr>
            <w:tcW w:w="22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减振、厂房隔声，综合降噪量不少于15dB(A)。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5" w:hRule="atLeast"/>
          <w:jc w:val="center"/>
        </w:trPr>
        <w:tc>
          <w:tcPr>
            <w:tcW w:w="69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6</w:t>
            </w:r>
          </w:p>
        </w:tc>
        <w:tc>
          <w:tcPr>
            <w:tcW w:w="138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码头平台</w:t>
            </w:r>
          </w:p>
        </w:tc>
        <w:tc>
          <w:tcPr>
            <w:tcW w:w="118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装船泵</w:t>
            </w:r>
          </w:p>
        </w:tc>
        <w:tc>
          <w:tcPr>
            <w:tcW w:w="70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室外</w:t>
            </w:r>
          </w:p>
        </w:tc>
        <w:tc>
          <w:tcPr>
            <w:tcW w:w="22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减振，综合降噪量不少于10dB(A)。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5" w:hRule="atLeast"/>
          <w:jc w:val="center"/>
        </w:trPr>
        <w:tc>
          <w:tcPr>
            <w:tcW w:w="69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7</w:t>
            </w:r>
          </w:p>
        </w:tc>
        <w:tc>
          <w:tcPr>
            <w:tcW w:w="138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含油污水处理装置</w:t>
            </w:r>
          </w:p>
        </w:tc>
        <w:tc>
          <w:tcPr>
            <w:tcW w:w="118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污水泵</w:t>
            </w:r>
          </w:p>
        </w:tc>
        <w:tc>
          <w:tcPr>
            <w:tcW w:w="70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室外</w:t>
            </w:r>
          </w:p>
        </w:tc>
        <w:tc>
          <w:tcPr>
            <w:tcW w:w="22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减振，综合降噪量不少于10dB(A)。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5" w:hRule="atLeast"/>
          <w:jc w:val="center"/>
        </w:trPr>
        <w:tc>
          <w:tcPr>
            <w:tcW w:w="69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8</w:t>
            </w:r>
          </w:p>
        </w:tc>
        <w:tc>
          <w:tcPr>
            <w:tcW w:w="138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氮气站</w:t>
            </w:r>
          </w:p>
        </w:tc>
        <w:tc>
          <w:tcPr>
            <w:tcW w:w="118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制氮机</w:t>
            </w:r>
          </w:p>
        </w:tc>
        <w:tc>
          <w:tcPr>
            <w:tcW w:w="70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90</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室内</w:t>
            </w:r>
          </w:p>
        </w:tc>
        <w:tc>
          <w:tcPr>
            <w:tcW w:w="22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减振，综合降噪量不少于10dB(A)。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5" w:hRule="atLeast"/>
          <w:jc w:val="center"/>
        </w:trPr>
        <w:tc>
          <w:tcPr>
            <w:tcW w:w="69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9</w:t>
            </w:r>
          </w:p>
        </w:tc>
        <w:tc>
          <w:tcPr>
            <w:tcW w:w="138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泡沫站</w:t>
            </w:r>
          </w:p>
        </w:tc>
        <w:tc>
          <w:tcPr>
            <w:tcW w:w="118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空调外机</w:t>
            </w:r>
          </w:p>
        </w:tc>
        <w:tc>
          <w:tcPr>
            <w:tcW w:w="70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80</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室外</w:t>
            </w:r>
          </w:p>
        </w:tc>
        <w:tc>
          <w:tcPr>
            <w:tcW w:w="22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减振，综合降噪量不少于10dB(A)。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8" w:hRule="atLeast"/>
          <w:jc w:val="center"/>
        </w:trPr>
        <w:tc>
          <w:tcPr>
            <w:tcW w:w="691"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10</w:t>
            </w:r>
          </w:p>
        </w:tc>
        <w:tc>
          <w:tcPr>
            <w:tcW w:w="1381"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厂内</w:t>
            </w:r>
          </w:p>
        </w:tc>
        <w:tc>
          <w:tcPr>
            <w:tcW w:w="118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运输罐车</w:t>
            </w:r>
          </w:p>
        </w:tc>
        <w:tc>
          <w:tcPr>
            <w:tcW w:w="70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75</w:t>
            </w:r>
          </w:p>
        </w:tc>
        <w:tc>
          <w:tcPr>
            <w:tcW w:w="1112" w:type="dxa"/>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00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室外</w:t>
            </w:r>
          </w:p>
        </w:tc>
        <w:tc>
          <w:tcPr>
            <w:tcW w:w="22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bl>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项目通过选用低噪声、少振动的设备，对产生较大噪声和振动的设备，采取消声、吸声、隔声及减振等措施降低噪声对环境的影响。</w:t>
      </w:r>
    </w:p>
    <w:p>
      <w:pPr>
        <w:pStyle w:val="4"/>
        <w:numPr>
          <w:ilvl w:val="2"/>
          <w:numId w:val="0"/>
        </w:numPr>
        <w:jc w:val="both"/>
        <w:rPr>
          <w:rFonts w:ascii="Times New Roman" w:hAnsi="Times New Roman" w:cs="Times New Roman"/>
          <w:color w:val="auto"/>
        </w:rPr>
      </w:pPr>
      <w:bookmarkStart w:id="264" w:name="_Toc104733363"/>
      <w:r>
        <w:rPr>
          <w:rFonts w:ascii="Times New Roman" w:hAnsi="Times New Roman" w:cs="Times New Roman"/>
          <w:color w:val="auto"/>
        </w:rPr>
        <w:t>3.10.4运营期固体废物</w:t>
      </w:r>
      <w:bookmarkEnd w:id="263"/>
      <w:bookmarkEnd w:id="264"/>
    </w:p>
    <w:p>
      <w:pPr>
        <w:pStyle w:val="25"/>
        <w:spacing w:line="360" w:lineRule="auto"/>
        <w:ind w:right="142" w:firstLine="480"/>
        <w:rPr>
          <w:rFonts w:ascii="Times New Roman" w:hAnsi="Times New Roman" w:cs="Times New Roman"/>
          <w:color w:val="auto"/>
        </w:rPr>
      </w:pPr>
      <w:r>
        <w:rPr>
          <w:rFonts w:ascii="Times New Roman" w:hAnsi="Times New Roman" w:cs="Times New Roman"/>
          <w:color w:val="auto"/>
        </w:rPr>
        <w:t>本项目营运期产生的固废主要是到港船舶垃圾、码头工作人员生活垃圾，以及油污水处理油泥、废弃棉纱、废活性炭。</w:t>
      </w:r>
    </w:p>
    <w:p>
      <w:pPr>
        <w:pStyle w:val="25"/>
        <w:spacing w:before="1" w:line="360" w:lineRule="auto"/>
        <w:ind w:firstLine="439" w:firstLineChars="183"/>
        <w:rPr>
          <w:rFonts w:ascii="Times New Roman" w:hAnsi="Times New Roman" w:cs="Times New Roman"/>
          <w:color w:val="auto"/>
        </w:rPr>
      </w:pPr>
      <w:r>
        <w:rPr>
          <w:rFonts w:ascii="Times New Roman" w:hAnsi="Times New Roman" w:cs="Times New Roman"/>
          <w:color w:val="auto"/>
        </w:rPr>
        <w:t>（1）船舶生活垃圾</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根据《船舶水污染物排放控制标准》（GB 3552-2018），船舶垃圾指产生于船舶正常营运期间，需要连续或定期处理的废弃物，包括各种塑料废弃物、食品废弃物、生活废弃物、废弃植物油、操作废弃物、货物残留物等。《船舶水污染物排放控制标准》（GB 3552-2018）中规定：7.1 内河禁止倾倒船舶垃圾。</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按照本项目到港船舶艘次、停留时间，</w:t>
      </w:r>
      <w:r>
        <w:rPr>
          <w:rFonts w:ascii="Times New Roman" w:hAnsi="Times New Roman" w:cs="Times New Roman"/>
          <w:color w:val="auto"/>
          <w:szCs w:val="24"/>
        </w:rPr>
        <w:t>按照《水运工程环境保护设计规范》（JTS149-2018）进行计算，</w:t>
      </w:r>
      <w:r>
        <w:rPr>
          <w:rFonts w:ascii="Times New Roman" w:hAnsi="Times New Roman" w:cs="Times New Roman"/>
          <w:color w:val="auto"/>
        </w:rPr>
        <w:t>每人每天生活垃圾产生量按 1.5kg/人.d 计，估算本项目营运期到港船舶垃圾产生量约27.0t/a</w:t>
      </w:r>
      <w:r>
        <w:fldChar w:fldCharType="begin"/>
      </w:r>
      <w:r>
        <w:instrText xml:space="preserve"> HYPERLINK \l "_bookmark70" </w:instrText>
      </w:r>
      <w:r>
        <w:fldChar w:fldCharType="separate"/>
      </w:r>
      <w:r>
        <w:rPr>
          <w:rFonts w:ascii="Times New Roman" w:hAnsi="Times New Roman" w:cs="Times New Roman"/>
          <w:color w:val="auto"/>
        </w:rPr>
        <w:t>，详见表3.10-</w:t>
      </w:r>
      <w:r>
        <w:rPr>
          <w:rFonts w:ascii="Times New Roman" w:hAnsi="Times New Roman" w:cs="Times New Roman"/>
          <w:color w:val="auto"/>
        </w:rPr>
        <w:fldChar w:fldCharType="end"/>
      </w:r>
      <w:r>
        <w:rPr>
          <w:rFonts w:ascii="Times New Roman" w:hAnsi="Times New Roman" w:cs="Times New Roman"/>
          <w:color w:val="auto"/>
        </w:rPr>
        <w:t>27。</w:t>
      </w:r>
    </w:p>
    <w:p>
      <w:pPr>
        <w:spacing w:line="240" w:lineRule="auto"/>
        <w:ind w:firstLine="442"/>
        <w:jc w:val="center"/>
        <w:rPr>
          <w:rFonts w:ascii="Times New Roman" w:hAnsi="Times New Roman" w:cs="Times New Roman"/>
          <w:b/>
          <w:bCs/>
          <w:color w:val="auto"/>
          <w:sz w:val="22"/>
        </w:rPr>
      </w:pPr>
      <w:bookmarkStart w:id="265" w:name="_Toc102984333"/>
    </w:p>
    <w:p>
      <w:pPr>
        <w:spacing w:line="240" w:lineRule="auto"/>
        <w:ind w:firstLine="442"/>
        <w:jc w:val="center"/>
        <w:rPr>
          <w:rFonts w:ascii="Times New Roman" w:hAnsi="Times New Roman" w:cs="Times New Roman"/>
          <w:b/>
          <w:bCs/>
          <w:color w:val="auto"/>
          <w:sz w:val="22"/>
        </w:rPr>
      </w:pPr>
    </w:p>
    <w:p>
      <w:pPr>
        <w:spacing w:line="240" w:lineRule="auto"/>
        <w:ind w:firstLine="442"/>
        <w:jc w:val="center"/>
        <w:rPr>
          <w:rFonts w:ascii="Times New Roman" w:hAnsi="Times New Roman" w:cs="Times New Roman"/>
          <w:b/>
          <w:bCs/>
          <w:color w:val="auto"/>
          <w:sz w:val="22"/>
        </w:rPr>
      </w:pPr>
      <w:r>
        <w:rPr>
          <w:rFonts w:ascii="Times New Roman" w:hAnsi="Times New Roman" w:cs="Times New Roman"/>
          <w:b/>
          <w:bCs/>
          <w:color w:val="auto"/>
          <w:sz w:val="22"/>
        </w:rPr>
        <w:t>表</w:t>
      </w:r>
      <w:r>
        <w:rPr>
          <w:rFonts w:ascii="Times New Roman" w:hAnsi="Times New Roman" w:eastAsia="Times New Roman" w:cs="Times New Roman"/>
          <w:b/>
          <w:bCs/>
          <w:color w:val="auto"/>
          <w:sz w:val="22"/>
        </w:rPr>
        <w:t xml:space="preserve">3.10-27    </w:t>
      </w:r>
      <w:r>
        <w:rPr>
          <w:rFonts w:ascii="Times New Roman" w:hAnsi="Times New Roman" w:cs="Times New Roman"/>
          <w:b/>
          <w:bCs/>
          <w:color w:val="auto"/>
          <w:sz w:val="22"/>
        </w:rPr>
        <w:t>营运期船舶生活垃圾产生量</w:t>
      </w:r>
      <w:bookmarkEnd w:id="265"/>
    </w:p>
    <w:p>
      <w:pPr>
        <w:ind w:firstLine="120"/>
        <w:rPr>
          <w:rFonts w:ascii="Times New Roman" w:hAnsi="Times New Roman" w:cs="Times New Roman"/>
          <w:b/>
          <w:color w:val="auto"/>
          <w:sz w:val="6"/>
        </w:rPr>
      </w:pPr>
    </w:p>
    <w:tbl>
      <w:tblPr>
        <w:tblStyle w:val="62"/>
        <w:tblW w:w="9212"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758"/>
        <w:gridCol w:w="942"/>
        <w:gridCol w:w="610"/>
        <w:gridCol w:w="918"/>
        <w:gridCol w:w="2032"/>
        <w:gridCol w:w="783"/>
        <w:gridCol w:w="1332"/>
        <w:gridCol w:w="1837"/>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66" w:hRule="atLeast"/>
          <w:jc w:val="center"/>
        </w:trPr>
        <w:tc>
          <w:tcPr>
            <w:tcW w:w="758"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泊位</w:t>
            </w:r>
          </w:p>
        </w:tc>
        <w:tc>
          <w:tcPr>
            <w:tcW w:w="1552" w:type="dxa"/>
            <w:gridSpan w:val="2"/>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船舶吨级</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（t）</w:t>
            </w:r>
          </w:p>
        </w:tc>
        <w:tc>
          <w:tcPr>
            <w:tcW w:w="918"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船员数</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(人/艘)</w:t>
            </w:r>
          </w:p>
        </w:tc>
        <w:tc>
          <w:tcPr>
            <w:tcW w:w="2032"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船舶生活垃圾产生系数(kg/人.d)</w:t>
            </w:r>
          </w:p>
        </w:tc>
        <w:tc>
          <w:tcPr>
            <w:tcW w:w="783"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到港艘次/年</w:t>
            </w:r>
          </w:p>
        </w:tc>
        <w:tc>
          <w:tcPr>
            <w:tcW w:w="1332"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停泊时间</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（d）</w:t>
            </w:r>
          </w:p>
        </w:tc>
        <w:tc>
          <w:tcPr>
            <w:tcW w:w="1837"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船舶生活垃圾产生量（t/a）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218" w:hRule="atLeast"/>
          <w:jc w:val="center"/>
        </w:trPr>
        <w:tc>
          <w:tcPr>
            <w:tcW w:w="75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全码头</w:t>
            </w:r>
          </w:p>
        </w:tc>
        <w:tc>
          <w:tcPr>
            <w:tcW w:w="94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设计船型</w:t>
            </w:r>
          </w:p>
        </w:tc>
        <w:tc>
          <w:tcPr>
            <w:tcW w:w="61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1000</w:t>
            </w:r>
          </w:p>
        </w:tc>
        <w:tc>
          <w:tcPr>
            <w:tcW w:w="91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6</w:t>
            </w:r>
          </w:p>
        </w:tc>
        <w:tc>
          <w:tcPr>
            <w:tcW w:w="203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78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3000</w:t>
            </w:r>
          </w:p>
        </w:tc>
        <w:tc>
          <w:tcPr>
            <w:tcW w:w="133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0.5</w:t>
            </w:r>
          </w:p>
        </w:tc>
        <w:tc>
          <w:tcPr>
            <w:tcW w:w="183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27.0</w:t>
            </w:r>
          </w:p>
        </w:tc>
      </w:tr>
    </w:tbl>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本项目码头设置船舶垃圾收集及接收设施，接受后统一交当地环卫部门处理。</w:t>
      </w:r>
    </w:p>
    <w:p>
      <w:pPr>
        <w:ind w:firstLine="480"/>
        <w:rPr>
          <w:rFonts w:ascii="Times New Roman" w:hAnsi="Times New Roman" w:cs="Times New Roman"/>
          <w:color w:val="auto"/>
        </w:rPr>
      </w:pPr>
      <w:r>
        <w:rPr>
          <w:rFonts w:ascii="Times New Roman" w:hAnsi="Times New Roman" w:cs="Times New Roman"/>
          <w:color w:val="auto"/>
        </w:rPr>
        <w:t>（2）码头工作人员生活垃圾</w:t>
      </w:r>
    </w:p>
    <w:p>
      <w:pPr>
        <w:ind w:firstLine="480"/>
        <w:rPr>
          <w:rFonts w:ascii="Times New Roman" w:hAnsi="Times New Roman" w:cs="Times New Roman"/>
          <w:shd w:val="clear" w:color="auto" w:fill="FFFFFF"/>
        </w:rPr>
      </w:pPr>
      <w:r>
        <w:rPr>
          <w:rFonts w:ascii="Times New Roman" w:hAnsi="Times New Roman" w:cs="Times New Roman"/>
          <w:shd w:val="clear" w:color="auto" w:fill="FFFFFF"/>
        </w:rPr>
        <w:t>项目营运期劳动定员80人，每人每天产生生活垃圾1.5kg，按项目年运行350d计算，项目员工生活垃圾的产生量为42t/a，经收集后交由当地环卫部门定期清运并处理。</w:t>
      </w:r>
    </w:p>
    <w:p>
      <w:pPr>
        <w:ind w:firstLine="480"/>
        <w:rPr>
          <w:rFonts w:ascii="Times New Roman" w:hAnsi="Times New Roman" w:cs="Times New Roman"/>
          <w:color w:val="auto"/>
        </w:rPr>
      </w:pPr>
      <w:r>
        <w:rPr>
          <w:rFonts w:ascii="Times New Roman" w:hAnsi="Times New Roman" w:cs="Times New Roman"/>
          <w:color w:val="auto"/>
        </w:rPr>
        <w:t>（3）废水处理含油污泥</w:t>
      </w:r>
    </w:p>
    <w:p>
      <w:pPr>
        <w:ind w:firstLine="480"/>
        <w:rPr>
          <w:rFonts w:ascii="Times New Roman" w:hAnsi="Times New Roman" w:cs="Times New Roman"/>
          <w:shd w:val="clear" w:color="auto" w:fill="FFFFFF"/>
        </w:rPr>
      </w:pPr>
      <w:r>
        <w:rPr>
          <w:rFonts w:ascii="Times New Roman" w:hAnsi="Times New Roman" w:cs="Times New Roman"/>
          <w:shd w:val="clear" w:color="auto" w:fill="FFFFFF"/>
        </w:rPr>
        <w:t>本项目含油污水处理设施运行过程中将产生少量的含油污泥，含油污泥产生量约为10t/a。含油污泥属于危险废物（废物类别：HW08废矿物油与含矿物油废物，废物代码：900-210-08），经收集后采用专用的桶装，暂存于本项目危险废物暂存库，交由有资质单位回收处理。</w:t>
      </w:r>
    </w:p>
    <w:p>
      <w:pPr>
        <w:ind w:firstLine="480"/>
        <w:rPr>
          <w:rFonts w:ascii="Times New Roman" w:hAnsi="Times New Roman" w:cs="Times New Roman"/>
          <w:shd w:val="clear" w:color="auto" w:fill="FFFFFF"/>
        </w:rPr>
      </w:pPr>
      <w:r>
        <w:rPr>
          <w:rFonts w:ascii="Times New Roman" w:hAnsi="Times New Roman" w:cs="Times New Roman"/>
          <w:shd w:val="clear" w:color="auto" w:fill="FFFFFF"/>
        </w:rPr>
        <w:t>（4）废机油</w:t>
      </w:r>
    </w:p>
    <w:p>
      <w:pPr>
        <w:ind w:firstLine="480"/>
        <w:rPr>
          <w:rFonts w:ascii="Times New Roman" w:hAnsi="Times New Roman" w:cs="Times New Roman"/>
          <w:shd w:val="clear" w:color="auto" w:fill="FFFFFF"/>
        </w:rPr>
      </w:pPr>
      <w:r>
        <w:rPr>
          <w:rFonts w:ascii="Times New Roman" w:hAnsi="Times New Roman" w:cs="Times New Roman"/>
          <w:shd w:val="clear" w:color="auto" w:fill="FFFFFF"/>
        </w:rPr>
        <w:t>项目设备维修检修过程中会产生废机油，废机油产生量约为1.5t/a，废机油属于危险废物（废物类别：HW08废矿物油与含矿物油废物，废物代码：900-210-08），经收集后采用专用的桶装，暂存于本项目危险废物暂存库，交由有资质单位回收处理。</w:t>
      </w:r>
    </w:p>
    <w:p>
      <w:pPr>
        <w:ind w:firstLine="480"/>
        <w:rPr>
          <w:rFonts w:ascii="Times New Roman" w:hAnsi="Times New Roman" w:cs="Times New Roman"/>
          <w:shd w:val="clear" w:color="auto" w:fill="FFFFFF"/>
        </w:rPr>
      </w:pPr>
      <w:r>
        <w:rPr>
          <w:rFonts w:ascii="Times New Roman" w:hAnsi="Times New Roman" w:cs="Times New Roman"/>
          <w:shd w:val="clear" w:color="auto" w:fill="FFFFFF"/>
        </w:rPr>
        <w:t>（5）PSA制氮机废分子筛</w:t>
      </w:r>
    </w:p>
    <w:p>
      <w:pPr>
        <w:ind w:firstLine="480"/>
        <w:rPr>
          <w:rFonts w:ascii="Times New Roman" w:hAnsi="Times New Roman" w:cs="Times New Roman"/>
          <w:shd w:val="clear" w:color="auto" w:fill="FFFFFF"/>
        </w:rPr>
      </w:pPr>
      <w:r>
        <w:rPr>
          <w:rFonts w:ascii="Times New Roman" w:hAnsi="Times New Roman" w:cs="Times New Roman"/>
          <w:shd w:val="clear" w:color="auto" w:fill="FFFFFF"/>
        </w:rPr>
        <w:t>本项目PSA制氮机采用5A型分子筛：</w:t>
      </w:r>
    </w:p>
    <w:p>
      <w:pPr>
        <w:ind w:firstLine="480"/>
        <w:rPr>
          <w:rFonts w:ascii="Times New Roman" w:hAnsi="Times New Roman" w:cs="Times New Roman"/>
          <w:shd w:val="clear" w:color="auto" w:fill="FFFFFF"/>
        </w:rPr>
      </w:pPr>
      <w:r>
        <w:rPr>
          <w:rFonts w:ascii="Times New Roman" w:hAnsi="Times New Roman" w:cs="Times New Roman"/>
          <w:shd w:val="clear" w:color="auto" w:fill="FFFFFF"/>
        </w:rPr>
        <w:t>化学式：3/4CaO·1/4Na</w:t>
      </w:r>
      <w:r>
        <w:rPr>
          <w:rFonts w:ascii="Times New Roman" w:hAnsi="Times New Roman" w:cs="Times New Roman"/>
          <w:shd w:val="clear" w:color="auto" w:fill="FFFFFF"/>
          <w:vertAlign w:val="subscript"/>
        </w:rPr>
        <w:t>2</w:t>
      </w:r>
      <w:r>
        <w:rPr>
          <w:rFonts w:ascii="Times New Roman" w:hAnsi="Times New Roman" w:cs="Times New Roman"/>
          <w:shd w:val="clear" w:color="auto" w:fill="FFFFFF"/>
        </w:rPr>
        <w:t>O·Al</w:t>
      </w:r>
      <w:r>
        <w:rPr>
          <w:rFonts w:ascii="Times New Roman" w:hAnsi="Times New Roman" w:cs="Times New Roman"/>
          <w:shd w:val="clear" w:color="auto" w:fill="FFFFFF"/>
          <w:vertAlign w:val="subscript"/>
        </w:rPr>
        <w:t>2</w:t>
      </w:r>
      <w:r>
        <w:rPr>
          <w:rFonts w:ascii="Times New Roman" w:hAnsi="Times New Roman" w:cs="Times New Roman"/>
          <w:shd w:val="clear" w:color="auto" w:fill="FFFFFF"/>
        </w:rPr>
        <w:t>O</w:t>
      </w:r>
      <w:r>
        <w:rPr>
          <w:rFonts w:ascii="Times New Roman" w:hAnsi="Times New Roman" w:cs="Times New Roman"/>
          <w:shd w:val="clear" w:color="auto" w:fill="FFFFFF"/>
          <w:vertAlign w:val="subscript"/>
        </w:rPr>
        <w:t>3</w:t>
      </w:r>
      <w:r>
        <w:rPr>
          <w:rFonts w:ascii="Times New Roman" w:hAnsi="Times New Roman" w:cs="Times New Roman"/>
          <w:shd w:val="clear" w:color="auto" w:fill="FFFFFF"/>
        </w:rPr>
        <w:t>·2SiO</w:t>
      </w:r>
      <w:r>
        <w:rPr>
          <w:rFonts w:ascii="Times New Roman" w:hAnsi="Times New Roman" w:cs="Times New Roman"/>
          <w:shd w:val="clear" w:color="auto" w:fill="FFFFFF"/>
          <w:vertAlign w:val="subscript"/>
        </w:rPr>
        <w:t>2</w:t>
      </w:r>
      <w:r>
        <w:rPr>
          <w:rFonts w:ascii="Times New Roman" w:hAnsi="Times New Roman" w:cs="Times New Roman"/>
          <w:shd w:val="clear" w:color="auto" w:fill="FFFFFF"/>
        </w:rPr>
        <w:t>·9/2H</w:t>
      </w:r>
      <w:r>
        <w:rPr>
          <w:rFonts w:ascii="Times New Roman" w:hAnsi="Times New Roman" w:cs="Times New Roman"/>
          <w:shd w:val="clear" w:color="auto" w:fill="FFFFFF"/>
          <w:vertAlign w:val="subscript"/>
        </w:rPr>
        <w:t>2</w:t>
      </w:r>
      <w:r>
        <w:rPr>
          <w:rFonts w:ascii="Times New Roman" w:hAnsi="Times New Roman" w:cs="Times New Roman"/>
          <w:shd w:val="clear" w:color="auto" w:fill="FFFFFF"/>
        </w:rPr>
        <w:t>O，分子筛在使用一段时间后性能有所下降，需要进行再生处理，年均废分子筛产生量约为3t/a，废分子筛属于一般固废，经收集后由生产厂家回收后进行再生处理。</w:t>
      </w:r>
    </w:p>
    <w:p>
      <w:pPr>
        <w:ind w:firstLine="480"/>
        <w:rPr>
          <w:rFonts w:ascii="Times New Roman" w:hAnsi="Times New Roman" w:cs="Times New Roman"/>
          <w:color w:val="auto"/>
        </w:rPr>
      </w:pPr>
      <w:r>
        <w:rPr>
          <w:rFonts w:ascii="Times New Roman" w:hAnsi="Times New Roman" w:cs="Times New Roman"/>
          <w:color w:val="auto"/>
        </w:rPr>
        <w:t xml:space="preserve">（6）废活性炭 </w:t>
      </w:r>
    </w:p>
    <w:p>
      <w:pPr>
        <w:ind w:firstLine="480"/>
        <w:rPr>
          <w:rFonts w:ascii="Times New Roman" w:hAnsi="Times New Roman" w:cs="Times New Roman"/>
          <w:color w:val="auto"/>
        </w:rPr>
      </w:pPr>
      <w:r>
        <w:rPr>
          <w:rFonts w:ascii="Times New Roman" w:hAnsi="Times New Roman" w:cs="Times New Roman"/>
          <w:color w:val="auto"/>
        </w:rPr>
        <w:t>项目针对汽油挥发的油气进行收集回收处置，汽油油气回收装置采用冷凝+活性炭吸脱附工艺。吸附系统由两吸附罐交替进行吸附——脱附——清扫过程，本工程设置活性炭脱附过程，本项目使用的活性炭为复合碳纤维材料，考虑到其的使用寿命，一般需3~5年更换一次，根据设计单位提供国内同类项目资料每个脱附罐装有活性炭 1500kg，两个脱附罐共计3.0t，本次评价按三年更换一次，则废活性炭产生量为3.0t/次。废活性炭属于危废 HW49 类危险废物，危废代码为 900-041-49。收集后置于危废暂存间暂存，定期送交有资质的危废处置单位处置。</w:t>
      </w:r>
    </w:p>
    <w:p>
      <w:pPr>
        <w:ind w:firstLine="480"/>
        <w:rPr>
          <w:rFonts w:ascii="Times New Roman" w:hAnsi="Times New Roman" w:cs="Times New Roman"/>
          <w:color w:val="FF0000"/>
        </w:rPr>
      </w:pPr>
      <w:r>
        <w:rPr>
          <w:rFonts w:ascii="Times New Roman" w:hAnsi="Times New Roman" w:cs="Times New Roman"/>
          <w:color w:val="FF0000"/>
        </w:rPr>
        <w:t>（7）清罐固废</w:t>
      </w:r>
      <w:r>
        <w:rPr>
          <w:rFonts w:hint="eastAsia" w:ascii="Times New Roman" w:hAnsi="Times New Roman" w:cs="Times New Roman"/>
          <w:color w:val="FF0000"/>
        </w:rPr>
        <w:t>及废水</w:t>
      </w:r>
    </w:p>
    <w:p>
      <w:pPr>
        <w:ind w:firstLine="480"/>
        <w:rPr>
          <w:rFonts w:ascii="Times New Roman" w:hAnsi="Times New Roman" w:cs="Times New Roman"/>
          <w:color w:val="FF0000"/>
        </w:rPr>
      </w:pPr>
      <w:r>
        <w:rPr>
          <w:rFonts w:ascii="Times New Roman" w:hAnsi="Times New Roman" w:cs="Times New Roman"/>
          <w:color w:val="FF0000"/>
        </w:rPr>
        <w:t>清罐残渣主要为清洗储罐时产生的底泥。储罐清洗采用COW清洗工艺，每5年清洗一次。根据建设单位相关管理规定，为减少清罐原油的损失，开罐清理前，应尽量降低液位，清罐残</w:t>
      </w:r>
      <w:r>
        <w:rPr>
          <w:rFonts w:ascii="Times New Roman" w:hAnsi="Times New Roman" w:cs="Times New Roman"/>
          <w:color w:val="FF0000"/>
          <w:szCs w:val="24"/>
        </w:rPr>
        <w:t>渣产生量约为15t/</w:t>
      </w:r>
      <w:r>
        <w:rPr>
          <w:rFonts w:ascii="宋体" w:hAnsi="宋体" w:cs="Times New Roman"/>
          <w:color w:val="FF0000"/>
          <w:szCs w:val="24"/>
        </w:rPr>
        <w:t>次（</w:t>
      </w:r>
      <w:r>
        <w:rPr>
          <w:rFonts w:ascii="Times New Roman" w:hAnsi="Times New Roman" w:cs="Times New Roman"/>
          <w:color w:val="FF0000"/>
          <w:szCs w:val="24"/>
        </w:rPr>
        <w:t>5</w:t>
      </w:r>
      <w:r>
        <w:rPr>
          <w:rFonts w:ascii="宋体" w:hAnsi="宋体" w:cs="Times New Roman"/>
          <w:color w:val="FF0000"/>
          <w:szCs w:val="24"/>
        </w:rPr>
        <w:t>年）</w:t>
      </w:r>
      <w:r>
        <w:rPr>
          <w:rFonts w:hint="eastAsia" w:ascii="Times New Roman" w:hAnsi="Times New Roman" w:cs="Times New Roman"/>
          <w:color w:val="FF0000"/>
          <w:szCs w:val="24"/>
        </w:rPr>
        <w:t>，产生清罐废水约</w:t>
      </w:r>
      <w:r>
        <w:rPr>
          <w:rFonts w:ascii="Times New Roman" w:hAnsi="Times New Roman" w:cs="Times New Roman"/>
          <w:color w:val="FF0000"/>
          <w:szCs w:val="24"/>
        </w:rPr>
        <w:t>1000m</w:t>
      </w:r>
      <w:r>
        <w:rPr>
          <w:rFonts w:ascii="Times New Roman" w:hAnsi="Times New Roman" w:cs="Times New Roman"/>
          <w:color w:val="FF0000"/>
          <w:szCs w:val="24"/>
          <w:vertAlign w:val="superscript"/>
        </w:rPr>
        <w:t>3</w:t>
      </w:r>
      <w:r>
        <w:rPr>
          <w:rFonts w:ascii="Times New Roman" w:hAnsi="Times New Roman" w:cs="Times New Roman"/>
          <w:color w:val="FF0000"/>
          <w:szCs w:val="24"/>
        </w:rPr>
        <w:t>/</w:t>
      </w:r>
      <w:r>
        <w:rPr>
          <w:rFonts w:ascii="宋体" w:hAnsi="宋体" w:cs="Times New Roman"/>
          <w:color w:val="FF0000"/>
          <w:szCs w:val="24"/>
        </w:rPr>
        <w:t>次（</w:t>
      </w:r>
      <w:r>
        <w:rPr>
          <w:rFonts w:ascii="Times New Roman" w:hAnsi="Times New Roman" w:cs="Times New Roman"/>
          <w:color w:val="FF0000"/>
          <w:szCs w:val="24"/>
        </w:rPr>
        <w:t>5</w:t>
      </w:r>
      <w:r>
        <w:rPr>
          <w:rFonts w:ascii="宋体" w:hAnsi="宋体" w:cs="Times New Roman"/>
          <w:color w:val="FF0000"/>
          <w:szCs w:val="24"/>
        </w:rPr>
        <w:t>年）</w:t>
      </w:r>
      <w:r>
        <w:rPr>
          <w:rFonts w:hint="eastAsia" w:ascii="宋体" w:hAnsi="宋体" w:cs="Times New Roman"/>
          <w:color w:val="FF0000"/>
          <w:szCs w:val="24"/>
        </w:rPr>
        <w:t>。</w:t>
      </w:r>
    </w:p>
    <w:p>
      <w:pPr>
        <w:ind w:firstLine="480"/>
        <w:rPr>
          <w:rFonts w:ascii="Times New Roman" w:hAnsi="Times New Roman" w:cs="Times New Roman"/>
          <w:color w:val="FF0000"/>
        </w:rPr>
      </w:pPr>
      <w:r>
        <w:rPr>
          <w:rFonts w:hint="eastAsia" w:ascii="Times New Roman" w:hAnsi="Times New Roman" w:cs="Times New Roman"/>
          <w:color w:val="FF0000"/>
        </w:rPr>
        <w:t>根据建设单位提供的资料，</w:t>
      </w:r>
      <w:r>
        <w:rPr>
          <w:rFonts w:ascii="Times New Roman" w:hAnsi="Times New Roman" w:cs="Times New Roman"/>
          <w:color w:val="FF0000"/>
        </w:rPr>
        <w:t>本项目</w:t>
      </w:r>
      <w:r>
        <w:rPr>
          <w:rFonts w:hint="eastAsia" w:ascii="Times New Roman" w:hAnsi="Times New Roman" w:cs="Times New Roman"/>
          <w:color w:val="FF0000"/>
        </w:rPr>
        <w:t>运营期</w:t>
      </w:r>
      <w:r>
        <w:rPr>
          <w:rFonts w:ascii="Times New Roman" w:hAnsi="Times New Roman" w:cs="Times New Roman"/>
          <w:color w:val="FF0000"/>
        </w:rPr>
        <w:t>委托有资质的专业清罐队伍负责本项目的储罐清罐</w:t>
      </w:r>
      <w:r>
        <w:rPr>
          <w:rFonts w:hint="eastAsia" w:ascii="Times New Roman" w:hAnsi="Times New Roman" w:cs="Times New Roman"/>
          <w:color w:val="FF0000"/>
        </w:rPr>
        <w:t>；</w:t>
      </w:r>
      <w:r>
        <w:rPr>
          <w:rFonts w:ascii="Times New Roman" w:hAnsi="Times New Roman" w:cs="Times New Roman"/>
          <w:color w:val="FF0000"/>
        </w:rPr>
        <w:t>产生的</w:t>
      </w:r>
      <w:r>
        <w:rPr>
          <w:rFonts w:hint="eastAsia" w:ascii="Times New Roman" w:hAnsi="Times New Roman" w:cs="Times New Roman"/>
          <w:color w:val="FF0000"/>
        </w:rPr>
        <w:t>清罐废水、</w:t>
      </w:r>
      <w:r>
        <w:rPr>
          <w:rFonts w:ascii="Times New Roman" w:hAnsi="Times New Roman" w:cs="Times New Roman"/>
          <w:color w:val="FF0000"/>
        </w:rPr>
        <w:t>清罐残渣由清罐队伍负责清运处置</w:t>
      </w:r>
      <w:r>
        <w:rPr>
          <w:rFonts w:hint="eastAsia" w:ascii="Times New Roman" w:hAnsi="Times New Roman" w:cs="Times New Roman"/>
          <w:color w:val="FF0000"/>
        </w:rPr>
        <w:t>；清罐废水、</w:t>
      </w:r>
      <w:r>
        <w:rPr>
          <w:rFonts w:ascii="Times New Roman" w:hAnsi="Times New Roman" w:cs="Times New Roman"/>
          <w:color w:val="FF0000"/>
        </w:rPr>
        <w:t>清罐残渣属于危险废物，</w:t>
      </w:r>
      <w:r>
        <w:rPr>
          <w:rFonts w:hint="eastAsia" w:ascii="Times New Roman" w:hAnsi="Times New Roman" w:cs="Times New Roman"/>
          <w:color w:val="FF0000"/>
        </w:rPr>
        <w:t>建设单位应落实主体责任，督促</w:t>
      </w:r>
      <w:r>
        <w:rPr>
          <w:rFonts w:ascii="Times New Roman" w:hAnsi="Times New Roman" w:cs="Times New Roman"/>
          <w:color w:val="FF0000"/>
        </w:rPr>
        <w:t>清罐队伍</w:t>
      </w:r>
      <w:r>
        <w:rPr>
          <w:rFonts w:hint="eastAsia" w:ascii="Times New Roman" w:hAnsi="Times New Roman" w:cs="Times New Roman"/>
          <w:color w:val="FF0000"/>
        </w:rPr>
        <w:t>按照环保要求进行合理处置；</w:t>
      </w:r>
      <w:r>
        <w:rPr>
          <w:rFonts w:ascii="Times New Roman" w:hAnsi="Times New Roman" w:cs="Times New Roman"/>
          <w:color w:val="FF0000"/>
        </w:rPr>
        <w:t>不能直接排放到外环境中。</w:t>
      </w:r>
    </w:p>
    <w:p>
      <w:pPr>
        <w:ind w:firstLine="480"/>
        <w:rPr>
          <w:rFonts w:ascii="Times New Roman" w:hAnsi="Times New Roman" w:cs="Times New Roman"/>
          <w:color w:val="auto"/>
        </w:rPr>
      </w:pPr>
      <w:r>
        <w:rPr>
          <w:rFonts w:ascii="Times New Roman" w:hAnsi="Times New Roman" w:cs="Times New Roman"/>
          <w:color w:val="auto"/>
        </w:rPr>
        <w:t>（8）化验室废液</w:t>
      </w:r>
    </w:p>
    <w:p>
      <w:pPr>
        <w:ind w:firstLine="480"/>
        <w:rPr>
          <w:rFonts w:ascii="Times New Roman" w:hAnsi="Times New Roman" w:cs="Times New Roman"/>
          <w:color w:val="auto"/>
        </w:rPr>
      </w:pPr>
      <w:r>
        <w:rPr>
          <w:rFonts w:ascii="Times New Roman" w:hAnsi="Times New Roman" w:cs="Times New Roman"/>
          <w:color w:val="auto"/>
        </w:rPr>
        <w:t>本项目化验室废液（废水）产生量约0.45t/d，预计全年化验批次100次；则化验室废液（废水）产生量约45t/a，室内积液桶收集暂存于危废暂存间，定期送交有资质的危废处置单位处置。</w:t>
      </w:r>
    </w:p>
    <w:p>
      <w:pPr>
        <w:ind w:firstLine="442"/>
        <w:jc w:val="center"/>
        <w:rPr>
          <w:rFonts w:ascii="Times New Roman" w:hAnsi="Times New Roman" w:cs="Times New Roman"/>
          <w:b/>
          <w:bCs/>
          <w:color w:val="auto"/>
          <w:sz w:val="22"/>
        </w:rPr>
      </w:pPr>
      <w:bookmarkStart w:id="266" w:name="_Toc102984334"/>
      <w:r>
        <w:rPr>
          <w:rFonts w:ascii="Times New Roman" w:hAnsi="Times New Roman" w:cs="Times New Roman"/>
          <w:b/>
          <w:bCs/>
          <w:color w:val="auto"/>
          <w:sz w:val="22"/>
        </w:rPr>
        <w:t>表3.10-28    码头固体废物产生、处置情况汇总表</w:t>
      </w:r>
      <w:bookmarkEnd w:id="266"/>
    </w:p>
    <w:tbl>
      <w:tblPr>
        <w:tblStyle w:val="62"/>
        <w:tblW w:w="935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05"/>
        <w:gridCol w:w="787"/>
        <w:gridCol w:w="709"/>
        <w:gridCol w:w="852"/>
        <w:gridCol w:w="708"/>
        <w:gridCol w:w="1282"/>
        <w:gridCol w:w="708"/>
        <w:gridCol w:w="710"/>
        <w:gridCol w:w="849"/>
        <w:gridCol w:w="853"/>
        <w:gridCol w:w="159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00" w:hRule="atLeast"/>
          <w:tblHeader/>
          <w:jc w:val="center"/>
        </w:trPr>
        <w:tc>
          <w:tcPr>
            <w:tcW w:w="30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序号</w:t>
            </w:r>
          </w:p>
        </w:tc>
        <w:tc>
          <w:tcPr>
            <w:tcW w:w="787"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固体废物名称</w:t>
            </w:r>
          </w:p>
        </w:tc>
        <w:tc>
          <w:tcPr>
            <w:tcW w:w="709"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属性</w:t>
            </w:r>
          </w:p>
        </w:tc>
        <w:tc>
          <w:tcPr>
            <w:tcW w:w="852"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产生工序</w:t>
            </w:r>
          </w:p>
        </w:tc>
        <w:tc>
          <w:tcPr>
            <w:tcW w:w="708"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形态</w:t>
            </w:r>
          </w:p>
        </w:tc>
        <w:tc>
          <w:tcPr>
            <w:tcW w:w="1282"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主要成分</w:t>
            </w:r>
          </w:p>
        </w:tc>
        <w:tc>
          <w:tcPr>
            <w:tcW w:w="708"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危险特性</w:t>
            </w:r>
          </w:p>
        </w:tc>
        <w:tc>
          <w:tcPr>
            <w:tcW w:w="710"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废物类别</w:t>
            </w:r>
          </w:p>
        </w:tc>
        <w:tc>
          <w:tcPr>
            <w:tcW w:w="849"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废物代码</w:t>
            </w:r>
          </w:p>
        </w:tc>
        <w:tc>
          <w:tcPr>
            <w:tcW w:w="853"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产生量（t/a）</w:t>
            </w:r>
          </w:p>
        </w:tc>
        <w:tc>
          <w:tcPr>
            <w:tcW w:w="1593"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处置方式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5" w:hRule="atLeast"/>
          <w:jc w:val="center"/>
        </w:trPr>
        <w:tc>
          <w:tcPr>
            <w:tcW w:w="3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78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到港船舶生活垃圾</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一般固废</w:t>
            </w:r>
          </w:p>
        </w:tc>
        <w:tc>
          <w:tcPr>
            <w:tcW w:w="85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船员生活</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固废</w:t>
            </w:r>
          </w:p>
        </w:tc>
        <w:tc>
          <w:tcPr>
            <w:tcW w:w="128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食品废物、纸、纺织物等</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71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84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85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27</w:t>
            </w:r>
          </w:p>
        </w:tc>
        <w:tc>
          <w:tcPr>
            <w:tcW w:w="15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收集后交由当地环卫部门定期清运并处理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5" w:hRule="atLeast"/>
          <w:jc w:val="center"/>
        </w:trPr>
        <w:tc>
          <w:tcPr>
            <w:tcW w:w="3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78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陆域生活垃圾</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一般固废</w:t>
            </w:r>
          </w:p>
        </w:tc>
        <w:tc>
          <w:tcPr>
            <w:tcW w:w="85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办公、生活</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固态</w:t>
            </w:r>
          </w:p>
        </w:tc>
        <w:tc>
          <w:tcPr>
            <w:tcW w:w="128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食品废物、纸、纺织物等</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71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84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85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42</w:t>
            </w:r>
          </w:p>
        </w:tc>
        <w:tc>
          <w:tcPr>
            <w:tcW w:w="15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交由当地环卫部门处理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5" w:hRule="atLeast"/>
          <w:jc w:val="center"/>
        </w:trPr>
        <w:tc>
          <w:tcPr>
            <w:tcW w:w="3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78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含</w:t>
            </w:r>
            <w:r>
              <w:rPr>
                <w:rFonts w:ascii="Times New Roman" w:hAnsi="Times New Roman" w:cs="Times New Roman"/>
                <w:color w:val="auto"/>
                <w:sz w:val="18"/>
                <w:szCs w:val="18"/>
              </w:rPr>
              <w:t>油污水处理设施含油污泥</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危险废物</w:t>
            </w:r>
          </w:p>
        </w:tc>
        <w:tc>
          <w:tcPr>
            <w:tcW w:w="85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油污水处理设施</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液态</w:t>
            </w:r>
          </w:p>
        </w:tc>
        <w:tc>
          <w:tcPr>
            <w:tcW w:w="128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含矿物油废物</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T，I</w:t>
            </w:r>
          </w:p>
        </w:tc>
        <w:tc>
          <w:tcPr>
            <w:tcW w:w="71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HW08</w:t>
            </w:r>
          </w:p>
        </w:tc>
        <w:tc>
          <w:tcPr>
            <w:tcW w:w="84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900-210-08</w:t>
            </w:r>
          </w:p>
        </w:tc>
        <w:tc>
          <w:tcPr>
            <w:tcW w:w="85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15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暂存于危险废物暂存库中及时送有资质单位处理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00" w:hRule="atLeast"/>
          <w:jc w:val="center"/>
        </w:trPr>
        <w:tc>
          <w:tcPr>
            <w:tcW w:w="3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78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废机油</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危险废物</w:t>
            </w:r>
          </w:p>
        </w:tc>
        <w:tc>
          <w:tcPr>
            <w:tcW w:w="85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机械</w:t>
            </w:r>
            <w:r>
              <w:rPr>
                <w:rFonts w:hint="eastAsia" w:ascii="Times New Roman" w:hAnsi="Times New Roman" w:cs="Times New Roman"/>
                <w:color w:val="auto"/>
                <w:sz w:val="18"/>
                <w:szCs w:val="18"/>
              </w:rPr>
              <w:t>设备维护</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液态</w:t>
            </w:r>
          </w:p>
        </w:tc>
        <w:tc>
          <w:tcPr>
            <w:tcW w:w="128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废机油</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T，I</w:t>
            </w:r>
          </w:p>
        </w:tc>
        <w:tc>
          <w:tcPr>
            <w:tcW w:w="71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HW08</w:t>
            </w:r>
          </w:p>
        </w:tc>
        <w:tc>
          <w:tcPr>
            <w:tcW w:w="84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900-210-08</w:t>
            </w:r>
          </w:p>
        </w:tc>
        <w:tc>
          <w:tcPr>
            <w:tcW w:w="85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5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暂存于危险废物暂存库中及时送有资质单位处理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00" w:hRule="atLeast"/>
          <w:jc w:val="center"/>
        </w:trPr>
        <w:tc>
          <w:tcPr>
            <w:tcW w:w="3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78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PSA制氮机废分子筛</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一般固废</w:t>
            </w:r>
          </w:p>
        </w:tc>
        <w:tc>
          <w:tcPr>
            <w:tcW w:w="85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制氮</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固态</w:t>
            </w:r>
          </w:p>
        </w:tc>
        <w:tc>
          <w:tcPr>
            <w:tcW w:w="128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废分子筛</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71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84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85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5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收集后由生产厂家回收后进行再生处理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00" w:hRule="atLeast"/>
          <w:jc w:val="center"/>
        </w:trPr>
        <w:tc>
          <w:tcPr>
            <w:tcW w:w="3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6</w:t>
            </w:r>
          </w:p>
        </w:tc>
        <w:tc>
          <w:tcPr>
            <w:tcW w:w="78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废活性炭</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危险废物</w:t>
            </w:r>
          </w:p>
        </w:tc>
        <w:tc>
          <w:tcPr>
            <w:tcW w:w="85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油气回收装置</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固态</w:t>
            </w:r>
          </w:p>
        </w:tc>
        <w:tc>
          <w:tcPr>
            <w:tcW w:w="128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含矿物油</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T，I</w:t>
            </w:r>
          </w:p>
        </w:tc>
        <w:tc>
          <w:tcPr>
            <w:tcW w:w="71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HW49</w:t>
            </w:r>
          </w:p>
        </w:tc>
        <w:tc>
          <w:tcPr>
            <w:tcW w:w="84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900-041-49</w:t>
            </w:r>
          </w:p>
        </w:tc>
        <w:tc>
          <w:tcPr>
            <w:tcW w:w="85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3t/次</w:t>
            </w:r>
          </w:p>
        </w:tc>
        <w:tc>
          <w:tcPr>
            <w:tcW w:w="15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暂存于危险废物暂存库中及时送有资质单位处理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00" w:hRule="atLeast"/>
          <w:jc w:val="center"/>
        </w:trPr>
        <w:tc>
          <w:tcPr>
            <w:tcW w:w="3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7</w:t>
            </w:r>
          </w:p>
        </w:tc>
        <w:tc>
          <w:tcPr>
            <w:tcW w:w="78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清罐固废</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危险废物</w:t>
            </w:r>
          </w:p>
        </w:tc>
        <w:tc>
          <w:tcPr>
            <w:tcW w:w="85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储罐清理</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固态</w:t>
            </w:r>
          </w:p>
        </w:tc>
        <w:tc>
          <w:tcPr>
            <w:tcW w:w="128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含矿物油</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T，I</w:t>
            </w:r>
          </w:p>
        </w:tc>
        <w:tc>
          <w:tcPr>
            <w:tcW w:w="71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HW08</w:t>
            </w:r>
          </w:p>
        </w:tc>
        <w:tc>
          <w:tcPr>
            <w:tcW w:w="84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900-210-08</w:t>
            </w:r>
          </w:p>
        </w:tc>
        <w:tc>
          <w:tcPr>
            <w:tcW w:w="85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5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委托有资质的专业清罐队伍负责本项目的储罐清罐，产生的危险废物由清罐队伍负责清运处置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00" w:hRule="atLeast"/>
          <w:jc w:val="center"/>
        </w:trPr>
        <w:tc>
          <w:tcPr>
            <w:tcW w:w="30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w:t>
            </w:r>
          </w:p>
        </w:tc>
        <w:tc>
          <w:tcPr>
            <w:tcW w:w="787"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化验室废液</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危险废物</w:t>
            </w:r>
          </w:p>
        </w:tc>
        <w:tc>
          <w:tcPr>
            <w:tcW w:w="85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化验</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液态</w:t>
            </w:r>
          </w:p>
        </w:tc>
        <w:tc>
          <w:tcPr>
            <w:tcW w:w="128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酸碱等</w:t>
            </w:r>
          </w:p>
        </w:tc>
        <w:tc>
          <w:tcPr>
            <w:tcW w:w="7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T，I</w:t>
            </w:r>
          </w:p>
        </w:tc>
        <w:tc>
          <w:tcPr>
            <w:tcW w:w="71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HW49</w:t>
            </w:r>
          </w:p>
        </w:tc>
        <w:tc>
          <w:tcPr>
            <w:tcW w:w="84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900-041-49</w:t>
            </w:r>
          </w:p>
        </w:tc>
        <w:tc>
          <w:tcPr>
            <w:tcW w:w="85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45</w:t>
            </w:r>
          </w:p>
        </w:tc>
        <w:tc>
          <w:tcPr>
            <w:tcW w:w="1593"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室内积液桶收集暂存于危废暂存间，定期送交有资质的危废处置单位处置</w:t>
            </w:r>
          </w:p>
        </w:tc>
      </w:tr>
    </w:tbl>
    <w:p>
      <w:pPr>
        <w:pStyle w:val="467"/>
        <w:spacing w:before="0" w:after="0"/>
        <w:jc w:val="center"/>
        <w:rPr>
          <w:rFonts w:ascii="Times New Roman" w:hAnsi="Times New Roman" w:cs="Times New Roman"/>
          <w:color w:val="auto"/>
        </w:rPr>
      </w:pPr>
      <w:r>
        <w:rPr>
          <w:rFonts w:ascii="Times New Roman" w:hAnsi="Times New Roman" w:eastAsia="宋体" w:cs="Times New Roman"/>
          <w:b/>
          <w:bCs/>
          <w:color w:val="auto"/>
          <w:sz w:val="36"/>
          <w:szCs w:val="36"/>
        </w:rPr>
        <w:br w:type="page"/>
      </w:r>
      <w:bookmarkStart w:id="267" w:name="_Toc102979824"/>
      <w:bookmarkStart w:id="268" w:name="_Toc104733364"/>
      <w:r>
        <w:rPr>
          <w:rFonts w:ascii="Times New Roman" w:hAnsi="Times New Roman" w:eastAsia="宋体" w:cs="Times New Roman"/>
          <w:b/>
          <w:bCs/>
          <w:color w:val="auto"/>
          <w:sz w:val="36"/>
          <w:szCs w:val="36"/>
        </w:rPr>
        <w:t>4 环境现状调查与评价</w:t>
      </w:r>
      <w:bookmarkEnd w:id="153"/>
      <w:bookmarkEnd w:id="267"/>
      <w:bookmarkEnd w:id="268"/>
    </w:p>
    <w:p>
      <w:pPr>
        <w:pStyle w:val="3"/>
        <w:widowControl w:val="0"/>
        <w:numPr>
          <w:ilvl w:val="1"/>
          <w:numId w:val="0"/>
        </w:numPr>
        <w:spacing w:before="0" w:after="0"/>
        <w:jc w:val="both"/>
        <w:rPr>
          <w:rFonts w:ascii="Times New Roman" w:hAnsi="Times New Roman" w:eastAsia="黑体" w:cs="Times New Roman"/>
          <w:color w:val="auto"/>
          <w:kern w:val="2"/>
          <w:sz w:val="28"/>
        </w:rPr>
      </w:pPr>
      <w:bookmarkStart w:id="269" w:name="_Toc535685650"/>
      <w:bookmarkStart w:id="270" w:name="_Toc478597216"/>
      <w:bookmarkStart w:id="271" w:name="_Toc475344757"/>
      <w:bookmarkStart w:id="272" w:name="_Toc492935835"/>
      <w:bookmarkStart w:id="273" w:name="_Toc482091042"/>
      <w:bookmarkStart w:id="274" w:name="_Toc104733365"/>
      <w:bookmarkStart w:id="275" w:name="_Toc164"/>
      <w:bookmarkStart w:id="276" w:name="_Toc102979825"/>
      <w:bookmarkStart w:id="277" w:name="_Toc26923"/>
      <w:r>
        <w:rPr>
          <w:rFonts w:ascii="Times New Roman" w:hAnsi="Times New Roman" w:eastAsia="黑体" w:cs="Times New Roman"/>
          <w:color w:val="auto"/>
          <w:kern w:val="2"/>
          <w:sz w:val="28"/>
        </w:rPr>
        <w:t>4.1自然环境概况</w:t>
      </w:r>
      <w:bookmarkEnd w:id="269"/>
      <w:bookmarkEnd w:id="270"/>
      <w:bookmarkEnd w:id="271"/>
      <w:bookmarkEnd w:id="272"/>
      <w:bookmarkEnd w:id="273"/>
      <w:bookmarkEnd w:id="274"/>
      <w:bookmarkEnd w:id="275"/>
      <w:bookmarkEnd w:id="276"/>
      <w:bookmarkEnd w:id="277"/>
    </w:p>
    <w:p>
      <w:pPr>
        <w:pStyle w:val="4"/>
        <w:numPr>
          <w:ilvl w:val="2"/>
          <w:numId w:val="0"/>
        </w:numPr>
        <w:jc w:val="both"/>
        <w:rPr>
          <w:rFonts w:ascii="Times New Roman" w:hAnsi="Times New Roman" w:cs="Times New Roman"/>
          <w:color w:val="auto"/>
        </w:rPr>
      </w:pPr>
      <w:bookmarkStart w:id="278" w:name="_Toc104733366"/>
      <w:bookmarkStart w:id="279" w:name="_Toc102984337"/>
      <w:r>
        <w:rPr>
          <w:rFonts w:ascii="Times New Roman" w:hAnsi="Times New Roman" w:cs="Times New Roman"/>
          <w:color w:val="auto"/>
        </w:rPr>
        <w:t>4.1.1地理位置</w:t>
      </w:r>
      <w:bookmarkEnd w:id="278"/>
      <w:bookmarkEnd w:id="279"/>
    </w:p>
    <w:p>
      <w:pPr>
        <w:ind w:firstLine="480"/>
        <w:rPr>
          <w:rFonts w:ascii="Times New Roman" w:hAnsi="Times New Roman" w:cs="Times New Roman"/>
          <w:color w:val="auto"/>
        </w:rPr>
      </w:pPr>
      <w:r>
        <w:rPr>
          <w:rFonts w:ascii="Times New Roman" w:hAnsi="Times New Roman" w:cs="Times New Roman"/>
          <w:color w:val="auto"/>
        </w:rPr>
        <w:t>本项目位于合肥市肥东县撮镇镇店埠河左岸，</w:t>
      </w:r>
      <w:r>
        <w:rPr>
          <w:rFonts w:hint="eastAsia" w:ascii="Times New Roman" w:hAnsi="Times New Roman" w:cs="Times New Roman"/>
          <w:color w:val="auto"/>
        </w:rPr>
        <w:t>用地属于</w:t>
      </w:r>
      <w:r>
        <w:rPr>
          <w:rFonts w:ascii="Times New Roman" w:hAnsi="Times New Roman" w:cs="Times New Roman"/>
          <w:color w:val="auto"/>
        </w:rPr>
        <w:t>合肥循环经济示范园</w:t>
      </w:r>
      <w:r>
        <w:rPr>
          <w:rFonts w:hint="eastAsia" w:ascii="Times New Roman" w:hAnsi="Times New Roman" w:cs="Times New Roman"/>
          <w:color w:val="auto"/>
        </w:rPr>
        <w:t>规划范围</w:t>
      </w:r>
      <w:r>
        <w:rPr>
          <w:rFonts w:ascii="Times New Roman" w:hAnsi="Times New Roman" w:cs="Times New Roman"/>
          <w:color w:val="auto"/>
        </w:rPr>
        <w:t>，项目距合肥市中心城区16公里，距肥东县县城店埠镇8公里，距合肥市市域城镇体系中工业型重点镇的撮镇2公里，区位优势明显。水路经店埠河、南淝河、巢湖、裕溪河入长江，后方陆域紧邻</w:t>
      </w:r>
      <w:r>
        <w:rPr>
          <w:rFonts w:hint="eastAsia" w:ascii="Times New Roman" w:hAnsi="Times New Roman" w:cs="Times New Roman"/>
          <w:color w:val="auto"/>
        </w:rPr>
        <w:t>拟建</w:t>
      </w:r>
      <w:r>
        <w:rPr>
          <w:rFonts w:ascii="Times New Roman" w:hAnsi="Times New Roman" w:cs="Times New Roman"/>
          <w:color w:val="auto"/>
        </w:rPr>
        <w:t>港口路及繁华大道，地理位置优越，集疏运条件良好。</w:t>
      </w:r>
    </w:p>
    <w:p>
      <w:pPr>
        <w:pStyle w:val="4"/>
        <w:numPr>
          <w:ilvl w:val="2"/>
          <w:numId w:val="0"/>
        </w:numPr>
        <w:jc w:val="both"/>
        <w:rPr>
          <w:rFonts w:ascii="Times New Roman" w:hAnsi="Times New Roman" w:cs="Times New Roman"/>
          <w:color w:val="auto"/>
        </w:rPr>
      </w:pPr>
      <w:bookmarkStart w:id="280" w:name="_Toc104733367"/>
      <w:r>
        <w:rPr>
          <w:rFonts w:ascii="Times New Roman" w:hAnsi="Times New Roman" w:cs="Times New Roman"/>
          <w:color w:val="auto"/>
        </w:rPr>
        <w:t>4.1.2地形、地貌、地质</w:t>
      </w:r>
      <w:bookmarkEnd w:id="280"/>
    </w:p>
    <w:p>
      <w:pPr>
        <w:ind w:firstLine="482"/>
        <w:rPr>
          <w:rFonts w:ascii="Times New Roman" w:hAnsi="Times New Roman" w:cs="Times New Roman"/>
          <w:b/>
          <w:bCs/>
        </w:rPr>
      </w:pPr>
      <w:r>
        <w:rPr>
          <w:rFonts w:ascii="Times New Roman" w:hAnsi="Times New Roman" w:cs="Times New Roman"/>
          <w:b/>
          <w:bCs/>
        </w:rPr>
        <w:t>（1）地形地貌</w:t>
      </w:r>
    </w:p>
    <w:p>
      <w:pPr>
        <w:ind w:firstLine="480"/>
        <w:rPr>
          <w:rFonts w:ascii="Times New Roman" w:hAnsi="Times New Roman" w:cs="Times New Roman"/>
        </w:rPr>
      </w:pPr>
      <w:r>
        <w:rPr>
          <w:rFonts w:ascii="Times New Roman" w:hAnsi="Times New Roman" w:cs="Times New Roman"/>
          <w:szCs w:val="21"/>
          <w:lang w:bidi="ar"/>
        </w:rPr>
        <w:t>合肥市地处江淮丘陵地带，境内具有丘陵岗地、低山残丘、河湖低洼平原三种地貌，以丘陵岗地为最大地貌单元。</w:t>
      </w:r>
    </w:p>
    <w:p>
      <w:pPr>
        <w:ind w:firstLine="480"/>
        <w:rPr>
          <w:rFonts w:ascii="Times New Roman" w:hAnsi="Times New Roman" w:cs="Times New Roman"/>
        </w:rPr>
      </w:pPr>
      <w:r>
        <w:rPr>
          <w:rFonts w:ascii="Times New Roman" w:hAnsi="Times New Roman" w:cs="Times New Roman"/>
          <w:szCs w:val="21"/>
          <w:lang w:bidi="ar"/>
        </w:rPr>
        <w:t>地形基本为岗冲起伏的丘陵，地势西北高，东南低；市区除沿南淝河两侧有些洼地外，大部分地区高于洪水位。城市建成区高程为10～43m，少数沿河洼地高程为8～10m，大蜀山海拔高程280m。拟建场地沟塘较多，地形起伏较大，微地貌属南淝河及店埠河一级阶地，地貌形态单一，地面高程一般为8.6～12.96m，地面平均高程11.5m。</w:t>
      </w:r>
    </w:p>
    <w:p>
      <w:pPr>
        <w:ind w:firstLine="480"/>
        <w:rPr>
          <w:rFonts w:ascii="Times New Roman" w:hAnsi="Times New Roman" w:cs="Times New Roman"/>
          <w:color w:val="auto"/>
        </w:rPr>
      </w:pPr>
      <w:r>
        <w:rPr>
          <w:rFonts w:ascii="Times New Roman" w:hAnsi="Times New Roman" w:cs="Times New Roman"/>
          <w:color w:val="auto"/>
        </w:rPr>
        <w:t>肥东县地形地貌呈丘陵岗地、低山残丘、河湖低洼平原三种。境内丘陵、岗地、平原分别占全县土地总面积的14%、48%、38%，东部和北部主要为低山丘陵和丘陵岗地区，以耕地、林地为主；中部和南部为波状平原和滨湖平原区，以耕地、水域为主。江淮分水岭从西往东横贯中北部，将全县分为淮河和长江两大流域，县域地形复杂，北宽南窄，呈倒三角形状。境内河渠交错，主要河流有南淝河、店埠河、滁河、池可。大别山余脉逶迤东南，主要有四顶山、白马山，青阳山、龙泉山、浮槎山、棋盘山、凤凰山、岱山等。浮槎山为最高峰，高程为418米。</w:t>
      </w:r>
    </w:p>
    <w:p>
      <w:pPr>
        <w:ind w:firstLine="480"/>
        <w:rPr>
          <w:rFonts w:ascii="Times New Roman" w:hAnsi="Times New Roman" w:cs="Times New Roman"/>
          <w:color w:val="auto"/>
        </w:rPr>
      </w:pPr>
      <w:r>
        <w:rPr>
          <w:rFonts w:ascii="Times New Roman" w:hAnsi="Times New Roman" w:cs="Times New Roman"/>
          <w:color w:val="auto"/>
        </w:rPr>
        <w:t>本项目位于河谷平原-丘陵过渡带。拟建场地位于安徽省合肥市肥东县撮镇镇店埠河左岸，繁华大道店埠河大桥上游约500m～1000m处，地势基本呈东高西低，孔口高程一般为9.90-14.29m左右。</w:t>
      </w:r>
    </w:p>
    <w:p>
      <w:pPr>
        <w:ind w:firstLine="482"/>
        <w:rPr>
          <w:rFonts w:ascii="Times New Roman" w:hAnsi="Times New Roman" w:cs="Times New Roman"/>
          <w:b/>
          <w:bCs/>
        </w:rPr>
      </w:pPr>
      <w:r>
        <w:rPr>
          <w:rFonts w:ascii="Times New Roman" w:hAnsi="Times New Roman" w:cs="Times New Roman"/>
          <w:b/>
          <w:bCs/>
        </w:rPr>
        <w:t>（2）</w:t>
      </w:r>
      <w:r>
        <w:rPr>
          <w:rFonts w:ascii="Times New Roman" w:hAnsi="Times New Roman" w:cs="Times New Roman"/>
          <w:b/>
          <w:bCs/>
          <w:color w:val="auto"/>
        </w:rPr>
        <w:t>地质</w:t>
      </w:r>
    </w:p>
    <w:p>
      <w:pPr>
        <w:ind w:firstLine="480"/>
        <w:rPr>
          <w:rFonts w:ascii="Times New Roman" w:hAnsi="Times New Roman" w:cs="Times New Roman"/>
          <w:color w:val="auto"/>
        </w:rPr>
      </w:pPr>
      <w:r>
        <w:rPr>
          <w:rFonts w:ascii="Times New Roman" w:hAnsi="Times New Roman" w:cs="Times New Roman"/>
          <w:color w:val="auto"/>
        </w:rPr>
        <w:t>根据工程场地地质勘察资料，依据各岩土层物理力学特征，拟建场地可划分为7个岩土层，其工程地质特征分述如下：</w:t>
      </w:r>
    </w:p>
    <w:p>
      <w:pPr>
        <w:ind w:firstLine="480"/>
        <w:rPr>
          <w:rFonts w:ascii="Times New Roman" w:hAnsi="Times New Roman" w:cs="Times New Roman"/>
          <w:color w:val="auto"/>
        </w:rPr>
      </w:pPr>
      <w:r>
        <w:rPr>
          <w:rFonts w:ascii="Times New Roman" w:hAnsi="Times New Roman" w:cs="Times New Roman"/>
          <w:color w:val="auto"/>
        </w:rPr>
        <w:t>第</w:t>
      </w:r>
      <w:r>
        <w:rPr>
          <w:rFonts w:hint="eastAsia" w:ascii="宋体" w:hAnsi="宋体" w:cs="宋体"/>
          <w:color w:val="auto"/>
        </w:rPr>
        <w:t>①</w:t>
      </w:r>
      <w:r>
        <w:rPr>
          <w:rFonts w:ascii="Times New Roman" w:hAnsi="Times New Roman" w:cs="Times New Roman"/>
          <w:color w:val="auto"/>
        </w:rPr>
        <w:t>层素填土（Q4ml）：色杂，主要为灰黄、棕黄色，湿，松散，主要成分为粉质粘土局部夹碎石、碎砖等，局部为耕土，夹有植物根茎。高压缩性。</w:t>
      </w:r>
    </w:p>
    <w:p>
      <w:pPr>
        <w:ind w:firstLine="480"/>
        <w:rPr>
          <w:rFonts w:ascii="Times New Roman" w:hAnsi="Times New Roman" w:cs="Times New Roman"/>
          <w:color w:val="auto"/>
        </w:rPr>
      </w:pPr>
      <w:r>
        <w:rPr>
          <w:rFonts w:ascii="Times New Roman" w:hAnsi="Times New Roman" w:cs="Times New Roman"/>
          <w:color w:val="auto"/>
        </w:rPr>
        <w:t>全场地分布；最薄处为1.10米，见于J7号孔；最厚处为4.30米，见于Z6号孔；平均厚度为1.98米；层面最高处标高为14.29米，见于Z6号孔；层面最低处标高为9.90米，见于Z1号孔；平均标高为11.60米；</w:t>
      </w:r>
    </w:p>
    <w:p>
      <w:pPr>
        <w:ind w:firstLine="480"/>
        <w:rPr>
          <w:rFonts w:ascii="Times New Roman" w:hAnsi="Times New Roman" w:cs="Times New Roman"/>
          <w:color w:val="auto"/>
        </w:rPr>
      </w:pPr>
      <w:r>
        <w:rPr>
          <w:rFonts w:ascii="Times New Roman" w:hAnsi="Times New Roman" w:cs="Times New Roman"/>
          <w:color w:val="auto"/>
        </w:rPr>
        <w:t>第</w:t>
      </w:r>
      <w:r>
        <w:rPr>
          <w:rFonts w:hint="eastAsia" w:ascii="宋体" w:hAnsi="宋体" w:cs="宋体"/>
          <w:color w:val="auto"/>
        </w:rPr>
        <w:t>②</w:t>
      </w:r>
      <w:r>
        <w:rPr>
          <w:rFonts w:ascii="Times New Roman" w:hAnsi="Times New Roman" w:cs="Times New Roman"/>
          <w:color w:val="auto"/>
        </w:rPr>
        <w:t>层粉质粘土（Q4al）：灰黄、褐黄色，湿，可塑，局部夹粉土，干强度中等，中等韧性，摇震反应慢，稍有光泽。中等压缩性。</w:t>
      </w:r>
    </w:p>
    <w:p>
      <w:pPr>
        <w:ind w:firstLine="480"/>
        <w:rPr>
          <w:rFonts w:ascii="Times New Roman" w:hAnsi="Times New Roman" w:cs="Times New Roman"/>
          <w:color w:val="auto"/>
        </w:rPr>
      </w:pPr>
      <w:r>
        <w:rPr>
          <w:rFonts w:ascii="Times New Roman" w:hAnsi="Times New Roman" w:cs="Times New Roman"/>
          <w:color w:val="auto"/>
        </w:rPr>
        <w:t>局部分布，仅在第Z1，J2，J3，J4，J5，Z6，J8，Z9，Z11，J13，号孔一带可见；最薄处为0.70米，见于J13号孔；最厚处为2.70米，见于J2号孔；平均厚度为1.66米；层面最高处标高为11.91米，见于J13号孔；层面最低处标高为7.80米，见于J8号孔；平均标高为9.26米；</w:t>
      </w:r>
    </w:p>
    <w:p>
      <w:pPr>
        <w:ind w:firstLine="480"/>
        <w:rPr>
          <w:rFonts w:ascii="Times New Roman" w:hAnsi="Times New Roman" w:cs="Times New Roman"/>
          <w:color w:val="auto"/>
        </w:rPr>
      </w:pPr>
      <w:r>
        <w:rPr>
          <w:rFonts w:ascii="Times New Roman" w:hAnsi="Times New Roman" w:cs="Times New Roman"/>
          <w:color w:val="auto"/>
        </w:rPr>
        <w:t>第</w:t>
      </w:r>
      <w:r>
        <w:rPr>
          <w:rFonts w:hint="eastAsia" w:ascii="宋体" w:hAnsi="宋体" w:cs="宋体"/>
          <w:color w:val="auto"/>
        </w:rPr>
        <w:t>③</w:t>
      </w:r>
      <w:r>
        <w:rPr>
          <w:rFonts w:ascii="Times New Roman" w:hAnsi="Times New Roman" w:cs="Times New Roman"/>
          <w:color w:val="auto"/>
        </w:rPr>
        <w:t>层粉质粘土（Q4al）：灰黄、灰色，湿，软塑，局部流塑，局部夹粉土，干强度中等，中等韧性，摇震反应慢，稍有光泽。中等压缩性。</w:t>
      </w:r>
    </w:p>
    <w:p>
      <w:pPr>
        <w:ind w:firstLine="480"/>
        <w:rPr>
          <w:rFonts w:ascii="Times New Roman" w:hAnsi="Times New Roman" w:cs="Times New Roman"/>
          <w:color w:val="auto"/>
        </w:rPr>
      </w:pPr>
      <w:r>
        <w:rPr>
          <w:rFonts w:ascii="Times New Roman" w:hAnsi="Times New Roman" w:cs="Times New Roman"/>
          <w:color w:val="auto"/>
        </w:rPr>
        <w:t>局部分布，仅在第Z1，J5，号孔一带可见；最薄处为1.50米，见于J5号孔；最厚处为4.60米，见于Z1号孔；平均厚度为3.05米；层面最高处标高为6.70米，见于J5号孔；层面最低处标高为6.30米，见于Z1号孔；平均标高为6.50米；</w:t>
      </w:r>
    </w:p>
    <w:p>
      <w:pPr>
        <w:ind w:firstLine="480"/>
        <w:rPr>
          <w:rFonts w:ascii="Times New Roman" w:hAnsi="Times New Roman" w:cs="Times New Roman"/>
          <w:color w:val="auto"/>
        </w:rPr>
      </w:pPr>
      <w:r>
        <w:rPr>
          <w:rFonts w:ascii="Times New Roman" w:hAnsi="Times New Roman" w:cs="Times New Roman"/>
          <w:color w:val="auto"/>
        </w:rPr>
        <w:t>第</w:t>
      </w:r>
      <w:r>
        <w:rPr>
          <w:rFonts w:hint="eastAsia" w:ascii="宋体" w:hAnsi="宋体" w:cs="宋体"/>
          <w:color w:val="auto"/>
        </w:rPr>
        <w:t>④</w:t>
      </w:r>
      <w:r>
        <w:rPr>
          <w:rFonts w:ascii="Times New Roman" w:hAnsi="Times New Roman" w:cs="Times New Roman"/>
          <w:color w:val="auto"/>
        </w:rPr>
        <w:t>层粉质粘土（Q4al）：灰黄、棕黄色，湿，可塑～硬塑，夹有铁锰结核及灰白色高岭土，局部夹粉土，干强度中等，中等韧性，摇震反应慢，稍有光泽。中等压缩性。</w:t>
      </w:r>
    </w:p>
    <w:p>
      <w:pPr>
        <w:ind w:firstLine="480"/>
        <w:rPr>
          <w:rFonts w:ascii="Times New Roman" w:hAnsi="Times New Roman" w:cs="Times New Roman"/>
          <w:color w:val="auto"/>
        </w:rPr>
      </w:pPr>
      <w:r>
        <w:rPr>
          <w:rFonts w:ascii="Times New Roman" w:hAnsi="Times New Roman" w:cs="Times New Roman"/>
          <w:color w:val="auto"/>
        </w:rPr>
        <w:t>全场地分布；最薄处为2.20米，见于Z1号孔；最厚处为13.00米，见于Z12号孔；平均厚度为8.48米；层面最高处标高为11.68米，见于Z12号孔；层面最低处标高为1.70米，见于Z1号孔；平均标高为7.87米；</w:t>
      </w:r>
    </w:p>
    <w:p>
      <w:pPr>
        <w:ind w:firstLine="480"/>
        <w:rPr>
          <w:rFonts w:ascii="Times New Roman" w:hAnsi="Times New Roman" w:cs="Times New Roman"/>
          <w:color w:val="auto"/>
        </w:rPr>
      </w:pPr>
      <w:r>
        <w:rPr>
          <w:rFonts w:ascii="Times New Roman" w:hAnsi="Times New Roman" w:cs="Times New Roman"/>
          <w:color w:val="auto"/>
        </w:rPr>
        <w:t>第</w:t>
      </w:r>
      <w:r>
        <w:rPr>
          <w:rFonts w:hint="eastAsia" w:ascii="宋体" w:hAnsi="宋体" w:cs="宋体"/>
          <w:color w:val="auto"/>
        </w:rPr>
        <w:t>⑤</w:t>
      </w:r>
      <w:r>
        <w:rPr>
          <w:rFonts w:ascii="Times New Roman" w:hAnsi="Times New Roman" w:cs="Times New Roman"/>
          <w:color w:val="auto"/>
        </w:rPr>
        <w:t>层粉质粘土夹粉土（Q4al）：灰黄色，湿，可塑，不均匀夹粉土，局部粉土含量较多，干强度中等，中等韧性，摇震反应中等，稍有光泽。中等压缩性。</w:t>
      </w:r>
    </w:p>
    <w:p>
      <w:pPr>
        <w:ind w:firstLine="480"/>
        <w:rPr>
          <w:rFonts w:ascii="Times New Roman" w:hAnsi="Times New Roman" w:cs="Times New Roman"/>
          <w:color w:val="auto"/>
        </w:rPr>
      </w:pPr>
      <w:r>
        <w:rPr>
          <w:rFonts w:ascii="Times New Roman" w:hAnsi="Times New Roman" w:cs="Times New Roman"/>
          <w:color w:val="auto"/>
        </w:rPr>
        <w:t>全场地分布；最薄处为3.20米，见于Z11号孔；最厚处为9.60米，见于J8号孔；平均厚度为6.21米；层面最高处标高为1.60米，见于J8号孔；层面最低处标高为-2.80米，见于J7号孔；平均标高为-0.62米；</w:t>
      </w:r>
    </w:p>
    <w:p>
      <w:pPr>
        <w:ind w:firstLine="480"/>
        <w:rPr>
          <w:rFonts w:ascii="Times New Roman" w:hAnsi="Times New Roman" w:cs="Times New Roman"/>
          <w:color w:val="auto"/>
        </w:rPr>
      </w:pPr>
      <w:r>
        <w:rPr>
          <w:rFonts w:ascii="Times New Roman" w:hAnsi="Times New Roman" w:cs="Times New Roman"/>
          <w:color w:val="auto"/>
        </w:rPr>
        <w:t>第</w:t>
      </w:r>
      <w:r>
        <w:rPr>
          <w:rFonts w:hint="eastAsia" w:ascii="宋体" w:hAnsi="宋体" w:cs="宋体"/>
          <w:color w:val="auto"/>
        </w:rPr>
        <w:t>⑥</w:t>
      </w:r>
      <w:r>
        <w:rPr>
          <w:rFonts w:ascii="Times New Roman" w:hAnsi="Times New Roman" w:cs="Times New Roman"/>
          <w:color w:val="auto"/>
        </w:rPr>
        <w:t>层粉土（Q4al）：灰黄色，湿，中密状，局部密实状，局部夹有薄层状粉质粘土或粉细砂，干强度低，低韧性，摇震反应中等，稍有光泽。中等压缩性。</w:t>
      </w:r>
    </w:p>
    <w:p>
      <w:pPr>
        <w:ind w:firstLine="480"/>
        <w:rPr>
          <w:rFonts w:ascii="Times New Roman" w:hAnsi="Times New Roman" w:cs="Times New Roman"/>
          <w:color w:val="auto"/>
        </w:rPr>
      </w:pPr>
      <w:r>
        <w:rPr>
          <w:rFonts w:ascii="Times New Roman" w:hAnsi="Times New Roman" w:cs="Times New Roman"/>
          <w:color w:val="auto"/>
        </w:rPr>
        <w:t>全场地分布；最薄处为2.20米，见于Z1号孔；最厚处为6.00米，见于Z6号孔；平均厚度为3.49米；层面最高处标高为-3.71米，见于Z6号孔；层面最低处标高为-8.02米，见于Z12号孔；平均标高为-6.82米；</w:t>
      </w:r>
    </w:p>
    <w:p>
      <w:pPr>
        <w:ind w:firstLine="480"/>
        <w:rPr>
          <w:rFonts w:ascii="Times New Roman" w:hAnsi="Times New Roman" w:cs="Times New Roman"/>
          <w:color w:val="auto"/>
        </w:rPr>
      </w:pPr>
      <w:r>
        <w:rPr>
          <w:rFonts w:ascii="Times New Roman" w:hAnsi="Times New Roman" w:cs="Times New Roman"/>
          <w:color w:val="auto"/>
        </w:rPr>
        <w:t>第</w:t>
      </w:r>
      <w:r>
        <w:rPr>
          <w:rFonts w:hint="eastAsia" w:ascii="宋体" w:hAnsi="宋体" w:cs="宋体"/>
          <w:color w:val="auto"/>
        </w:rPr>
        <w:t>⑦</w:t>
      </w:r>
      <w:r>
        <w:rPr>
          <w:rFonts w:ascii="Times New Roman" w:hAnsi="Times New Roman" w:cs="Times New Roman"/>
          <w:color w:val="auto"/>
        </w:rPr>
        <w:t>层粉质粘土（Q4al）：棕黄色，稍湿，硬塑，局部可塑，夹有铁锰结核及灰白色高岭土，局部夹粉土，底部夹有颗粒状风化物，干强度中等，中等韧性，摇震反应慢，稍有光泽。中等压缩性。</w:t>
      </w:r>
    </w:p>
    <w:p>
      <w:pPr>
        <w:ind w:firstLine="480"/>
        <w:rPr>
          <w:rFonts w:ascii="Times New Roman" w:hAnsi="Times New Roman" w:cs="Times New Roman"/>
          <w:color w:val="auto"/>
        </w:rPr>
      </w:pPr>
      <w:r>
        <w:rPr>
          <w:rFonts w:ascii="Times New Roman" w:hAnsi="Times New Roman" w:cs="Times New Roman"/>
          <w:color w:val="auto"/>
        </w:rPr>
        <w:t>全场地分布；最薄处为6.20米，见于J13号孔；最厚处为10.90米，见于Z1号孔；平均厚度为9.16米；层面最高处标高为-8.76米，见于Z11号孔；层面最低处标高为-11.90米，见于J7号孔；平均标高为-10.32米；</w:t>
      </w:r>
    </w:p>
    <w:p>
      <w:pPr>
        <w:ind w:firstLine="480"/>
        <w:rPr>
          <w:rFonts w:ascii="Times New Roman" w:hAnsi="Times New Roman" w:cs="Times New Roman"/>
          <w:color w:val="auto"/>
        </w:rPr>
      </w:pPr>
      <w:r>
        <w:rPr>
          <w:rFonts w:ascii="Times New Roman" w:hAnsi="Times New Roman" w:cs="Times New Roman"/>
          <w:color w:val="auto"/>
        </w:rPr>
        <w:t>第（</w:t>
      </w:r>
      <w:r>
        <w:rPr>
          <w:rFonts w:hint="eastAsia" w:ascii="宋体" w:hAnsi="宋体" w:cs="宋体"/>
          <w:color w:val="auto"/>
        </w:rPr>
        <w:t>⑧</w:t>
      </w:r>
      <w:r>
        <w:rPr>
          <w:rFonts w:ascii="Times New Roman" w:hAnsi="Times New Roman" w:cs="Times New Roman"/>
          <w:color w:val="auto"/>
        </w:rPr>
        <w:t>-1）层全风化泥质粉砂岩（K）：棕红色，全风化，组织结构已基本破坏，矿物成分已经显著变化，局部风化成土状，岩芯多呈碎块状及砂状。</w:t>
      </w:r>
    </w:p>
    <w:p>
      <w:pPr>
        <w:ind w:firstLine="480"/>
        <w:rPr>
          <w:rFonts w:ascii="Times New Roman" w:hAnsi="Times New Roman" w:cs="Times New Roman"/>
          <w:color w:val="auto"/>
        </w:rPr>
      </w:pPr>
      <w:r>
        <w:rPr>
          <w:rFonts w:ascii="Times New Roman" w:hAnsi="Times New Roman" w:cs="Times New Roman"/>
          <w:color w:val="auto"/>
        </w:rPr>
        <w:t>最薄处为4.90米，见于Z10号孔；最厚处为7.30米，见于Z1号孔；平均厚度为5.87米；层面最高处标高为-19.22米，见于Z12号孔；层面最低处标高为-21.00米，见于Z1号孔；平均标高为-19.92米；</w:t>
      </w:r>
    </w:p>
    <w:p>
      <w:pPr>
        <w:ind w:firstLine="480"/>
        <w:rPr>
          <w:rFonts w:ascii="Times New Roman" w:hAnsi="Times New Roman" w:cs="Times New Roman"/>
          <w:color w:val="auto"/>
        </w:rPr>
      </w:pPr>
      <w:r>
        <w:rPr>
          <w:rFonts w:ascii="Times New Roman" w:hAnsi="Times New Roman" w:cs="Times New Roman"/>
          <w:color w:val="auto"/>
        </w:rPr>
        <w:t>第（</w:t>
      </w:r>
      <w:r>
        <w:rPr>
          <w:rFonts w:hint="eastAsia" w:ascii="宋体" w:hAnsi="宋体" w:cs="宋体"/>
          <w:color w:val="auto"/>
        </w:rPr>
        <w:t>⑧</w:t>
      </w:r>
      <w:r>
        <w:rPr>
          <w:rFonts w:ascii="Times New Roman" w:hAnsi="Times New Roman" w:cs="Times New Roman"/>
          <w:color w:val="auto"/>
        </w:rPr>
        <w:t>-2）层强风化泥质粉砂岩（K）：棕红色，强风化，组织结构已大部分破坏，矿物成分已经显著变化，局部含有粘土矿物，风化裂隙很发育，干时可用手折断或捏碎，浸水或干湿交替时易软化或崩解，干钻不易钻进，岩芯多呈碎块状及砂状，少量短柱状。</w:t>
      </w:r>
    </w:p>
    <w:p>
      <w:pPr>
        <w:ind w:firstLine="480"/>
        <w:rPr>
          <w:rFonts w:ascii="Times New Roman" w:hAnsi="Times New Roman" w:cs="Times New Roman"/>
          <w:color w:val="auto"/>
        </w:rPr>
      </w:pPr>
      <w:r>
        <w:rPr>
          <w:rFonts w:ascii="Times New Roman" w:hAnsi="Times New Roman" w:cs="Times New Roman"/>
          <w:color w:val="auto"/>
        </w:rPr>
        <w:t>在第Z1，Z6，Z9，Z10，Z11，Z12，号孔揭示；最薄控制处为5.20米，见于Z12号孔；最厚控制处为5.80米，见于Z1号孔；平均控制厚度为5.45米；层面最高处标高为-24.36米，见于Z10号孔；层面最低处标高为-28.30米，见于Z1号孔；平均标高为-25.79米。</w:t>
      </w:r>
    </w:p>
    <w:p>
      <w:pPr>
        <w:pStyle w:val="4"/>
        <w:numPr>
          <w:ilvl w:val="2"/>
          <w:numId w:val="0"/>
        </w:numPr>
        <w:jc w:val="both"/>
        <w:rPr>
          <w:rFonts w:ascii="Times New Roman" w:hAnsi="Times New Roman" w:cs="Times New Roman"/>
          <w:color w:val="auto"/>
        </w:rPr>
      </w:pPr>
      <w:bookmarkStart w:id="281" w:name="_Toc104733368"/>
      <w:r>
        <w:rPr>
          <w:rFonts w:ascii="Times New Roman" w:hAnsi="Times New Roman" w:cs="Times New Roman"/>
          <w:color w:val="auto"/>
        </w:rPr>
        <w:t>4.1.3气候、气象</w:t>
      </w:r>
      <w:bookmarkEnd w:id="281"/>
    </w:p>
    <w:p>
      <w:pPr>
        <w:ind w:firstLine="480"/>
        <w:rPr>
          <w:rFonts w:ascii="Times New Roman" w:hAnsi="Times New Roman" w:cs="Times New Roman"/>
          <w:lang w:val="zh-CN"/>
        </w:rPr>
      </w:pPr>
      <w:r>
        <w:rPr>
          <w:rFonts w:ascii="Times New Roman" w:hAnsi="Times New Roman" w:cs="Times New Roman"/>
          <w:szCs w:val="21"/>
          <w:lang w:val="zh-CN" w:bidi="ar"/>
        </w:rPr>
        <w:t xml:space="preserve">合肥地区属于北亚热带湿润季风气候，主要特征为气候温和，光照充足，热量丰富，无霜期长；受季风气候影响显著，四季分明，雨量适中，但年内年际分配不均匀，气候特征如下： </w:t>
      </w:r>
    </w:p>
    <w:p>
      <w:pPr>
        <w:ind w:firstLine="482"/>
        <w:rPr>
          <w:rFonts w:ascii="Times New Roman" w:hAnsi="Times New Roman" w:cs="Times New Roman"/>
          <w:b/>
          <w:lang w:val="zh-CN"/>
        </w:rPr>
      </w:pPr>
      <w:r>
        <w:rPr>
          <w:rFonts w:ascii="Times New Roman" w:hAnsi="Times New Roman" w:cs="Times New Roman"/>
          <w:b/>
          <w:szCs w:val="21"/>
          <w:lang w:val="zh-CN" w:bidi="ar"/>
        </w:rPr>
        <w:t>1、气温</w:t>
      </w:r>
    </w:p>
    <w:p>
      <w:pPr>
        <w:ind w:firstLine="480"/>
        <w:rPr>
          <w:rFonts w:ascii="Times New Roman" w:hAnsi="Times New Roman" w:cs="Times New Roman"/>
          <w:lang w:val="zh-CN"/>
        </w:rPr>
      </w:pPr>
      <w:r>
        <w:rPr>
          <w:rFonts w:ascii="Times New Roman" w:hAnsi="Times New Roman" w:cs="Times New Roman"/>
          <w:szCs w:val="21"/>
          <w:lang w:val="zh-CN" w:bidi="ar"/>
        </w:rPr>
        <w:t>多年平均气温 15.5℃；</w:t>
      </w:r>
    </w:p>
    <w:p>
      <w:pPr>
        <w:ind w:firstLine="480"/>
        <w:rPr>
          <w:rFonts w:ascii="Times New Roman" w:hAnsi="Times New Roman" w:cs="Times New Roman"/>
          <w:lang w:val="zh-CN"/>
        </w:rPr>
      </w:pPr>
      <w:r>
        <w:rPr>
          <w:rFonts w:ascii="Times New Roman" w:hAnsi="Times New Roman" w:cs="Times New Roman"/>
          <w:szCs w:val="21"/>
          <w:lang w:val="zh-CN" w:bidi="ar"/>
        </w:rPr>
        <w:t>历年最高气温 39.5℃（出现于1961年和1967年）；</w:t>
      </w:r>
    </w:p>
    <w:p>
      <w:pPr>
        <w:ind w:firstLine="480"/>
        <w:rPr>
          <w:rFonts w:ascii="Times New Roman" w:hAnsi="Times New Roman" w:cs="Times New Roman"/>
          <w:lang w:val="zh-CN"/>
        </w:rPr>
      </w:pPr>
      <w:r>
        <w:rPr>
          <w:rFonts w:ascii="Times New Roman" w:hAnsi="Times New Roman" w:cs="Times New Roman"/>
          <w:szCs w:val="21"/>
          <w:lang w:val="zh-CN" w:bidi="ar"/>
        </w:rPr>
        <w:t>历年最低气温 -16.5℃（出现于1984年）。</w:t>
      </w:r>
    </w:p>
    <w:p>
      <w:pPr>
        <w:ind w:firstLine="482"/>
        <w:rPr>
          <w:rFonts w:ascii="Times New Roman" w:hAnsi="Times New Roman" w:cs="Times New Roman"/>
          <w:b/>
          <w:lang w:val="zh-CN"/>
        </w:rPr>
      </w:pPr>
      <w:r>
        <w:rPr>
          <w:rFonts w:ascii="Times New Roman" w:hAnsi="Times New Roman" w:cs="Times New Roman"/>
          <w:b/>
          <w:szCs w:val="21"/>
          <w:lang w:val="zh-CN" w:bidi="ar"/>
        </w:rPr>
        <w:t>2、降水</w:t>
      </w:r>
      <w:r>
        <w:rPr>
          <w:rFonts w:ascii="Times New Roman" w:hAnsi="Times New Roman" w:cs="Times New Roman"/>
          <w:b/>
          <w:szCs w:val="21"/>
          <w:lang w:val="zh-CN" w:bidi="ar"/>
        </w:rPr>
        <w:tab/>
      </w:r>
    </w:p>
    <w:p>
      <w:pPr>
        <w:ind w:firstLine="480"/>
        <w:rPr>
          <w:rFonts w:ascii="Times New Roman" w:hAnsi="Times New Roman" w:cs="Times New Roman"/>
          <w:lang w:val="zh-CN"/>
        </w:rPr>
      </w:pPr>
      <w:r>
        <w:rPr>
          <w:rFonts w:ascii="Times New Roman" w:hAnsi="Times New Roman" w:cs="Times New Roman"/>
          <w:szCs w:val="21"/>
          <w:lang w:val="zh-CN" w:bidi="ar"/>
        </w:rPr>
        <w:t>年平均降水量1000mm，降雨时间多集中在每年4～8月份；年最大降水量1541.9mm；年最小降水量692.4mm。全年中日降水量大于5mm的天数为47.5天，大于10.0mm的天数为30天。以下为多年降水特征：</w:t>
      </w:r>
    </w:p>
    <w:p>
      <w:pPr>
        <w:ind w:firstLine="480"/>
        <w:rPr>
          <w:rFonts w:ascii="Times New Roman" w:hAnsi="Times New Roman" w:cs="Times New Roman"/>
          <w:lang w:val="zh-CN"/>
        </w:rPr>
      </w:pPr>
      <w:r>
        <w:rPr>
          <w:rFonts w:ascii="Times New Roman" w:hAnsi="Times New Roman" w:cs="Times New Roman"/>
          <w:szCs w:val="21"/>
          <w:lang w:val="zh-CN" w:bidi="ar"/>
        </w:rPr>
        <w:t>多年平均降雨量    1000mm；</w:t>
      </w:r>
    </w:p>
    <w:p>
      <w:pPr>
        <w:ind w:firstLine="480"/>
        <w:rPr>
          <w:rFonts w:ascii="Times New Roman" w:hAnsi="Times New Roman" w:cs="Times New Roman"/>
          <w:lang w:val="zh-CN"/>
        </w:rPr>
      </w:pPr>
      <w:r>
        <w:rPr>
          <w:rFonts w:ascii="Times New Roman" w:hAnsi="Times New Roman" w:cs="Times New Roman"/>
          <w:szCs w:val="21"/>
          <w:lang w:val="zh-CN" w:bidi="ar"/>
        </w:rPr>
        <w:t>历年最大年降雨量  1649.9mm(1991年)；</w:t>
      </w:r>
    </w:p>
    <w:p>
      <w:pPr>
        <w:ind w:firstLine="480"/>
        <w:rPr>
          <w:rFonts w:ascii="Times New Roman" w:hAnsi="Times New Roman" w:cs="Times New Roman"/>
          <w:lang w:val="zh-CN"/>
        </w:rPr>
      </w:pPr>
      <w:r>
        <w:rPr>
          <w:rFonts w:ascii="Times New Roman" w:hAnsi="Times New Roman" w:cs="Times New Roman"/>
          <w:szCs w:val="21"/>
          <w:lang w:val="zh-CN" w:bidi="ar"/>
        </w:rPr>
        <w:t>历年最小年降雨量  546.2mm(1995年)；</w:t>
      </w:r>
    </w:p>
    <w:p>
      <w:pPr>
        <w:ind w:firstLine="480"/>
        <w:rPr>
          <w:rFonts w:ascii="Times New Roman" w:hAnsi="Times New Roman" w:cs="Times New Roman"/>
          <w:lang w:val="zh-CN"/>
        </w:rPr>
      </w:pPr>
      <w:r>
        <w:rPr>
          <w:rFonts w:ascii="Times New Roman" w:hAnsi="Times New Roman" w:cs="Times New Roman"/>
          <w:szCs w:val="21"/>
          <w:lang w:val="zh-CN" w:bidi="ar"/>
        </w:rPr>
        <w:t>全年平均降水      115天。</w:t>
      </w:r>
    </w:p>
    <w:p>
      <w:pPr>
        <w:ind w:firstLine="480"/>
        <w:rPr>
          <w:rFonts w:ascii="Times New Roman" w:hAnsi="Times New Roman" w:cs="Times New Roman"/>
          <w:lang w:val="zh-CN"/>
        </w:rPr>
      </w:pPr>
      <w:r>
        <w:rPr>
          <w:rFonts w:ascii="Times New Roman" w:hAnsi="Times New Roman" w:cs="Times New Roman"/>
          <w:szCs w:val="21"/>
          <w:lang w:val="zh-CN" w:bidi="ar"/>
        </w:rPr>
        <w:t>3、风况</w:t>
      </w:r>
    </w:p>
    <w:p>
      <w:pPr>
        <w:ind w:firstLine="480"/>
        <w:rPr>
          <w:rFonts w:ascii="Times New Roman" w:hAnsi="Times New Roman" w:cs="Times New Roman"/>
          <w:lang w:val="zh-CN"/>
        </w:rPr>
      </w:pPr>
      <w:r>
        <w:rPr>
          <w:rFonts w:ascii="Times New Roman" w:hAnsi="Times New Roman" w:cs="Times New Roman"/>
          <w:szCs w:val="21"/>
          <w:lang w:val="zh-CN" w:bidi="ar"/>
        </w:rPr>
        <w:t>合肥属季风气候区，风向有明显的季节性变化。冬季以偏北风为主，夏季以偏南风为主，春秋两季是风向转换季节。全年盛行风向为ENE风向，年平均风速2.6m/s；强风向NNE，最大风力9 级，最大风速21.3m/s。合肥 6 级以上的风(风速10.8米／秒以上)全年平均出现92天，8级以上的风(风速7.2米／秒以上)全年平均出现8天。它们都是春季出现最多，秋季出现最少。</w:t>
      </w:r>
    </w:p>
    <w:p>
      <w:pPr>
        <w:ind w:firstLine="482"/>
        <w:rPr>
          <w:rFonts w:ascii="Times New Roman" w:hAnsi="Times New Roman" w:cs="Times New Roman"/>
          <w:b/>
          <w:lang w:val="zh-CN"/>
        </w:rPr>
      </w:pPr>
      <w:r>
        <w:rPr>
          <w:rFonts w:ascii="Times New Roman" w:hAnsi="Times New Roman" w:cs="Times New Roman"/>
          <w:b/>
          <w:szCs w:val="21"/>
          <w:lang w:val="zh-CN" w:bidi="ar"/>
        </w:rPr>
        <w:t>4、雾</w:t>
      </w:r>
    </w:p>
    <w:p>
      <w:pPr>
        <w:ind w:firstLine="480"/>
        <w:rPr>
          <w:rFonts w:ascii="Times New Roman" w:hAnsi="Times New Roman" w:cs="Times New Roman"/>
          <w:lang w:val="zh-CN"/>
        </w:rPr>
      </w:pPr>
      <w:r>
        <w:rPr>
          <w:rFonts w:ascii="Times New Roman" w:hAnsi="Times New Roman" w:cs="Times New Roman"/>
          <w:szCs w:val="21"/>
          <w:lang w:val="zh-CN" w:bidi="ar"/>
        </w:rPr>
        <w:t>合肥地区的历年雾日数最多29天（1953年），平均雾日约16天，主要集中在春冬两季，一般持续2～4小时。</w:t>
      </w:r>
    </w:p>
    <w:p>
      <w:pPr>
        <w:ind w:firstLine="482"/>
        <w:rPr>
          <w:rFonts w:ascii="Times New Roman" w:hAnsi="Times New Roman" w:cs="Times New Roman"/>
          <w:b/>
          <w:lang w:val="zh-CN"/>
        </w:rPr>
      </w:pPr>
      <w:r>
        <w:rPr>
          <w:rFonts w:ascii="Times New Roman" w:hAnsi="Times New Roman" w:cs="Times New Roman"/>
          <w:b/>
          <w:szCs w:val="21"/>
          <w:lang w:val="zh-CN" w:bidi="ar"/>
        </w:rPr>
        <w:t>5、霜</w:t>
      </w:r>
    </w:p>
    <w:p>
      <w:pPr>
        <w:ind w:firstLine="480"/>
        <w:rPr>
          <w:rFonts w:ascii="Times New Roman" w:hAnsi="Times New Roman" w:cs="Times New Roman"/>
        </w:rPr>
      </w:pPr>
      <w:r>
        <w:rPr>
          <w:rFonts w:ascii="Times New Roman" w:hAnsi="Times New Roman" w:cs="Times New Roman"/>
          <w:szCs w:val="21"/>
          <w:lang w:val="zh-CN" w:bidi="ar"/>
        </w:rPr>
        <w:t>全年无霜期223.7天，光照充足，热量丰富，降水量适中，无霜期长。</w:t>
      </w:r>
    </w:p>
    <w:p>
      <w:pPr>
        <w:pStyle w:val="4"/>
        <w:numPr>
          <w:ilvl w:val="2"/>
          <w:numId w:val="0"/>
        </w:numPr>
        <w:jc w:val="both"/>
        <w:rPr>
          <w:rFonts w:ascii="Times New Roman" w:hAnsi="Times New Roman" w:cs="Times New Roman"/>
          <w:color w:val="auto"/>
        </w:rPr>
      </w:pPr>
      <w:bookmarkStart w:id="282" w:name="_Toc104733369"/>
      <w:r>
        <w:rPr>
          <w:rFonts w:ascii="Times New Roman" w:hAnsi="Times New Roman" w:cs="Times New Roman"/>
          <w:color w:val="auto"/>
        </w:rPr>
        <w:t>4.1.4水系及水文特征</w:t>
      </w:r>
      <w:bookmarkEnd w:id="282"/>
    </w:p>
    <w:p>
      <w:pPr>
        <w:ind w:firstLine="482"/>
        <w:rPr>
          <w:rFonts w:ascii="Times New Roman" w:hAnsi="Times New Roman" w:cs="Times New Roman"/>
          <w:b/>
          <w:bCs/>
          <w:color w:val="auto"/>
        </w:rPr>
      </w:pPr>
      <w:bookmarkStart w:id="283" w:name="_Hlk106214645"/>
      <w:r>
        <w:rPr>
          <w:rFonts w:ascii="Times New Roman" w:hAnsi="Times New Roman" w:cs="Times New Roman"/>
          <w:b/>
          <w:bCs/>
          <w:color w:val="auto"/>
        </w:rPr>
        <w:t>（1）区域水系</w:t>
      </w:r>
    </w:p>
    <w:p>
      <w:pPr>
        <w:ind w:firstLine="480"/>
        <w:rPr>
          <w:rFonts w:ascii="Times New Roman" w:hAnsi="Times New Roman" w:cs="Times New Roman"/>
          <w:color w:val="auto"/>
        </w:rPr>
      </w:pPr>
      <w:r>
        <w:rPr>
          <w:rFonts w:ascii="Times New Roman" w:hAnsi="Times New Roman" w:cs="Times New Roman"/>
          <w:color w:val="auto"/>
        </w:rPr>
        <w:t>肥东县水流分两大水系，江淮分水岭以南有南淝河、店埠河、滁河和巢湖，属长江水系。分水岭以北主要有池河，属淮河水系。店埠河是南淝河最大支流，发源于长丰县的吴店乡，南流经本县众兴、永安、店埠、撮镇、临河集等地至三汊河入南淝河。县内流长37km。店埠以南河面宽70～90m，河底高程4.5m，可通航300吨级船舶。店埠以北河道弯窄，坡度大，水位不稳。东西两岸有元疃河、宇湾河、龚湾河、永安河、双桥河、定光河、山王河7条支流，总长85.5km。南淝河为合肥市主要受纳水体，是巢湖水系一大支流，发源于安徽省中部大潜山余脉的南部，全长70km，流域面积为1464km</w:t>
      </w:r>
      <w:r>
        <w:rPr>
          <w:rFonts w:ascii="Times New Roman" w:hAnsi="Times New Roman" w:cs="Times New Roman"/>
          <w:color w:val="auto"/>
          <w:vertAlign w:val="superscript"/>
        </w:rPr>
        <w:t>2</w:t>
      </w:r>
      <w:r>
        <w:rPr>
          <w:rFonts w:ascii="Times New Roman" w:hAnsi="Times New Roman" w:cs="Times New Roman"/>
          <w:color w:val="auto"/>
        </w:rPr>
        <w:t>。南淝河由西向东南穿城而过，其间。有四里河、板桥河、史家河、二十埠河、二里河等支流汇入。其中自屯溪路桥至巢湖施口段长27.8km，为通航河段；南淝河在长江路桥以上长约40km，分三条支流；西支是南淝河正源，流域面积207.5km</w:t>
      </w:r>
      <w:r>
        <w:rPr>
          <w:rFonts w:ascii="Times New Roman" w:hAnsi="Times New Roman" w:cs="Times New Roman"/>
          <w:color w:val="auto"/>
          <w:vertAlign w:val="superscript"/>
        </w:rPr>
        <w:t>2</w:t>
      </w:r>
      <w:r>
        <w:rPr>
          <w:rFonts w:ascii="Times New Roman" w:hAnsi="Times New Roman" w:cs="Times New Roman"/>
          <w:color w:val="auto"/>
        </w:rPr>
        <w:t>；中支四里河，在老城区西北汇入南淝河，流域面积190km</w:t>
      </w:r>
      <w:r>
        <w:rPr>
          <w:rFonts w:ascii="Times New Roman" w:hAnsi="Times New Roman" w:cs="Times New Roman"/>
          <w:color w:val="auto"/>
          <w:vertAlign w:val="superscript"/>
        </w:rPr>
        <w:t>2</w:t>
      </w:r>
      <w:r>
        <w:rPr>
          <w:rFonts w:ascii="Times New Roman" w:hAnsi="Times New Roman" w:cs="Times New Roman"/>
          <w:color w:val="auto"/>
        </w:rPr>
        <w:t>；东支板桥河，在城北汇入南淝河，流域面积164.3km</w:t>
      </w:r>
      <w:r>
        <w:rPr>
          <w:rFonts w:ascii="Times New Roman" w:hAnsi="Times New Roman" w:cs="Times New Roman"/>
          <w:color w:val="auto"/>
          <w:vertAlign w:val="superscript"/>
        </w:rPr>
        <w:t>2</w:t>
      </w:r>
      <w:r>
        <w:rPr>
          <w:rFonts w:ascii="Times New Roman" w:hAnsi="Times New Roman" w:cs="Times New Roman"/>
          <w:color w:val="auto"/>
        </w:rPr>
        <w:t>。二里河在城区南淝河下游汇入，流域面积11.3 km</w:t>
      </w:r>
      <w:r>
        <w:rPr>
          <w:rFonts w:ascii="Times New Roman" w:hAnsi="Times New Roman" w:cs="Times New Roman"/>
          <w:color w:val="auto"/>
          <w:vertAlign w:val="superscript"/>
        </w:rPr>
        <w:t>2</w:t>
      </w:r>
      <w:r>
        <w:rPr>
          <w:rFonts w:ascii="Times New Roman" w:hAnsi="Times New Roman" w:cs="Times New Roman"/>
          <w:color w:val="auto"/>
        </w:rPr>
        <w:t>。巢湖位于合肥市南部15公里，是全国五大淡水湖之一，水面积780km</w:t>
      </w:r>
      <w:r>
        <w:rPr>
          <w:rFonts w:ascii="Times New Roman" w:hAnsi="Times New Roman" w:cs="Times New Roman"/>
          <w:color w:val="auto"/>
          <w:vertAlign w:val="superscript"/>
        </w:rPr>
        <w:t>2</w:t>
      </w:r>
      <w:r>
        <w:rPr>
          <w:rFonts w:ascii="Times New Roman" w:hAnsi="Times New Roman" w:cs="Times New Roman"/>
          <w:color w:val="auto"/>
        </w:rPr>
        <w:t>，属长江下游左岸水系，流域面积13310km</w:t>
      </w:r>
      <w:r>
        <w:rPr>
          <w:rFonts w:ascii="Times New Roman" w:hAnsi="Times New Roman" w:cs="Times New Roman"/>
          <w:color w:val="auto"/>
          <w:vertAlign w:val="superscript"/>
        </w:rPr>
        <w:t>2</w:t>
      </w:r>
      <w:r>
        <w:rPr>
          <w:rFonts w:ascii="Times New Roman" w:hAnsi="Times New Roman" w:cs="Times New Roman"/>
          <w:color w:val="auto"/>
        </w:rPr>
        <w:t>，为半封闭型湖泊，有南淝河、派河、航埠河、丰乐河、十五里河、柘皋河等汇入，总容量48.1亿m</w:t>
      </w:r>
      <w:r>
        <w:rPr>
          <w:rFonts w:ascii="Times New Roman" w:hAnsi="Times New Roman" w:cs="Times New Roman"/>
          <w:color w:val="auto"/>
          <w:vertAlign w:val="superscript"/>
        </w:rPr>
        <w:t>3</w:t>
      </w:r>
      <w:r>
        <w:rPr>
          <w:rFonts w:ascii="Times New Roman" w:hAnsi="Times New Roman" w:cs="Times New Roman"/>
          <w:color w:val="auto"/>
        </w:rPr>
        <w:t>，最高达52.8亿m</w:t>
      </w:r>
      <w:r>
        <w:rPr>
          <w:rFonts w:ascii="Times New Roman" w:hAnsi="Times New Roman" w:cs="Times New Roman"/>
          <w:color w:val="auto"/>
          <w:vertAlign w:val="superscript"/>
        </w:rPr>
        <w:t>3</w:t>
      </w:r>
      <w:r>
        <w:rPr>
          <w:rFonts w:ascii="Times New Roman" w:hAnsi="Times New Roman" w:cs="Times New Roman"/>
          <w:color w:val="auto"/>
        </w:rPr>
        <w:t>。</w:t>
      </w:r>
    </w:p>
    <w:p>
      <w:pPr>
        <w:ind w:firstLine="482"/>
        <w:rPr>
          <w:rFonts w:ascii="Times New Roman" w:hAnsi="Times New Roman" w:cs="Times New Roman"/>
          <w:b/>
          <w:bCs/>
          <w:color w:val="auto"/>
        </w:rPr>
      </w:pPr>
      <w:r>
        <w:rPr>
          <w:rFonts w:hint="eastAsia" w:ascii="Times New Roman" w:hAnsi="Times New Roman" w:cs="Times New Roman"/>
          <w:b/>
          <w:bCs/>
          <w:color w:val="auto"/>
        </w:rPr>
        <w:t>（2）</w:t>
      </w:r>
      <w:r>
        <w:rPr>
          <w:rFonts w:ascii="Times New Roman" w:hAnsi="Times New Roman" w:cs="Times New Roman"/>
          <w:b/>
          <w:bCs/>
          <w:color w:val="auto"/>
        </w:rPr>
        <w:t>店埠河水文特征</w:t>
      </w:r>
    </w:p>
    <w:p>
      <w:pPr>
        <w:ind w:firstLine="480"/>
        <w:rPr>
          <w:rFonts w:ascii="Times New Roman" w:hAnsi="Times New Roman" w:cs="Times New Roman"/>
          <w:szCs w:val="21"/>
          <w:lang w:bidi="ar"/>
        </w:rPr>
      </w:pPr>
      <w:r>
        <w:rPr>
          <w:rFonts w:ascii="Times New Roman" w:hAnsi="Times New Roman" w:cs="Times New Roman"/>
          <w:szCs w:val="21"/>
          <w:lang w:bidi="ar"/>
        </w:rPr>
        <w:t>店埠河属季节性河流，汛期与雨季一致，汛期主要受本流域降水影响，同时受巢湖水位顶托，洪水过程消退缓慢；枯水季节，本流域天然径流较小，其水位主要受巢湖的回水影响，5～9月份为丰水期，11月至次年2月为枯水期。流域内地表水位及流量的变化与降水有密切关系，夏季雨季充沛，降雨最多占全年70.5%以上；冬季降雨稀少，占全年15.5%。河道最高水位多发生在7～8月份，最低水位多发生在每年的11月～次年2月份。</w:t>
      </w:r>
    </w:p>
    <w:p>
      <w:pPr>
        <w:ind w:firstLine="480"/>
        <w:rPr>
          <w:rFonts w:ascii="Times New Roman" w:hAnsi="Times New Roman" w:cs="Times New Roman"/>
          <w:szCs w:val="21"/>
          <w:lang w:bidi="ar"/>
        </w:rPr>
      </w:pPr>
      <w:r>
        <w:rPr>
          <w:rFonts w:ascii="Times New Roman" w:hAnsi="Times New Roman" w:cs="Times New Roman"/>
          <w:szCs w:val="21"/>
          <w:lang w:bidi="ar"/>
        </w:rPr>
        <w:t>店埠河所在区域没有泥沙实测资料，店埠河两岸滩地存在垦荒种植，水土流失较严重；洪水期受巢湖水流顶托影响，水流速度较小，致使河道淤积，河床逐年抬高。据相关资料，年内含沙量主要集中在汛期，其中含沙量最大的出现在4～7月，占全年含沙量的52%。</w:t>
      </w:r>
    </w:p>
    <w:p>
      <w:pPr>
        <w:ind w:firstLine="480"/>
        <w:rPr>
          <w:rFonts w:ascii="Times New Roman" w:hAnsi="Times New Roman" w:cs="Times New Roman"/>
          <w:szCs w:val="21"/>
          <w:lang w:bidi="ar"/>
        </w:rPr>
      </w:pPr>
      <w:r>
        <w:rPr>
          <w:rFonts w:ascii="Times New Roman" w:hAnsi="Times New Roman" w:cs="Times New Roman"/>
          <w:szCs w:val="21"/>
          <w:lang w:bidi="ar"/>
        </w:rPr>
        <w:t>本项目所在店埠河是由三汊河汇入南淝河经施口入巢湖。未治理前，河道非常窄浅。1972年10月，店埠河店埠至撮镇段，河床高程挖至7m，底宽拓宽至20m。撮镇至三汊河口段，河宽由20m拓宽至30m，河底高程由6m挖至4.5m。店埠河属季节性河流，汛期主要受本流域降水影响，同时受巢湖水位顶托，洪水过程消退缓慢；枯水季节，本流域天然径流较小，其水位主要受巢湖的回水影响。河流输沙以悬移质运动为主，其泥沙运动规律表现为：丰水、丰沙期受南淝河、巢湖水位顶托，水流变缓，流速降低，水流挟沙能力。</w:t>
      </w:r>
    </w:p>
    <w:p>
      <w:pPr>
        <w:ind w:firstLine="482"/>
        <w:rPr>
          <w:rFonts w:ascii="Times New Roman" w:hAnsi="Times New Roman" w:cs="Times New Roman"/>
          <w:b/>
          <w:bCs/>
          <w:color w:val="FF0000"/>
        </w:rPr>
      </w:pPr>
      <w:r>
        <w:rPr>
          <w:rFonts w:hint="eastAsia" w:ascii="Times New Roman" w:hAnsi="Times New Roman" w:cs="Times New Roman"/>
          <w:b/>
          <w:bCs/>
          <w:color w:val="FF0000"/>
        </w:rPr>
        <w:t>（3）南淝河水文特征</w:t>
      </w:r>
    </w:p>
    <w:p>
      <w:pPr>
        <w:pStyle w:val="25"/>
        <w:spacing w:line="360" w:lineRule="auto"/>
        <w:ind w:firstLine="480"/>
        <w:rPr>
          <w:rFonts w:ascii="Times New Roman" w:hAnsi="Times New Roman" w:cs="Times New Roman"/>
          <w:color w:val="FF0000"/>
        </w:rPr>
      </w:pPr>
      <w:r>
        <w:rPr>
          <w:rFonts w:ascii="Times New Roman" w:hAnsi="Times New Roman" w:cs="Times New Roman"/>
          <w:color w:val="FF0000"/>
        </w:rPr>
        <w:t>南淝河为合肥市主要受纳水体，是巢湖水系一大支流，发源于安徽省中部大潜山余脉的南部，全长70km，流域面积为1464km</w:t>
      </w:r>
      <w:r>
        <w:rPr>
          <w:rFonts w:ascii="Times New Roman" w:hAnsi="Times New Roman" w:cs="Times New Roman"/>
          <w:color w:val="FF0000"/>
          <w:vertAlign w:val="superscript"/>
        </w:rPr>
        <w:t>2</w:t>
      </w:r>
      <w:r>
        <w:rPr>
          <w:rFonts w:ascii="Times New Roman" w:hAnsi="Times New Roman" w:cs="Times New Roman"/>
          <w:color w:val="FF0000"/>
        </w:rPr>
        <w:t>。南淝河由西向东南穿城而过，其间。有四里河、板桥河、史家河、二十埠河、二里河等支流汇入。其中自屯溪路桥至巢湖施口段长27.8km，为通航河段；南淝河在长江路桥以上长约40km，分三条支流；西支是南淝河正源，流域面积207.5km</w:t>
      </w:r>
      <w:r>
        <w:rPr>
          <w:rFonts w:ascii="Times New Roman" w:hAnsi="Times New Roman" w:cs="Times New Roman"/>
          <w:color w:val="FF0000"/>
          <w:vertAlign w:val="superscript"/>
        </w:rPr>
        <w:t>2</w:t>
      </w:r>
      <w:r>
        <w:rPr>
          <w:rFonts w:ascii="Times New Roman" w:hAnsi="Times New Roman" w:cs="Times New Roman"/>
          <w:color w:val="FF0000"/>
        </w:rPr>
        <w:t>；中支四里河，在老城区西北汇入南淝河，流域面积190 km</w:t>
      </w:r>
      <w:r>
        <w:rPr>
          <w:rFonts w:ascii="Times New Roman" w:hAnsi="Times New Roman" w:cs="Times New Roman"/>
          <w:color w:val="FF0000"/>
          <w:vertAlign w:val="superscript"/>
        </w:rPr>
        <w:t>2</w:t>
      </w:r>
      <w:r>
        <w:rPr>
          <w:rFonts w:ascii="Times New Roman" w:hAnsi="Times New Roman" w:cs="Times New Roman"/>
          <w:color w:val="FF0000"/>
        </w:rPr>
        <w:t>；东支板桥河，在城北汇入南淝河，流域面积164.3 km</w:t>
      </w:r>
      <w:r>
        <w:rPr>
          <w:rFonts w:ascii="Times New Roman" w:hAnsi="Times New Roman" w:cs="Times New Roman"/>
          <w:color w:val="FF0000"/>
          <w:vertAlign w:val="superscript"/>
        </w:rPr>
        <w:t>2</w:t>
      </w:r>
      <w:r>
        <w:rPr>
          <w:rFonts w:ascii="Times New Roman" w:hAnsi="Times New Roman" w:cs="Times New Roman"/>
          <w:color w:val="FF0000"/>
        </w:rPr>
        <w:t>。二里河在城区南淝河下游汇入，流域面积11.3km</w:t>
      </w:r>
      <w:r>
        <w:rPr>
          <w:rFonts w:ascii="Times New Roman" w:hAnsi="Times New Roman" w:cs="Times New Roman"/>
          <w:color w:val="FF0000"/>
          <w:vertAlign w:val="superscript"/>
        </w:rPr>
        <w:t>2</w:t>
      </w:r>
      <w:r>
        <w:rPr>
          <w:rFonts w:ascii="Times New Roman" w:hAnsi="Times New Roman" w:cs="Times New Roman"/>
          <w:color w:val="FF0000"/>
        </w:rPr>
        <w:t>。巢湖位于合肥市南部15公里，是全国五大淡水湖之一，水面积780km</w:t>
      </w:r>
      <w:r>
        <w:rPr>
          <w:rFonts w:ascii="Times New Roman" w:hAnsi="Times New Roman" w:cs="Times New Roman"/>
          <w:color w:val="FF0000"/>
          <w:vertAlign w:val="superscript"/>
        </w:rPr>
        <w:t>2</w:t>
      </w:r>
      <w:r>
        <w:rPr>
          <w:rFonts w:ascii="Times New Roman" w:hAnsi="Times New Roman" w:cs="Times New Roman"/>
          <w:color w:val="FF0000"/>
        </w:rPr>
        <w:t>，属长江下游左岸水系，流域面积13310 km</w:t>
      </w:r>
      <w:r>
        <w:rPr>
          <w:rFonts w:ascii="Times New Roman" w:hAnsi="Times New Roman" w:cs="Times New Roman"/>
          <w:color w:val="FF0000"/>
          <w:vertAlign w:val="superscript"/>
        </w:rPr>
        <w:t>2</w:t>
      </w:r>
      <w:r>
        <w:rPr>
          <w:rFonts w:ascii="Times New Roman" w:hAnsi="Times New Roman" w:cs="Times New Roman"/>
          <w:color w:val="FF0000"/>
        </w:rPr>
        <w:t>，为半封闭型湖泊，有南淝河、派河、航埠河、丰乐河、十五里河、柘皋河等汇入，总容量48.1亿m</w:t>
      </w:r>
      <w:r>
        <w:rPr>
          <w:rFonts w:ascii="Times New Roman" w:hAnsi="Times New Roman" w:cs="Times New Roman"/>
          <w:color w:val="FF0000"/>
          <w:vertAlign w:val="superscript"/>
        </w:rPr>
        <w:t>3</w:t>
      </w:r>
      <w:r>
        <w:rPr>
          <w:rFonts w:ascii="Times New Roman" w:hAnsi="Times New Roman" w:cs="Times New Roman"/>
          <w:color w:val="FF0000"/>
        </w:rPr>
        <w:t>，最高达52.8亿m</w:t>
      </w:r>
      <w:r>
        <w:rPr>
          <w:rFonts w:ascii="Times New Roman" w:hAnsi="Times New Roman" w:cs="Times New Roman"/>
          <w:color w:val="FF0000"/>
          <w:vertAlign w:val="superscript"/>
        </w:rPr>
        <w:t>3</w:t>
      </w:r>
      <w:r>
        <w:rPr>
          <w:rFonts w:ascii="Times New Roman" w:hAnsi="Times New Roman" w:cs="Times New Roman"/>
          <w:color w:val="FF0000"/>
        </w:rPr>
        <w:t>。</w:t>
      </w:r>
    </w:p>
    <w:p>
      <w:pPr>
        <w:pStyle w:val="98"/>
        <w:ind w:firstLine="481" w:firstLineChars="200"/>
        <w:rPr>
          <w:rFonts w:ascii="Times New Roman" w:hAnsi="Times New Roman" w:cs="Times New Roman"/>
          <w:color w:val="FF0000"/>
          <w:szCs w:val="22"/>
        </w:rPr>
      </w:pPr>
      <w:r>
        <w:rPr>
          <w:rFonts w:hint="eastAsia" w:ascii="Times New Roman" w:hAnsi="Times New Roman" w:cs="Times New Roman"/>
          <w:b/>
          <w:bCs/>
          <w:color w:val="FF0000"/>
        </w:rPr>
        <w:t>（</w:t>
      </w:r>
      <w:r>
        <w:rPr>
          <w:rFonts w:ascii="Times New Roman" w:hAnsi="Times New Roman" w:cs="Times New Roman"/>
          <w:b/>
          <w:bCs/>
          <w:color w:val="FF0000"/>
        </w:rPr>
        <w:t>4</w:t>
      </w:r>
      <w:r>
        <w:rPr>
          <w:rFonts w:hint="eastAsia" w:ascii="Times New Roman" w:hAnsi="Times New Roman" w:cs="Times New Roman"/>
          <w:b/>
          <w:bCs/>
          <w:color w:val="FF0000"/>
        </w:rPr>
        <w:t>）</w:t>
      </w:r>
      <w:r>
        <w:rPr>
          <w:rFonts w:hint="eastAsia" w:ascii="Times New Roman" w:hAnsi="Times New Roman" w:cs="Times New Roman"/>
          <w:color w:val="FF0000"/>
          <w:szCs w:val="22"/>
        </w:rPr>
        <w:t>巢湖</w:t>
      </w:r>
      <w:r>
        <w:rPr>
          <w:rFonts w:hint="eastAsia" w:ascii="Times New Roman" w:hAnsi="Times New Roman" w:cs="Times New Roman"/>
          <w:b/>
          <w:bCs/>
          <w:color w:val="FF0000"/>
        </w:rPr>
        <w:t>水文特征</w:t>
      </w:r>
    </w:p>
    <w:p>
      <w:pPr>
        <w:pStyle w:val="98"/>
        <w:ind w:firstLine="480" w:firstLineChars="200"/>
        <w:rPr>
          <w:rFonts w:ascii="Times New Roman" w:hAnsi="Times New Roman" w:cs="Times New Roman"/>
        </w:rPr>
      </w:pPr>
      <w:r>
        <w:rPr>
          <w:rFonts w:hint="eastAsia" w:ascii="Times New Roman" w:hAnsi="Times New Roman" w:cs="Times New Roman"/>
          <w:color w:val="FF0000"/>
          <w:szCs w:val="22"/>
        </w:rPr>
        <w:t>巢湖地处长江和淮河两大河流之间，是我国著名的五大淡水湖之一，巢湖湖盆岸线长度为188km，长轴53km，短轴22km，多年平均水位8.40m，平均水深3m左右，最大水深6.78m，相应的湖泊面积770km</w:t>
      </w:r>
      <w:r>
        <w:rPr>
          <w:rFonts w:hint="eastAsia" w:ascii="Times New Roman" w:hAnsi="Times New Roman" w:cs="Times New Roman"/>
          <w:color w:val="FF0000"/>
          <w:szCs w:val="22"/>
          <w:vertAlign w:val="superscript"/>
        </w:rPr>
        <w:t>2</w:t>
      </w:r>
      <w:r>
        <w:rPr>
          <w:rFonts w:hint="eastAsia" w:ascii="Times New Roman" w:hAnsi="Times New Roman" w:cs="Times New Roman"/>
          <w:color w:val="FF0000"/>
          <w:szCs w:val="22"/>
        </w:rPr>
        <w:t>，湖泊容积为2.07×10</w:t>
      </w:r>
      <w:r>
        <w:rPr>
          <w:rFonts w:hint="eastAsia" w:ascii="Times New Roman" w:hAnsi="Times New Roman" w:cs="Times New Roman"/>
          <w:color w:val="FF0000"/>
          <w:szCs w:val="22"/>
          <w:vertAlign w:val="superscript"/>
        </w:rPr>
        <w:t>9</w:t>
      </w:r>
      <w:r>
        <w:rPr>
          <w:rFonts w:ascii="Times New Roman" w:hAnsi="Times New Roman" w:cs="Times New Roman"/>
          <w:color w:val="FF0000"/>
          <w:szCs w:val="22"/>
        </w:rPr>
        <w:t>m</w:t>
      </w:r>
      <w:r>
        <w:rPr>
          <w:rFonts w:hint="eastAsia" w:ascii="Times New Roman" w:hAnsi="Times New Roman" w:cs="Times New Roman"/>
          <w:color w:val="FF0000"/>
          <w:szCs w:val="22"/>
          <w:vertAlign w:val="superscript"/>
        </w:rPr>
        <w:t>3</w:t>
      </w:r>
      <w:r>
        <w:rPr>
          <w:rFonts w:hint="eastAsia" w:ascii="Times New Roman" w:hAnsi="Times New Roman" w:cs="Times New Roman"/>
          <w:color w:val="FF0000"/>
          <w:szCs w:val="22"/>
        </w:rPr>
        <w:t>；历年最高水位 12.80m，相应的湖泊面积781km</w:t>
      </w:r>
      <w:r>
        <w:rPr>
          <w:rFonts w:hint="eastAsia" w:ascii="Times New Roman" w:hAnsi="Times New Roman" w:cs="Times New Roman"/>
          <w:color w:val="FF0000"/>
          <w:szCs w:val="22"/>
          <w:vertAlign w:val="superscript"/>
        </w:rPr>
        <w:t>2</w:t>
      </w:r>
      <w:r>
        <w:rPr>
          <w:rFonts w:hint="eastAsia" w:ascii="Times New Roman" w:hAnsi="Times New Roman" w:cs="Times New Roman"/>
          <w:color w:val="FF0000"/>
          <w:szCs w:val="22"/>
        </w:rPr>
        <w:t>，湖泊容积为5.37×10</w:t>
      </w:r>
      <w:r>
        <w:rPr>
          <w:rFonts w:hint="eastAsia" w:ascii="Times New Roman" w:hAnsi="Times New Roman" w:cs="Times New Roman"/>
          <w:color w:val="FF0000"/>
          <w:szCs w:val="22"/>
          <w:vertAlign w:val="superscript"/>
        </w:rPr>
        <w:t>9</w:t>
      </w:r>
      <w:r>
        <w:rPr>
          <w:rFonts w:ascii="Times New Roman" w:hAnsi="Times New Roman" w:cs="Times New Roman"/>
          <w:color w:val="FF0000"/>
          <w:szCs w:val="22"/>
        </w:rPr>
        <w:t>m</w:t>
      </w:r>
      <w:r>
        <w:rPr>
          <w:rFonts w:hint="eastAsia" w:ascii="Times New Roman" w:hAnsi="Times New Roman" w:cs="Times New Roman"/>
          <w:color w:val="FF0000"/>
          <w:szCs w:val="22"/>
          <w:vertAlign w:val="superscript"/>
        </w:rPr>
        <w:t>3</w:t>
      </w:r>
      <w:r>
        <w:rPr>
          <w:rFonts w:hint="eastAsia" w:ascii="Times New Roman" w:hAnsi="Times New Roman" w:cs="Times New Roman"/>
          <w:color w:val="FF0000"/>
          <w:szCs w:val="22"/>
        </w:rPr>
        <w:t>；历年最低水位6.63m，相应的湖泊面积 680km</w:t>
      </w:r>
      <w:r>
        <w:rPr>
          <w:rFonts w:hint="eastAsia" w:ascii="Times New Roman" w:hAnsi="Times New Roman" w:cs="Times New Roman"/>
          <w:color w:val="FF0000"/>
          <w:szCs w:val="22"/>
          <w:vertAlign w:val="superscript"/>
        </w:rPr>
        <w:t>2</w:t>
      </w:r>
      <w:r>
        <w:rPr>
          <w:rFonts w:hint="eastAsia" w:ascii="Times New Roman" w:hAnsi="Times New Roman" w:cs="Times New Roman"/>
          <w:color w:val="FF0000"/>
          <w:szCs w:val="22"/>
        </w:rPr>
        <w:t>，湖泊容积仅为7.83×10</w:t>
      </w:r>
      <w:r>
        <w:rPr>
          <w:rFonts w:hint="eastAsia" w:ascii="Times New Roman" w:hAnsi="Times New Roman" w:cs="Times New Roman"/>
          <w:color w:val="FF0000"/>
          <w:szCs w:val="22"/>
          <w:vertAlign w:val="superscript"/>
        </w:rPr>
        <w:t>8</w:t>
      </w:r>
      <w:r>
        <w:rPr>
          <w:rFonts w:ascii="Times New Roman" w:hAnsi="Times New Roman" w:cs="Times New Roman"/>
          <w:color w:val="FF0000"/>
          <w:szCs w:val="22"/>
        </w:rPr>
        <w:t>m</w:t>
      </w:r>
      <w:r>
        <w:rPr>
          <w:rFonts w:hint="eastAsia" w:ascii="Times New Roman" w:hAnsi="Times New Roman" w:cs="Times New Roman"/>
          <w:color w:val="FF0000"/>
          <w:szCs w:val="22"/>
          <w:vertAlign w:val="superscript"/>
        </w:rPr>
        <w:t>3</w:t>
      </w:r>
      <w:r>
        <w:rPr>
          <w:rFonts w:hint="eastAsia" w:ascii="Times New Roman" w:hAnsi="Times New Roman" w:cs="Times New Roman"/>
          <w:color w:val="FF0000"/>
          <w:szCs w:val="22"/>
        </w:rPr>
        <w:t>。多年平均入湖水量48×10</w:t>
      </w:r>
      <w:r>
        <w:rPr>
          <w:rFonts w:hint="eastAsia" w:ascii="Times New Roman" w:hAnsi="Times New Roman" w:cs="Times New Roman"/>
          <w:color w:val="FF0000"/>
          <w:szCs w:val="22"/>
          <w:vertAlign w:val="superscript"/>
        </w:rPr>
        <w:t>8</w:t>
      </w:r>
      <w:r>
        <w:rPr>
          <w:rFonts w:ascii="Times New Roman" w:hAnsi="Times New Roman" w:cs="Times New Roman"/>
          <w:color w:val="FF0000"/>
          <w:szCs w:val="22"/>
        </w:rPr>
        <w:t>m</w:t>
      </w:r>
      <w:r>
        <w:rPr>
          <w:rFonts w:hint="eastAsia" w:ascii="Times New Roman" w:hAnsi="Times New Roman" w:cs="Times New Roman"/>
          <w:color w:val="FF0000"/>
          <w:szCs w:val="22"/>
          <w:vertAlign w:val="superscript"/>
        </w:rPr>
        <w:t>3</w:t>
      </w:r>
      <w:r>
        <w:rPr>
          <w:rFonts w:hint="eastAsia" w:ascii="Times New Roman" w:hAnsi="Times New Roman" w:cs="Times New Roman"/>
          <w:color w:val="FF0000"/>
          <w:szCs w:val="22"/>
        </w:rPr>
        <w:t>、出湖水量34×10</w:t>
      </w:r>
      <w:r>
        <w:rPr>
          <w:rFonts w:hint="eastAsia" w:ascii="Times New Roman" w:hAnsi="Times New Roman" w:cs="Times New Roman"/>
          <w:color w:val="FF0000"/>
          <w:szCs w:val="22"/>
          <w:vertAlign w:val="superscript"/>
        </w:rPr>
        <w:t>8</w:t>
      </w:r>
      <w:r>
        <w:rPr>
          <w:rFonts w:ascii="Times New Roman" w:hAnsi="Times New Roman" w:cs="Times New Roman"/>
          <w:color w:val="FF0000"/>
          <w:szCs w:val="22"/>
        </w:rPr>
        <w:t>m</w:t>
      </w:r>
      <w:r>
        <w:rPr>
          <w:rFonts w:hint="eastAsia" w:ascii="Times New Roman" w:hAnsi="Times New Roman" w:cs="Times New Roman"/>
          <w:color w:val="FF0000"/>
          <w:szCs w:val="22"/>
          <w:vertAlign w:val="superscript"/>
        </w:rPr>
        <w:t>3</w:t>
      </w:r>
      <w:r>
        <w:rPr>
          <w:rFonts w:hint="eastAsia" w:ascii="Times New Roman" w:hAnsi="Times New Roman" w:cs="Times New Roman"/>
          <w:color w:val="FF0000"/>
          <w:szCs w:val="22"/>
        </w:rPr>
        <w:t>、水面蒸发量6.3×10</w:t>
      </w:r>
      <w:r>
        <w:rPr>
          <w:rFonts w:hint="eastAsia" w:ascii="Times New Roman" w:hAnsi="Times New Roman" w:cs="Times New Roman"/>
          <w:color w:val="FF0000"/>
          <w:szCs w:val="22"/>
          <w:vertAlign w:val="superscript"/>
        </w:rPr>
        <w:t>8</w:t>
      </w:r>
      <w:r>
        <w:rPr>
          <w:rFonts w:ascii="Times New Roman" w:hAnsi="Times New Roman" w:cs="Times New Roman"/>
          <w:color w:val="FF0000"/>
          <w:szCs w:val="22"/>
        </w:rPr>
        <w:t>m</w:t>
      </w:r>
      <w:r>
        <w:rPr>
          <w:rFonts w:hint="eastAsia" w:ascii="Times New Roman" w:hAnsi="Times New Roman" w:cs="Times New Roman"/>
          <w:color w:val="FF0000"/>
          <w:szCs w:val="22"/>
          <w:vertAlign w:val="superscript"/>
        </w:rPr>
        <w:t>3</w:t>
      </w:r>
      <w:r>
        <w:rPr>
          <w:rFonts w:hint="eastAsia" w:ascii="Times New Roman" w:hAnsi="Times New Roman" w:cs="Times New Roman"/>
          <w:color w:val="FF0000"/>
          <w:szCs w:val="22"/>
        </w:rPr>
        <w:t>、总用水量7.7×10</w:t>
      </w:r>
      <w:r>
        <w:rPr>
          <w:rFonts w:hint="eastAsia" w:ascii="Times New Roman" w:hAnsi="Times New Roman" w:cs="Times New Roman"/>
          <w:color w:val="FF0000"/>
          <w:szCs w:val="22"/>
          <w:vertAlign w:val="superscript"/>
        </w:rPr>
        <w:t>8</w:t>
      </w:r>
      <w:r>
        <w:rPr>
          <w:rFonts w:ascii="Times New Roman" w:hAnsi="Times New Roman" w:cs="Times New Roman"/>
          <w:color w:val="FF0000"/>
          <w:szCs w:val="22"/>
        </w:rPr>
        <w:t>m</w:t>
      </w:r>
      <w:r>
        <w:rPr>
          <w:rFonts w:hint="eastAsia" w:ascii="Times New Roman" w:hAnsi="Times New Roman" w:cs="Times New Roman"/>
          <w:color w:val="FF0000"/>
          <w:szCs w:val="22"/>
          <w:vertAlign w:val="superscript"/>
        </w:rPr>
        <w:t>3</w:t>
      </w:r>
      <w:r>
        <w:rPr>
          <w:rFonts w:hint="eastAsia" w:ascii="Times New Roman" w:hAnsi="Times New Roman" w:cs="Times New Roman"/>
          <w:color w:val="FF0000"/>
          <w:szCs w:val="22"/>
        </w:rPr>
        <w:t>。巢湖闸以上来水面积9153平方公里，多年平均入湖水量为36.5亿 m</w:t>
      </w:r>
      <w:r>
        <w:rPr>
          <w:rFonts w:hint="eastAsia" w:ascii="Times New Roman" w:hAnsi="Times New Roman" w:cs="Times New Roman"/>
          <w:color w:val="FF0000"/>
          <w:szCs w:val="22"/>
          <w:vertAlign w:val="superscript"/>
        </w:rPr>
        <w:t>3</w:t>
      </w:r>
      <w:r>
        <w:rPr>
          <w:rFonts w:hint="eastAsia" w:ascii="Times New Roman" w:hAnsi="Times New Roman" w:cs="Times New Roman"/>
          <w:color w:val="FF0000"/>
          <w:szCs w:val="22"/>
        </w:rPr>
        <w:t>左右，其中5～9月占全年的 64%，10～4月占36%，年内分配很不均匀。丰、枯水年之间的年际变化也很大，如丰水年1991 年的入湖水量为89.4亿 m</w:t>
      </w:r>
      <w:r>
        <w:rPr>
          <w:rFonts w:hint="eastAsia" w:ascii="Times New Roman" w:hAnsi="Times New Roman" w:cs="Times New Roman"/>
          <w:color w:val="FF0000"/>
          <w:szCs w:val="22"/>
          <w:vertAlign w:val="superscript"/>
        </w:rPr>
        <w:t>3</w:t>
      </w:r>
      <w:r>
        <w:rPr>
          <w:rFonts w:hint="eastAsia" w:ascii="Times New Roman" w:hAnsi="Times New Roman" w:cs="Times New Roman"/>
          <w:color w:val="FF0000"/>
          <w:szCs w:val="22"/>
        </w:rPr>
        <w:t>，干旱年份如1978 年入湖水量仅7.8 亿m</w:t>
      </w:r>
      <w:r>
        <w:rPr>
          <w:rFonts w:hint="eastAsia" w:ascii="Times New Roman" w:hAnsi="Times New Roman" w:cs="Times New Roman"/>
          <w:color w:val="FF0000"/>
          <w:szCs w:val="22"/>
          <w:vertAlign w:val="superscript"/>
        </w:rPr>
        <w:t>3</w:t>
      </w:r>
      <w:r>
        <w:rPr>
          <w:rFonts w:hint="eastAsia" w:ascii="Times New Roman" w:hAnsi="Times New Roman" w:cs="Times New Roman"/>
          <w:color w:val="FF0000"/>
          <w:szCs w:val="22"/>
        </w:rPr>
        <w:t>左右，水资源丰枯变化悬殊。防洪水位20年一遇洪水位为12.50m，50年一遇洪水位为12.75m，100年一遇洪水位为13.36m。</w:t>
      </w:r>
      <w:r>
        <w:rPr>
          <w:rFonts w:ascii="Times New Roman" w:hAnsi="Times New Roman" w:cs="Times New Roman"/>
          <w:color w:val="FF0000"/>
          <w:szCs w:val="22"/>
        </w:rPr>
        <w:cr/>
      </w:r>
      <w:bookmarkEnd w:id="283"/>
      <w:bookmarkStart w:id="284" w:name="_Toc104733370"/>
      <w:r>
        <w:rPr>
          <w:rFonts w:ascii="Times New Roman" w:hAnsi="Times New Roman" w:cs="Times New Roman"/>
          <w:b/>
          <w:bCs/>
          <w:szCs w:val="32"/>
        </w:rPr>
        <w:t>4.1.5地下水</w:t>
      </w:r>
      <w:bookmarkEnd w:id="284"/>
    </w:p>
    <w:p>
      <w:pPr>
        <w:ind w:firstLine="482"/>
        <w:rPr>
          <w:rFonts w:ascii="Times New Roman" w:hAnsi="Times New Roman" w:cs="Times New Roman"/>
          <w:b/>
          <w:bCs/>
        </w:rPr>
      </w:pPr>
      <w:r>
        <w:rPr>
          <w:rFonts w:ascii="Times New Roman" w:hAnsi="Times New Roman" w:cs="Times New Roman"/>
          <w:b/>
          <w:bCs/>
        </w:rPr>
        <w:t>（1）场地地表水</w:t>
      </w:r>
    </w:p>
    <w:p>
      <w:pPr>
        <w:ind w:firstLine="480"/>
        <w:rPr>
          <w:rFonts w:ascii="Times New Roman" w:hAnsi="Times New Roman" w:cs="Times New Roman"/>
        </w:rPr>
      </w:pPr>
      <w:r>
        <w:rPr>
          <w:rFonts w:ascii="Times New Roman" w:hAnsi="Times New Roman" w:cs="Times New Roman"/>
        </w:rPr>
        <w:t>拟建场地主要位于肥东县撮镇镇店埠河左岸，繁华大道店埠河大桥上游约500m～1000m处。该项目区域西侧河道宽度约100-120m左右，现状水面高程约9.10米左右，水深约2-3米左右。场区内有沟塘分布，其水面宽度约150米左右，水深约0.50-1.50米左右。</w:t>
      </w:r>
    </w:p>
    <w:p>
      <w:pPr>
        <w:ind w:firstLine="482"/>
        <w:rPr>
          <w:rFonts w:ascii="Times New Roman" w:hAnsi="Times New Roman" w:cs="Times New Roman"/>
          <w:b/>
          <w:bCs/>
        </w:rPr>
      </w:pPr>
      <w:r>
        <w:rPr>
          <w:rFonts w:ascii="Times New Roman" w:hAnsi="Times New Roman" w:cs="Times New Roman"/>
          <w:b/>
          <w:bCs/>
        </w:rPr>
        <w:t>（2）场地地下水</w:t>
      </w:r>
    </w:p>
    <w:p>
      <w:pPr>
        <w:ind w:firstLine="480"/>
        <w:rPr>
          <w:rFonts w:ascii="Times New Roman" w:hAnsi="Times New Roman" w:cs="Times New Roman"/>
        </w:rPr>
      </w:pPr>
      <w:r>
        <w:rPr>
          <w:rFonts w:ascii="Times New Roman" w:hAnsi="Times New Roman" w:cs="Times New Roman"/>
        </w:rPr>
        <w:t>土层中地下水主要为第四纪松散孔隙水和松散岩类孔隙承压水，其中：松散类孔隙潜水：主要分布于河流两岸第</w:t>
      </w:r>
      <w:r>
        <w:rPr>
          <w:rFonts w:hint="eastAsia" w:ascii="宋体" w:hAnsi="宋体" w:cs="宋体"/>
        </w:rPr>
        <w:t>②</w:t>
      </w:r>
      <w:r>
        <w:rPr>
          <w:rFonts w:ascii="Times New Roman" w:hAnsi="Times New Roman" w:cs="Times New Roman"/>
        </w:rPr>
        <w:t>-</w:t>
      </w:r>
      <w:r>
        <w:rPr>
          <w:rFonts w:hint="eastAsia" w:ascii="宋体" w:hAnsi="宋体" w:cs="宋体"/>
        </w:rPr>
        <w:t>⑦</w:t>
      </w:r>
      <w:r>
        <w:rPr>
          <w:rFonts w:ascii="Times New Roman" w:hAnsi="Times New Roman" w:cs="Times New Roman"/>
        </w:rPr>
        <w:t>层土内，赋存地下潜水，该层地下水与店埠河河水关系密切（地表水和大气降水汇入店埠河内）、形成互补关系，其含水层厚度较大，松散岩类孔隙承压水主要赋存于</w:t>
      </w:r>
      <w:r>
        <w:rPr>
          <w:rFonts w:hint="eastAsia" w:ascii="宋体" w:hAnsi="宋体" w:cs="宋体"/>
        </w:rPr>
        <w:t>⑧</w:t>
      </w:r>
      <w:r>
        <w:rPr>
          <w:rFonts w:ascii="Times New Roman" w:hAnsi="Times New Roman" w:cs="Times New Roman"/>
        </w:rPr>
        <w:t>层岩层中。</w:t>
      </w:r>
    </w:p>
    <w:p>
      <w:pPr>
        <w:ind w:firstLine="480"/>
        <w:rPr>
          <w:rFonts w:ascii="Times New Roman" w:hAnsi="Times New Roman" w:cs="Times New Roman"/>
        </w:rPr>
      </w:pPr>
      <w:r>
        <w:rPr>
          <w:rFonts w:ascii="Times New Roman" w:hAnsi="Times New Roman" w:cs="Times New Roman"/>
        </w:rPr>
        <w:t>根据观测资料，该场地稳定地下水位一般在2.00米至3.50米之间，由于场地地势差异较大，地下水水位有一定差异。地下水变化幅度呈季节性变化，地下水一般变化幅度约2.00-3.00米左右（与西侧河水、周边沟塘水变化幅度密切联系）。</w:t>
      </w:r>
    </w:p>
    <w:p>
      <w:pPr>
        <w:ind w:firstLine="480"/>
        <w:rPr>
          <w:rFonts w:ascii="Times New Roman" w:hAnsi="Times New Roman" w:cs="Times New Roman"/>
          <w:szCs w:val="24"/>
          <w:lang w:val="zh-CN"/>
        </w:rPr>
      </w:pPr>
      <w:r>
        <w:rPr>
          <w:rFonts w:ascii="Times New Roman" w:hAnsi="Times New Roman" w:cs="Times New Roman"/>
          <w:szCs w:val="24"/>
          <w:lang w:val="zh-CN" w:bidi="ar"/>
        </w:rPr>
        <w:t>（3）场地浅表岩土层的渗透性</w:t>
      </w:r>
    </w:p>
    <w:p>
      <w:pPr>
        <w:ind w:firstLine="480"/>
        <w:rPr>
          <w:rFonts w:ascii="Times New Roman" w:hAnsi="Times New Roman" w:eastAsia="黑体" w:cs="Times New Roman"/>
          <w:sz w:val="21"/>
          <w:szCs w:val="21"/>
        </w:rPr>
      </w:pPr>
      <w:r>
        <w:rPr>
          <w:rFonts w:ascii="Times New Roman" w:hAnsi="Times New Roman" w:cs="Times New Roman"/>
          <w:szCs w:val="24"/>
          <w:lang w:bidi="ar"/>
        </w:rPr>
        <w:t>根据场地地质勘测报告，拟建</w:t>
      </w:r>
      <w:r>
        <w:rPr>
          <w:rFonts w:ascii="Times New Roman" w:hAnsi="Times New Roman" w:cs="Times New Roman"/>
          <w:szCs w:val="24"/>
          <w:lang w:val="zh-CN" w:bidi="ar"/>
        </w:rPr>
        <w:t>场地浅表岩土层的渗透系数如下：</w:t>
      </w:r>
    </w:p>
    <w:p>
      <w:pPr>
        <w:ind w:firstLine="422"/>
        <w:jc w:val="center"/>
        <w:rPr>
          <w:rFonts w:ascii="Times New Roman" w:hAnsi="Times New Roman" w:cs="Times New Roman"/>
          <w:b/>
          <w:color w:val="auto"/>
          <w:sz w:val="21"/>
        </w:rPr>
      </w:pPr>
      <w:r>
        <w:rPr>
          <w:rFonts w:ascii="Times New Roman" w:hAnsi="Times New Roman" w:cs="Times New Roman"/>
          <w:b/>
          <w:color w:val="auto"/>
          <w:sz w:val="21"/>
        </w:rPr>
        <w:t>表4.1-1   拟建场地土层渗透系数一览表</w:t>
      </w:r>
    </w:p>
    <w:tbl>
      <w:tblPr>
        <w:tblStyle w:val="62"/>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30"/>
        <w:gridCol w:w="1601"/>
        <w:gridCol w:w="1779"/>
        <w:gridCol w:w="26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230" w:type="dxa"/>
            <w:vMerge w:val="restart"/>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土层编号及名称</w:t>
            </w:r>
          </w:p>
        </w:tc>
        <w:tc>
          <w:tcPr>
            <w:tcW w:w="3380" w:type="dxa"/>
            <w:gridSpan w:val="2"/>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渗透系数cm/s</w:t>
            </w:r>
          </w:p>
        </w:tc>
        <w:tc>
          <w:tcPr>
            <w:tcW w:w="2676" w:type="dxa"/>
            <w:vMerge w:val="restart"/>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透水性分级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230" w:type="dxa"/>
            <w:vMerge w:val="continue"/>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p>
        </w:tc>
        <w:tc>
          <w:tcPr>
            <w:tcW w:w="1601"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垂直Kv</w:t>
            </w:r>
          </w:p>
        </w:tc>
        <w:tc>
          <w:tcPr>
            <w:tcW w:w="1779"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水平Kt</w:t>
            </w:r>
          </w:p>
        </w:tc>
        <w:tc>
          <w:tcPr>
            <w:tcW w:w="2676" w:type="dxa"/>
            <w:vMerge w:val="continue"/>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230"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宋体" w:hAnsi="宋体" w:cs="宋体"/>
                <w:color w:val="auto"/>
                <w:sz w:val="18"/>
                <w:szCs w:val="18"/>
              </w:rPr>
              <w:t>①</w:t>
            </w:r>
            <w:r>
              <w:rPr>
                <w:rFonts w:ascii="Times New Roman" w:hAnsi="Times New Roman" w:cs="Times New Roman"/>
                <w:color w:val="auto"/>
                <w:sz w:val="18"/>
                <w:szCs w:val="18"/>
              </w:rPr>
              <w:t>素填土</w:t>
            </w:r>
          </w:p>
        </w:tc>
        <w:tc>
          <w:tcPr>
            <w:tcW w:w="1601"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2.00×10</w:t>
            </w:r>
            <w:r>
              <w:rPr>
                <w:rFonts w:ascii="Times New Roman" w:hAnsi="Times New Roman" w:cs="Times New Roman"/>
                <w:color w:val="auto"/>
                <w:sz w:val="18"/>
                <w:szCs w:val="18"/>
                <w:vertAlign w:val="superscript"/>
              </w:rPr>
              <w:t>-4</w:t>
            </w:r>
          </w:p>
        </w:tc>
        <w:tc>
          <w:tcPr>
            <w:tcW w:w="1779"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4.00×10</w:t>
            </w:r>
            <w:r>
              <w:rPr>
                <w:rFonts w:ascii="Times New Roman" w:hAnsi="Times New Roman" w:cs="Times New Roman"/>
                <w:color w:val="auto"/>
                <w:sz w:val="18"/>
                <w:szCs w:val="18"/>
                <w:vertAlign w:val="superscript"/>
              </w:rPr>
              <w:t>-4</w:t>
            </w:r>
          </w:p>
        </w:tc>
        <w:tc>
          <w:tcPr>
            <w:tcW w:w="2676"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中等透水性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230"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宋体" w:hAnsi="宋体" w:cs="宋体"/>
                <w:color w:val="auto"/>
                <w:sz w:val="18"/>
                <w:szCs w:val="18"/>
              </w:rPr>
              <w:t>②</w:t>
            </w:r>
            <w:r>
              <w:rPr>
                <w:rFonts w:ascii="Times New Roman" w:hAnsi="Times New Roman" w:cs="Times New Roman"/>
                <w:color w:val="auto"/>
                <w:sz w:val="18"/>
                <w:szCs w:val="18"/>
              </w:rPr>
              <w:t>粉质粘土</w:t>
            </w:r>
          </w:p>
        </w:tc>
        <w:tc>
          <w:tcPr>
            <w:tcW w:w="1601"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1.5×10</w:t>
            </w:r>
            <w:r>
              <w:rPr>
                <w:rFonts w:ascii="Times New Roman" w:hAnsi="Times New Roman" w:cs="Times New Roman"/>
                <w:color w:val="auto"/>
                <w:sz w:val="18"/>
                <w:szCs w:val="18"/>
                <w:vertAlign w:val="superscript"/>
              </w:rPr>
              <w:t>-5</w:t>
            </w:r>
          </w:p>
        </w:tc>
        <w:tc>
          <w:tcPr>
            <w:tcW w:w="1779"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2.5×10</w:t>
            </w:r>
            <w:r>
              <w:rPr>
                <w:rFonts w:ascii="Times New Roman" w:hAnsi="Times New Roman" w:cs="Times New Roman"/>
                <w:color w:val="auto"/>
                <w:sz w:val="18"/>
                <w:szCs w:val="18"/>
                <w:vertAlign w:val="superscript"/>
              </w:rPr>
              <w:t>-5</w:t>
            </w:r>
          </w:p>
        </w:tc>
        <w:tc>
          <w:tcPr>
            <w:tcW w:w="2676"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弱透水性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230"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宋体" w:hAnsi="宋体" w:cs="宋体"/>
                <w:color w:val="auto"/>
                <w:sz w:val="18"/>
                <w:szCs w:val="18"/>
              </w:rPr>
              <w:t>③</w:t>
            </w:r>
            <w:r>
              <w:rPr>
                <w:rFonts w:ascii="Times New Roman" w:hAnsi="Times New Roman" w:cs="Times New Roman"/>
                <w:color w:val="auto"/>
                <w:sz w:val="18"/>
                <w:szCs w:val="18"/>
              </w:rPr>
              <w:t>粉质粘土</w:t>
            </w:r>
          </w:p>
        </w:tc>
        <w:tc>
          <w:tcPr>
            <w:tcW w:w="1601"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1.0×10</w:t>
            </w:r>
            <w:r>
              <w:rPr>
                <w:rFonts w:ascii="Times New Roman" w:hAnsi="Times New Roman" w:cs="Times New Roman"/>
                <w:color w:val="auto"/>
                <w:sz w:val="18"/>
                <w:szCs w:val="18"/>
                <w:vertAlign w:val="superscript"/>
              </w:rPr>
              <w:t>-5</w:t>
            </w:r>
          </w:p>
        </w:tc>
        <w:tc>
          <w:tcPr>
            <w:tcW w:w="1779"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2.5×10</w:t>
            </w:r>
            <w:r>
              <w:rPr>
                <w:rFonts w:ascii="Times New Roman" w:hAnsi="Times New Roman" w:cs="Times New Roman"/>
                <w:color w:val="auto"/>
                <w:sz w:val="18"/>
                <w:szCs w:val="18"/>
                <w:vertAlign w:val="superscript"/>
              </w:rPr>
              <w:t>-5</w:t>
            </w:r>
          </w:p>
        </w:tc>
        <w:tc>
          <w:tcPr>
            <w:tcW w:w="2676"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弱透水性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230"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宋体" w:hAnsi="宋体" w:cs="宋体"/>
                <w:color w:val="auto"/>
                <w:sz w:val="18"/>
                <w:szCs w:val="18"/>
              </w:rPr>
              <w:t>④</w:t>
            </w:r>
            <w:r>
              <w:rPr>
                <w:rFonts w:ascii="Times New Roman" w:hAnsi="Times New Roman" w:cs="Times New Roman"/>
                <w:color w:val="auto"/>
                <w:sz w:val="18"/>
                <w:szCs w:val="18"/>
              </w:rPr>
              <w:t>粉质粘土</w:t>
            </w:r>
          </w:p>
        </w:tc>
        <w:tc>
          <w:tcPr>
            <w:tcW w:w="1601"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6.0×10</w:t>
            </w:r>
            <w:r>
              <w:rPr>
                <w:rFonts w:ascii="Times New Roman" w:hAnsi="Times New Roman" w:cs="Times New Roman"/>
                <w:color w:val="auto"/>
                <w:sz w:val="18"/>
                <w:szCs w:val="18"/>
                <w:vertAlign w:val="superscript"/>
              </w:rPr>
              <w:t>-6</w:t>
            </w:r>
          </w:p>
        </w:tc>
        <w:tc>
          <w:tcPr>
            <w:tcW w:w="1779"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7.5×10</w:t>
            </w:r>
            <w:r>
              <w:rPr>
                <w:rFonts w:ascii="Times New Roman" w:hAnsi="Times New Roman" w:cs="Times New Roman"/>
                <w:color w:val="auto"/>
                <w:sz w:val="18"/>
                <w:szCs w:val="18"/>
                <w:vertAlign w:val="superscript"/>
              </w:rPr>
              <w:t>-6</w:t>
            </w:r>
          </w:p>
        </w:tc>
        <w:tc>
          <w:tcPr>
            <w:tcW w:w="2676"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微透水性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230"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宋体" w:hAnsi="宋体" w:cs="宋体"/>
                <w:color w:val="auto"/>
                <w:sz w:val="18"/>
                <w:szCs w:val="18"/>
              </w:rPr>
              <w:t>⑤</w:t>
            </w:r>
            <w:r>
              <w:rPr>
                <w:rFonts w:ascii="Times New Roman" w:hAnsi="Times New Roman" w:cs="Times New Roman"/>
                <w:color w:val="auto"/>
                <w:sz w:val="18"/>
                <w:szCs w:val="18"/>
              </w:rPr>
              <w:t>粉质粘土夹粉土</w:t>
            </w:r>
          </w:p>
        </w:tc>
        <w:tc>
          <w:tcPr>
            <w:tcW w:w="1601"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8.0×10</w:t>
            </w:r>
            <w:r>
              <w:rPr>
                <w:rFonts w:ascii="Times New Roman" w:hAnsi="Times New Roman" w:cs="Times New Roman"/>
                <w:color w:val="auto"/>
                <w:sz w:val="18"/>
                <w:szCs w:val="18"/>
                <w:vertAlign w:val="superscript"/>
              </w:rPr>
              <w:t>-5</w:t>
            </w:r>
          </w:p>
        </w:tc>
        <w:tc>
          <w:tcPr>
            <w:tcW w:w="1779"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9.5×10</w:t>
            </w:r>
            <w:r>
              <w:rPr>
                <w:rFonts w:ascii="Times New Roman" w:hAnsi="Times New Roman" w:cs="Times New Roman"/>
                <w:color w:val="auto"/>
                <w:sz w:val="18"/>
                <w:szCs w:val="18"/>
                <w:vertAlign w:val="superscript"/>
              </w:rPr>
              <w:t>-5</w:t>
            </w:r>
          </w:p>
        </w:tc>
        <w:tc>
          <w:tcPr>
            <w:tcW w:w="2676"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弱透水性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230"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宋体" w:hAnsi="宋体" w:cs="宋体"/>
                <w:color w:val="auto"/>
                <w:sz w:val="18"/>
                <w:szCs w:val="18"/>
              </w:rPr>
              <w:t>⑥</w:t>
            </w:r>
            <w:r>
              <w:rPr>
                <w:rFonts w:ascii="Times New Roman" w:hAnsi="Times New Roman" w:cs="Times New Roman"/>
                <w:color w:val="auto"/>
                <w:sz w:val="18"/>
                <w:szCs w:val="18"/>
              </w:rPr>
              <w:t>粉土</w:t>
            </w:r>
          </w:p>
        </w:tc>
        <w:tc>
          <w:tcPr>
            <w:tcW w:w="1601"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1.20×10</w:t>
            </w:r>
            <w:r>
              <w:rPr>
                <w:rFonts w:ascii="Times New Roman" w:hAnsi="Times New Roman" w:cs="Times New Roman"/>
                <w:color w:val="auto"/>
                <w:sz w:val="18"/>
                <w:szCs w:val="18"/>
                <w:vertAlign w:val="superscript"/>
              </w:rPr>
              <w:t>-4</w:t>
            </w:r>
          </w:p>
        </w:tc>
        <w:tc>
          <w:tcPr>
            <w:tcW w:w="1779"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1.50×10</w:t>
            </w:r>
            <w:r>
              <w:rPr>
                <w:rFonts w:ascii="Times New Roman" w:hAnsi="Times New Roman" w:cs="Times New Roman"/>
                <w:color w:val="auto"/>
                <w:sz w:val="18"/>
                <w:szCs w:val="18"/>
                <w:vertAlign w:val="superscript"/>
              </w:rPr>
              <w:t>-4</w:t>
            </w:r>
          </w:p>
        </w:tc>
        <w:tc>
          <w:tcPr>
            <w:tcW w:w="2676"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中等透水性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230"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宋体" w:hAnsi="宋体" w:cs="宋体"/>
                <w:color w:val="auto"/>
                <w:sz w:val="18"/>
                <w:szCs w:val="18"/>
              </w:rPr>
              <w:t>⑦</w:t>
            </w:r>
            <w:r>
              <w:rPr>
                <w:rFonts w:ascii="Times New Roman" w:hAnsi="Times New Roman" w:cs="Times New Roman"/>
                <w:color w:val="auto"/>
                <w:sz w:val="18"/>
                <w:szCs w:val="18"/>
              </w:rPr>
              <w:t>粉质粘土</w:t>
            </w:r>
          </w:p>
        </w:tc>
        <w:tc>
          <w:tcPr>
            <w:tcW w:w="1601"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3.0×10</w:t>
            </w:r>
            <w:r>
              <w:rPr>
                <w:rFonts w:ascii="Times New Roman" w:hAnsi="Times New Roman" w:cs="Times New Roman"/>
                <w:color w:val="auto"/>
                <w:sz w:val="18"/>
                <w:szCs w:val="18"/>
                <w:vertAlign w:val="superscript"/>
              </w:rPr>
              <w:t>-6</w:t>
            </w:r>
          </w:p>
        </w:tc>
        <w:tc>
          <w:tcPr>
            <w:tcW w:w="1779"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4.5×10</w:t>
            </w:r>
            <w:r>
              <w:rPr>
                <w:rFonts w:ascii="Times New Roman" w:hAnsi="Times New Roman" w:cs="Times New Roman"/>
                <w:color w:val="auto"/>
                <w:sz w:val="18"/>
                <w:szCs w:val="18"/>
                <w:vertAlign w:val="superscript"/>
              </w:rPr>
              <w:t>-6</w:t>
            </w:r>
          </w:p>
        </w:tc>
        <w:tc>
          <w:tcPr>
            <w:tcW w:w="2676"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微透水性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230"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宋体" w:hAnsi="宋体" w:cs="宋体"/>
                <w:color w:val="auto"/>
                <w:sz w:val="18"/>
                <w:szCs w:val="18"/>
              </w:rPr>
              <w:t>⑧</w:t>
            </w:r>
            <w:r>
              <w:rPr>
                <w:rFonts w:ascii="Times New Roman" w:hAnsi="Times New Roman" w:cs="Times New Roman"/>
                <w:color w:val="auto"/>
                <w:sz w:val="18"/>
                <w:szCs w:val="18"/>
              </w:rPr>
              <w:t>-1全风化泥质粉砂岩</w:t>
            </w:r>
          </w:p>
        </w:tc>
        <w:tc>
          <w:tcPr>
            <w:tcW w:w="1601"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1.00×10</w:t>
            </w:r>
            <w:r>
              <w:rPr>
                <w:rFonts w:ascii="Times New Roman" w:hAnsi="Times New Roman" w:cs="Times New Roman"/>
                <w:color w:val="auto"/>
                <w:sz w:val="18"/>
                <w:szCs w:val="18"/>
                <w:vertAlign w:val="superscript"/>
              </w:rPr>
              <w:t>-5</w:t>
            </w:r>
          </w:p>
        </w:tc>
        <w:tc>
          <w:tcPr>
            <w:tcW w:w="1779"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2.50×10</w:t>
            </w:r>
            <w:r>
              <w:rPr>
                <w:rFonts w:ascii="Times New Roman" w:hAnsi="Times New Roman" w:cs="Times New Roman"/>
                <w:color w:val="auto"/>
                <w:sz w:val="18"/>
                <w:szCs w:val="18"/>
                <w:vertAlign w:val="superscript"/>
              </w:rPr>
              <w:t>-5</w:t>
            </w:r>
          </w:p>
        </w:tc>
        <w:tc>
          <w:tcPr>
            <w:tcW w:w="2676"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弱透水性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230"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宋体" w:hAnsi="宋体" w:cs="宋体"/>
                <w:color w:val="auto"/>
                <w:sz w:val="18"/>
                <w:szCs w:val="18"/>
              </w:rPr>
              <w:t>⑧</w:t>
            </w:r>
            <w:r>
              <w:rPr>
                <w:rFonts w:ascii="Times New Roman" w:hAnsi="Times New Roman" w:cs="Times New Roman"/>
                <w:color w:val="auto"/>
                <w:sz w:val="18"/>
                <w:szCs w:val="18"/>
              </w:rPr>
              <w:t>-2强风化泥质粉砂岩</w:t>
            </w:r>
          </w:p>
        </w:tc>
        <w:tc>
          <w:tcPr>
            <w:tcW w:w="1601"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1.00×10</w:t>
            </w:r>
            <w:r>
              <w:rPr>
                <w:rFonts w:ascii="Times New Roman" w:hAnsi="Times New Roman" w:cs="Times New Roman"/>
                <w:color w:val="auto"/>
                <w:sz w:val="18"/>
                <w:szCs w:val="18"/>
                <w:vertAlign w:val="superscript"/>
              </w:rPr>
              <w:t>-5</w:t>
            </w:r>
          </w:p>
        </w:tc>
        <w:tc>
          <w:tcPr>
            <w:tcW w:w="1779"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2.50×10</w:t>
            </w:r>
            <w:r>
              <w:rPr>
                <w:rFonts w:ascii="Times New Roman" w:hAnsi="Times New Roman" w:cs="Times New Roman"/>
                <w:color w:val="auto"/>
                <w:sz w:val="18"/>
                <w:szCs w:val="18"/>
                <w:vertAlign w:val="superscript"/>
              </w:rPr>
              <w:t>-5</w:t>
            </w:r>
          </w:p>
        </w:tc>
        <w:tc>
          <w:tcPr>
            <w:tcW w:w="2676" w:type="dxa"/>
            <w:tcBorders>
              <w:tl2br w:val="nil"/>
              <w:tr2bl w:val="nil"/>
            </w:tcBorders>
            <w:shd w:val="clear" w:color="auto" w:fill="auto"/>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弱透水性</w:t>
            </w:r>
          </w:p>
        </w:tc>
      </w:tr>
    </w:tbl>
    <w:p>
      <w:pPr>
        <w:ind w:firstLine="480"/>
        <w:rPr>
          <w:rFonts w:ascii="Times New Roman" w:hAnsi="Times New Roman" w:cs="Times New Roman"/>
        </w:rPr>
      </w:pPr>
    </w:p>
    <w:p>
      <w:pPr>
        <w:ind w:firstLine="480"/>
        <w:rPr>
          <w:rFonts w:ascii="Times New Roman" w:hAnsi="Times New Roman" w:cs="Times New Roman"/>
        </w:rPr>
        <w:sectPr>
          <w:pgSz w:w="11906" w:h="16838"/>
          <w:pgMar w:top="1417" w:right="1417" w:bottom="1417" w:left="1417" w:header="850" w:footer="992" w:gutter="0"/>
          <w:cols w:space="720" w:num="1"/>
          <w:docGrid w:type="lines" w:linePitch="333" w:charSpace="0"/>
        </w:sectPr>
      </w:pPr>
    </w:p>
    <w:p>
      <w:pPr>
        <w:ind w:firstLine="480"/>
        <w:rPr>
          <w:rFonts w:ascii="Times New Roman" w:hAnsi="Times New Roman" w:cs="Times New Roman"/>
          <w:color w:val="auto"/>
        </w:rPr>
      </w:pPr>
      <w:r>
        <w:drawing>
          <wp:anchor distT="0" distB="0" distL="114300" distR="114300" simplePos="0" relativeHeight="251721728" behindDoc="0" locked="0" layoutInCell="1" allowOverlap="1">
            <wp:simplePos x="0" y="0"/>
            <wp:positionH relativeFrom="column">
              <wp:posOffset>8401685</wp:posOffset>
            </wp:positionH>
            <wp:positionV relativeFrom="paragraph">
              <wp:posOffset>66040</wp:posOffset>
            </wp:positionV>
            <wp:extent cx="742315" cy="717550"/>
            <wp:effectExtent l="0" t="0" r="635" b="6350"/>
            <wp:wrapNone/>
            <wp:docPr id="1975" name="图片 197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75" name="图片 1975"/>
                    <pic:cNvPicPr>
                      <a:picLocks noChangeAspect="true"/>
                    </pic:cNvPicPr>
                  </pic:nvPicPr>
                  <pic:blipFill>
                    <a:blip r:embed="rId106" cstate="print">
                      <a:extLst>
                        <a:ext uri="{28A0092B-C50C-407E-A947-70E740481C1C}">
                          <a14:useLocalDpi xmlns:a14="http://schemas.microsoft.com/office/drawing/2010/main" val="false"/>
                        </a:ext>
                      </a:extLst>
                    </a:blip>
                    <a:stretch>
                      <a:fillRect/>
                    </a:stretch>
                  </pic:blipFill>
                  <pic:spPr>
                    <a:xfrm>
                      <a:off x="0" y="0"/>
                      <a:ext cx="742315" cy="717562"/>
                    </a:xfrm>
                    <a:prstGeom prst="rect">
                      <a:avLst/>
                    </a:prstGeom>
                  </pic:spPr>
                </pic:pic>
              </a:graphicData>
            </a:graphic>
          </wp:anchor>
        </w:drawing>
      </w:r>
      <w:r>
        <w:rPr>
          <w:rFonts w:ascii="Times New Roman" w:hAnsi="Times New Roman" w:cs="Times New Roman"/>
        </w:rPr>
        <w:drawing>
          <wp:anchor distT="0" distB="0" distL="114300" distR="114300" simplePos="0" relativeHeight="251621376" behindDoc="0" locked="0" layoutInCell="1" allowOverlap="1">
            <wp:simplePos x="0" y="0"/>
            <wp:positionH relativeFrom="column">
              <wp:posOffset>6488430</wp:posOffset>
            </wp:positionH>
            <wp:positionV relativeFrom="paragraph">
              <wp:posOffset>2695575</wp:posOffset>
            </wp:positionV>
            <wp:extent cx="2657475" cy="2494915"/>
            <wp:effectExtent l="0" t="0" r="0" b="0"/>
            <wp:wrapNone/>
            <wp:docPr id="1664" name="图片 166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64" name="图片 1664"/>
                    <pic:cNvPicPr>
                      <a:picLocks noChangeAspect="true" noChangeArrowheads="true"/>
                    </pic:cNvPicPr>
                  </pic:nvPicPr>
                  <pic:blipFill>
                    <a:blip r:embed="rId107">
                      <a:lum bright="12000" contrast="18000"/>
                    </a:blip>
                    <a:srcRect/>
                    <a:stretch>
                      <a:fillRect/>
                    </a:stretch>
                  </pic:blipFill>
                  <pic:spPr>
                    <a:xfrm>
                      <a:off x="0" y="0"/>
                      <a:ext cx="2657475" cy="2494915"/>
                    </a:xfrm>
                    <a:prstGeom prst="rect">
                      <a:avLst/>
                    </a:prstGeom>
                    <a:noFill/>
                  </pic:spPr>
                </pic:pic>
              </a:graphicData>
            </a:graphic>
          </wp:anchor>
        </w:drawing>
      </w:r>
      <w:r>
        <w:rPr>
          <w:rFonts w:ascii="Times New Roman" w:hAnsi="Times New Roman" w:cs="Times New Roman"/>
          <w:color w:val="auto"/>
        </w:rPr>
        <mc:AlternateContent>
          <mc:Choice Requires="wps">
            <w:drawing>
              <wp:anchor distT="0" distB="0" distL="114300" distR="114300" simplePos="0" relativeHeight="251622400" behindDoc="0" locked="0" layoutInCell="1" allowOverlap="1">
                <wp:simplePos x="0" y="0"/>
                <wp:positionH relativeFrom="column">
                  <wp:posOffset>5148580</wp:posOffset>
                </wp:positionH>
                <wp:positionV relativeFrom="paragraph">
                  <wp:posOffset>1185545</wp:posOffset>
                </wp:positionV>
                <wp:extent cx="1181735" cy="325120"/>
                <wp:effectExtent l="581660" t="19050" r="17780" b="741680"/>
                <wp:wrapNone/>
                <wp:docPr id="240" name="AutoShape 839"/>
                <wp:cNvGraphicFramePr/>
                <a:graphic xmlns:a="http://schemas.openxmlformats.org/drawingml/2006/main">
                  <a:graphicData uri="http://schemas.microsoft.com/office/word/2010/wordprocessingShape">
                    <wps:wsp>
                      <wps:cNvSpPr>
                        <a:spLocks noChangeArrowheads="true"/>
                      </wps:cNvSpPr>
                      <wps:spPr bwMode="auto">
                        <a:xfrm>
                          <a:off x="0" y="0"/>
                          <a:ext cx="1181735" cy="325120"/>
                        </a:xfrm>
                        <a:prstGeom prst="wedgeRectCallout">
                          <a:avLst>
                            <a:gd name="adj1" fmla="val -87130"/>
                            <a:gd name="adj2" fmla="val 242579"/>
                          </a:avLst>
                        </a:prstGeom>
                        <a:noFill/>
                        <a:ln w="28575">
                          <a:solidFill>
                            <a:srgbClr val="FF0000"/>
                          </a:solidFill>
                          <a:miter lim="800000"/>
                        </a:ln>
                      </wps:spPr>
                      <wps:txbx>
                        <w:txbxContent>
                          <w:p>
                            <w:pPr>
                              <w:spacing w:line="240" w:lineRule="auto"/>
                              <w:ind w:firstLine="0" w:firstLineChars="0"/>
                              <w:jc w:val="center"/>
                              <w:rPr>
                                <w:b/>
                                <w:bCs/>
                                <w:color w:val="FF0000"/>
                              </w:rPr>
                            </w:pPr>
                            <w:r>
                              <w:rPr>
                                <w:rFonts w:hint="eastAsia"/>
                                <w:b/>
                                <w:bCs/>
                                <w:color w:val="FF0000"/>
                                <w:highlight w:val="yellow"/>
                              </w:rPr>
                              <w:t>本项目所在地</w:t>
                            </w:r>
                          </w:p>
                        </w:txbxContent>
                      </wps:txbx>
                      <wps:bodyPr rot="0" vert="horz" wrap="square" lIns="91440" tIns="45720" rIns="91440" bIns="45720" anchor="t" anchorCtr="false" upright="true">
                        <a:noAutofit/>
                      </wps:bodyPr>
                    </wps:wsp>
                  </a:graphicData>
                </a:graphic>
              </wp:anchor>
            </w:drawing>
          </mc:Choice>
          <mc:Fallback>
            <w:pict>
              <v:shape id="AutoShape 839" o:spid="_x0000_s1026" o:spt="61" type="#_x0000_t61" style="position:absolute;left:0pt;margin-left:405.4pt;margin-top:93.35pt;height:25.6pt;width:93.05pt;z-index:251622400;mso-width-relative:page;mso-height-relative:page;" filled="f" stroked="t" coordsize="21600,21600" o:gfxdata="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WAAAAZHJzL1BLAQIUABQAAAAIAIdO4kCs1OSi&#10;2QAAAAsBAAAPAAAAAAAAAAEAIAAAADgAAABkcnMvZG93bnJldi54bWxQSwECFAAUAAAACACHTuJA&#10;AXwUkEMCAAB0BAAADgAAAAAAAAABACAAAAA+AQAAZHJzL2Uyb0RvYy54bWxQSwUGAAAAAAYABgBZ&#10;AQAA8wUAAAAA&#10;" adj="0,63197">
                <v:fill on="f" focussize="0,0"/>
                <v:stroke weight="2.25pt" color="#FF0000" miterlimit="8" joinstyle="miter"/>
                <v:imagedata o:title=""/>
                <o:lock v:ext="edit" aspectratio="f"/>
                <v:textbox>
                  <w:txbxContent>
                    <w:p>
                      <w:pPr>
                        <w:spacing w:line="240" w:lineRule="auto"/>
                        <w:ind w:firstLine="0" w:firstLineChars="0"/>
                        <w:jc w:val="center"/>
                        <w:rPr>
                          <w:b/>
                          <w:bCs/>
                          <w:color w:val="FF0000"/>
                        </w:rPr>
                      </w:pPr>
                      <w:r>
                        <w:rPr>
                          <w:rFonts w:hint="eastAsia"/>
                          <w:b/>
                          <w:bCs/>
                          <w:color w:val="FF0000"/>
                          <w:highlight w:val="yellow"/>
                        </w:rPr>
                        <w:t>本项目所在地</w:t>
                      </w:r>
                    </w:p>
                  </w:txbxContent>
                </v:textbox>
              </v:shape>
            </w:pict>
          </mc:Fallback>
        </mc:AlternateContent>
      </w:r>
      <w:r>
        <w:rPr>
          <w:rFonts w:ascii="Times New Roman" w:hAnsi="Times New Roman" w:cs="Times New Roman"/>
          <w:color w:val="auto"/>
        </w:rPr>
        <mc:AlternateContent>
          <mc:Choice Requires="wps">
            <w:drawing>
              <wp:anchor distT="0" distB="0" distL="114300" distR="114300" simplePos="0" relativeHeight="251623424" behindDoc="0" locked="0" layoutInCell="1" allowOverlap="1">
                <wp:simplePos x="0" y="0"/>
                <wp:positionH relativeFrom="column">
                  <wp:posOffset>4622165</wp:posOffset>
                </wp:positionH>
                <wp:positionV relativeFrom="paragraph">
                  <wp:posOffset>2007870</wp:posOffset>
                </wp:positionV>
                <wp:extent cx="152400" cy="219075"/>
                <wp:effectExtent l="26670" t="41275" r="20955" b="6350"/>
                <wp:wrapNone/>
                <wp:docPr id="239" name="AutoShape 838"/>
                <wp:cNvGraphicFramePr/>
                <a:graphic xmlns:a="http://schemas.openxmlformats.org/drawingml/2006/main">
                  <a:graphicData uri="http://schemas.microsoft.com/office/word/2010/wordprocessingShape">
                    <wps:wsp>
                      <wps:cNvSpPr>
                        <a:spLocks noChangeArrowheads="true"/>
                      </wps:cNvSpPr>
                      <wps:spPr bwMode="auto">
                        <a:xfrm>
                          <a:off x="0" y="0"/>
                          <a:ext cx="152400" cy="219075"/>
                        </a:xfrm>
                        <a:prstGeom prst="star4">
                          <a:avLst>
                            <a:gd name="adj" fmla="val 12500"/>
                          </a:avLst>
                        </a:prstGeom>
                        <a:solidFill>
                          <a:srgbClr val="FF0000"/>
                        </a:solidFill>
                        <a:ln w="9525">
                          <a:solidFill>
                            <a:srgbClr val="FFFF00"/>
                          </a:solidFill>
                          <a:miter lim="800000"/>
                        </a:ln>
                      </wps:spPr>
                      <wps:bodyPr rot="0" vert="horz" wrap="square" lIns="91440" tIns="45720" rIns="91440" bIns="45720" anchor="t" anchorCtr="false" upright="true">
                        <a:noAutofit/>
                      </wps:bodyPr>
                    </wps:wsp>
                  </a:graphicData>
                </a:graphic>
              </wp:anchor>
            </w:drawing>
          </mc:Choice>
          <mc:Fallback>
            <w:pict>
              <v:shape id="AutoShape 838" o:spid="_x0000_s1026" o:spt="187" type="#_x0000_t187" style="position:absolute;left:0pt;margin-left:363.95pt;margin-top:158.1pt;height:17.25pt;width:12pt;z-index:251623424;mso-width-relative:page;mso-height-relative:page;" fillcolor="#FF0000" filled="t" stroked="t" coordsize="21600,21600" o:gfxdata="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BYAAABkcnMvUEsBAhQAFAAAAAgAh07iQKaTBBfZAAAACwEAAA8AAAAAAAAAAQAgAAAA&#10;OAAAAGRycy9kb3ducmV2LnhtbFBLAQIUABQAAAAIAIdO4kA5A8uWLQIAAF4EAAAOAAAAAAAAAAEA&#10;IAAAAD4BAABkcnMvZTJvRG9jLnhtbFBLBQYAAAAABgAGAFkBAADdBQAAAAA=&#10;" adj="8100">
                <v:fill on="t" focussize="0,0"/>
                <v:stroke color="#FFFF00" miterlimit="8" joinstyle="miter"/>
                <v:imagedata o:title=""/>
                <o:lock v:ext="edit" aspectratio="f"/>
              </v:shape>
            </w:pict>
          </mc:Fallback>
        </mc:AlternateContent>
      </w:r>
      <w:bookmarkStart w:id="285" w:name="_Toc11260"/>
      <w:bookmarkStart w:id="286" w:name="_Toc19634"/>
      <w:r>
        <w:rPr>
          <w:rFonts w:ascii="Times New Roman" w:hAnsi="Times New Roman" w:cs="Times New Roman"/>
        </w:rPr>
        <w:drawing>
          <wp:inline distT="0" distB="0" distL="0" distR="0">
            <wp:extent cx="8888730" cy="5305425"/>
            <wp:effectExtent l="0" t="0" r="0" b="0"/>
            <wp:docPr id="63" name="图片 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true" noChangeArrowheads="true"/>
                    </pic:cNvPicPr>
                  </pic:nvPicPr>
                  <pic:blipFill>
                    <a:blip r:embed="rId108">
                      <a:lum bright="6000" contrast="42000"/>
                    </a:blip>
                    <a:srcRect/>
                    <a:stretch>
                      <a:fillRect/>
                    </a:stretch>
                  </pic:blipFill>
                  <pic:spPr>
                    <a:xfrm>
                      <a:off x="0" y="0"/>
                      <a:ext cx="8888730" cy="5305425"/>
                    </a:xfrm>
                    <a:prstGeom prst="rect">
                      <a:avLst/>
                    </a:prstGeom>
                    <a:noFill/>
                    <a:ln>
                      <a:noFill/>
                    </a:ln>
                  </pic:spPr>
                </pic:pic>
              </a:graphicData>
            </a:graphic>
          </wp:inline>
        </w:drawing>
      </w:r>
    </w:p>
    <w:p>
      <w:pPr>
        <w:ind w:firstLine="442"/>
        <w:jc w:val="center"/>
        <w:rPr>
          <w:rFonts w:ascii="Times New Roman" w:hAnsi="Times New Roman" w:cs="Times New Roman"/>
          <w:b/>
          <w:bCs/>
          <w:color w:val="auto"/>
          <w:sz w:val="22"/>
        </w:rPr>
      </w:pPr>
      <w:r>
        <w:rPr>
          <w:rFonts w:ascii="Times New Roman" w:hAnsi="Times New Roman" w:cs="Times New Roman"/>
          <w:b/>
          <w:bCs/>
          <w:color w:val="auto"/>
          <w:sz w:val="22"/>
        </w:rPr>
        <w:t>图4.1-1.1      本项目所在区域地表水系图</w:t>
      </w:r>
    </w:p>
    <w:p>
      <w:pPr>
        <w:ind w:firstLine="440"/>
        <w:rPr>
          <w:rFonts w:ascii="Times New Roman" w:hAnsi="Times New Roman" w:cs="Times New Roman"/>
        </w:rPr>
      </w:pPr>
      <w:r>
        <w:rPr>
          <w:rFonts w:ascii="Times New Roman" w:hAnsi="Times New Roman" w:cs="Times New Roman"/>
          <w:color w:val="auto"/>
          <w:kern w:val="0"/>
          <w:sz w:val="22"/>
          <w:szCs w:val="20"/>
        </w:rPr>
        <mc:AlternateContent>
          <mc:Choice Requires="wps">
            <w:drawing>
              <wp:anchor distT="0" distB="0" distL="114300" distR="114300" simplePos="0" relativeHeight="251624448" behindDoc="0" locked="0" layoutInCell="1" allowOverlap="1">
                <wp:simplePos x="0" y="0"/>
                <wp:positionH relativeFrom="column">
                  <wp:posOffset>519430</wp:posOffset>
                </wp:positionH>
                <wp:positionV relativeFrom="paragraph">
                  <wp:posOffset>652145</wp:posOffset>
                </wp:positionV>
                <wp:extent cx="1181735" cy="325120"/>
                <wp:effectExtent l="19685" t="19050" r="303530" b="1056005"/>
                <wp:wrapNone/>
                <wp:docPr id="238" name="AutoShape 1666"/>
                <wp:cNvGraphicFramePr/>
                <a:graphic xmlns:a="http://schemas.openxmlformats.org/drawingml/2006/main">
                  <a:graphicData uri="http://schemas.microsoft.com/office/word/2010/wordprocessingShape">
                    <wps:wsp>
                      <wps:cNvSpPr>
                        <a:spLocks noChangeArrowheads="true"/>
                      </wps:cNvSpPr>
                      <wps:spPr bwMode="auto">
                        <a:xfrm>
                          <a:off x="0" y="0"/>
                          <a:ext cx="1181735" cy="325120"/>
                        </a:xfrm>
                        <a:prstGeom prst="wedgeRectCallout">
                          <a:avLst>
                            <a:gd name="adj1" fmla="val 68431"/>
                            <a:gd name="adj2" fmla="val 336329"/>
                          </a:avLst>
                        </a:prstGeom>
                        <a:noFill/>
                        <a:ln w="28575">
                          <a:solidFill>
                            <a:srgbClr val="FF0000"/>
                          </a:solidFill>
                          <a:miter lim="800000"/>
                        </a:ln>
                      </wps:spPr>
                      <wps:txbx>
                        <w:txbxContent>
                          <w:p>
                            <w:pPr>
                              <w:spacing w:line="240" w:lineRule="auto"/>
                              <w:ind w:firstLine="0" w:firstLineChars="0"/>
                              <w:jc w:val="center"/>
                              <w:rPr>
                                <w:b/>
                                <w:bCs/>
                                <w:color w:val="FF0000"/>
                              </w:rPr>
                            </w:pPr>
                            <w:r>
                              <w:rPr>
                                <w:rFonts w:hint="eastAsia"/>
                                <w:b/>
                                <w:bCs/>
                                <w:color w:val="FF0000"/>
                                <w:highlight w:val="yellow"/>
                              </w:rPr>
                              <w:t>本项目所在地</w:t>
                            </w:r>
                          </w:p>
                        </w:txbxContent>
                      </wps:txbx>
                      <wps:bodyPr rot="0" vert="horz" wrap="square" lIns="91440" tIns="45720" rIns="91440" bIns="45720" anchor="t" anchorCtr="false" upright="true">
                        <a:noAutofit/>
                      </wps:bodyPr>
                    </wps:wsp>
                  </a:graphicData>
                </a:graphic>
              </wp:anchor>
            </w:drawing>
          </mc:Choice>
          <mc:Fallback>
            <w:pict>
              <v:shape id="AutoShape 1666" o:spid="_x0000_s1026" o:spt="61" type="#_x0000_t61" style="position:absolute;left:0pt;margin-left:40.9pt;margin-top:51.35pt;height:25.6pt;width:93.05pt;z-index:251624448;mso-width-relative:page;mso-height-relative:page;" filled="f" stroked="t" coordsize="21600,21600" o:gfxdata="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WAAAAZHJzL1BLAQIUABQAAAAIAIdO4kCxJVL51gAA&#10;AAoBAAAPAAAAAAAAAAEAIAAAADgAAABkcnMvZG93bnJldi54bWxQSwECFAAUAAAACACHTuJAiFaQ&#10;cEMCAAB0BAAADgAAAAAAAAABACAAAAA7AQAAZHJzL2Uyb0RvYy54bWxQSwUGAAAAAAYABgBZAQAA&#10;8AUAAAAA&#10;" adj="25581,83447">
                <v:fill on="f" focussize="0,0"/>
                <v:stroke weight="2.25pt" color="#FF0000" miterlimit="8" joinstyle="miter"/>
                <v:imagedata o:title=""/>
                <o:lock v:ext="edit" aspectratio="f"/>
                <v:textbox>
                  <w:txbxContent>
                    <w:p>
                      <w:pPr>
                        <w:spacing w:line="240" w:lineRule="auto"/>
                        <w:ind w:firstLine="0" w:firstLineChars="0"/>
                        <w:jc w:val="center"/>
                        <w:rPr>
                          <w:b/>
                          <w:bCs/>
                          <w:color w:val="FF0000"/>
                        </w:rPr>
                      </w:pPr>
                      <w:r>
                        <w:rPr>
                          <w:rFonts w:hint="eastAsia"/>
                          <w:b/>
                          <w:bCs/>
                          <w:color w:val="FF0000"/>
                          <w:highlight w:val="yellow"/>
                        </w:rPr>
                        <w:t>本项目所在地</w:t>
                      </w:r>
                    </w:p>
                  </w:txbxContent>
                </v:textbox>
              </v:shape>
            </w:pict>
          </mc:Fallback>
        </mc:AlternateContent>
      </w:r>
      <w:r>
        <w:rPr>
          <w:rFonts w:ascii="Times New Roman" w:hAnsi="Times New Roman" w:cs="Times New Roman"/>
          <w:color w:val="auto"/>
          <w:kern w:val="0"/>
          <w:sz w:val="22"/>
          <w:szCs w:val="20"/>
        </w:rPr>
        <mc:AlternateContent>
          <mc:Choice Requires="wps">
            <w:drawing>
              <wp:anchor distT="0" distB="0" distL="114300" distR="114300" simplePos="0" relativeHeight="251625472" behindDoc="0" locked="0" layoutInCell="1" allowOverlap="1">
                <wp:simplePos x="0" y="0"/>
                <wp:positionH relativeFrom="column">
                  <wp:posOffset>1898015</wp:posOffset>
                </wp:positionH>
                <wp:positionV relativeFrom="paragraph">
                  <wp:posOffset>1874520</wp:posOffset>
                </wp:positionV>
                <wp:extent cx="152400" cy="219075"/>
                <wp:effectExtent l="26670" t="41275" r="20955" b="44450"/>
                <wp:wrapNone/>
                <wp:docPr id="237" name="AutoShape 1665"/>
                <wp:cNvGraphicFramePr/>
                <a:graphic xmlns:a="http://schemas.openxmlformats.org/drawingml/2006/main">
                  <a:graphicData uri="http://schemas.microsoft.com/office/word/2010/wordprocessingShape">
                    <wps:wsp>
                      <wps:cNvSpPr>
                        <a:spLocks noChangeArrowheads="true"/>
                      </wps:cNvSpPr>
                      <wps:spPr bwMode="auto">
                        <a:xfrm>
                          <a:off x="0" y="0"/>
                          <a:ext cx="152400" cy="219075"/>
                        </a:xfrm>
                        <a:prstGeom prst="star4">
                          <a:avLst>
                            <a:gd name="adj" fmla="val 12500"/>
                          </a:avLst>
                        </a:prstGeom>
                        <a:solidFill>
                          <a:srgbClr val="FF0000"/>
                        </a:solidFill>
                        <a:ln w="9525">
                          <a:solidFill>
                            <a:srgbClr val="FFFF00"/>
                          </a:solidFill>
                          <a:miter lim="800000"/>
                        </a:ln>
                      </wps:spPr>
                      <wps:bodyPr rot="0" vert="horz" wrap="square" lIns="91440" tIns="45720" rIns="91440" bIns="45720" anchor="t" anchorCtr="false" upright="true">
                        <a:noAutofit/>
                      </wps:bodyPr>
                    </wps:wsp>
                  </a:graphicData>
                </a:graphic>
              </wp:anchor>
            </w:drawing>
          </mc:Choice>
          <mc:Fallback>
            <w:pict>
              <v:shape id="AutoShape 1665" o:spid="_x0000_s1026" o:spt="187" type="#_x0000_t187" style="position:absolute;left:0pt;margin-left:149.45pt;margin-top:147.6pt;height:17.25pt;width:12pt;z-index:251625472;mso-width-relative:page;mso-height-relative:page;" fillcolor="#FF0000" filled="t" stroked="t" coordsize="21600,21600" o:gfxdata="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BYAAABkcnMvUEsBAhQAFAAAAAgAh07iQDjxLsHZAAAACwEAAA8AAAAAAAAAAQAgAAAA&#10;OAAAAGRycy9kb3ducmV2LnhtbFBLAQIUABQAAAAIAIdO4kBpu7bHLQIAAF8EAAAOAAAAAAAAAAEA&#10;IAAAAD4BAABkcnMvZTJvRG9jLnhtbFBLBQYAAAAABgAGAFkBAADdBQAAAAA=&#10;" adj="8100">
                <v:fill on="t" focussize="0,0"/>
                <v:stroke color="#FFFF00" miterlimit="8" joinstyle="miter"/>
                <v:imagedata o:title=""/>
                <o:lock v:ext="edit" aspectratio="f"/>
              </v:shape>
            </w:pict>
          </mc:Fallback>
        </mc:AlternateContent>
      </w:r>
      <w:r>
        <w:rPr>
          <w:rFonts w:ascii="Times New Roman" w:hAnsi="Times New Roman" w:cs="Times New Roman"/>
        </w:rPr>
        <w:drawing>
          <wp:inline distT="0" distB="0" distL="0" distR="0">
            <wp:extent cx="7644765" cy="5305425"/>
            <wp:effectExtent l="0" t="0" r="0" b="0"/>
            <wp:docPr id="64" name="图片 6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true" noChangeArrowheads="true"/>
                    </pic:cNvPicPr>
                  </pic:nvPicPr>
                  <pic:blipFill>
                    <a:blip r:embed="rId109"/>
                    <a:srcRect/>
                    <a:stretch>
                      <a:fillRect/>
                    </a:stretch>
                  </pic:blipFill>
                  <pic:spPr>
                    <a:xfrm>
                      <a:off x="0" y="0"/>
                      <a:ext cx="7644765" cy="5305425"/>
                    </a:xfrm>
                    <a:prstGeom prst="rect">
                      <a:avLst/>
                    </a:prstGeom>
                    <a:noFill/>
                    <a:ln>
                      <a:noFill/>
                    </a:ln>
                  </pic:spPr>
                </pic:pic>
              </a:graphicData>
            </a:graphic>
          </wp:inline>
        </w:drawing>
      </w:r>
    </w:p>
    <w:p>
      <w:pPr>
        <w:ind w:firstLine="442"/>
        <w:jc w:val="center"/>
        <w:rPr>
          <w:rFonts w:ascii="Times New Roman" w:hAnsi="Times New Roman" w:cs="Times New Roman"/>
          <w:b/>
          <w:bCs/>
          <w:color w:val="auto"/>
          <w:sz w:val="22"/>
        </w:rPr>
        <w:sectPr>
          <w:pgSz w:w="16838" w:h="11906" w:orient="landscape"/>
          <w:pgMar w:top="1418" w:right="1418" w:bottom="1418" w:left="1418" w:header="851" w:footer="992" w:gutter="0"/>
          <w:cols w:space="720" w:num="1"/>
          <w:docGrid w:type="linesAndChars" w:linePitch="333" w:charSpace="0"/>
        </w:sectPr>
      </w:pPr>
      <w:r>
        <w:rPr>
          <w:rFonts w:ascii="Times New Roman" w:hAnsi="Times New Roman" w:cs="Times New Roman"/>
          <w:b/>
          <w:bCs/>
          <w:color w:val="auto"/>
          <w:sz w:val="22"/>
        </w:rPr>
        <w:t>图4.1-1.2      本项目所在区域地表水系图</w:t>
      </w:r>
    </w:p>
    <w:p>
      <w:pPr>
        <w:pStyle w:val="3550"/>
        <w:ind w:firstLine="0" w:firstLineChars="0"/>
        <w:outlineLvl w:val="1"/>
        <w:rPr>
          <w:rFonts w:ascii="Times New Roman" w:hAnsi="Times New Roman" w:eastAsia="黑体" w:cs="Times New Roman"/>
          <w:color w:val="auto"/>
          <w:kern w:val="2"/>
          <w:sz w:val="28"/>
        </w:rPr>
      </w:pPr>
      <w:bookmarkStart w:id="287" w:name="_Toc104733371"/>
      <w:r>
        <w:rPr>
          <w:rFonts w:ascii="Times New Roman" w:hAnsi="Times New Roman" w:eastAsia="黑体" w:cs="Times New Roman"/>
          <w:color w:val="auto"/>
          <w:kern w:val="2"/>
          <w:sz w:val="28"/>
        </w:rPr>
        <w:t>4.2大气环境质量现状调查与评价</w:t>
      </w:r>
      <w:bookmarkEnd w:id="285"/>
      <w:bookmarkEnd w:id="286"/>
      <w:bookmarkEnd w:id="287"/>
    </w:p>
    <w:p>
      <w:pPr>
        <w:pStyle w:val="4"/>
        <w:numPr>
          <w:ilvl w:val="2"/>
          <w:numId w:val="0"/>
        </w:numPr>
        <w:jc w:val="both"/>
        <w:rPr>
          <w:rFonts w:ascii="Times New Roman" w:hAnsi="Times New Roman" w:cs="Times New Roman"/>
          <w:color w:val="FF0000"/>
        </w:rPr>
      </w:pPr>
      <w:bookmarkStart w:id="288" w:name="_Toc102984339"/>
      <w:bookmarkStart w:id="289" w:name="_Toc104733372"/>
      <w:r>
        <w:rPr>
          <w:rFonts w:ascii="Times New Roman" w:hAnsi="Times New Roman" w:cs="Times New Roman"/>
          <w:color w:val="auto"/>
        </w:rPr>
        <w:t>4.2.1</w:t>
      </w:r>
      <w:r>
        <w:rPr>
          <w:rFonts w:ascii="Times New Roman" w:hAnsi="Times New Roman" w:cs="Times New Roman"/>
          <w:color w:val="FF0000"/>
        </w:rPr>
        <w:t>区域环境质量达标情况调查</w:t>
      </w:r>
      <w:bookmarkEnd w:id="288"/>
      <w:bookmarkEnd w:id="289"/>
    </w:p>
    <w:p>
      <w:pPr>
        <w:ind w:firstLine="480"/>
        <w:rPr>
          <w:rFonts w:ascii="Times New Roman" w:hAnsi="Times New Roman" w:cs="Times New Roman"/>
        </w:rPr>
      </w:pPr>
      <w:r>
        <w:rPr>
          <w:rFonts w:ascii="Times New Roman" w:hAnsi="Times New Roman" w:cs="Times New Roman"/>
        </w:rPr>
        <w:t>根据《环境影响评价技术导则 大气环境》（HJ2.2-2018）要求，拟建项目所在区域环境空气达标情况评价指标为SO</w:t>
      </w:r>
      <w:r>
        <w:rPr>
          <w:rFonts w:ascii="Times New Roman" w:hAnsi="Times New Roman" w:cs="Times New Roman"/>
          <w:vertAlign w:val="subscript"/>
        </w:rPr>
        <w:t>2</w:t>
      </w:r>
      <w:r>
        <w:rPr>
          <w:rFonts w:ascii="Times New Roman" w:hAnsi="Times New Roman" w:cs="Times New Roman"/>
        </w:rPr>
        <w:t>、NO</w:t>
      </w:r>
      <w:r>
        <w:rPr>
          <w:rFonts w:ascii="Times New Roman" w:hAnsi="Times New Roman" w:cs="Times New Roman"/>
          <w:vertAlign w:val="subscript"/>
        </w:rPr>
        <w:t>2</w:t>
      </w:r>
      <w:r>
        <w:rPr>
          <w:rFonts w:ascii="Times New Roman" w:hAnsi="Times New Roman" w:cs="Times New Roman"/>
        </w:rPr>
        <w:t>、PM</w:t>
      </w:r>
      <w:r>
        <w:rPr>
          <w:rFonts w:ascii="Times New Roman" w:hAnsi="Times New Roman" w:cs="Times New Roman"/>
          <w:vertAlign w:val="subscript"/>
        </w:rPr>
        <w:t>10</w:t>
      </w:r>
      <w:r>
        <w:rPr>
          <w:rFonts w:ascii="Times New Roman" w:hAnsi="Times New Roman" w:cs="Times New Roman"/>
        </w:rPr>
        <w:t>、PM</w:t>
      </w:r>
      <w:r>
        <w:rPr>
          <w:rFonts w:ascii="Times New Roman" w:hAnsi="Times New Roman" w:cs="Times New Roman"/>
          <w:vertAlign w:val="subscript"/>
        </w:rPr>
        <w:t>2.5</w:t>
      </w:r>
      <w:r>
        <w:rPr>
          <w:rFonts w:ascii="Times New Roman" w:hAnsi="Times New Roman" w:cs="Times New Roman"/>
        </w:rPr>
        <w:t>、CO和O</w:t>
      </w:r>
      <w:r>
        <w:rPr>
          <w:rFonts w:ascii="Times New Roman" w:hAnsi="Times New Roman" w:cs="Times New Roman"/>
          <w:vertAlign w:val="subscript"/>
        </w:rPr>
        <w:t>3</w:t>
      </w:r>
      <w:r>
        <w:rPr>
          <w:rFonts w:ascii="Times New Roman" w:hAnsi="Times New Roman" w:cs="Times New Roman"/>
        </w:rPr>
        <w:t>，六项基本污染物全部达标即为城市环境空气质量达标。基本污染物环境质量现状数据优先采用国家或地方生态环境主管部门发布的评价基准年环境质量公告或环境质量报告中的数据或结论。</w:t>
      </w:r>
    </w:p>
    <w:p>
      <w:pPr>
        <w:ind w:firstLine="480"/>
        <w:rPr>
          <w:rFonts w:ascii="Times New Roman" w:hAnsi="Times New Roman" w:cs="Times New Roman"/>
        </w:rPr>
      </w:pPr>
      <w:r>
        <w:rPr>
          <w:rFonts w:ascii="Times New Roman" w:hAnsi="Times New Roman" w:cs="Times New Roman"/>
        </w:rPr>
        <w:t>本次评价采用合肥市局网站公布的2021年环境空气质量数据统计，对区域达标情况进行判定，具体结果见下表：</w:t>
      </w:r>
    </w:p>
    <w:p>
      <w:pPr>
        <w:ind w:firstLine="422"/>
        <w:jc w:val="center"/>
        <w:rPr>
          <w:rFonts w:ascii="Times New Roman" w:hAnsi="Times New Roman" w:cs="Times New Roman"/>
          <w:b/>
          <w:sz w:val="21"/>
          <w:szCs w:val="21"/>
        </w:rPr>
      </w:pPr>
      <w:r>
        <w:rPr>
          <w:rFonts w:ascii="Times New Roman" w:hAnsi="Times New Roman" w:cs="Times New Roman"/>
          <w:b/>
          <w:sz w:val="21"/>
          <w:szCs w:val="21"/>
          <w:lang w:bidi="ar"/>
        </w:rPr>
        <w:t>表4.2-1  区域空气质量现状评价表</w:t>
      </w:r>
    </w:p>
    <w:tbl>
      <w:tblPr>
        <w:tblStyle w:val="62"/>
        <w:tblW w:w="9094" w:type="dxa"/>
        <w:jc w:val="center"/>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0" w:type="dxa"/>
          <w:bottom w:w="0" w:type="dxa"/>
          <w:right w:w="0" w:type="dxa"/>
        </w:tblCellMar>
      </w:tblPr>
      <w:tblGrid>
        <w:gridCol w:w="910"/>
        <w:gridCol w:w="3112"/>
        <w:gridCol w:w="1110"/>
        <w:gridCol w:w="1181"/>
        <w:gridCol w:w="898"/>
        <w:gridCol w:w="946"/>
        <w:gridCol w:w="937"/>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340" w:hRule="atLeast"/>
          <w:jc w:val="center"/>
        </w:trPr>
        <w:tc>
          <w:tcPr>
            <w:tcW w:w="910" w:type="dxa"/>
            <w:tcBorders>
              <w:top w:val="single" w:color="auto" w:sz="12"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污染物</w:t>
            </w:r>
          </w:p>
        </w:tc>
        <w:tc>
          <w:tcPr>
            <w:tcW w:w="3112" w:type="dxa"/>
            <w:tcBorders>
              <w:top w:val="single" w:color="auto" w:sz="12"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年评价指标</w:t>
            </w:r>
          </w:p>
        </w:tc>
        <w:tc>
          <w:tcPr>
            <w:tcW w:w="1110" w:type="dxa"/>
            <w:tcBorders>
              <w:top w:val="single" w:color="auto" w:sz="12"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现状浓度</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（μg/m3）</w:t>
            </w:r>
          </w:p>
        </w:tc>
        <w:tc>
          <w:tcPr>
            <w:tcW w:w="1181" w:type="dxa"/>
            <w:tcBorders>
              <w:top w:val="single" w:color="auto" w:sz="12"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标准值</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（μg/m3）</w:t>
            </w:r>
          </w:p>
        </w:tc>
        <w:tc>
          <w:tcPr>
            <w:tcW w:w="898" w:type="dxa"/>
            <w:tcBorders>
              <w:top w:val="single" w:color="auto" w:sz="12"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占标率</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946" w:type="dxa"/>
            <w:tcBorders>
              <w:top w:val="single" w:color="auto" w:sz="12"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超标倍数</w:t>
            </w:r>
          </w:p>
        </w:tc>
        <w:tc>
          <w:tcPr>
            <w:tcW w:w="937" w:type="dxa"/>
            <w:tcBorders>
              <w:top w:val="single" w:color="auto" w:sz="12" w:space="0"/>
              <w:left w:val="single" w:color="auto" w:sz="4" w:space="0"/>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达标情况</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340" w:hRule="atLeast"/>
          <w:jc w:val="center"/>
        </w:trPr>
        <w:tc>
          <w:tcPr>
            <w:tcW w:w="910"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SO</w:t>
            </w:r>
            <w:r>
              <w:rPr>
                <w:rFonts w:ascii="Times New Roman" w:hAnsi="Times New Roman" w:cs="Times New Roman"/>
                <w:color w:val="auto"/>
                <w:spacing w:val="-2"/>
                <w:kern w:val="0"/>
                <w:sz w:val="18"/>
                <w:szCs w:val="18"/>
                <w:vertAlign w:val="subscript"/>
              </w:rPr>
              <w:t>2</w:t>
            </w:r>
          </w:p>
        </w:tc>
        <w:tc>
          <w:tcPr>
            <w:tcW w:w="311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年均值</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w:t>
            </w:r>
          </w:p>
        </w:tc>
        <w:tc>
          <w:tcPr>
            <w:tcW w:w="1181"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60</w:t>
            </w:r>
          </w:p>
        </w:tc>
        <w:tc>
          <w:tcPr>
            <w:tcW w:w="898"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17 </w:t>
            </w:r>
          </w:p>
        </w:tc>
        <w:tc>
          <w:tcPr>
            <w:tcW w:w="946"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w:t>
            </w:r>
          </w:p>
        </w:tc>
        <w:tc>
          <w:tcPr>
            <w:tcW w:w="937" w:type="dxa"/>
            <w:tcBorders>
              <w:top w:val="single" w:color="auto" w:sz="4" w:space="0"/>
              <w:left w:val="single" w:color="auto" w:sz="4" w:space="0"/>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340" w:hRule="atLeast"/>
          <w:jc w:val="center"/>
        </w:trPr>
        <w:tc>
          <w:tcPr>
            <w:tcW w:w="910"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NO</w:t>
            </w:r>
            <w:r>
              <w:rPr>
                <w:rFonts w:ascii="Times New Roman" w:hAnsi="Times New Roman" w:cs="Times New Roman"/>
                <w:color w:val="auto"/>
                <w:spacing w:val="-2"/>
                <w:kern w:val="0"/>
                <w:sz w:val="18"/>
                <w:szCs w:val="18"/>
                <w:vertAlign w:val="subscript"/>
              </w:rPr>
              <w:t>2</w:t>
            </w:r>
          </w:p>
        </w:tc>
        <w:tc>
          <w:tcPr>
            <w:tcW w:w="311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年均值</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20</w:t>
            </w:r>
          </w:p>
        </w:tc>
        <w:tc>
          <w:tcPr>
            <w:tcW w:w="1181"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40</w:t>
            </w:r>
          </w:p>
        </w:tc>
        <w:tc>
          <w:tcPr>
            <w:tcW w:w="898"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50 </w:t>
            </w:r>
          </w:p>
        </w:tc>
        <w:tc>
          <w:tcPr>
            <w:tcW w:w="946"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w:t>
            </w:r>
          </w:p>
        </w:tc>
        <w:tc>
          <w:tcPr>
            <w:tcW w:w="937" w:type="dxa"/>
            <w:tcBorders>
              <w:top w:val="single" w:color="auto" w:sz="4" w:space="0"/>
              <w:left w:val="single" w:color="auto" w:sz="4" w:space="0"/>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340" w:hRule="atLeast"/>
          <w:jc w:val="center"/>
        </w:trPr>
        <w:tc>
          <w:tcPr>
            <w:tcW w:w="910"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PM</w:t>
            </w:r>
            <w:r>
              <w:rPr>
                <w:rFonts w:ascii="Times New Roman" w:hAnsi="Times New Roman" w:cs="Times New Roman"/>
                <w:color w:val="auto"/>
                <w:spacing w:val="-2"/>
                <w:kern w:val="0"/>
                <w:sz w:val="18"/>
                <w:szCs w:val="18"/>
                <w:vertAlign w:val="subscript"/>
              </w:rPr>
              <w:t>10</w:t>
            </w:r>
          </w:p>
        </w:tc>
        <w:tc>
          <w:tcPr>
            <w:tcW w:w="311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年均值</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60</w:t>
            </w:r>
          </w:p>
        </w:tc>
        <w:tc>
          <w:tcPr>
            <w:tcW w:w="1181"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70</w:t>
            </w:r>
          </w:p>
        </w:tc>
        <w:tc>
          <w:tcPr>
            <w:tcW w:w="898"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86 </w:t>
            </w:r>
          </w:p>
        </w:tc>
        <w:tc>
          <w:tcPr>
            <w:tcW w:w="946"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w:t>
            </w:r>
          </w:p>
        </w:tc>
        <w:tc>
          <w:tcPr>
            <w:tcW w:w="937" w:type="dxa"/>
            <w:tcBorders>
              <w:top w:val="single" w:color="auto" w:sz="4" w:space="0"/>
              <w:left w:val="single" w:color="auto" w:sz="4" w:space="0"/>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340" w:hRule="atLeast"/>
          <w:jc w:val="center"/>
        </w:trPr>
        <w:tc>
          <w:tcPr>
            <w:tcW w:w="910"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PM</w:t>
            </w:r>
            <w:r>
              <w:rPr>
                <w:rFonts w:ascii="Times New Roman" w:hAnsi="Times New Roman" w:cs="Times New Roman"/>
                <w:color w:val="auto"/>
                <w:spacing w:val="-2"/>
                <w:kern w:val="0"/>
                <w:sz w:val="18"/>
                <w:szCs w:val="18"/>
                <w:vertAlign w:val="subscript"/>
              </w:rPr>
              <w:t>2.5</w:t>
            </w:r>
          </w:p>
        </w:tc>
        <w:tc>
          <w:tcPr>
            <w:tcW w:w="311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年均值</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31</w:t>
            </w:r>
          </w:p>
        </w:tc>
        <w:tc>
          <w:tcPr>
            <w:tcW w:w="1181"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35</w:t>
            </w:r>
          </w:p>
        </w:tc>
        <w:tc>
          <w:tcPr>
            <w:tcW w:w="898"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89 </w:t>
            </w:r>
          </w:p>
        </w:tc>
        <w:tc>
          <w:tcPr>
            <w:tcW w:w="946"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w:t>
            </w:r>
          </w:p>
        </w:tc>
        <w:tc>
          <w:tcPr>
            <w:tcW w:w="937" w:type="dxa"/>
            <w:tcBorders>
              <w:top w:val="single" w:color="auto" w:sz="4" w:space="0"/>
              <w:left w:val="single" w:color="auto" w:sz="4" w:space="0"/>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340" w:hRule="atLeast"/>
          <w:jc w:val="center"/>
        </w:trPr>
        <w:tc>
          <w:tcPr>
            <w:tcW w:w="910" w:type="dxa"/>
            <w:tcBorders>
              <w:top w:val="single" w:color="auto" w:sz="4" w:space="0"/>
              <w:left w:val="nil"/>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O</w:t>
            </w:r>
            <w:r>
              <w:rPr>
                <w:rFonts w:ascii="Times New Roman" w:hAnsi="Times New Roman" w:cs="Times New Roman"/>
                <w:color w:val="auto"/>
                <w:spacing w:val="-2"/>
                <w:kern w:val="0"/>
                <w:sz w:val="18"/>
                <w:szCs w:val="18"/>
                <w:vertAlign w:val="subscript"/>
              </w:rPr>
              <w:t>3</w:t>
            </w:r>
          </w:p>
        </w:tc>
        <w:tc>
          <w:tcPr>
            <w:tcW w:w="311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日最大8小时滑动平均值第90百分位数</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88</w:t>
            </w:r>
          </w:p>
        </w:tc>
        <w:tc>
          <w:tcPr>
            <w:tcW w:w="1181"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160</w:t>
            </w:r>
          </w:p>
        </w:tc>
        <w:tc>
          <w:tcPr>
            <w:tcW w:w="898"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55 </w:t>
            </w:r>
          </w:p>
        </w:tc>
        <w:tc>
          <w:tcPr>
            <w:tcW w:w="946"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w:t>
            </w:r>
          </w:p>
        </w:tc>
        <w:tc>
          <w:tcPr>
            <w:tcW w:w="937" w:type="dxa"/>
            <w:tcBorders>
              <w:top w:val="single" w:color="auto" w:sz="4" w:space="0"/>
              <w:left w:val="single" w:color="auto" w:sz="4" w:space="0"/>
              <w:bottom w:val="single" w:color="auto" w:sz="4" w:space="0"/>
              <w:right w:val="nil"/>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340" w:hRule="atLeast"/>
          <w:jc w:val="center"/>
        </w:trPr>
        <w:tc>
          <w:tcPr>
            <w:tcW w:w="910" w:type="dxa"/>
            <w:tcBorders>
              <w:top w:val="single" w:color="auto" w:sz="4" w:space="0"/>
              <w:left w:val="nil"/>
              <w:bottom w:val="single" w:color="auto" w:sz="12"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CO</w:t>
            </w:r>
          </w:p>
        </w:tc>
        <w:tc>
          <w:tcPr>
            <w:tcW w:w="3112" w:type="dxa"/>
            <w:tcBorders>
              <w:top w:val="single" w:color="auto" w:sz="4" w:space="0"/>
              <w:left w:val="single" w:color="auto" w:sz="4" w:space="0"/>
              <w:bottom w:val="single" w:color="auto" w:sz="12"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24小时平均第95百分位数</w:t>
            </w:r>
          </w:p>
        </w:tc>
        <w:tc>
          <w:tcPr>
            <w:tcW w:w="1110" w:type="dxa"/>
            <w:tcBorders>
              <w:top w:val="single" w:color="auto" w:sz="4" w:space="0"/>
              <w:left w:val="single" w:color="auto" w:sz="4" w:space="0"/>
              <w:bottom w:val="single" w:color="auto" w:sz="12"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1368</w:t>
            </w:r>
          </w:p>
        </w:tc>
        <w:tc>
          <w:tcPr>
            <w:tcW w:w="1181" w:type="dxa"/>
            <w:tcBorders>
              <w:top w:val="single" w:color="auto" w:sz="4" w:space="0"/>
              <w:left w:val="single" w:color="auto" w:sz="4" w:space="0"/>
              <w:bottom w:val="single" w:color="auto" w:sz="12"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4000</w:t>
            </w:r>
          </w:p>
        </w:tc>
        <w:tc>
          <w:tcPr>
            <w:tcW w:w="898" w:type="dxa"/>
            <w:tcBorders>
              <w:top w:val="single" w:color="auto" w:sz="4" w:space="0"/>
              <w:left w:val="single" w:color="auto" w:sz="4" w:space="0"/>
              <w:bottom w:val="single" w:color="auto" w:sz="12"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34 </w:t>
            </w:r>
          </w:p>
        </w:tc>
        <w:tc>
          <w:tcPr>
            <w:tcW w:w="946" w:type="dxa"/>
            <w:tcBorders>
              <w:top w:val="single" w:color="auto" w:sz="4" w:space="0"/>
              <w:left w:val="single" w:color="auto" w:sz="4" w:space="0"/>
              <w:bottom w:val="single" w:color="auto" w:sz="12" w:space="0"/>
              <w:right w:val="single" w:color="auto" w:sz="4" w:space="0"/>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w:t>
            </w:r>
          </w:p>
        </w:tc>
        <w:tc>
          <w:tcPr>
            <w:tcW w:w="937" w:type="dxa"/>
            <w:tcBorders>
              <w:top w:val="single" w:color="auto" w:sz="4" w:space="0"/>
              <w:left w:val="single" w:color="auto" w:sz="4" w:space="0"/>
              <w:bottom w:val="single" w:color="auto" w:sz="12" w:space="0"/>
              <w:right w:val="nil"/>
            </w:tcBorders>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bl>
    <w:p>
      <w:pPr>
        <w:ind w:firstLine="480"/>
        <w:rPr>
          <w:rFonts w:ascii="Times New Roman" w:hAnsi="Times New Roman" w:cs="Times New Roman"/>
          <w:color w:val="auto"/>
          <w:kern w:val="0"/>
        </w:rPr>
      </w:pPr>
      <w:r>
        <w:rPr>
          <w:rFonts w:ascii="Times New Roman" w:hAnsi="Times New Roman" w:cs="Times New Roman"/>
          <w:color w:val="auto"/>
          <w:lang w:bidi="ar"/>
        </w:rPr>
        <w:t>根据合肥市局网站公布的2021年环境空气质量数据统计可知</w:t>
      </w:r>
      <w:r>
        <w:rPr>
          <w:rFonts w:ascii="Times New Roman" w:hAnsi="Times New Roman" w:cs="Times New Roman"/>
          <w:szCs w:val="24"/>
          <w:lang w:bidi="ar"/>
        </w:rPr>
        <w:t>，SO</w:t>
      </w:r>
      <w:r>
        <w:rPr>
          <w:rFonts w:ascii="Times New Roman" w:hAnsi="Times New Roman" w:cs="Times New Roman"/>
          <w:szCs w:val="24"/>
          <w:vertAlign w:val="subscript"/>
          <w:lang w:bidi="ar"/>
        </w:rPr>
        <w:t>2</w:t>
      </w:r>
      <w:r>
        <w:rPr>
          <w:rFonts w:ascii="Times New Roman" w:hAnsi="Times New Roman" w:cs="Times New Roman"/>
          <w:szCs w:val="24"/>
          <w:lang w:bidi="ar"/>
        </w:rPr>
        <w:t>、NO</w:t>
      </w:r>
      <w:r>
        <w:rPr>
          <w:rFonts w:ascii="Times New Roman" w:hAnsi="Times New Roman" w:cs="Times New Roman"/>
          <w:szCs w:val="24"/>
          <w:vertAlign w:val="subscript"/>
          <w:lang w:bidi="ar"/>
        </w:rPr>
        <w:t>2</w:t>
      </w:r>
      <w:r>
        <w:rPr>
          <w:rFonts w:ascii="Times New Roman" w:hAnsi="Times New Roman" w:cs="Times New Roman"/>
          <w:szCs w:val="24"/>
          <w:lang w:bidi="ar"/>
        </w:rPr>
        <w:t>、PM</w:t>
      </w:r>
      <w:r>
        <w:rPr>
          <w:rFonts w:ascii="Times New Roman" w:hAnsi="Times New Roman" w:cs="Times New Roman"/>
          <w:szCs w:val="24"/>
          <w:vertAlign w:val="subscript"/>
          <w:lang w:bidi="ar"/>
        </w:rPr>
        <w:t>10</w:t>
      </w:r>
      <w:r>
        <w:rPr>
          <w:rFonts w:ascii="Times New Roman" w:hAnsi="Times New Roman" w:cs="Times New Roman"/>
          <w:szCs w:val="24"/>
          <w:lang w:bidi="ar"/>
        </w:rPr>
        <w:t>、PM</w:t>
      </w:r>
      <w:r>
        <w:rPr>
          <w:rFonts w:ascii="Times New Roman" w:hAnsi="Times New Roman" w:cs="Times New Roman"/>
          <w:szCs w:val="24"/>
          <w:vertAlign w:val="subscript"/>
          <w:lang w:bidi="ar"/>
        </w:rPr>
        <w:t>2.5</w:t>
      </w:r>
      <w:r>
        <w:rPr>
          <w:rFonts w:ascii="Times New Roman" w:hAnsi="Times New Roman" w:cs="Times New Roman"/>
          <w:szCs w:val="24"/>
          <w:lang w:bidi="ar"/>
        </w:rPr>
        <w:t>年均浓度分别为10μg/m</w:t>
      </w:r>
      <w:r>
        <w:rPr>
          <w:rFonts w:ascii="Times New Roman" w:hAnsi="Times New Roman" w:cs="Times New Roman"/>
          <w:szCs w:val="24"/>
          <w:vertAlign w:val="superscript"/>
          <w:lang w:bidi="ar"/>
        </w:rPr>
        <w:t>3</w:t>
      </w:r>
      <w:r>
        <w:rPr>
          <w:rFonts w:ascii="Times New Roman" w:hAnsi="Times New Roman" w:cs="Times New Roman"/>
          <w:szCs w:val="24"/>
          <w:lang w:bidi="ar"/>
        </w:rPr>
        <w:t>、20μg/m</w:t>
      </w:r>
      <w:r>
        <w:rPr>
          <w:rFonts w:ascii="Times New Roman" w:hAnsi="Times New Roman" w:cs="Times New Roman"/>
          <w:szCs w:val="24"/>
          <w:vertAlign w:val="superscript"/>
          <w:lang w:bidi="ar"/>
        </w:rPr>
        <w:t>3</w:t>
      </w:r>
      <w:r>
        <w:rPr>
          <w:rFonts w:ascii="Times New Roman" w:hAnsi="Times New Roman" w:cs="Times New Roman"/>
          <w:szCs w:val="24"/>
          <w:lang w:bidi="ar"/>
        </w:rPr>
        <w:t>、60μg/m</w:t>
      </w:r>
      <w:r>
        <w:rPr>
          <w:rFonts w:ascii="Times New Roman" w:hAnsi="Times New Roman" w:cs="Times New Roman"/>
          <w:szCs w:val="24"/>
          <w:vertAlign w:val="superscript"/>
          <w:lang w:bidi="ar"/>
        </w:rPr>
        <w:t>3</w:t>
      </w:r>
      <w:r>
        <w:rPr>
          <w:rFonts w:ascii="Times New Roman" w:hAnsi="Times New Roman" w:cs="Times New Roman"/>
          <w:szCs w:val="24"/>
          <w:lang w:bidi="ar"/>
        </w:rPr>
        <w:t>、31μg/m</w:t>
      </w:r>
      <w:r>
        <w:rPr>
          <w:rFonts w:ascii="Times New Roman" w:hAnsi="Times New Roman" w:cs="Times New Roman"/>
          <w:szCs w:val="24"/>
          <w:vertAlign w:val="superscript"/>
          <w:lang w:bidi="ar"/>
        </w:rPr>
        <w:t>3</w:t>
      </w:r>
      <w:r>
        <w:rPr>
          <w:rFonts w:ascii="Times New Roman" w:hAnsi="Times New Roman" w:cs="Times New Roman"/>
          <w:szCs w:val="24"/>
          <w:lang w:bidi="ar"/>
        </w:rPr>
        <w:t>；CO日平均第95百分位数为1.368mg/m</w:t>
      </w:r>
      <w:r>
        <w:rPr>
          <w:rFonts w:ascii="Times New Roman" w:hAnsi="Times New Roman" w:cs="Times New Roman"/>
          <w:szCs w:val="24"/>
          <w:vertAlign w:val="superscript"/>
          <w:lang w:bidi="ar"/>
        </w:rPr>
        <w:t>3</w:t>
      </w:r>
      <w:r>
        <w:rPr>
          <w:rFonts w:ascii="Times New Roman" w:hAnsi="Times New Roman" w:cs="Times New Roman"/>
          <w:szCs w:val="24"/>
          <w:lang w:bidi="ar"/>
        </w:rPr>
        <w:t>，O</w:t>
      </w:r>
      <w:r>
        <w:rPr>
          <w:rFonts w:ascii="Times New Roman" w:hAnsi="Times New Roman" w:cs="Times New Roman"/>
          <w:szCs w:val="24"/>
          <w:vertAlign w:val="subscript"/>
          <w:lang w:bidi="ar"/>
        </w:rPr>
        <w:t>3</w:t>
      </w:r>
      <w:r>
        <w:rPr>
          <w:rFonts w:ascii="Times New Roman" w:hAnsi="Times New Roman" w:cs="Times New Roman"/>
          <w:szCs w:val="24"/>
          <w:lang w:bidi="ar"/>
        </w:rPr>
        <w:t>日最大8小时平均第90百分位数为88μg/m</w:t>
      </w:r>
      <w:r>
        <w:rPr>
          <w:rFonts w:ascii="Times New Roman" w:hAnsi="Times New Roman" w:cs="Times New Roman"/>
          <w:szCs w:val="24"/>
          <w:vertAlign w:val="superscript"/>
          <w:lang w:bidi="ar"/>
        </w:rPr>
        <w:t>3</w:t>
      </w:r>
      <w:r>
        <w:rPr>
          <w:rFonts w:ascii="Times New Roman" w:hAnsi="Times New Roman" w:cs="Times New Roman"/>
          <w:szCs w:val="24"/>
          <w:lang w:bidi="ar"/>
        </w:rPr>
        <w:t>，因此合肥市为达标区。</w:t>
      </w:r>
    </w:p>
    <w:p>
      <w:pPr>
        <w:ind w:firstLine="0" w:firstLineChars="0"/>
        <w:rPr>
          <w:rFonts w:ascii="Times New Roman" w:hAnsi="Times New Roman" w:eastAsia="黑体" w:cs="Times New Roman"/>
          <w:b/>
          <w:bCs/>
          <w:color w:val="auto"/>
        </w:rPr>
      </w:pPr>
      <w:r>
        <w:rPr>
          <w:rFonts w:ascii="Times New Roman" w:hAnsi="Times New Roman" w:eastAsia="黑体" w:cs="Times New Roman"/>
          <w:b/>
          <w:bCs/>
          <w:color w:val="auto"/>
        </w:rPr>
        <w:t>4.2.2评价区域环境质量现状</w:t>
      </w:r>
    </w:p>
    <w:p>
      <w:pPr>
        <w:ind w:firstLine="0" w:firstLineChars="0"/>
        <w:rPr>
          <w:rFonts w:ascii="Times New Roman" w:hAnsi="Times New Roman" w:eastAsia="黑体" w:cs="Times New Roman"/>
          <w:b/>
          <w:bCs/>
          <w:color w:val="auto"/>
          <w:spacing w:val="-2"/>
        </w:rPr>
      </w:pPr>
      <w:r>
        <w:rPr>
          <w:rFonts w:ascii="Times New Roman" w:hAnsi="Times New Roman" w:eastAsia="黑体" w:cs="Times New Roman"/>
          <w:b/>
          <w:bCs/>
          <w:color w:val="auto"/>
          <w:spacing w:val="-2"/>
        </w:rPr>
        <w:t>4.2.2.1大气环境质量现状监测</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本次评价对项目区及周边的环境保护目标进行了环境空气现状监测，监测因子为：SO</w:t>
      </w:r>
      <w:r>
        <w:rPr>
          <w:rFonts w:ascii="Times New Roman" w:hAnsi="Times New Roman" w:cs="Times New Roman"/>
          <w:color w:val="auto"/>
          <w:spacing w:val="-2"/>
          <w:kern w:val="0"/>
          <w:szCs w:val="20"/>
          <w:vertAlign w:val="subscript"/>
        </w:rPr>
        <w:t>2</w:t>
      </w:r>
      <w:r>
        <w:rPr>
          <w:rFonts w:ascii="Times New Roman" w:hAnsi="Times New Roman" w:cs="Times New Roman"/>
          <w:color w:val="auto"/>
          <w:spacing w:val="-2"/>
          <w:kern w:val="0"/>
          <w:szCs w:val="20"/>
        </w:rPr>
        <w:t>、氨、氯化氢及非甲烷总烃。</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本次评价委托监测单位于2021年2月22日到2月28日对项目区及南侧环境保护目标金庵村进行了环境空气质量现状监测</w:t>
      </w:r>
      <w:r>
        <w:rPr>
          <w:rFonts w:ascii="Times New Roman" w:hAnsi="Times New Roman" w:cs="Times New Roman"/>
          <w:color w:val="auto"/>
        </w:rPr>
        <w:t>。</w:t>
      </w:r>
    </w:p>
    <w:p>
      <w:pPr>
        <w:ind w:firstLine="422"/>
        <w:jc w:val="center"/>
        <w:rPr>
          <w:rFonts w:ascii="Times New Roman" w:hAnsi="Times New Roman" w:cs="Times New Roman"/>
          <w:b/>
          <w:color w:val="auto"/>
          <w:sz w:val="21"/>
        </w:rPr>
      </w:pPr>
      <w:r>
        <w:rPr>
          <w:rFonts w:ascii="Times New Roman" w:hAnsi="Times New Roman" w:cs="Times New Roman"/>
          <w:b/>
          <w:color w:val="auto"/>
          <w:sz w:val="21"/>
        </w:rPr>
        <w:t>表4.2-3  大气环境现状监测点位</w:t>
      </w:r>
    </w:p>
    <w:tbl>
      <w:tblPr>
        <w:tblStyle w:val="62"/>
        <w:tblW w:w="918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134"/>
        <w:gridCol w:w="709"/>
        <w:gridCol w:w="1842"/>
        <w:gridCol w:w="2835"/>
        <w:gridCol w:w="17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8" w:hRule="atLeast"/>
          <w:jc w:val="center"/>
        </w:trPr>
        <w:tc>
          <w:tcPr>
            <w:tcW w:w="959"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点位序号</w:t>
            </w:r>
          </w:p>
        </w:tc>
        <w:tc>
          <w:tcPr>
            <w:tcW w:w="113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点位名称</w:t>
            </w:r>
          </w:p>
        </w:tc>
        <w:tc>
          <w:tcPr>
            <w:tcW w:w="709"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方位</w:t>
            </w:r>
          </w:p>
        </w:tc>
        <w:tc>
          <w:tcPr>
            <w:tcW w:w="184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距离（m）</w:t>
            </w:r>
          </w:p>
        </w:tc>
        <w:tc>
          <w:tcPr>
            <w:tcW w:w="2835"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监测项目</w:t>
            </w:r>
          </w:p>
        </w:tc>
        <w:tc>
          <w:tcPr>
            <w:tcW w:w="170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环境功能区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8" w:hRule="atLeast"/>
          <w:jc w:val="center"/>
        </w:trPr>
        <w:tc>
          <w:tcPr>
            <w:tcW w:w="959"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G1</w:t>
            </w:r>
          </w:p>
        </w:tc>
        <w:tc>
          <w:tcPr>
            <w:tcW w:w="113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项目区</w:t>
            </w:r>
          </w:p>
        </w:tc>
        <w:tc>
          <w:tcPr>
            <w:tcW w:w="709"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84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2835"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SO</w:t>
            </w:r>
            <w:r>
              <w:rPr>
                <w:rFonts w:ascii="Times New Roman" w:hAnsi="Times New Roman" w:cs="Times New Roman"/>
                <w:color w:val="auto"/>
                <w:spacing w:val="-2"/>
                <w:kern w:val="0"/>
                <w:sz w:val="18"/>
                <w:szCs w:val="18"/>
                <w:vertAlign w:val="subscript"/>
              </w:rPr>
              <w:t>2</w:t>
            </w:r>
            <w:r>
              <w:rPr>
                <w:rFonts w:ascii="Times New Roman" w:hAnsi="Times New Roman" w:cs="Times New Roman"/>
                <w:color w:val="auto"/>
                <w:spacing w:val="-2"/>
                <w:kern w:val="0"/>
                <w:sz w:val="18"/>
                <w:szCs w:val="18"/>
              </w:rPr>
              <w:t>、氨、氯化氢及非甲烷总烃</w:t>
            </w:r>
          </w:p>
        </w:tc>
        <w:tc>
          <w:tcPr>
            <w:tcW w:w="1701"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二类区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8" w:hRule="atLeast"/>
          <w:jc w:val="center"/>
        </w:trPr>
        <w:tc>
          <w:tcPr>
            <w:tcW w:w="959"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G2</w:t>
            </w:r>
          </w:p>
        </w:tc>
        <w:tc>
          <w:tcPr>
            <w:tcW w:w="113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金庵村</w:t>
            </w:r>
          </w:p>
        </w:tc>
        <w:tc>
          <w:tcPr>
            <w:tcW w:w="709"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S</w:t>
            </w:r>
          </w:p>
        </w:tc>
        <w:tc>
          <w:tcPr>
            <w:tcW w:w="184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900</w:t>
            </w:r>
          </w:p>
        </w:tc>
        <w:tc>
          <w:tcPr>
            <w:tcW w:w="2835" w:type="dxa"/>
            <w:vMerge w:val="continue"/>
            <w:vAlign w:val="center"/>
          </w:tcPr>
          <w:p>
            <w:pPr>
              <w:ind w:firstLine="352"/>
              <w:rPr>
                <w:rFonts w:ascii="Times New Roman" w:hAnsi="Times New Roman" w:cs="Times New Roman"/>
                <w:color w:val="auto"/>
                <w:spacing w:val="-2"/>
                <w:kern w:val="0"/>
                <w:sz w:val="18"/>
                <w:szCs w:val="18"/>
              </w:rPr>
            </w:pPr>
          </w:p>
        </w:tc>
        <w:tc>
          <w:tcPr>
            <w:tcW w:w="1701" w:type="dxa"/>
            <w:vMerge w:val="continue"/>
            <w:vAlign w:val="center"/>
          </w:tcPr>
          <w:p>
            <w:pPr>
              <w:ind w:firstLine="352"/>
              <w:rPr>
                <w:rFonts w:ascii="Times New Roman" w:hAnsi="Times New Roman" w:cs="Times New Roman"/>
                <w:color w:val="auto"/>
                <w:spacing w:val="-2"/>
                <w:sz w:val="18"/>
                <w:szCs w:val="18"/>
              </w:rPr>
            </w:pPr>
          </w:p>
        </w:tc>
      </w:tr>
    </w:tbl>
    <w:p>
      <w:pPr>
        <w:ind w:firstLine="480"/>
        <w:rPr>
          <w:rFonts w:ascii="Times New Roman" w:hAnsi="Times New Roman" w:cs="Times New Roman"/>
          <w:b/>
          <w:bCs/>
          <w:color w:val="auto"/>
          <w:spacing w:val="-2"/>
          <w:kern w:val="0"/>
          <w:sz w:val="21"/>
          <w:szCs w:val="21"/>
        </w:rPr>
      </w:pPr>
      <w:r>
        <w:rPr>
          <w:rFonts w:ascii="Times New Roman" w:hAnsi="Times New Roman" w:cs="Times New Roman"/>
          <w:color w:val="auto"/>
        </w:rPr>
        <w:t xml:space="preserve"> </w:t>
      </w:r>
      <w:r>
        <w:drawing>
          <wp:anchor distT="0" distB="0" distL="114300" distR="114300" simplePos="0" relativeHeight="251720704" behindDoc="0" locked="0" layoutInCell="1" allowOverlap="1">
            <wp:simplePos x="0" y="0"/>
            <wp:positionH relativeFrom="column">
              <wp:posOffset>4900930</wp:posOffset>
            </wp:positionH>
            <wp:positionV relativeFrom="paragraph">
              <wp:posOffset>81280</wp:posOffset>
            </wp:positionV>
            <wp:extent cx="742315" cy="717550"/>
            <wp:effectExtent l="0" t="0" r="635" b="6350"/>
            <wp:wrapNone/>
            <wp:docPr id="1974" name="图片 197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74" name="图片 1974"/>
                    <pic:cNvPicPr>
                      <a:picLocks noChangeAspect="true"/>
                    </pic:cNvPicPr>
                  </pic:nvPicPr>
                  <pic:blipFill>
                    <a:blip r:embed="rId110" cstate="print">
                      <a:extLst>
                        <a:ext uri="{28A0092B-C50C-407E-A947-70E740481C1C}">
                          <a14:useLocalDpi xmlns:a14="http://schemas.microsoft.com/office/drawing/2010/main" val="false"/>
                        </a:ext>
                      </a:extLst>
                    </a:blip>
                    <a:stretch>
                      <a:fillRect/>
                    </a:stretch>
                  </pic:blipFill>
                  <pic:spPr>
                    <a:xfrm>
                      <a:off x="0" y="0"/>
                      <a:ext cx="744393" cy="719571"/>
                    </a:xfrm>
                    <a:prstGeom prst="rect">
                      <a:avLst/>
                    </a:prstGeom>
                  </pic:spPr>
                </pic:pic>
              </a:graphicData>
            </a:graphic>
          </wp:anchor>
        </w:drawing>
      </w:r>
      <w:r>
        <w:rPr>
          <w:rFonts w:ascii="Times New Roman" w:hAnsi="Times New Roman" w:cs="Times New Roman"/>
        </w:rPr>
        <w:drawing>
          <wp:inline distT="0" distB="0" distL="0" distR="0">
            <wp:extent cx="5720080" cy="4199890"/>
            <wp:effectExtent l="0" t="0" r="0" b="0"/>
            <wp:docPr id="65" name="图片 6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true" noChangeArrowheads="true"/>
                    </pic:cNvPicPr>
                  </pic:nvPicPr>
                  <pic:blipFill>
                    <a:blip r:embed="rId111"/>
                    <a:srcRect/>
                    <a:stretch>
                      <a:fillRect/>
                    </a:stretch>
                  </pic:blipFill>
                  <pic:spPr>
                    <a:xfrm>
                      <a:off x="0" y="0"/>
                      <a:ext cx="5720080" cy="4199890"/>
                    </a:xfrm>
                    <a:prstGeom prst="rect">
                      <a:avLst/>
                    </a:prstGeom>
                    <a:noFill/>
                    <a:ln>
                      <a:noFill/>
                    </a:ln>
                  </pic:spPr>
                </pic:pic>
              </a:graphicData>
            </a:graphic>
          </wp:inline>
        </w:drawing>
      </w:r>
    </w:p>
    <w:p>
      <w:pPr>
        <w:ind w:firstLine="414"/>
        <w:jc w:val="center"/>
        <w:rPr>
          <w:rFonts w:ascii="Times New Roman" w:hAnsi="Times New Roman" w:cs="Times New Roman"/>
          <w:b/>
          <w:color w:val="auto"/>
          <w:spacing w:val="-2"/>
          <w:kern w:val="0"/>
          <w:sz w:val="21"/>
          <w:szCs w:val="21"/>
        </w:rPr>
      </w:pPr>
      <w:r>
        <w:rPr>
          <w:rFonts w:ascii="Times New Roman" w:hAnsi="Times New Roman" w:cs="Times New Roman"/>
          <w:b/>
          <w:color w:val="auto"/>
          <w:spacing w:val="-2"/>
          <w:kern w:val="0"/>
          <w:sz w:val="21"/>
          <w:szCs w:val="21"/>
        </w:rPr>
        <w:t>图4.2-1   项目大气、地表水环境监测布点图</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（5）监测时间和频次：大气环境质量现状监测7天，小时浓度每天采样1次，每次不少于45分钟。</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（6）监测方法：大气环境质量监测项目、分析方法及依据见表4.2-4。</w:t>
      </w:r>
    </w:p>
    <w:p>
      <w:pPr>
        <w:ind w:firstLine="414"/>
        <w:jc w:val="center"/>
        <w:rPr>
          <w:rFonts w:ascii="Times New Roman" w:hAnsi="Times New Roman" w:cs="Times New Roman"/>
          <w:b/>
          <w:bCs/>
          <w:color w:val="auto"/>
          <w:spacing w:val="-2"/>
          <w:kern w:val="0"/>
          <w:sz w:val="21"/>
          <w:szCs w:val="21"/>
        </w:rPr>
      </w:pPr>
      <w:r>
        <w:rPr>
          <w:rFonts w:ascii="Times New Roman" w:hAnsi="Times New Roman" w:cs="Times New Roman"/>
          <w:b/>
          <w:bCs/>
          <w:color w:val="auto"/>
          <w:spacing w:val="-2"/>
          <w:kern w:val="0"/>
          <w:sz w:val="21"/>
          <w:szCs w:val="21"/>
        </w:rPr>
        <w:t>表4.2-4  大气环境质量监测项目、分析方法及依据</w:t>
      </w:r>
    </w:p>
    <w:tbl>
      <w:tblPr>
        <w:tblStyle w:val="62"/>
        <w:tblW w:w="90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74"/>
        <w:gridCol w:w="4312"/>
        <w:gridCol w:w="25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75" w:hRule="atLeast"/>
          <w:jc w:val="center"/>
        </w:trPr>
        <w:tc>
          <w:tcPr>
            <w:tcW w:w="217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监测项目</w:t>
            </w:r>
          </w:p>
        </w:tc>
        <w:tc>
          <w:tcPr>
            <w:tcW w:w="431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分析方法</w:t>
            </w:r>
          </w:p>
        </w:tc>
        <w:tc>
          <w:tcPr>
            <w:tcW w:w="2528"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7" w:hRule="atLeast"/>
          <w:jc w:val="center"/>
        </w:trPr>
        <w:tc>
          <w:tcPr>
            <w:tcW w:w="217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氨</w:t>
            </w:r>
          </w:p>
        </w:tc>
        <w:tc>
          <w:tcPr>
            <w:tcW w:w="431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环境空气和废气 氨的测定</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纳氏试剂分光光度法</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HJ 533-2009</w:t>
            </w:r>
          </w:p>
        </w:tc>
        <w:tc>
          <w:tcPr>
            <w:tcW w:w="2528"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0.01mg/m</w:t>
            </w:r>
            <w:r>
              <w:rPr>
                <w:rFonts w:ascii="Times New Roman" w:hAnsi="Times New Roman" w:cs="Times New Roman"/>
                <w:color w:val="auto"/>
                <w:spacing w:val="-2"/>
                <w:kern w:val="0"/>
                <w:sz w:val="18"/>
                <w:szCs w:val="18"/>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99" w:hRule="atLeast"/>
          <w:jc w:val="center"/>
        </w:trPr>
        <w:tc>
          <w:tcPr>
            <w:tcW w:w="217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二氧化硫</w:t>
            </w:r>
          </w:p>
        </w:tc>
        <w:tc>
          <w:tcPr>
            <w:tcW w:w="431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环境空气 二氧化硫的测定</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甲醛吸收-副玫瑰苯胺分光光度法</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HJ 482-2009</w:t>
            </w:r>
          </w:p>
        </w:tc>
        <w:tc>
          <w:tcPr>
            <w:tcW w:w="2528"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7mg/m</w:t>
            </w:r>
            <w:r>
              <w:rPr>
                <w:rFonts w:ascii="Times New Roman" w:hAnsi="Times New Roman" w:cs="Times New Roman"/>
                <w:color w:val="auto"/>
                <w:spacing w:val="-2"/>
                <w:kern w:val="0"/>
                <w:sz w:val="18"/>
                <w:szCs w:val="18"/>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63" w:hRule="atLeast"/>
          <w:jc w:val="center"/>
        </w:trPr>
        <w:tc>
          <w:tcPr>
            <w:tcW w:w="217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氯化氢</w:t>
            </w:r>
          </w:p>
        </w:tc>
        <w:tc>
          <w:tcPr>
            <w:tcW w:w="431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环境空气和废气 氯化氢的测定</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离子色谱法</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HJ549-2016</w:t>
            </w:r>
          </w:p>
        </w:tc>
        <w:tc>
          <w:tcPr>
            <w:tcW w:w="2528"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0.02mg/m</w:t>
            </w:r>
            <w:r>
              <w:rPr>
                <w:rFonts w:ascii="Times New Roman" w:hAnsi="Times New Roman" w:cs="Times New Roman"/>
                <w:color w:val="auto"/>
                <w:spacing w:val="-2"/>
                <w:kern w:val="0"/>
                <w:sz w:val="18"/>
                <w:szCs w:val="18"/>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99" w:hRule="atLeast"/>
          <w:jc w:val="center"/>
        </w:trPr>
        <w:tc>
          <w:tcPr>
            <w:tcW w:w="217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非甲烷总烃</w:t>
            </w:r>
          </w:p>
        </w:tc>
        <w:tc>
          <w:tcPr>
            <w:tcW w:w="431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环境空气 总烃、甲烷和非甲烷总烃的测定</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直接进样-气相色谱法</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HJ 604-2017</w:t>
            </w:r>
          </w:p>
        </w:tc>
        <w:tc>
          <w:tcPr>
            <w:tcW w:w="2528"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0.07mg/m</w:t>
            </w:r>
            <w:r>
              <w:rPr>
                <w:rFonts w:ascii="Times New Roman" w:hAnsi="Times New Roman" w:cs="Times New Roman"/>
                <w:color w:val="auto"/>
                <w:spacing w:val="-2"/>
                <w:kern w:val="0"/>
                <w:sz w:val="18"/>
                <w:szCs w:val="18"/>
                <w:vertAlign w:val="superscript"/>
              </w:rPr>
              <w:t>3</w:t>
            </w:r>
          </w:p>
        </w:tc>
      </w:tr>
    </w:tbl>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（7）监测结果：大气环境质量现状调查监测结果见表4.2-5。</w:t>
      </w:r>
    </w:p>
    <w:p>
      <w:pPr>
        <w:ind w:firstLine="414"/>
        <w:jc w:val="center"/>
        <w:rPr>
          <w:rFonts w:ascii="Times New Roman" w:hAnsi="Times New Roman" w:cs="Times New Roman"/>
          <w:b/>
          <w:color w:val="auto"/>
          <w:spacing w:val="-2"/>
          <w:kern w:val="0"/>
          <w:sz w:val="21"/>
          <w:szCs w:val="21"/>
          <w:vertAlign w:val="superscript"/>
        </w:rPr>
      </w:pPr>
      <w:r>
        <w:rPr>
          <w:rFonts w:ascii="Times New Roman" w:hAnsi="Times New Roman" w:cs="Times New Roman"/>
          <w:b/>
          <w:color w:val="auto"/>
          <w:spacing w:val="-2"/>
          <w:kern w:val="0"/>
          <w:sz w:val="21"/>
          <w:szCs w:val="21"/>
        </w:rPr>
        <w:t>表4.2-5  环境空气质量监测结果汇总表   单位</w:t>
      </w:r>
      <w:r>
        <w:rPr>
          <w:rFonts w:ascii="Times New Roman" w:hAnsi="Times New Roman" w:cs="Times New Roman"/>
          <w:b/>
          <w:bCs/>
          <w:color w:val="auto"/>
          <w:spacing w:val="-2"/>
          <w:kern w:val="0"/>
          <w:sz w:val="21"/>
          <w:szCs w:val="21"/>
        </w:rPr>
        <w:t>：m</w:t>
      </w:r>
      <w:r>
        <w:rPr>
          <w:rFonts w:ascii="Times New Roman" w:hAnsi="Times New Roman" w:cs="Times New Roman"/>
          <w:b/>
          <w:color w:val="auto"/>
          <w:spacing w:val="-2"/>
          <w:kern w:val="0"/>
          <w:sz w:val="21"/>
          <w:szCs w:val="21"/>
        </w:rPr>
        <w:t>g/m</w:t>
      </w:r>
      <w:r>
        <w:rPr>
          <w:rFonts w:ascii="Times New Roman" w:hAnsi="Times New Roman" w:cs="Times New Roman"/>
          <w:b/>
          <w:color w:val="auto"/>
          <w:spacing w:val="-2"/>
          <w:kern w:val="0"/>
          <w:sz w:val="21"/>
          <w:szCs w:val="21"/>
          <w:vertAlign w:val="superscript"/>
        </w:rPr>
        <w:t>3</w:t>
      </w:r>
    </w:p>
    <w:tbl>
      <w:tblPr>
        <w:tblStyle w:val="62"/>
        <w:tblW w:w="912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37"/>
        <w:gridCol w:w="1217"/>
        <w:gridCol w:w="992"/>
        <w:gridCol w:w="850"/>
        <w:gridCol w:w="993"/>
        <w:gridCol w:w="884"/>
        <w:gridCol w:w="813"/>
        <w:gridCol w:w="813"/>
        <w:gridCol w:w="813"/>
        <w:gridCol w:w="81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82" w:hRule="atLeast"/>
          <w:jc w:val="center"/>
        </w:trPr>
        <w:tc>
          <w:tcPr>
            <w:tcW w:w="937"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采样日期</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监测点位</w:t>
            </w:r>
          </w:p>
        </w:tc>
        <w:tc>
          <w:tcPr>
            <w:tcW w:w="1217"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污染物名称</w:t>
            </w:r>
          </w:p>
        </w:tc>
        <w:tc>
          <w:tcPr>
            <w:tcW w:w="99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采样时间</w:t>
            </w:r>
          </w:p>
        </w:tc>
        <w:tc>
          <w:tcPr>
            <w:tcW w:w="85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2.22</w:t>
            </w:r>
          </w:p>
        </w:tc>
        <w:tc>
          <w:tcPr>
            <w:tcW w:w="99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2.23</w:t>
            </w:r>
          </w:p>
        </w:tc>
        <w:tc>
          <w:tcPr>
            <w:tcW w:w="88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2.24</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2.25</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2.26</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2.27</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937"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G1</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码头区</w:t>
            </w:r>
          </w:p>
        </w:tc>
        <w:tc>
          <w:tcPr>
            <w:tcW w:w="1217"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氨</w:t>
            </w:r>
          </w:p>
        </w:tc>
        <w:tc>
          <w:tcPr>
            <w:tcW w:w="99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小时值</w:t>
            </w:r>
          </w:p>
        </w:tc>
        <w:tc>
          <w:tcPr>
            <w:tcW w:w="85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0.07</w:t>
            </w:r>
          </w:p>
        </w:tc>
        <w:tc>
          <w:tcPr>
            <w:tcW w:w="99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0.06</w:t>
            </w:r>
          </w:p>
        </w:tc>
        <w:tc>
          <w:tcPr>
            <w:tcW w:w="88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0.09</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0.05</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0.04</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0.06</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937"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217"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二氧化硫</w:t>
            </w:r>
          </w:p>
        </w:tc>
        <w:tc>
          <w:tcPr>
            <w:tcW w:w="99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小时值</w:t>
            </w:r>
          </w:p>
        </w:tc>
        <w:tc>
          <w:tcPr>
            <w:tcW w:w="85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w:t>
            </w:r>
          </w:p>
        </w:tc>
        <w:tc>
          <w:tcPr>
            <w:tcW w:w="99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21</w:t>
            </w:r>
          </w:p>
        </w:tc>
        <w:tc>
          <w:tcPr>
            <w:tcW w:w="88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14</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13</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17</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937"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217"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氯化氢</w:t>
            </w:r>
          </w:p>
        </w:tc>
        <w:tc>
          <w:tcPr>
            <w:tcW w:w="99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小时值</w:t>
            </w:r>
          </w:p>
        </w:tc>
        <w:tc>
          <w:tcPr>
            <w:tcW w:w="85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99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88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937"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217"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非甲烷总烃</w:t>
            </w:r>
          </w:p>
        </w:tc>
        <w:tc>
          <w:tcPr>
            <w:tcW w:w="99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小时值</w:t>
            </w:r>
          </w:p>
        </w:tc>
        <w:tc>
          <w:tcPr>
            <w:tcW w:w="85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0.45</w:t>
            </w:r>
          </w:p>
        </w:tc>
        <w:tc>
          <w:tcPr>
            <w:tcW w:w="99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0.33</w:t>
            </w:r>
          </w:p>
        </w:tc>
        <w:tc>
          <w:tcPr>
            <w:tcW w:w="88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0.41</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0.37</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0.29</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0.33</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937"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G2</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金庵村</w:t>
            </w:r>
          </w:p>
        </w:tc>
        <w:tc>
          <w:tcPr>
            <w:tcW w:w="1217"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氨</w:t>
            </w:r>
          </w:p>
        </w:tc>
        <w:tc>
          <w:tcPr>
            <w:tcW w:w="99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小时值</w:t>
            </w:r>
          </w:p>
        </w:tc>
        <w:tc>
          <w:tcPr>
            <w:tcW w:w="85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0.06</w:t>
            </w:r>
          </w:p>
        </w:tc>
        <w:tc>
          <w:tcPr>
            <w:tcW w:w="99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0.05</w:t>
            </w:r>
          </w:p>
        </w:tc>
        <w:tc>
          <w:tcPr>
            <w:tcW w:w="88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0.07</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0.07</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0.05</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0.06</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937"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217"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二氧化硫</w:t>
            </w:r>
          </w:p>
        </w:tc>
        <w:tc>
          <w:tcPr>
            <w:tcW w:w="99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小时值</w:t>
            </w:r>
          </w:p>
        </w:tc>
        <w:tc>
          <w:tcPr>
            <w:tcW w:w="85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16</w:t>
            </w:r>
          </w:p>
        </w:tc>
        <w:tc>
          <w:tcPr>
            <w:tcW w:w="99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18</w:t>
            </w:r>
          </w:p>
        </w:tc>
        <w:tc>
          <w:tcPr>
            <w:tcW w:w="88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16</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14</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937"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217"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氯化氢</w:t>
            </w:r>
          </w:p>
        </w:tc>
        <w:tc>
          <w:tcPr>
            <w:tcW w:w="99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小时值</w:t>
            </w:r>
          </w:p>
        </w:tc>
        <w:tc>
          <w:tcPr>
            <w:tcW w:w="85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99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88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937"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217"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非甲烷总烃</w:t>
            </w:r>
          </w:p>
        </w:tc>
        <w:tc>
          <w:tcPr>
            <w:tcW w:w="992"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小时值</w:t>
            </w:r>
          </w:p>
        </w:tc>
        <w:tc>
          <w:tcPr>
            <w:tcW w:w="85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0.39</w:t>
            </w:r>
          </w:p>
        </w:tc>
        <w:tc>
          <w:tcPr>
            <w:tcW w:w="99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0.43</w:t>
            </w:r>
          </w:p>
        </w:tc>
        <w:tc>
          <w:tcPr>
            <w:tcW w:w="884"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0.35</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0.39</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0.28</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0.31</w:t>
            </w:r>
          </w:p>
        </w:tc>
        <w:tc>
          <w:tcPr>
            <w:tcW w:w="81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0.40</w:t>
            </w:r>
          </w:p>
        </w:tc>
      </w:tr>
    </w:tbl>
    <w:p>
      <w:pPr>
        <w:ind w:firstLine="0" w:firstLineChars="0"/>
        <w:rPr>
          <w:rFonts w:ascii="Times New Roman" w:hAnsi="Times New Roman" w:eastAsia="黑体" w:cs="Times New Roman"/>
          <w:b/>
          <w:bCs/>
          <w:color w:val="auto"/>
          <w:spacing w:val="-2"/>
        </w:rPr>
      </w:pPr>
      <w:r>
        <w:rPr>
          <w:rFonts w:ascii="Times New Roman" w:hAnsi="Times New Roman" w:eastAsia="黑体" w:cs="Times New Roman"/>
          <w:b/>
          <w:bCs/>
          <w:color w:val="auto"/>
          <w:spacing w:val="-2"/>
        </w:rPr>
        <w:t>4.2.3.2大气环境质量现状评价</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（1）评价方法</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采用污染物最大浓度占标率法对环境空气质量现状监测结果进行统计分析，即以列表的方式给出各监测点大气污染物的不同取值时间的浓度变化范围，并计算各取值时间最大浓度值占相应标准限值的百分比和超标率，并评价达标情况。</w:t>
      </w:r>
    </w:p>
    <w:p>
      <w:pPr>
        <w:ind w:firstLine="480"/>
        <w:rPr>
          <w:rFonts w:ascii="Times New Roman" w:hAnsi="Times New Roman" w:cs="Times New Roman"/>
          <w:color w:val="auto"/>
          <w:kern w:val="0"/>
          <w:szCs w:val="20"/>
        </w:rPr>
      </w:pPr>
      <w:r>
        <w:rPr>
          <w:rFonts w:ascii="Times New Roman" w:hAnsi="Times New Roman" w:cs="Times New Roman"/>
          <w:color w:val="auto"/>
          <w:kern w:val="0"/>
          <w:szCs w:val="20"/>
        </w:rPr>
        <w:object>
          <v:shape id="_x0000_i1038" o:spt="75" type="#_x0000_t75" style="height:33.75pt;width:64.5pt;" o:ole="t" filled="f" o:preferrelative="t" stroked="f" coordsize="21600,21600">
            <v:path/>
            <v:fill on="f" focussize="0,0"/>
            <v:stroke on="f" joinstyle="miter"/>
            <v:imagedata r:id="rId113" o:title=""/>
            <o:lock v:ext="edit" aspectratio="t"/>
            <w10:wrap type="none"/>
            <w10:anchorlock/>
          </v:shape>
          <o:OLEObject Type="Embed" ProgID="Equation.3" ShapeID="_x0000_i1038" DrawAspect="Content" ObjectID="_1468075738" r:id="rId112">
            <o:LockedField>false</o:LockedField>
          </o:OLEObject>
        </w:object>
      </w:r>
    </w:p>
    <w:p>
      <w:pPr>
        <w:ind w:firstLine="480"/>
        <w:rPr>
          <w:rFonts w:ascii="Times New Roman" w:hAnsi="Times New Roman" w:cs="Times New Roman"/>
          <w:color w:val="auto"/>
          <w:kern w:val="0"/>
          <w:szCs w:val="20"/>
        </w:rPr>
      </w:pPr>
      <w:r>
        <w:rPr>
          <w:rFonts w:ascii="Times New Roman" w:hAnsi="Times New Roman" w:cs="Times New Roman"/>
          <w:color w:val="auto"/>
          <w:kern w:val="0"/>
          <w:szCs w:val="20"/>
        </w:rPr>
        <w:t xml:space="preserve"> 式中：</w:t>
      </w:r>
      <w:r>
        <w:rPr>
          <w:rFonts w:ascii="Times New Roman" w:hAnsi="Times New Roman" w:cs="Times New Roman"/>
          <w:color w:val="auto"/>
          <w:kern w:val="0"/>
          <w:szCs w:val="20"/>
        </w:rPr>
        <w:tab/>
      </w:r>
      <w:r>
        <w:rPr>
          <w:rFonts w:ascii="Times New Roman" w:hAnsi="Times New Roman" w:cs="Times New Roman"/>
          <w:color w:val="auto"/>
          <w:kern w:val="0"/>
          <w:szCs w:val="20"/>
        </w:rPr>
        <w:object>
          <v:shape id="_x0000_i1039" o:spt="75" type="#_x0000_t75" style="height:19.5pt;width:12.75pt;" o:ole="t" filled="f" o:preferrelative="t" stroked="f" coordsize="21600,21600">
            <v:path/>
            <v:fill on="f" focussize="0,0"/>
            <v:stroke on="f" joinstyle="miter"/>
            <v:imagedata r:id="rId115" o:title=""/>
            <o:lock v:ext="edit" aspectratio="t"/>
            <w10:wrap type="none"/>
            <w10:anchorlock/>
          </v:shape>
          <o:OLEObject Type="Embed" ProgID="Equation.3" ShapeID="_x0000_i1039" DrawAspect="Content" ObjectID="_1468075739" r:id="rId114">
            <o:LockedField>false</o:LockedField>
          </o:OLEObject>
        </w:object>
      </w:r>
      <w:r>
        <w:rPr>
          <w:rFonts w:ascii="Times New Roman" w:hAnsi="Times New Roman" w:cs="Times New Roman"/>
          <w:color w:val="auto"/>
          <w:kern w:val="0"/>
          <w:szCs w:val="20"/>
        </w:rPr>
        <w:tab/>
      </w:r>
      <w:r>
        <w:rPr>
          <w:rFonts w:ascii="Times New Roman" w:hAnsi="Times New Roman" w:cs="Times New Roman"/>
          <w:color w:val="auto"/>
          <w:kern w:val="0"/>
          <w:szCs w:val="20"/>
        </w:rPr>
        <w:t>——i指标j测点指数；</w:t>
      </w:r>
    </w:p>
    <w:p>
      <w:pPr>
        <w:ind w:firstLine="480"/>
        <w:rPr>
          <w:rFonts w:ascii="Times New Roman" w:hAnsi="Times New Roman" w:cs="Times New Roman"/>
          <w:color w:val="auto"/>
          <w:kern w:val="0"/>
          <w:szCs w:val="20"/>
        </w:rPr>
      </w:pPr>
      <w:r>
        <w:rPr>
          <w:rFonts w:ascii="Times New Roman" w:hAnsi="Times New Roman" w:cs="Times New Roman"/>
          <w:color w:val="auto"/>
          <w:kern w:val="0"/>
          <w:szCs w:val="20"/>
        </w:rPr>
        <w:tab/>
      </w:r>
      <w:r>
        <w:rPr>
          <w:rFonts w:ascii="Times New Roman" w:hAnsi="Times New Roman" w:cs="Times New Roman"/>
          <w:color w:val="auto"/>
          <w:kern w:val="0"/>
          <w:szCs w:val="20"/>
        </w:rPr>
        <w:tab/>
      </w:r>
      <w:r>
        <w:rPr>
          <w:rFonts w:ascii="Times New Roman" w:hAnsi="Times New Roman" w:cs="Times New Roman"/>
          <w:color w:val="auto"/>
          <w:kern w:val="0"/>
          <w:szCs w:val="20"/>
        </w:rPr>
        <w:tab/>
      </w:r>
      <w:r>
        <w:rPr>
          <w:rFonts w:ascii="Times New Roman" w:hAnsi="Times New Roman" w:cs="Times New Roman"/>
          <w:color w:val="auto"/>
          <w:kern w:val="0"/>
          <w:szCs w:val="20"/>
        </w:rPr>
        <w:object>
          <v:shape id="_x0000_i1040" o:spt="75" type="#_x0000_t75" style="height:19.5pt;width:15pt;" o:ole="t" filled="f" o:preferrelative="t" stroked="f" coordsize="21600,21600">
            <v:path/>
            <v:fill on="f" focussize="0,0"/>
            <v:stroke on="f" joinstyle="miter"/>
            <v:imagedata r:id="rId117" o:title=""/>
            <o:lock v:ext="edit" aspectratio="t"/>
            <w10:wrap type="none"/>
            <w10:anchorlock/>
          </v:shape>
          <o:OLEObject Type="Embed" ProgID="Equation.3" ShapeID="_x0000_i1040" DrawAspect="Content" ObjectID="_1468075740" r:id="rId116">
            <o:LockedField>false</o:LockedField>
          </o:OLEObject>
        </w:object>
      </w:r>
      <w:r>
        <w:rPr>
          <w:rFonts w:ascii="Times New Roman" w:hAnsi="Times New Roman" w:cs="Times New Roman"/>
          <w:color w:val="auto"/>
          <w:kern w:val="0"/>
          <w:szCs w:val="20"/>
        </w:rPr>
        <w:t xml:space="preserve"> ——i指标j测点监测值（mg/m</w:t>
      </w:r>
      <w:r>
        <w:rPr>
          <w:rFonts w:ascii="Times New Roman" w:hAnsi="Times New Roman" w:cs="Times New Roman"/>
          <w:color w:val="auto"/>
          <w:kern w:val="0"/>
          <w:szCs w:val="20"/>
          <w:vertAlign w:val="superscript"/>
        </w:rPr>
        <w:t>3</w:t>
      </w:r>
      <w:r>
        <w:rPr>
          <w:rFonts w:ascii="Times New Roman" w:hAnsi="Times New Roman" w:cs="Times New Roman"/>
          <w:color w:val="auto"/>
          <w:kern w:val="0"/>
          <w:szCs w:val="20"/>
        </w:rPr>
        <w:t>）；</w:t>
      </w:r>
    </w:p>
    <w:p>
      <w:pPr>
        <w:ind w:firstLine="480"/>
        <w:rPr>
          <w:rFonts w:ascii="Times New Roman" w:hAnsi="Times New Roman" w:cs="Times New Roman"/>
          <w:color w:val="auto"/>
          <w:kern w:val="0"/>
          <w:szCs w:val="20"/>
        </w:rPr>
      </w:pPr>
      <w:r>
        <w:rPr>
          <w:rFonts w:ascii="Times New Roman" w:hAnsi="Times New Roman" w:cs="Times New Roman"/>
          <w:color w:val="auto"/>
          <w:kern w:val="0"/>
          <w:szCs w:val="20"/>
        </w:rPr>
        <w:tab/>
      </w:r>
      <w:r>
        <w:rPr>
          <w:rFonts w:ascii="Times New Roman" w:hAnsi="Times New Roman" w:cs="Times New Roman"/>
          <w:color w:val="auto"/>
          <w:kern w:val="0"/>
          <w:szCs w:val="20"/>
        </w:rPr>
        <w:tab/>
      </w:r>
      <w:r>
        <w:rPr>
          <w:rFonts w:ascii="Times New Roman" w:hAnsi="Times New Roman" w:cs="Times New Roman"/>
          <w:color w:val="auto"/>
          <w:kern w:val="0"/>
          <w:szCs w:val="20"/>
        </w:rPr>
        <w:tab/>
      </w:r>
      <w:r>
        <w:rPr>
          <w:rFonts w:ascii="Times New Roman" w:hAnsi="Times New Roman" w:cs="Times New Roman"/>
          <w:color w:val="auto"/>
          <w:kern w:val="0"/>
          <w:szCs w:val="20"/>
        </w:rPr>
        <w:object>
          <v:shape id="_x0000_i1041" o:spt="75" type="#_x0000_t75" style="height:19.5pt;width:19.5pt;" o:ole="t" filled="f" o:preferrelative="t" stroked="f" coordsize="21600,21600">
            <v:path/>
            <v:fill on="f" focussize="0,0"/>
            <v:stroke on="f" joinstyle="miter"/>
            <v:imagedata r:id="rId119" o:title=""/>
            <o:lock v:ext="edit" aspectratio="t"/>
            <w10:wrap type="none"/>
            <w10:anchorlock/>
          </v:shape>
          <o:OLEObject Type="Embed" ProgID="Equation.3" ShapeID="_x0000_i1041" DrawAspect="Content" ObjectID="_1468075741" r:id="rId118">
            <o:LockedField>false</o:LockedField>
          </o:OLEObject>
        </w:object>
      </w:r>
      <w:r>
        <w:rPr>
          <w:rFonts w:ascii="Times New Roman" w:hAnsi="Times New Roman" w:cs="Times New Roman"/>
          <w:color w:val="auto"/>
          <w:kern w:val="0"/>
          <w:szCs w:val="20"/>
        </w:rPr>
        <w:tab/>
      </w:r>
      <w:r>
        <w:rPr>
          <w:rFonts w:ascii="Times New Roman" w:hAnsi="Times New Roman" w:cs="Times New Roman"/>
          <w:color w:val="auto"/>
          <w:kern w:val="0"/>
          <w:szCs w:val="20"/>
        </w:rPr>
        <w:t>——i指标二级标准值（mg/m</w:t>
      </w:r>
      <w:r>
        <w:rPr>
          <w:rFonts w:ascii="Times New Roman" w:hAnsi="Times New Roman" w:cs="Times New Roman"/>
          <w:color w:val="auto"/>
          <w:kern w:val="0"/>
          <w:szCs w:val="20"/>
          <w:vertAlign w:val="superscript"/>
        </w:rPr>
        <w:t>3</w:t>
      </w:r>
      <w:r>
        <w:rPr>
          <w:rFonts w:ascii="Times New Roman" w:hAnsi="Times New Roman" w:cs="Times New Roman"/>
          <w:color w:val="auto"/>
          <w:kern w:val="0"/>
          <w:szCs w:val="20"/>
        </w:rPr>
        <w:t>）。</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（2）评价结果</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根据本次评价委托监测结果及引用的监测数据。按照上述评价方法，本次区域大气环境质量现状评价结果汇总见表4.2-6。</w:t>
      </w:r>
    </w:p>
    <w:p>
      <w:pPr>
        <w:ind w:firstLine="414"/>
        <w:jc w:val="center"/>
        <w:rPr>
          <w:rFonts w:ascii="Times New Roman" w:hAnsi="Times New Roman" w:cs="Times New Roman"/>
          <w:b/>
          <w:color w:val="auto"/>
          <w:spacing w:val="-2"/>
          <w:kern w:val="0"/>
          <w:sz w:val="21"/>
          <w:szCs w:val="21"/>
        </w:rPr>
      </w:pPr>
      <w:r>
        <w:rPr>
          <w:rFonts w:ascii="Times New Roman" w:hAnsi="Times New Roman" w:cs="Times New Roman"/>
          <w:b/>
          <w:color w:val="auto"/>
          <w:spacing w:val="-2"/>
          <w:kern w:val="0"/>
          <w:sz w:val="21"/>
          <w:szCs w:val="21"/>
        </w:rPr>
        <w:t>表4.2-6   大气环境质量现状评价结果一览表</w:t>
      </w:r>
    </w:p>
    <w:tbl>
      <w:tblPr>
        <w:tblStyle w:val="62"/>
        <w:tblW w:w="915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8"/>
        <w:gridCol w:w="1303"/>
        <w:gridCol w:w="1491"/>
        <w:gridCol w:w="1328"/>
        <w:gridCol w:w="1276"/>
        <w:gridCol w:w="1216"/>
        <w:gridCol w:w="900"/>
        <w:gridCol w:w="82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blHeader/>
          <w:jc w:val="center"/>
        </w:trPr>
        <w:tc>
          <w:tcPr>
            <w:tcW w:w="818"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监测点位</w:t>
            </w:r>
          </w:p>
        </w:tc>
        <w:tc>
          <w:tcPr>
            <w:tcW w:w="1303"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污染物</w:t>
            </w:r>
          </w:p>
        </w:tc>
        <w:tc>
          <w:tcPr>
            <w:tcW w:w="1491"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平均时间</w:t>
            </w:r>
          </w:p>
        </w:tc>
        <w:tc>
          <w:tcPr>
            <w:tcW w:w="1328"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评价标准</w:t>
            </w:r>
          </w:p>
        </w:tc>
        <w:tc>
          <w:tcPr>
            <w:tcW w:w="1276"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浓度范围（mg/m</w:t>
            </w:r>
            <w:r>
              <w:rPr>
                <w:rFonts w:ascii="Times New Roman" w:hAnsi="Times New Roman" w:cs="Times New Roman"/>
                <w:color w:val="auto"/>
                <w:spacing w:val="-2"/>
                <w:kern w:val="0"/>
                <w:sz w:val="18"/>
                <w:szCs w:val="18"/>
                <w:vertAlign w:val="superscript"/>
              </w:rPr>
              <w:t>3</w:t>
            </w:r>
            <w:r>
              <w:rPr>
                <w:rFonts w:ascii="Times New Roman" w:hAnsi="Times New Roman" w:cs="Times New Roman"/>
                <w:color w:val="auto"/>
                <w:spacing w:val="-2"/>
                <w:kern w:val="0"/>
                <w:sz w:val="18"/>
                <w:szCs w:val="18"/>
              </w:rPr>
              <w:t>）</w:t>
            </w:r>
          </w:p>
        </w:tc>
        <w:tc>
          <w:tcPr>
            <w:tcW w:w="1216"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最大浓度占标率</w:t>
            </w:r>
          </w:p>
        </w:tc>
        <w:tc>
          <w:tcPr>
            <w:tcW w:w="900"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超标率%</w:t>
            </w:r>
          </w:p>
        </w:tc>
        <w:tc>
          <w:tcPr>
            <w:tcW w:w="821"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blHeader/>
          <w:jc w:val="center"/>
        </w:trPr>
        <w:tc>
          <w:tcPr>
            <w:tcW w:w="818"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303"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491"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328"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276"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216"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900"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821"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7" w:hRule="atLeast"/>
          <w:tblHeader/>
          <w:jc w:val="center"/>
        </w:trPr>
        <w:tc>
          <w:tcPr>
            <w:tcW w:w="818"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303"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491"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328"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276"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216"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900"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821"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1" w:hRule="atLeast"/>
          <w:jc w:val="center"/>
        </w:trPr>
        <w:tc>
          <w:tcPr>
            <w:tcW w:w="818"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G1</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码头区</w:t>
            </w:r>
          </w:p>
        </w:tc>
        <w:tc>
          <w:tcPr>
            <w:tcW w:w="130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氨</w:t>
            </w:r>
          </w:p>
        </w:tc>
        <w:tc>
          <w:tcPr>
            <w:tcW w:w="149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小时平均浓度</w:t>
            </w:r>
          </w:p>
        </w:tc>
        <w:tc>
          <w:tcPr>
            <w:tcW w:w="1328"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0.2mg/m</w:t>
            </w:r>
            <w:r>
              <w:rPr>
                <w:rFonts w:ascii="Times New Roman" w:hAnsi="Times New Roman" w:cs="Times New Roman"/>
                <w:color w:val="auto"/>
                <w:spacing w:val="-2"/>
                <w:kern w:val="0"/>
                <w:sz w:val="18"/>
                <w:szCs w:val="18"/>
                <w:vertAlign w:val="superscript"/>
              </w:rPr>
              <w:t>3</w:t>
            </w:r>
          </w:p>
        </w:tc>
        <w:tc>
          <w:tcPr>
            <w:tcW w:w="127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&lt;0.09</w:t>
            </w:r>
          </w:p>
        </w:tc>
        <w:tc>
          <w:tcPr>
            <w:tcW w:w="121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45%</w:t>
            </w:r>
          </w:p>
        </w:tc>
        <w:tc>
          <w:tcPr>
            <w:tcW w:w="90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82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1" w:hRule="atLeast"/>
          <w:jc w:val="center"/>
        </w:trPr>
        <w:tc>
          <w:tcPr>
            <w:tcW w:w="818"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30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二氧化硫</w:t>
            </w:r>
          </w:p>
        </w:tc>
        <w:tc>
          <w:tcPr>
            <w:tcW w:w="149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小时平均浓度</w:t>
            </w:r>
          </w:p>
        </w:tc>
        <w:tc>
          <w:tcPr>
            <w:tcW w:w="1328"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0.5mg/m</w:t>
            </w:r>
            <w:r>
              <w:rPr>
                <w:rFonts w:ascii="Times New Roman" w:hAnsi="Times New Roman" w:cs="Times New Roman"/>
                <w:color w:val="auto"/>
                <w:spacing w:val="-2"/>
                <w:kern w:val="0"/>
                <w:sz w:val="18"/>
                <w:szCs w:val="18"/>
                <w:vertAlign w:val="superscript"/>
              </w:rPr>
              <w:t>3</w:t>
            </w:r>
          </w:p>
        </w:tc>
        <w:tc>
          <w:tcPr>
            <w:tcW w:w="127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0.013~0.021</w:t>
            </w:r>
          </w:p>
        </w:tc>
        <w:tc>
          <w:tcPr>
            <w:tcW w:w="121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34%</w:t>
            </w:r>
          </w:p>
        </w:tc>
        <w:tc>
          <w:tcPr>
            <w:tcW w:w="90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82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1" w:hRule="atLeast"/>
          <w:jc w:val="center"/>
        </w:trPr>
        <w:tc>
          <w:tcPr>
            <w:tcW w:w="818"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30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氯化氢</w:t>
            </w:r>
          </w:p>
        </w:tc>
        <w:tc>
          <w:tcPr>
            <w:tcW w:w="149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小时平均浓度</w:t>
            </w:r>
          </w:p>
        </w:tc>
        <w:tc>
          <w:tcPr>
            <w:tcW w:w="1328"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0.05mg/m</w:t>
            </w:r>
            <w:r>
              <w:rPr>
                <w:rFonts w:ascii="Times New Roman" w:hAnsi="Times New Roman" w:cs="Times New Roman"/>
                <w:color w:val="auto"/>
                <w:spacing w:val="-2"/>
                <w:kern w:val="0"/>
                <w:sz w:val="18"/>
                <w:szCs w:val="18"/>
                <w:vertAlign w:val="superscript"/>
              </w:rPr>
              <w:t>3</w:t>
            </w:r>
          </w:p>
        </w:tc>
        <w:tc>
          <w:tcPr>
            <w:tcW w:w="127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&lt;0.01</w:t>
            </w:r>
          </w:p>
        </w:tc>
        <w:tc>
          <w:tcPr>
            <w:tcW w:w="121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90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82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1" w:hRule="atLeast"/>
          <w:jc w:val="center"/>
        </w:trPr>
        <w:tc>
          <w:tcPr>
            <w:tcW w:w="818"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30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非甲烷总烃</w:t>
            </w:r>
          </w:p>
        </w:tc>
        <w:tc>
          <w:tcPr>
            <w:tcW w:w="149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小时平均浓度</w:t>
            </w:r>
          </w:p>
        </w:tc>
        <w:tc>
          <w:tcPr>
            <w:tcW w:w="1328"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2.0 mg/m</w:t>
            </w:r>
            <w:r>
              <w:rPr>
                <w:rFonts w:ascii="Times New Roman" w:hAnsi="Times New Roman" w:cs="Times New Roman"/>
                <w:color w:val="auto"/>
                <w:spacing w:val="-2"/>
                <w:kern w:val="0"/>
                <w:sz w:val="18"/>
                <w:szCs w:val="18"/>
                <w:vertAlign w:val="superscript"/>
              </w:rPr>
              <w:t>3</w:t>
            </w:r>
          </w:p>
        </w:tc>
        <w:tc>
          <w:tcPr>
            <w:tcW w:w="127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0.29~0.46</w:t>
            </w:r>
          </w:p>
        </w:tc>
        <w:tc>
          <w:tcPr>
            <w:tcW w:w="121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23.0%</w:t>
            </w:r>
          </w:p>
        </w:tc>
        <w:tc>
          <w:tcPr>
            <w:tcW w:w="90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82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1" w:hRule="atLeast"/>
          <w:jc w:val="center"/>
        </w:trPr>
        <w:tc>
          <w:tcPr>
            <w:tcW w:w="818"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G2</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金庵村</w:t>
            </w:r>
          </w:p>
        </w:tc>
        <w:tc>
          <w:tcPr>
            <w:tcW w:w="130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氨</w:t>
            </w:r>
          </w:p>
        </w:tc>
        <w:tc>
          <w:tcPr>
            <w:tcW w:w="149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小时平均浓度</w:t>
            </w:r>
          </w:p>
        </w:tc>
        <w:tc>
          <w:tcPr>
            <w:tcW w:w="1328"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0.2mg/m</w:t>
            </w:r>
            <w:r>
              <w:rPr>
                <w:rFonts w:ascii="Times New Roman" w:hAnsi="Times New Roman" w:cs="Times New Roman"/>
                <w:color w:val="auto"/>
                <w:spacing w:val="-2"/>
                <w:kern w:val="0"/>
                <w:sz w:val="18"/>
                <w:szCs w:val="18"/>
                <w:vertAlign w:val="superscript"/>
              </w:rPr>
              <w:t>3</w:t>
            </w:r>
          </w:p>
        </w:tc>
        <w:tc>
          <w:tcPr>
            <w:tcW w:w="127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&lt;0.07</w:t>
            </w:r>
          </w:p>
        </w:tc>
        <w:tc>
          <w:tcPr>
            <w:tcW w:w="121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35%</w:t>
            </w:r>
          </w:p>
        </w:tc>
        <w:tc>
          <w:tcPr>
            <w:tcW w:w="90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82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1" w:hRule="atLeast"/>
          <w:jc w:val="center"/>
        </w:trPr>
        <w:tc>
          <w:tcPr>
            <w:tcW w:w="818"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30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二氧化硫</w:t>
            </w:r>
          </w:p>
        </w:tc>
        <w:tc>
          <w:tcPr>
            <w:tcW w:w="149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小时平均浓度</w:t>
            </w:r>
          </w:p>
        </w:tc>
        <w:tc>
          <w:tcPr>
            <w:tcW w:w="1328"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0.5mg/m</w:t>
            </w:r>
            <w:r>
              <w:rPr>
                <w:rFonts w:ascii="Times New Roman" w:hAnsi="Times New Roman" w:cs="Times New Roman"/>
                <w:color w:val="auto"/>
                <w:spacing w:val="-2"/>
                <w:kern w:val="0"/>
                <w:sz w:val="18"/>
                <w:szCs w:val="18"/>
                <w:vertAlign w:val="superscript"/>
              </w:rPr>
              <w:t>3</w:t>
            </w:r>
          </w:p>
        </w:tc>
        <w:tc>
          <w:tcPr>
            <w:tcW w:w="127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0.014~0.018</w:t>
            </w:r>
          </w:p>
        </w:tc>
        <w:tc>
          <w:tcPr>
            <w:tcW w:w="121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3.6%</w:t>
            </w:r>
          </w:p>
        </w:tc>
        <w:tc>
          <w:tcPr>
            <w:tcW w:w="90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82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1" w:hRule="atLeast"/>
          <w:jc w:val="center"/>
        </w:trPr>
        <w:tc>
          <w:tcPr>
            <w:tcW w:w="818"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30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氯化氢</w:t>
            </w:r>
          </w:p>
        </w:tc>
        <w:tc>
          <w:tcPr>
            <w:tcW w:w="149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小时平均浓度</w:t>
            </w:r>
          </w:p>
        </w:tc>
        <w:tc>
          <w:tcPr>
            <w:tcW w:w="1328"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0.05mg/m</w:t>
            </w:r>
            <w:r>
              <w:rPr>
                <w:rFonts w:ascii="Times New Roman" w:hAnsi="Times New Roman" w:cs="Times New Roman"/>
                <w:color w:val="auto"/>
                <w:spacing w:val="-2"/>
                <w:kern w:val="0"/>
                <w:sz w:val="18"/>
                <w:szCs w:val="18"/>
                <w:vertAlign w:val="superscript"/>
              </w:rPr>
              <w:t>3</w:t>
            </w:r>
          </w:p>
        </w:tc>
        <w:tc>
          <w:tcPr>
            <w:tcW w:w="127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&lt;0.01</w:t>
            </w:r>
          </w:p>
        </w:tc>
        <w:tc>
          <w:tcPr>
            <w:tcW w:w="121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90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82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1" w:hRule="atLeast"/>
          <w:jc w:val="center"/>
        </w:trPr>
        <w:tc>
          <w:tcPr>
            <w:tcW w:w="818" w:type="dxa"/>
            <w:vMerge w:val="continue"/>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303"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非甲烷总烃</w:t>
            </w:r>
          </w:p>
        </w:tc>
        <w:tc>
          <w:tcPr>
            <w:tcW w:w="149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小时平均浓度</w:t>
            </w:r>
          </w:p>
        </w:tc>
        <w:tc>
          <w:tcPr>
            <w:tcW w:w="1328"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2.0 mg/m</w:t>
            </w:r>
            <w:r>
              <w:rPr>
                <w:rFonts w:ascii="Times New Roman" w:hAnsi="Times New Roman" w:cs="Times New Roman"/>
                <w:color w:val="auto"/>
                <w:spacing w:val="-2"/>
                <w:kern w:val="0"/>
                <w:sz w:val="18"/>
                <w:szCs w:val="18"/>
                <w:vertAlign w:val="superscript"/>
              </w:rPr>
              <w:t>3</w:t>
            </w:r>
          </w:p>
        </w:tc>
        <w:tc>
          <w:tcPr>
            <w:tcW w:w="127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0.28~0.43</w:t>
            </w:r>
          </w:p>
        </w:tc>
        <w:tc>
          <w:tcPr>
            <w:tcW w:w="1216"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21.5%</w:t>
            </w:r>
          </w:p>
        </w:tc>
        <w:tc>
          <w:tcPr>
            <w:tcW w:w="900"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821" w:type="dxa"/>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达标</w:t>
            </w:r>
          </w:p>
        </w:tc>
      </w:tr>
    </w:tbl>
    <w:p>
      <w:pPr>
        <w:ind w:firstLine="412"/>
        <w:rPr>
          <w:rFonts w:ascii="Times New Roman" w:hAnsi="Times New Roman" w:cs="Times New Roman"/>
          <w:color w:val="auto"/>
          <w:spacing w:val="-2"/>
          <w:kern w:val="0"/>
          <w:sz w:val="21"/>
          <w:szCs w:val="21"/>
        </w:rPr>
      </w:pPr>
      <w:r>
        <w:rPr>
          <w:rFonts w:ascii="Times New Roman" w:hAnsi="Times New Roman" w:cs="Times New Roman"/>
          <w:color w:val="auto"/>
          <w:spacing w:val="-2"/>
          <w:kern w:val="0"/>
          <w:sz w:val="21"/>
          <w:szCs w:val="21"/>
        </w:rPr>
        <w:t>*未检出按检出限的一半计</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根据上述评价结果可知，项目区及金庵村</w:t>
      </w:r>
      <w:r>
        <w:rPr>
          <w:rFonts w:ascii="Times New Roman" w:hAnsi="Times New Roman" w:cs="Times New Roman"/>
          <w:bCs/>
          <w:color w:val="auto"/>
          <w:spacing w:val="-2"/>
          <w:kern w:val="0"/>
        </w:rPr>
        <w:t>氯化氢、氨、二氧化硫及非甲烷总烃</w:t>
      </w:r>
      <w:r>
        <w:rPr>
          <w:rFonts w:ascii="Times New Roman" w:hAnsi="Times New Roman" w:cs="Times New Roman"/>
          <w:color w:val="auto"/>
          <w:spacing w:val="-2"/>
          <w:kern w:val="0"/>
          <w:szCs w:val="20"/>
        </w:rPr>
        <w:t>满足相应环境空气质量标准要求。</w:t>
      </w:r>
    </w:p>
    <w:p>
      <w:pPr>
        <w:ind w:firstLine="480"/>
        <w:rPr>
          <w:rFonts w:ascii="Times New Roman" w:hAnsi="Times New Roman" w:cs="Times New Roman"/>
          <w:color w:val="auto"/>
        </w:rPr>
        <w:sectPr>
          <w:pgSz w:w="11906" w:h="16838"/>
          <w:pgMar w:top="1417" w:right="1417" w:bottom="1417" w:left="1417" w:header="850" w:footer="992" w:gutter="0"/>
          <w:cols w:space="720" w:num="1"/>
          <w:docGrid w:type="lines" w:linePitch="333" w:charSpace="0"/>
        </w:sectPr>
      </w:pPr>
    </w:p>
    <w:p>
      <w:pPr>
        <w:ind w:firstLine="0" w:firstLineChars="0"/>
        <w:rPr>
          <w:rFonts w:ascii="Times New Roman" w:hAnsi="Times New Roman" w:cs="Times New Roman"/>
          <w:b/>
          <w:bCs/>
          <w:color w:val="auto"/>
          <w:spacing w:val="-2"/>
        </w:rPr>
      </w:pPr>
      <w:bookmarkStart w:id="290" w:name="_Toc27210"/>
      <w:bookmarkStart w:id="291" w:name="_Toc11943"/>
      <w:bookmarkStart w:id="292" w:name="_Toc1177"/>
      <w:r>
        <w:rPr>
          <w:rFonts w:ascii="Times New Roman" w:hAnsi="Times New Roman" w:cs="Times New Roman"/>
          <w:b/>
          <w:bCs/>
          <w:color w:val="auto"/>
          <w:spacing w:val="-2"/>
        </w:rPr>
        <w:t>4.2.2.3区域环境空气质量调查</w:t>
      </w:r>
    </w:p>
    <w:p>
      <w:pPr>
        <w:ind w:firstLine="480"/>
        <w:rPr>
          <w:rFonts w:ascii="Times New Roman" w:hAnsi="Times New Roman" w:cs="Times New Roman"/>
        </w:rPr>
      </w:pPr>
      <w:bookmarkStart w:id="293" w:name="_Toc102979826"/>
      <w:r>
        <w:rPr>
          <w:rFonts w:ascii="Times New Roman" w:hAnsi="Times New Roman" w:cs="Times New Roman"/>
        </w:rPr>
        <w:t>本项目选址</w:t>
      </w:r>
      <w:r>
        <w:rPr>
          <w:rFonts w:hint="eastAsia" w:ascii="Times New Roman" w:hAnsi="Times New Roman" w:cs="Times New Roman"/>
        </w:rPr>
        <w:t>位于</w:t>
      </w:r>
      <w:r>
        <w:rPr>
          <w:rFonts w:ascii="Times New Roman" w:hAnsi="Times New Roman" w:cs="Times New Roman"/>
        </w:rPr>
        <w:t>合肥循环经济示范园</w:t>
      </w:r>
      <w:r>
        <w:rPr>
          <w:rFonts w:hint="eastAsia" w:ascii="Times New Roman" w:hAnsi="Times New Roman" w:cs="Times New Roman"/>
        </w:rPr>
        <w:t>规划范围</w:t>
      </w:r>
      <w:r>
        <w:rPr>
          <w:rFonts w:ascii="Times New Roman" w:hAnsi="Times New Roman" w:cs="Times New Roman"/>
        </w:rPr>
        <w:t>，根据《合肥循环经济示范园区环境影响区域评估报告（2021年版）》；园区于2021年7月10-16日和2021年8月7-13日，委托安徽康菲尔检测科技有限公司、山东国实检测技术有限公司和青岛康环检测科技有限公司对临河村（本项目东侧，目前已拆迁）大气环境质量分别进行了连续 7 天采样监测。选取与本项目相关的的监测因子：硫酸雾、非甲烷总烃指标。监测结果见表4.2-7。</w:t>
      </w:r>
      <w:bookmarkEnd w:id="293"/>
    </w:p>
    <w:p>
      <w:pPr>
        <w:ind w:firstLine="414"/>
        <w:jc w:val="center"/>
        <w:rPr>
          <w:rFonts w:ascii="Times New Roman" w:hAnsi="Times New Roman" w:eastAsia="黑体" w:cs="Times New Roman"/>
          <w:b/>
          <w:bCs/>
          <w:color w:val="auto"/>
          <w:sz w:val="28"/>
          <w:szCs w:val="32"/>
        </w:rPr>
      </w:pPr>
      <w:bookmarkStart w:id="294" w:name="_Toc102979827"/>
      <w:r>
        <w:rPr>
          <w:rFonts w:ascii="Times New Roman" w:hAnsi="Times New Roman" w:cs="Times New Roman"/>
          <w:b/>
          <w:color w:val="auto"/>
          <w:spacing w:val="-2"/>
          <w:kern w:val="0"/>
          <w:sz w:val="21"/>
          <w:szCs w:val="21"/>
        </w:rPr>
        <w:t>表4.2-7   引用的区域环境空气质量现状评价结果一览表</w:t>
      </w:r>
      <w:bookmarkEnd w:id="294"/>
    </w:p>
    <w:tbl>
      <w:tblPr>
        <w:tblStyle w:val="62"/>
        <w:tblW w:w="9283"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379"/>
        <w:gridCol w:w="897"/>
        <w:gridCol w:w="851"/>
        <w:gridCol w:w="631"/>
        <w:gridCol w:w="534"/>
        <w:gridCol w:w="644"/>
        <w:gridCol w:w="708"/>
        <w:gridCol w:w="567"/>
        <w:gridCol w:w="823"/>
        <w:gridCol w:w="739"/>
        <w:gridCol w:w="706"/>
        <w:gridCol w:w="709"/>
        <w:gridCol w:w="709"/>
        <w:gridCol w:w="38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 w:hRule="atLeast"/>
        </w:trPr>
        <w:tc>
          <w:tcPr>
            <w:tcW w:w="379" w:type="dxa"/>
            <w:vMerge w:val="restart"/>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bookmarkStart w:id="295" w:name="_Hlk99358735"/>
            <w:r>
              <w:rPr>
                <w:rFonts w:ascii="Times New Roman" w:hAnsi="Times New Roman" w:cs="Times New Roman"/>
                <w:color w:val="auto"/>
                <w:spacing w:val="-2"/>
                <w:kern w:val="0"/>
                <w:sz w:val="18"/>
                <w:szCs w:val="18"/>
              </w:rPr>
              <w:t>监测点位</w:t>
            </w:r>
          </w:p>
        </w:tc>
        <w:tc>
          <w:tcPr>
            <w:tcW w:w="897" w:type="dxa"/>
            <w:vMerge w:val="restart"/>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监测项目</w:t>
            </w:r>
          </w:p>
        </w:tc>
        <w:tc>
          <w:tcPr>
            <w:tcW w:w="3935" w:type="dxa"/>
            <w:gridSpan w:val="6"/>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小时值 （或一次）</w:t>
            </w:r>
          </w:p>
        </w:tc>
        <w:tc>
          <w:tcPr>
            <w:tcW w:w="4072" w:type="dxa"/>
            <w:gridSpan w:val="6"/>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日平均值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 w:hRule="atLeast"/>
        </w:trPr>
        <w:tc>
          <w:tcPr>
            <w:tcW w:w="379" w:type="dxa"/>
            <w:vMerge w:val="continue"/>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897" w:type="dxa"/>
            <w:vMerge w:val="continue"/>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482" w:type="dxa"/>
            <w:gridSpan w:val="2"/>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浓度范围</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mg/m</w:t>
            </w:r>
            <w:r>
              <w:rPr>
                <w:rFonts w:ascii="Times New Roman" w:hAnsi="Times New Roman" w:cs="Times New Roman"/>
                <w:color w:val="auto"/>
                <w:spacing w:val="-2"/>
                <w:kern w:val="0"/>
                <w:sz w:val="18"/>
                <w:szCs w:val="18"/>
                <w:vertAlign w:val="superscript"/>
              </w:rPr>
              <w:t>3</w:t>
            </w:r>
          </w:p>
        </w:tc>
        <w:tc>
          <w:tcPr>
            <w:tcW w:w="1178" w:type="dxa"/>
            <w:gridSpan w:val="2"/>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占标率 </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100%</w:t>
            </w:r>
          </w:p>
        </w:tc>
        <w:tc>
          <w:tcPr>
            <w:tcW w:w="708" w:type="dxa"/>
            <w:vMerge w:val="restart"/>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限值</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mg/m</w:t>
            </w:r>
            <w:r>
              <w:rPr>
                <w:rFonts w:ascii="Times New Roman" w:hAnsi="Times New Roman" w:cs="Times New Roman"/>
                <w:color w:val="auto"/>
                <w:spacing w:val="-2"/>
                <w:kern w:val="0"/>
                <w:sz w:val="18"/>
                <w:szCs w:val="18"/>
                <w:vertAlign w:val="superscript"/>
              </w:rPr>
              <w:t>3</w:t>
            </w:r>
          </w:p>
        </w:tc>
        <w:tc>
          <w:tcPr>
            <w:tcW w:w="567" w:type="dxa"/>
            <w:vMerge w:val="restart"/>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超标率</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62" w:type="dxa"/>
            <w:gridSpan w:val="2"/>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浓度范围</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mg/m</w:t>
            </w:r>
            <w:r>
              <w:rPr>
                <w:rFonts w:ascii="Times New Roman" w:hAnsi="Times New Roman" w:cs="Times New Roman"/>
                <w:color w:val="auto"/>
                <w:spacing w:val="-2"/>
                <w:kern w:val="0"/>
                <w:sz w:val="18"/>
                <w:szCs w:val="18"/>
                <w:vertAlign w:val="superscript"/>
              </w:rPr>
              <w:t>3</w:t>
            </w:r>
          </w:p>
        </w:tc>
        <w:tc>
          <w:tcPr>
            <w:tcW w:w="1415" w:type="dxa"/>
            <w:gridSpan w:val="2"/>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占标率100%</w:t>
            </w:r>
          </w:p>
        </w:tc>
        <w:tc>
          <w:tcPr>
            <w:tcW w:w="709" w:type="dxa"/>
            <w:vMerge w:val="restart"/>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限值</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mg/m</w:t>
            </w:r>
            <w:r>
              <w:rPr>
                <w:rFonts w:ascii="Times New Roman" w:hAnsi="Times New Roman" w:cs="Times New Roman"/>
                <w:color w:val="auto"/>
                <w:spacing w:val="-2"/>
                <w:kern w:val="0"/>
                <w:sz w:val="18"/>
                <w:szCs w:val="18"/>
                <w:vertAlign w:val="superscript"/>
              </w:rPr>
              <w:t>3</w:t>
            </w:r>
          </w:p>
        </w:tc>
        <w:tc>
          <w:tcPr>
            <w:tcW w:w="386" w:type="dxa"/>
            <w:vMerge w:val="restart"/>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超标率 </w:t>
            </w:r>
          </w:p>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 w:hRule="atLeast"/>
        </w:trPr>
        <w:tc>
          <w:tcPr>
            <w:tcW w:w="379" w:type="dxa"/>
            <w:vMerge w:val="continue"/>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897" w:type="dxa"/>
            <w:vMerge w:val="continue"/>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851"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最小值</w:t>
            </w:r>
          </w:p>
        </w:tc>
        <w:tc>
          <w:tcPr>
            <w:tcW w:w="631"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最大值</w:t>
            </w:r>
          </w:p>
        </w:tc>
        <w:tc>
          <w:tcPr>
            <w:tcW w:w="534"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最小值</w:t>
            </w:r>
          </w:p>
        </w:tc>
        <w:tc>
          <w:tcPr>
            <w:tcW w:w="644"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最大值</w:t>
            </w:r>
          </w:p>
        </w:tc>
        <w:tc>
          <w:tcPr>
            <w:tcW w:w="708" w:type="dxa"/>
            <w:vMerge w:val="continue"/>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567" w:type="dxa"/>
            <w:vMerge w:val="continue"/>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823"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最小值</w:t>
            </w:r>
          </w:p>
        </w:tc>
        <w:tc>
          <w:tcPr>
            <w:tcW w:w="739"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最大值</w:t>
            </w:r>
          </w:p>
        </w:tc>
        <w:tc>
          <w:tcPr>
            <w:tcW w:w="706"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最小值</w:t>
            </w:r>
          </w:p>
        </w:tc>
        <w:tc>
          <w:tcPr>
            <w:tcW w:w="709"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最大值</w:t>
            </w:r>
          </w:p>
        </w:tc>
        <w:tc>
          <w:tcPr>
            <w:tcW w:w="709" w:type="dxa"/>
            <w:vMerge w:val="continue"/>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386" w:type="dxa"/>
            <w:vMerge w:val="continue"/>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 w:hRule="atLeast"/>
        </w:trPr>
        <w:tc>
          <w:tcPr>
            <w:tcW w:w="379" w:type="dxa"/>
            <w:vMerge w:val="restart"/>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临河村</w:t>
            </w:r>
          </w:p>
        </w:tc>
        <w:tc>
          <w:tcPr>
            <w:tcW w:w="897"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非甲烷总烃</w:t>
            </w:r>
          </w:p>
        </w:tc>
        <w:tc>
          <w:tcPr>
            <w:tcW w:w="851"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0.64</w:t>
            </w:r>
          </w:p>
        </w:tc>
        <w:tc>
          <w:tcPr>
            <w:tcW w:w="631"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0.82</w:t>
            </w:r>
          </w:p>
        </w:tc>
        <w:tc>
          <w:tcPr>
            <w:tcW w:w="534"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32</w:t>
            </w:r>
          </w:p>
        </w:tc>
        <w:tc>
          <w:tcPr>
            <w:tcW w:w="644"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41</w:t>
            </w:r>
          </w:p>
        </w:tc>
        <w:tc>
          <w:tcPr>
            <w:tcW w:w="708"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w:t>
            </w:r>
          </w:p>
        </w:tc>
        <w:tc>
          <w:tcPr>
            <w:tcW w:w="567"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w:t>
            </w:r>
          </w:p>
        </w:tc>
        <w:tc>
          <w:tcPr>
            <w:tcW w:w="823"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739"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706"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709"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709"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386"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 w:hRule="atLeast"/>
        </w:trPr>
        <w:tc>
          <w:tcPr>
            <w:tcW w:w="379" w:type="dxa"/>
            <w:vMerge w:val="continue"/>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897"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硫酸雾</w:t>
            </w:r>
          </w:p>
        </w:tc>
        <w:tc>
          <w:tcPr>
            <w:tcW w:w="851"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0.008</w:t>
            </w:r>
          </w:p>
        </w:tc>
        <w:tc>
          <w:tcPr>
            <w:tcW w:w="631"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0.068</w:t>
            </w:r>
          </w:p>
        </w:tc>
        <w:tc>
          <w:tcPr>
            <w:tcW w:w="534"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2.7</w:t>
            </w:r>
          </w:p>
        </w:tc>
        <w:tc>
          <w:tcPr>
            <w:tcW w:w="644"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22.7</w:t>
            </w:r>
          </w:p>
        </w:tc>
        <w:tc>
          <w:tcPr>
            <w:tcW w:w="708"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w:t>
            </w:r>
          </w:p>
        </w:tc>
        <w:tc>
          <w:tcPr>
            <w:tcW w:w="567"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w:t>
            </w:r>
          </w:p>
        </w:tc>
        <w:tc>
          <w:tcPr>
            <w:tcW w:w="823"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0. 059</w:t>
            </w:r>
          </w:p>
        </w:tc>
        <w:tc>
          <w:tcPr>
            <w:tcW w:w="739"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0. 074</w:t>
            </w:r>
          </w:p>
        </w:tc>
        <w:tc>
          <w:tcPr>
            <w:tcW w:w="706"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59</w:t>
            </w:r>
          </w:p>
        </w:tc>
        <w:tc>
          <w:tcPr>
            <w:tcW w:w="709"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74</w:t>
            </w:r>
          </w:p>
        </w:tc>
        <w:tc>
          <w:tcPr>
            <w:tcW w:w="709"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0 . 1</w:t>
            </w:r>
          </w:p>
        </w:tc>
        <w:tc>
          <w:tcPr>
            <w:tcW w:w="386"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w:t>
            </w:r>
          </w:p>
        </w:tc>
      </w:tr>
      <w:bookmarkEnd w:id="295"/>
    </w:tbl>
    <w:p>
      <w:pPr>
        <w:ind w:firstLine="472"/>
        <w:rPr>
          <w:rFonts w:ascii="Times New Roman" w:hAnsi="Times New Roman" w:eastAsia="黑体" w:cs="Times New Roman"/>
          <w:b/>
          <w:bCs/>
          <w:color w:val="auto"/>
          <w:sz w:val="28"/>
          <w:szCs w:val="32"/>
        </w:rPr>
      </w:pPr>
      <w:r>
        <w:rPr>
          <w:rFonts w:ascii="Times New Roman" w:hAnsi="Times New Roman" w:cs="Times New Roman"/>
          <w:color w:val="auto"/>
          <w:spacing w:val="-2"/>
          <w:kern w:val="0"/>
          <w:szCs w:val="20"/>
        </w:rPr>
        <w:t>根据上述评价结果可知，</w:t>
      </w:r>
      <w:r>
        <w:rPr>
          <w:rFonts w:hint="eastAsia" w:ascii="Times New Roman" w:hAnsi="Times New Roman" w:cs="Times New Roman"/>
          <w:color w:val="auto"/>
          <w:spacing w:val="-2"/>
          <w:kern w:val="0"/>
          <w:szCs w:val="20"/>
        </w:rPr>
        <w:t>引用的</w:t>
      </w:r>
      <w:r>
        <w:rPr>
          <w:rFonts w:ascii="Times New Roman" w:hAnsi="Times New Roman" w:cs="Times New Roman"/>
          <w:color w:val="auto"/>
          <w:spacing w:val="-2"/>
          <w:kern w:val="0"/>
          <w:szCs w:val="20"/>
        </w:rPr>
        <w:t>项目区域</w:t>
      </w:r>
      <w:r>
        <w:rPr>
          <w:rFonts w:hint="eastAsia" w:ascii="Times New Roman" w:hAnsi="Times New Roman" w:cs="Times New Roman"/>
          <w:color w:val="auto"/>
          <w:spacing w:val="-2"/>
          <w:kern w:val="0"/>
          <w:szCs w:val="20"/>
        </w:rPr>
        <w:t>监测点</w:t>
      </w:r>
      <w:r>
        <w:rPr>
          <w:rFonts w:ascii="Times New Roman" w:hAnsi="Times New Roman" w:cs="Times New Roman"/>
        </w:rPr>
        <w:t>硫酸雾非甲烷总烃</w:t>
      </w:r>
      <w:r>
        <w:rPr>
          <w:rFonts w:ascii="Times New Roman" w:hAnsi="Times New Roman" w:cs="Times New Roman"/>
          <w:color w:val="auto"/>
          <w:spacing w:val="-2"/>
          <w:kern w:val="0"/>
          <w:szCs w:val="20"/>
        </w:rPr>
        <w:t>满足相应环境空气质量标准要求。</w:t>
      </w:r>
    </w:p>
    <w:p>
      <w:pPr>
        <w:keepNext/>
        <w:keepLines/>
        <w:ind w:firstLine="0" w:firstLineChars="0"/>
        <w:outlineLvl w:val="1"/>
        <w:rPr>
          <w:rFonts w:ascii="Times New Roman" w:hAnsi="Times New Roman" w:eastAsia="黑体" w:cs="Times New Roman"/>
          <w:b/>
          <w:bCs/>
          <w:color w:val="auto"/>
          <w:sz w:val="28"/>
          <w:szCs w:val="32"/>
        </w:rPr>
      </w:pPr>
      <w:bookmarkStart w:id="296" w:name="_Toc102979828"/>
      <w:bookmarkStart w:id="297" w:name="_Toc104733373"/>
      <w:r>
        <w:rPr>
          <w:rFonts w:ascii="Times New Roman" w:hAnsi="Times New Roman" w:eastAsia="黑体" w:cs="Times New Roman"/>
          <w:b/>
          <w:bCs/>
          <w:color w:val="auto"/>
          <w:sz w:val="28"/>
          <w:szCs w:val="32"/>
        </w:rPr>
        <w:t>4.3 地表水环境质量现状调查与评价</w:t>
      </w:r>
      <w:bookmarkEnd w:id="290"/>
      <w:bookmarkEnd w:id="291"/>
      <w:bookmarkEnd w:id="292"/>
      <w:bookmarkEnd w:id="296"/>
      <w:bookmarkEnd w:id="297"/>
    </w:p>
    <w:p>
      <w:pPr>
        <w:pStyle w:val="4"/>
        <w:numPr>
          <w:ilvl w:val="2"/>
          <w:numId w:val="0"/>
        </w:numPr>
        <w:jc w:val="both"/>
        <w:rPr>
          <w:rFonts w:ascii="Times New Roman" w:hAnsi="Times New Roman" w:cs="Times New Roman"/>
          <w:color w:val="auto"/>
        </w:rPr>
      </w:pPr>
      <w:bookmarkStart w:id="298" w:name="_Toc104733374"/>
      <w:bookmarkStart w:id="299" w:name="_Toc102984341"/>
      <w:r>
        <w:rPr>
          <w:rFonts w:ascii="Times New Roman" w:hAnsi="Times New Roman" w:cs="Times New Roman"/>
          <w:color w:val="auto"/>
        </w:rPr>
        <w:t>4.3.1区域地表水环境质量</w:t>
      </w:r>
      <w:bookmarkEnd w:id="298"/>
      <w:bookmarkEnd w:id="299"/>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本项目</w:t>
      </w:r>
      <w:r>
        <w:rPr>
          <w:rFonts w:hint="eastAsia" w:ascii="Times New Roman" w:hAnsi="Times New Roman" w:cs="Times New Roman"/>
          <w:color w:val="auto"/>
        </w:rPr>
        <w:t>废水处理达标后接管排入</w:t>
      </w:r>
      <w:r>
        <w:rPr>
          <w:rFonts w:ascii="Times New Roman" w:hAnsi="Times New Roman" w:cs="Times New Roman"/>
          <w:color w:val="auto"/>
        </w:rPr>
        <w:t>合肥循环经济示范园污水处理厂；园区污水经过园区污水处理厂处理后后排入店埠河，再入南淝河，最终排入巢湖，根据合肥市生态环境局分布的 《2021年合肥市环境状况公报》如下：</w:t>
      </w:r>
    </w:p>
    <w:p>
      <w:pPr>
        <w:pStyle w:val="25"/>
        <w:spacing w:line="360" w:lineRule="auto"/>
        <w:ind w:firstLine="480"/>
        <w:rPr>
          <w:rFonts w:ascii="Times New Roman" w:hAnsi="Times New Roman" w:cs="Times New Roman"/>
          <w:color w:val="auto"/>
        </w:rPr>
      </w:pPr>
      <w:r>
        <w:rPr>
          <w:rFonts w:hint="eastAsia" w:ascii="Times New Roman" w:hAnsi="Times New Roman" w:cs="Times New Roman"/>
          <w:color w:val="auto"/>
        </w:rPr>
        <w:t>（1）湖区水质：2021年，巢湖湖区水质为Ⅳ类，呈轻度污染，营养状态呈中度富营养状态，主要污染指标为总磷。东、西半湖均为Ⅳ类，呈轻度污染。东半湖呈轻度富营养状态，西半湖呈中度富营养状态。与去年同期相比，东、西半湖及全湖水质类别无明显变化；东半湖营养状态无明显变化，西半湖及全湖营养状态由轻度富营养下降为中度富营养。</w:t>
      </w:r>
    </w:p>
    <w:p>
      <w:pPr>
        <w:pStyle w:val="25"/>
        <w:spacing w:line="360" w:lineRule="auto"/>
        <w:ind w:firstLine="480"/>
        <w:rPr>
          <w:rFonts w:ascii="Times New Roman" w:hAnsi="Times New Roman" w:cs="Times New Roman"/>
          <w:color w:val="auto"/>
        </w:rPr>
      </w:pPr>
      <w:r>
        <w:rPr>
          <w:rFonts w:hint="eastAsia" w:ascii="Times New Roman" w:hAnsi="Times New Roman" w:cs="Times New Roman"/>
          <w:color w:val="auto"/>
        </w:rPr>
        <w:t>（2）环湖河流水质：2021年，纳入国家考核的20个地表水断面，20个均达到年度考核要求。与去年同期相比，丰乐河、杭埠河、白石天河、裕溪河、双桥河、柘皋河、兆河、十五里河、滁河、罗昌河、西河等河流总体水质保持优良，派河水质由轻度污染好转为良好，南淝河水质由中度污染好转为轻度污染。</w:t>
      </w:r>
    </w:p>
    <w:p>
      <w:pPr>
        <w:pStyle w:val="25"/>
        <w:spacing w:line="360" w:lineRule="auto"/>
        <w:ind w:firstLine="480"/>
        <w:rPr>
          <w:rFonts w:ascii="Times New Roman" w:hAnsi="Times New Roman" w:cs="Times New Roman"/>
          <w:color w:val="auto"/>
        </w:rPr>
      </w:pPr>
      <w:r>
        <w:rPr>
          <w:rFonts w:hint="eastAsia" w:ascii="Times New Roman" w:hAnsi="Times New Roman" w:cs="Times New Roman"/>
          <w:color w:val="auto"/>
        </w:rPr>
        <w:t>主要污染指标中，南淝河的氨氮和化学需氧量，派河的氨氮和总磷浓度均呈下降趋势。南淝河氨氮和化学需氧量浓度分别为1.46mg/L和16.2mg/L ，较去年同期分别下降12.57% 和16.92%；派河氨氮和总磷浓度分别为0.89mg/L和0.145mg/L ，较去年同期分别下降24.57%和4.61%。</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店埠河和南淝河水体执行《地表水环境质量标准》（GB3838-2002）中的四类标准，巢湖执行</w:t>
      </w:r>
      <w:r>
        <w:rPr>
          <w:rFonts w:hint="eastAsia" w:ascii="Times New Roman" w:hAnsi="Times New Roman" w:cs="Times New Roman"/>
          <w:color w:val="auto"/>
        </w:rPr>
        <w:t>《</w:t>
      </w:r>
      <w:r>
        <w:rPr>
          <w:rFonts w:ascii="Times New Roman" w:hAnsi="Times New Roman" w:cs="Times New Roman"/>
          <w:color w:val="auto"/>
        </w:rPr>
        <w:t>地表水环境质量标准》（GB3838-2002）中的三类标准。</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另外，根据合肥市生态环境局网站发布的合肥市2021年12月水环境质量月报：</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南淝河：南淝河共监测6个断面，含支流关镇河断面、长乐河（沙河）断面，其中施口断面为国考断面。监测结果表明施口、长江东大街、合钢二厂下游、支流关镇河和长乐河（沙河）5个断面均为Ⅲ类水质，水质良好。亳州路桥断面为劣Ⅴ类水质，属重度污染。</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店埠河：店埠河共监测2个断面（含支流马桥河断面）。监测结果表明河内1500米和支流马桥河断面2个断面均为Ⅲ类水质，水质良好。</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巢湖：本月东、西半湖及全湖水质均为Ⅳ类水质，属轻度污染。主要污染指标为总磷。</w:t>
      </w:r>
    </w:p>
    <w:p>
      <w:pPr>
        <w:pStyle w:val="4"/>
        <w:numPr>
          <w:ilvl w:val="2"/>
          <w:numId w:val="0"/>
        </w:numPr>
        <w:jc w:val="both"/>
        <w:rPr>
          <w:rFonts w:ascii="Times New Roman" w:hAnsi="Times New Roman" w:cs="Times New Roman"/>
          <w:color w:val="auto"/>
        </w:rPr>
      </w:pPr>
      <w:bookmarkStart w:id="300" w:name="_Toc104733375"/>
      <w:bookmarkStart w:id="301" w:name="_Toc102984342"/>
      <w:r>
        <w:rPr>
          <w:rFonts w:ascii="Times New Roman" w:hAnsi="Times New Roman" w:cs="Times New Roman"/>
          <w:color w:val="auto"/>
        </w:rPr>
        <w:t>4.3.2现状监测</w:t>
      </w:r>
      <w:bookmarkEnd w:id="300"/>
      <w:bookmarkEnd w:id="301"/>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本次评价委托监测单位于2021年2月22日~2021年2月24日对码头上下游处店埠河水质及撮镇灌溉渠处水质进行了连续3天的水质监测。监测断面布设见表4.3-1。断面布设图见图4.2-1。</w:t>
      </w:r>
    </w:p>
    <w:p>
      <w:pPr>
        <w:spacing w:line="240" w:lineRule="auto"/>
        <w:ind w:firstLine="0" w:firstLineChars="0"/>
        <w:jc w:val="center"/>
        <w:rPr>
          <w:rFonts w:ascii="Times New Roman" w:hAnsi="Times New Roman" w:cs="Times New Roman"/>
          <w:b/>
          <w:bCs/>
          <w:color w:val="auto"/>
          <w:spacing w:val="-2"/>
          <w:kern w:val="0"/>
          <w:sz w:val="21"/>
          <w:szCs w:val="21"/>
        </w:rPr>
      </w:pPr>
      <w:r>
        <w:rPr>
          <w:rFonts w:ascii="Times New Roman" w:hAnsi="Times New Roman" w:cs="Times New Roman"/>
          <w:b/>
          <w:bCs/>
          <w:color w:val="auto"/>
          <w:spacing w:val="-2"/>
          <w:kern w:val="0"/>
          <w:sz w:val="21"/>
          <w:szCs w:val="21"/>
        </w:rPr>
        <w:t>表4.3-1  地表水监测断面一览表</w:t>
      </w:r>
    </w:p>
    <w:tbl>
      <w:tblPr>
        <w:tblStyle w:val="62"/>
        <w:tblW w:w="8928" w:type="dxa"/>
        <w:tblInd w:w="111"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700"/>
        <w:gridCol w:w="1707"/>
        <w:gridCol w:w="1843"/>
        <w:gridCol w:w="4678"/>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3" w:hRule="atLeast"/>
        </w:trPr>
        <w:tc>
          <w:tcPr>
            <w:tcW w:w="700"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序号</w:t>
            </w:r>
          </w:p>
        </w:tc>
        <w:tc>
          <w:tcPr>
            <w:tcW w:w="1707"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河流</w:t>
            </w:r>
          </w:p>
        </w:tc>
        <w:tc>
          <w:tcPr>
            <w:tcW w:w="1843"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断面编号</w:t>
            </w:r>
          </w:p>
        </w:tc>
        <w:tc>
          <w:tcPr>
            <w:tcW w:w="4678"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断面位置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3" w:hRule="atLeast"/>
        </w:trPr>
        <w:tc>
          <w:tcPr>
            <w:tcW w:w="700"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w:t>
            </w:r>
          </w:p>
        </w:tc>
        <w:tc>
          <w:tcPr>
            <w:tcW w:w="1707" w:type="dxa"/>
            <w:vMerge w:val="restart"/>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店埠河</w:t>
            </w:r>
          </w:p>
        </w:tc>
        <w:tc>
          <w:tcPr>
            <w:tcW w:w="1843"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W1</w:t>
            </w:r>
          </w:p>
        </w:tc>
        <w:tc>
          <w:tcPr>
            <w:tcW w:w="4678"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店埠河码头上游200m 处</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2" w:hRule="atLeast"/>
        </w:trPr>
        <w:tc>
          <w:tcPr>
            <w:tcW w:w="700"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w:t>
            </w:r>
          </w:p>
        </w:tc>
        <w:tc>
          <w:tcPr>
            <w:tcW w:w="1707" w:type="dxa"/>
            <w:vMerge w:val="continue"/>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p>
        </w:tc>
        <w:tc>
          <w:tcPr>
            <w:tcW w:w="1843"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W2</w:t>
            </w:r>
          </w:p>
        </w:tc>
        <w:tc>
          <w:tcPr>
            <w:tcW w:w="4678"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店埠河码头下游300m 处</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2" w:hRule="atLeast"/>
        </w:trPr>
        <w:tc>
          <w:tcPr>
            <w:tcW w:w="700"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w:t>
            </w:r>
          </w:p>
        </w:tc>
        <w:tc>
          <w:tcPr>
            <w:tcW w:w="1707"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撮镇灌溉渠</w:t>
            </w:r>
          </w:p>
        </w:tc>
        <w:tc>
          <w:tcPr>
            <w:tcW w:w="1843"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W3</w:t>
            </w:r>
          </w:p>
        </w:tc>
        <w:tc>
          <w:tcPr>
            <w:tcW w:w="4678" w:type="dxa"/>
            <w:shd w:val="clear" w:color="auto" w:fill="auto"/>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拟建码头上游200m 处</w:t>
            </w:r>
          </w:p>
        </w:tc>
      </w:tr>
    </w:tbl>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（1）监测因子：pH、DO、COD、BOD</w:t>
      </w:r>
      <w:r>
        <w:rPr>
          <w:rFonts w:ascii="Times New Roman" w:hAnsi="Times New Roman" w:cs="Times New Roman"/>
          <w:color w:val="auto"/>
          <w:spacing w:val="-2"/>
          <w:kern w:val="0"/>
          <w:szCs w:val="20"/>
          <w:vertAlign w:val="subscript"/>
        </w:rPr>
        <w:t>5</w:t>
      </w:r>
      <w:r>
        <w:rPr>
          <w:rFonts w:ascii="Times New Roman" w:hAnsi="Times New Roman" w:cs="Times New Roman"/>
          <w:color w:val="auto"/>
          <w:spacing w:val="-2"/>
          <w:kern w:val="0"/>
          <w:szCs w:val="20"/>
        </w:rPr>
        <w:t>、NH</w:t>
      </w:r>
      <w:r>
        <w:rPr>
          <w:rFonts w:ascii="Times New Roman" w:hAnsi="Times New Roman" w:cs="Times New Roman"/>
          <w:color w:val="auto"/>
          <w:spacing w:val="-2"/>
          <w:kern w:val="0"/>
          <w:sz w:val="22"/>
          <w:szCs w:val="18"/>
          <w:vertAlign w:val="subscript"/>
        </w:rPr>
        <w:t>3</w:t>
      </w:r>
      <w:r>
        <w:rPr>
          <w:rFonts w:ascii="Times New Roman" w:hAnsi="Times New Roman" w:cs="Times New Roman"/>
          <w:color w:val="auto"/>
          <w:spacing w:val="-2"/>
          <w:kern w:val="0"/>
          <w:szCs w:val="20"/>
        </w:rPr>
        <w:t>-N、TP、TN、石油类共8项指标。</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（2）监测方法</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监测方法按《环境监测技术规范》和《水质采样设计规定》中有关规定执行。分析方法按《地表水环境质量标准》（GB3838-2002）中地表水环境质量标准基本项目分析方法进行。</w:t>
      </w:r>
    </w:p>
    <w:p>
      <w:pPr>
        <w:ind w:firstLine="472"/>
        <w:jc w:val="left"/>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（6）监测结果</w:t>
      </w:r>
    </w:p>
    <w:p>
      <w:pPr>
        <w:ind w:firstLine="472"/>
        <w:jc w:val="left"/>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监测统计结果见表4.3-2。</w:t>
      </w:r>
    </w:p>
    <w:p>
      <w:pPr>
        <w:adjustRightInd/>
        <w:snapToGrid/>
        <w:spacing w:line="240" w:lineRule="auto"/>
        <w:ind w:firstLine="0" w:firstLineChars="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表4.3-2     地表水监测结果表</w:t>
      </w:r>
    </w:p>
    <w:tbl>
      <w:tblPr>
        <w:tblStyle w:val="62"/>
        <w:tblW w:w="928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60"/>
        <w:gridCol w:w="16"/>
        <w:gridCol w:w="2273"/>
        <w:gridCol w:w="31"/>
        <w:gridCol w:w="2186"/>
        <w:gridCol w:w="46"/>
        <w:gridCol w:w="2315"/>
        <w:gridCol w:w="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采样日期</w:t>
            </w:r>
          </w:p>
        </w:tc>
        <w:tc>
          <w:tcPr>
            <w:tcW w:w="6867" w:type="dxa"/>
            <w:gridSpan w:val="6"/>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2021.02.22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河流</w:t>
            </w:r>
          </w:p>
        </w:tc>
        <w:tc>
          <w:tcPr>
            <w:tcW w:w="4506" w:type="dxa"/>
            <w:gridSpan w:val="4"/>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店埠河</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lang w:val="zh-CN"/>
              </w:rPr>
              <w:t>撮镇灌溉渠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监测点位</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rPr>
              <w:t>W1码头上游200m</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rPr>
              <w:t>W2码头下游300m</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rPr>
              <w:t>W3拟建码头上游200m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样品性状</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无色、无味、微浊</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无色、无味、微浊</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无色、无味、微浊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pH（无量纲）</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7.6</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7.7</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7.4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化学需氧量（mg/L）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28</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25</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溶解氧（mg/L）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5.9</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6.2</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gridAfter w:val="1"/>
          <w:wAfter w:w="61" w:type="dxa"/>
          <w:trHeight w:val="92" w:hRule="atLeast"/>
        </w:trPr>
        <w:tc>
          <w:tcPr>
            <w:tcW w:w="2360" w:type="dxa"/>
            <w:shd w:val="clear" w:color="auto" w:fill="auto"/>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五日生化需氧量（mg/L）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3.4</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3.0</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氨氮（mg/L）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0.615</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0.594</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0.729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总磷（mg/L）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0.21</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0.19</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总氮（mg/L）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1.24</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1.18</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1.31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石油类（mg/L）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0.01L</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0.01L</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9227" w:type="dxa"/>
            <w:gridSpan w:val="7"/>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备注：“L”表示低于检出限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采样日期</w:t>
            </w:r>
          </w:p>
        </w:tc>
        <w:tc>
          <w:tcPr>
            <w:tcW w:w="6867" w:type="dxa"/>
            <w:gridSpan w:val="6"/>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2021.02.23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河流</w:t>
            </w:r>
          </w:p>
        </w:tc>
        <w:tc>
          <w:tcPr>
            <w:tcW w:w="4506" w:type="dxa"/>
            <w:gridSpan w:val="4"/>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店埠河</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lang w:val="zh-CN"/>
              </w:rPr>
              <w:t>撮镇灌溉渠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监测点位</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rPr>
              <w:t>W1码头上游200m</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rPr>
              <w:t>W2码头下游300m</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rPr>
              <w:t>W3拟建码头上游200m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样品性状</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无色、无味、微浊</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无色、无味、微浊</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无色、无味、微浊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pH（无量纲）</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7.6</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7.6</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化学需氧量（mg/L）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29</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26</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溶解氧（mg/L）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5.8</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6.4</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五日生化需氧量（mg/L）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3.5</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3.1</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氨氮（mg/L）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0.584</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0.539</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0.774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总磷（mg/L）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0.19</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0.18</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总氮（mg/L）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1.25</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1.13</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1.41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2360"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石油类（mg/L）</w:t>
            </w:r>
          </w:p>
        </w:tc>
        <w:tc>
          <w:tcPr>
            <w:tcW w:w="2289"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0.01L</w:t>
            </w:r>
          </w:p>
        </w:tc>
        <w:tc>
          <w:tcPr>
            <w:tcW w:w="2217"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0.01L</w:t>
            </w:r>
          </w:p>
        </w:tc>
        <w:tc>
          <w:tcPr>
            <w:tcW w:w="2361"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61" w:type="dxa"/>
          <w:trHeight w:val="92" w:hRule="atLeast"/>
        </w:trPr>
        <w:tc>
          <w:tcPr>
            <w:tcW w:w="9227" w:type="dxa"/>
            <w:gridSpan w:val="7"/>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备注：“L”表示低于检出限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3" w:hRule="atLeast"/>
        </w:trPr>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采样日期</w:t>
            </w:r>
          </w:p>
        </w:tc>
        <w:tc>
          <w:tcPr>
            <w:tcW w:w="6912" w:type="dxa"/>
            <w:gridSpan w:val="6"/>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2021.02.24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3" w:hRule="atLeast"/>
        </w:trPr>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河流</w:t>
            </w:r>
          </w:p>
        </w:tc>
        <w:tc>
          <w:tcPr>
            <w:tcW w:w="4536" w:type="dxa"/>
            <w:gridSpan w:val="4"/>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店埠河</w:t>
            </w:r>
          </w:p>
        </w:tc>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lang w:val="zh-CN"/>
              </w:rPr>
              <w:t>撮镇灌溉渠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3" w:hRule="atLeast"/>
        </w:trPr>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监测点位</w:t>
            </w:r>
          </w:p>
        </w:tc>
        <w:tc>
          <w:tcPr>
            <w:tcW w:w="2304"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rPr>
              <w:t>W1码头上游200m</w:t>
            </w:r>
          </w:p>
        </w:tc>
        <w:tc>
          <w:tcPr>
            <w:tcW w:w="2232"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rPr>
              <w:t>W2码头下游300m</w:t>
            </w:r>
          </w:p>
        </w:tc>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rPr>
              <w:t>W3拟建码头上游200m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3" w:hRule="atLeast"/>
        </w:trPr>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样品性状</w:t>
            </w:r>
          </w:p>
        </w:tc>
        <w:tc>
          <w:tcPr>
            <w:tcW w:w="2304"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无色、无味、微浊</w:t>
            </w:r>
          </w:p>
        </w:tc>
        <w:tc>
          <w:tcPr>
            <w:tcW w:w="2232"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无色、无味、微浊</w:t>
            </w:r>
          </w:p>
        </w:tc>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无色、无味、微浊</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3" w:hRule="atLeast"/>
        </w:trPr>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pH（无量纲）</w:t>
            </w:r>
          </w:p>
        </w:tc>
        <w:tc>
          <w:tcPr>
            <w:tcW w:w="2304"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7.8</w:t>
            </w:r>
          </w:p>
        </w:tc>
        <w:tc>
          <w:tcPr>
            <w:tcW w:w="2232"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7.6</w:t>
            </w:r>
          </w:p>
        </w:tc>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3" w:hRule="atLeast"/>
        </w:trPr>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化学需氧量（mg/L）</w:t>
            </w:r>
          </w:p>
        </w:tc>
        <w:tc>
          <w:tcPr>
            <w:tcW w:w="2304"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27</w:t>
            </w:r>
          </w:p>
        </w:tc>
        <w:tc>
          <w:tcPr>
            <w:tcW w:w="2232"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27</w:t>
            </w:r>
          </w:p>
        </w:tc>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3" w:hRule="atLeast"/>
        </w:trPr>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溶解氧（mg/L）</w:t>
            </w:r>
          </w:p>
        </w:tc>
        <w:tc>
          <w:tcPr>
            <w:tcW w:w="2304"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5.8</w:t>
            </w:r>
          </w:p>
        </w:tc>
        <w:tc>
          <w:tcPr>
            <w:tcW w:w="2232"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6.1</w:t>
            </w:r>
          </w:p>
        </w:tc>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3" w:hRule="atLeast"/>
        </w:trPr>
        <w:tc>
          <w:tcPr>
            <w:tcW w:w="2376" w:type="dxa"/>
            <w:gridSpan w:val="2"/>
            <w:shd w:val="clear" w:color="auto" w:fill="auto"/>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五日生化需氧量（mg/L）</w:t>
            </w:r>
          </w:p>
        </w:tc>
        <w:tc>
          <w:tcPr>
            <w:tcW w:w="2304"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3.2</w:t>
            </w:r>
          </w:p>
        </w:tc>
        <w:tc>
          <w:tcPr>
            <w:tcW w:w="2232"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3.2</w:t>
            </w:r>
          </w:p>
        </w:tc>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3" w:hRule="atLeast"/>
        </w:trPr>
        <w:tc>
          <w:tcPr>
            <w:tcW w:w="2376" w:type="dxa"/>
            <w:gridSpan w:val="2"/>
            <w:shd w:val="clear" w:color="auto" w:fill="auto"/>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氨氮（mg/L）</w:t>
            </w:r>
          </w:p>
        </w:tc>
        <w:tc>
          <w:tcPr>
            <w:tcW w:w="2304"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0.591</w:t>
            </w:r>
          </w:p>
        </w:tc>
        <w:tc>
          <w:tcPr>
            <w:tcW w:w="2232"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0.554</w:t>
            </w:r>
          </w:p>
        </w:tc>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0.630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3" w:hRule="atLeast"/>
        </w:trPr>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总磷（mg/L）</w:t>
            </w:r>
          </w:p>
        </w:tc>
        <w:tc>
          <w:tcPr>
            <w:tcW w:w="2304"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0.16</w:t>
            </w:r>
          </w:p>
        </w:tc>
        <w:tc>
          <w:tcPr>
            <w:tcW w:w="2232"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0.17</w:t>
            </w:r>
          </w:p>
        </w:tc>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3" w:hRule="atLeast"/>
        </w:trPr>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总氮（mg/L）</w:t>
            </w:r>
          </w:p>
        </w:tc>
        <w:tc>
          <w:tcPr>
            <w:tcW w:w="2304"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1.27</w:t>
            </w:r>
          </w:p>
        </w:tc>
        <w:tc>
          <w:tcPr>
            <w:tcW w:w="2232"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1.16</w:t>
            </w:r>
          </w:p>
        </w:tc>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1.30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3" w:hRule="atLeast"/>
        </w:trPr>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石油类（mg/L）</w:t>
            </w:r>
          </w:p>
        </w:tc>
        <w:tc>
          <w:tcPr>
            <w:tcW w:w="2304"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0.01L</w:t>
            </w:r>
          </w:p>
        </w:tc>
        <w:tc>
          <w:tcPr>
            <w:tcW w:w="2232"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0.01L</w:t>
            </w:r>
          </w:p>
        </w:tc>
        <w:tc>
          <w:tcPr>
            <w:tcW w:w="2376" w:type="dxa"/>
            <w:gridSpan w:val="2"/>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0.01L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3" w:hRule="atLeast"/>
        </w:trPr>
        <w:tc>
          <w:tcPr>
            <w:tcW w:w="9288" w:type="dxa"/>
            <w:gridSpan w:val="8"/>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备注：“L”表示低于检出限</w:t>
            </w:r>
          </w:p>
        </w:tc>
      </w:tr>
    </w:tbl>
    <w:p>
      <w:pPr>
        <w:pStyle w:val="3550"/>
        <w:rPr>
          <w:rFonts w:ascii="Times New Roman" w:hAnsi="Times New Roman" w:cs="Times New Roman"/>
          <w:color w:val="auto"/>
        </w:rPr>
        <w:sectPr>
          <w:pgSz w:w="11906" w:h="16838"/>
          <w:pgMar w:top="1417" w:right="1417" w:bottom="1417" w:left="1417" w:header="850" w:footer="992" w:gutter="0"/>
          <w:cols w:space="720" w:num="1"/>
          <w:docGrid w:type="lines" w:linePitch="333" w:charSpace="0"/>
        </w:sectPr>
      </w:pPr>
    </w:p>
    <w:p>
      <w:pPr>
        <w:ind w:firstLine="0" w:firstLineChars="0"/>
        <w:rPr>
          <w:rFonts w:ascii="Times New Roman" w:hAnsi="Times New Roman" w:cs="Times New Roman"/>
          <w:b/>
          <w:bCs/>
          <w:color w:val="auto"/>
          <w:spacing w:val="-2"/>
          <w:kern w:val="0"/>
          <w:szCs w:val="20"/>
        </w:rPr>
      </w:pPr>
      <w:r>
        <w:rPr>
          <w:rFonts w:ascii="Times New Roman" w:hAnsi="Times New Roman" w:cs="Times New Roman"/>
          <w:b/>
          <w:bCs/>
          <w:color w:val="auto"/>
          <w:spacing w:val="-2"/>
          <w:kern w:val="0"/>
          <w:szCs w:val="20"/>
        </w:rPr>
        <w:t>4.3.3地表水现状质量评价</w:t>
      </w:r>
    </w:p>
    <w:p>
      <w:pPr>
        <w:widowControl/>
        <w:ind w:firstLine="480"/>
        <w:rPr>
          <w:rFonts w:ascii="Times New Roman" w:hAnsi="Times New Roman" w:cs="Times New Roman"/>
          <w:color w:val="auto"/>
          <w:kern w:val="0"/>
          <w:szCs w:val="20"/>
        </w:rPr>
      </w:pPr>
      <w:r>
        <w:rPr>
          <w:rFonts w:ascii="Times New Roman" w:hAnsi="Times New Roman" w:cs="Times New Roman"/>
          <w:color w:val="auto"/>
          <w:kern w:val="0"/>
          <w:szCs w:val="20"/>
        </w:rPr>
        <w:t>（1）评价方法</w:t>
      </w:r>
    </w:p>
    <w:p>
      <w:pPr>
        <w:widowControl/>
        <w:ind w:firstLine="480"/>
        <w:rPr>
          <w:rFonts w:ascii="Times New Roman" w:hAnsi="Times New Roman" w:cs="Times New Roman"/>
          <w:color w:val="auto"/>
          <w:kern w:val="0"/>
          <w:szCs w:val="20"/>
        </w:rPr>
      </w:pPr>
      <w:r>
        <w:rPr>
          <w:rFonts w:ascii="Times New Roman" w:hAnsi="Times New Roman" w:cs="Times New Roman"/>
          <w:color w:val="auto"/>
          <w:kern w:val="0"/>
          <w:szCs w:val="20"/>
        </w:rPr>
        <w:t>按照相应水质标准，评价方法采用单因子标准指数法，按《环境影响评价技术导则 地面水环境》中的推荐公式计算。</w:t>
      </w:r>
    </w:p>
    <w:p>
      <w:pPr>
        <w:widowControl/>
        <w:ind w:firstLine="480"/>
        <w:rPr>
          <w:rFonts w:ascii="Times New Roman" w:hAnsi="Times New Roman" w:cs="Times New Roman"/>
          <w:color w:val="auto"/>
          <w:kern w:val="0"/>
          <w:szCs w:val="20"/>
        </w:rPr>
      </w:pPr>
      <w:r>
        <w:rPr>
          <w:rFonts w:hint="eastAsia" w:ascii="宋体" w:hAnsi="宋体" w:cs="宋体"/>
          <w:color w:val="auto"/>
          <w:kern w:val="0"/>
          <w:szCs w:val="20"/>
        </w:rPr>
        <w:t>①</w:t>
      </w:r>
      <w:r>
        <w:rPr>
          <w:rFonts w:ascii="Times New Roman" w:hAnsi="Times New Roman" w:cs="Times New Roman"/>
          <w:color w:val="auto"/>
          <w:kern w:val="0"/>
          <w:szCs w:val="20"/>
        </w:rPr>
        <w:t>单项水质参数I的标准指数S</w:t>
      </w:r>
      <w:r>
        <w:rPr>
          <w:rFonts w:ascii="Times New Roman" w:hAnsi="Times New Roman" w:cs="Times New Roman"/>
          <w:color w:val="auto"/>
          <w:kern w:val="0"/>
          <w:szCs w:val="20"/>
          <w:vertAlign w:val="subscript"/>
        </w:rPr>
        <w:t>i</w:t>
      </w:r>
      <w:r>
        <w:rPr>
          <w:rFonts w:ascii="Times New Roman" w:hAnsi="Times New Roman" w:cs="Times New Roman"/>
          <w:color w:val="auto"/>
          <w:kern w:val="0"/>
          <w:szCs w:val="20"/>
        </w:rPr>
        <w:t>为：</w:t>
      </w:r>
    </w:p>
    <w:p>
      <w:pPr>
        <w:widowControl/>
        <w:ind w:firstLine="0" w:firstLineChars="0"/>
        <w:jc w:val="center"/>
        <w:rPr>
          <w:rFonts w:ascii="Times New Roman" w:hAnsi="Times New Roman" w:cs="Times New Roman"/>
          <w:color w:val="auto"/>
          <w:kern w:val="0"/>
          <w:szCs w:val="20"/>
        </w:rPr>
      </w:pPr>
      <w:r>
        <w:rPr>
          <w:rFonts w:ascii="Times New Roman" w:hAnsi="Times New Roman" w:cs="Times New Roman"/>
          <w:color w:val="auto"/>
          <w:kern w:val="0"/>
          <w:szCs w:val="20"/>
        </w:rPr>
        <w:object>
          <v:shape id="_x0000_i1042" o:spt="75" type="#_x0000_t75" style="height:22.5pt;width:44.25pt;" o:ole="t" filled="f" o:preferrelative="t" stroked="f" coordsize="21600,21600">
            <v:path/>
            <v:fill on="f" focussize="0,0"/>
            <v:stroke on="f" joinstyle="miter"/>
            <v:imagedata r:id="rId121" o:title=""/>
            <o:lock v:ext="edit" aspectratio="t"/>
            <w10:wrap type="none"/>
            <w10:anchorlock/>
          </v:shape>
          <o:OLEObject Type="Embed" ProgID="Equation.3" ShapeID="_x0000_i1042" DrawAspect="Content" ObjectID="_1468075742" r:id="rId120">
            <o:LockedField>false</o:LockedField>
          </o:OLEObject>
        </w:object>
      </w:r>
    </w:p>
    <w:p>
      <w:pPr>
        <w:widowControl/>
        <w:ind w:firstLine="480"/>
        <w:rPr>
          <w:rFonts w:ascii="Times New Roman" w:hAnsi="Times New Roman" w:cs="Times New Roman"/>
          <w:color w:val="auto"/>
          <w:kern w:val="0"/>
          <w:szCs w:val="20"/>
        </w:rPr>
      </w:pPr>
      <w:r>
        <w:rPr>
          <w:rFonts w:ascii="Times New Roman" w:hAnsi="Times New Roman" w:cs="Times New Roman"/>
          <w:color w:val="auto"/>
          <w:kern w:val="0"/>
          <w:szCs w:val="20"/>
        </w:rPr>
        <w:t>式中：  C</w:t>
      </w:r>
      <w:r>
        <w:rPr>
          <w:rFonts w:ascii="Times New Roman" w:hAnsi="Times New Roman" w:cs="Times New Roman"/>
          <w:color w:val="auto"/>
          <w:kern w:val="0"/>
          <w:szCs w:val="20"/>
          <w:vertAlign w:val="subscript"/>
        </w:rPr>
        <w:t>i</w:t>
      </w:r>
      <w:r>
        <w:rPr>
          <w:rFonts w:ascii="Times New Roman" w:hAnsi="Times New Roman" w:cs="Times New Roman"/>
          <w:color w:val="auto"/>
          <w:kern w:val="0"/>
          <w:szCs w:val="20"/>
        </w:rPr>
        <w:t>——i污染物实测浓度，mg/L；</w:t>
      </w:r>
    </w:p>
    <w:p>
      <w:pPr>
        <w:widowControl/>
        <w:ind w:firstLine="480"/>
        <w:rPr>
          <w:rFonts w:ascii="Times New Roman" w:hAnsi="Times New Roman" w:cs="Times New Roman"/>
          <w:color w:val="auto"/>
          <w:kern w:val="0"/>
          <w:szCs w:val="20"/>
        </w:rPr>
      </w:pPr>
      <w:r>
        <w:rPr>
          <w:rFonts w:ascii="Times New Roman" w:hAnsi="Times New Roman" w:cs="Times New Roman"/>
          <w:color w:val="auto"/>
          <w:kern w:val="0"/>
          <w:szCs w:val="20"/>
        </w:rPr>
        <w:t xml:space="preserve">        C</w:t>
      </w:r>
      <w:r>
        <w:rPr>
          <w:rFonts w:ascii="Times New Roman" w:hAnsi="Times New Roman" w:cs="Times New Roman"/>
          <w:color w:val="auto"/>
          <w:kern w:val="0"/>
          <w:szCs w:val="20"/>
          <w:vertAlign w:val="subscript"/>
        </w:rPr>
        <w:t>s</w:t>
      </w:r>
      <w:r>
        <w:rPr>
          <w:rFonts w:ascii="Times New Roman" w:hAnsi="Times New Roman" w:cs="Times New Roman"/>
          <w:color w:val="auto"/>
          <w:kern w:val="0"/>
          <w:szCs w:val="20"/>
        </w:rPr>
        <w:t>——i污染物评价标准，mg/L。</w:t>
      </w:r>
    </w:p>
    <w:p>
      <w:pPr>
        <w:widowControl/>
        <w:ind w:firstLine="480"/>
        <w:rPr>
          <w:rFonts w:ascii="Times New Roman" w:hAnsi="Times New Roman" w:cs="Times New Roman"/>
          <w:color w:val="auto"/>
          <w:kern w:val="0"/>
          <w:szCs w:val="20"/>
        </w:rPr>
      </w:pPr>
      <w:r>
        <w:rPr>
          <w:rFonts w:hint="eastAsia" w:ascii="宋体" w:hAnsi="宋体" w:cs="宋体"/>
          <w:color w:val="auto"/>
          <w:kern w:val="0"/>
          <w:szCs w:val="20"/>
        </w:rPr>
        <w:t>②</w:t>
      </w:r>
      <w:r>
        <w:rPr>
          <w:rFonts w:ascii="Times New Roman" w:hAnsi="Times New Roman" w:cs="Times New Roman"/>
          <w:color w:val="auto"/>
          <w:kern w:val="0"/>
          <w:szCs w:val="20"/>
        </w:rPr>
        <w:t>pH的标准指数为：</w:t>
      </w:r>
    </w:p>
    <w:p>
      <w:pPr>
        <w:spacing w:line="240" w:lineRule="auto"/>
        <w:ind w:firstLine="480"/>
        <w:jc w:val="center"/>
        <w:rPr>
          <w:rFonts w:ascii="Times New Roman" w:hAnsi="Times New Roman" w:cs="Times New Roman"/>
          <w:color w:val="auto"/>
          <w:spacing w:val="-2"/>
          <w:kern w:val="0"/>
          <w:szCs w:val="20"/>
        </w:rPr>
      </w:pPr>
      <w:r>
        <w:rPr>
          <w:rFonts w:ascii="Times New Roman" w:hAnsi="Times New Roman" w:cs="Times New Roman"/>
          <w:color w:val="auto"/>
          <w:spacing w:val="-2"/>
          <w:kern w:val="0"/>
          <w:position w:val="-30"/>
          <w:szCs w:val="20"/>
        </w:rPr>
        <w:object>
          <v:shape id="_x0000_i1043" o:spt="75" type="#_x0000_t75" style="height:39pt;width:99.75pt;" o:ole="t" filled="f" o:preferrelative="t" stroked="f" coordsize="21600,21600">
            <v:path/>
            <v:fill on="f" focussize="0,0"/>
            <v:stroke on="f" joinstyle="miter"/>
            <v:imagedata r:id="rId123" o:title=""/>
            <o:lock v:ext="edit" aspectratio="t"/>
            <w10:wrap type="none"/>
            <w10:anchorlock/>
          </v:shape>
          <o:OLEObject Type="Embed" ProgID="Equation.3" ShapeID="_x0000_i1043" DrawAspect="Content" ObjectID="_1468075743" r:id="rId122">
            <o:LockedField>false</o:LockedField>
          </o:OLEObject>
        </w:object>
      </w:r>
      <w:r>
        <w:rPr>
          <w:rFonts w:ascii="Times New Roman" w:hAnsi="Times New Roman" w:cs="Times New Roman"/>
          <w:color w:val="auto"/>
          <w:spacing w:val="-2"/>
          <w:kern w:val="0"/>
          <w:szCs w:val="20"/>
        </w:rPr>
        <w:t>（当pHj≤7.0时）；</w:t>
      </w:r>
    </w:p>
    <w:p>
      <w:pPr>
        <w:spacing w:line="240" w:lineRule="auto"/>
        <w:ind w:firstLine="480"/>
        <w:jc w:val="center"/>
        <w:rPr>
          <w:rFonts w:ascii="Times New Roman" w:hAnsi="Times New Roman" w:cs="Times New Roman"/>
          <w:color w:val="auto"/>
          <w:spacing w:val="-2"/>
          <w:kern w:val="0"/>
          <w:szCs w:val="20"/>
        </w:rPr>
      </w:pPr>
      <w:r>
        <w:rPr>
          <w:rFonts w:ascii="Times New Roman" w:hAnsi="Times New Roman" w:cs="Times New Roman"/>
          <w:color w:val="auto"/>
          <w:spacing w:val="-2"/>
          <w:kern w:val="0"/>
          <w:position w:val="-30"/>
          <w:szCs w:val="20"/>
        </w:rPr>
        <w:object>
          <v:shape id="_x0000_i1044" o:spt="75" type="#_x0000_t75" style="height:39pt;width:99.75pt;" o:ole="t" filled="f" o:preferrelative="t" stroked="f" coordsize="21600,21600">
            <v:path/>
            <v:fill on="f" focussize="0,0"/>
            <v:stroke on="f" joinstyle="miter"/>
            <v:imagedata r:id="rId125" o:title=""/>
            <o:lock v:ext="edit" aspectratio="t"/>
            <w10:wrap type="none"/>
            <w10:anchorlock/>
          </v:shape>
          <o:OLEObject Type="Embed" ProgID="Equation.3" ShapeID="_x0000_i1044" DrawAspect="Content" ObjectID="_1468075744" r:id="rId124">
            <o:LockedField>false</o:LockedField>
          </o:OLEObject>
        </w:object>
      </w:r>
      <w:r>
        <w:rPr>
          <w:rFonts w:ascii="Times New Roman" w:hAnsi="Times New Roman" w:cs="Times New Roman"/>
          <w:color w:val="auto"/>
          <w:spacing w:val="-2"/>
          <w:kern w:val="0"/>
          <w:szCs w:val="20"/>
        </w:rPr>
        <w:t>（当pHj&gt;7.0时）；</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式中：</w:t>
      </w:r>
      <w:r>
        <w:rPr>
          <w:rFonts w:ascii="Times New Roman" w:hAnsi="Times New Roman" w:cs="Times New Roman"/>
          <w:i/>
          <w:color w:val="auto"/>
          <w:spacing w:val="-2"/>
          <w:kern w:val="0"/>
          <w:szCs w:val="20"/>
        </w:rPr>
        <w:t>S</w:t>
      </w:r>
      <w:r>
        <w:rPr>
          <w:rFonts w:ascii="Times New Roman" w:hAnsi="Times New Roman" w:cs="Times New Roman"/>
          <w:i/>
          <w:color w:val="auto"/>
          <w:spacing w:val="-2"/>
          <w:kern w:val="0"/>
          <w:szCs w:val="20"/>
          <w:vertAlign w:val="subscript"/>
        </w:rPr>
        <w:t xml:space="preserve">PH </w:t>
      </w:r>
      <w:r>
        <w:rPr>
          <w:rFonts w:ascii="Times New Roman" w:hAnsi="Times New Roman" w:cs="Times New Roman"/>
          <w:color w:val="auto"/>
          <w:spacing w:val="-2"/>
          <w:kern w:val="0"/>
          <w:szCs w:val="20"/>
        </w:rPr>
        <w:t xml:space="preserve">— </w:t>
      </w:r>
      <w:r>
        <w:rPr>
          <w:rFonts w:ascii="Times New Roman" w:hAnsi="Times New Roman" w:cs="Times New Roman"/>
          <w:i/>
          <w:color w:val="auto"/>
          <w:spacing w:val="-2"/>
          <w:kern w:val="0"/>
          <w:szCs w:val="20"/>
        </w:rPr>
        <w:t>pH</w:t>
      </w:r>
      <w:r>
        <w:rPr>
          <w:rFonts w:ascii="Times New Roman" w:hAnsi="Times New Roman" w:cs="Times New Roman"/>
          <w:color w:val="auto"/>
          <w:spacing w:val="-2"/>
          <w:kern w:val="0"/>
          <w:szCs w:val="20"/>
        </w:rPr>
        <w:t>值的分指数；</w:t>
      </w:r>
    </w:p>
    <w:p>
      <w:pPr>
        <w:ind w:firstLine="472"/>
        <w:rPr>
          <w:rFonts w:ascii="Times New Roman" w:hAnsi="Times New Roman" w:cs="Times New Roman"/>
          <w:color w:val="auto"/>
          <w:spacing w:val="-2"/>
          <w:kern w:val="0"/>
          <w:szCs w:val="20"/>
        </w:rPr>
      </w:pPr>
      <w:r>
        <w:rPr>
          <w:rFonts w:ascii="Times New Roman" w:hAnsi="Times New Roman" w:cs="Times New Roman"/>
          <w:i/>
          <w:color w:val="auto"/>
          <w:spacing w:val="-2"/>
          <w:kern w:val="0"/>
          <w:szCs w:val="20"/>
        </w:rPr>
        <w:t>PH</w:t>
      </w:r>
      <w:r>
        <w:rPr>
          <w:rFonts w:ascii="Times New Roman" w:hAnsi="Times New Roman" w:cs="Times New Roman"/>
          <w:i/>
          <w:color w:val="auto"/>
          <w:spacing w:val="-2"/>
          <w:kern w:val="0"/>
          <w:szCs w:val="20"/>
          <w:vertAlign w:val="subscript"/>
        </w:rPr>
        <w:t xml:space="preserve">j </w:t>
      </w:r>
      <w:r>
        <w:rPr>
          <w:rFonts w:ascii="Times New Roman" w:hAnsi="Times New Roman" w:cs="Times New Roman"/>
          <w:color w:val="auto"/>
          <w:spacing w:val="-2"/>
          <w:kern w:val="0"/>
          <w:szCs w:val="20"/>
        </w:rPr>
        <w:t xml:space="preserve">— </w:t>
      </w:r>
      <w:r>
        <w:rPr>
          <w:rFonts w:ascii="Times New Roman" w:hAnsi="Times New Roman" w:cs="Times New Roman"/>
          <w:i/>
          <w:color w:val="auto"/>
          <w:spacing w:val="-2"/>
          <w:kern w:val="0"/>
          <w:szCs w:val="20"/>
        </w:rPr>
        <w:t>pH</w:t>
      </w:r>
      <w:r>
        <w:rPr>
          <w:rFonts w:ascii="Times New Roman" w:hAnsi="Times New Roman" w:cs="Times New Roman"/>
          <w:color w:val="auto"/>
          <w:spacing w:val="-2"/>
          <w:kern w:val="0"/>
          <w:szCs w:val="20"/>
        </w:rPr>
        <w:t>实测值；</w:t>
      </w:r>
    </w:p>
    <w:p>
      <w:pPr>
        <w:ind w:firstLine="472"/>
        <w:rPr>
          <w:rFonts w:ascii="Times New Roman" w:hAnsi="Times New Roman" w:cs="Times New Roman"/>
          <w:color w:val="auto"/>
          <w:spacing w:val="-2"/>
          <w:kern w:val="0"/>
          <w:szCs w:val="20"/>
        </w:rPr>
      </w:pPr>
      <w:r>
        <w:rPr>
          <w:rFonts w:ascii="Times New Roman" w:hAnsi="Times New Roman" w:cs="Times New Roman"/>
          <w:i/>
          <w:color w:val="auto"/>
          <w:spacing w:val="-2"/>
          <w:kern w:val="0"/>
          <w:szCs w:val="20"/>
        </w:rPr>
        <w:t>PH</w:t>
      </w:r>
      <w:r>
        <w:rPr>
          <w:rFonts w:ascii="Times New Roman" w:hAnsi="Times New Roman" w:cs="Times New Roman"/>
          <w:i/>
          <w:color w:val="auto"/>
          <w:spacing w:val="-2"/>
          <w:kern w:val="0"/>
          <w:szCs w:val="20"/>
          <w:vertAlign w:val="subscript"/>
        </w:rPr>
        <w:t xml:space="preserve">Sd </w:t>
      </w:r>
      <w:r>
        <w:rPr>
          <w:rFonts w:ascii="Times New Roman" w:hAnsi="Times New Roman" w:cs="Times New Roman"/>
          <w:color w:val="auto"/>
          <w:spacing w:val="-2"/>
          <w:kern w:val="0"/>
          <w:szCs w:val="20"/>
        </w:rPr>
        <w:t xml:space="preserve">— </w:t>
      </w:r>
      <w:r>
        <w:rPr>
          <w:rFonts w:ascii="Times New Roman" w:hAnsi="Times New Roman" w:cs="Times New Roman"/>
          <w:i/>
          <w:color w:val="auto"/>
          <w:spacing w:val="-2"/>
          <w:kern w:val="0"/>
          <w:szCs w:val="20"/>
        </w:rPr>
        <w:t>pH</w:t>
      </w:r>
      <w:r>
        <w:rPr>
          <w:rFonts w:ascii="Times New Roman" w:hAnsi="Times New Roman" w:cs="Times New Roman"/>
          <w:color w:val="auto"/>
          <w:spacing w:val="-2"/>
          <w:kern w:val="0"/>
          <w:szCs w:val="20"/>
        </w:rPr>
        <w:t>值评价标准的下限值；</w:t>
      </w:r>
    </w:p>
    <w:p>
      <w:pPr>
        <w:ind w:firstLine="472"/>
        <w:jc w:val="left"/>
        <w:rPr>
          <w:rFonts w:ascii="Times New Roman" w:hAnsi="Times New Roman" w:cs="Times New Roman"/>
          <w:color w:val="auto"/>
          <w:spacing w:val="-2"/>
          <w:kern w:val="0"/>
          <w:szCs w:val="20"/>
        </w:rPr>
      </w:pPr>
      <w:r>
        <w:rPr>
          <w:rFonts w:ascii="Times New Roman" w:hAnsi="Times New Roman" w:cs="Times New Roman"/>
          <w:i/>
          <w:color w:val="auto"/>
          <w:spacing w:val="-2"/>
          <w:kern w:val="0"/>
          <w:szCs w:val="20"/>
        </w:rPr>
        <w:t>PH</w:t>
      </w:r>
      <w:r>
        <w:rPr>
          <w:rFonts w:ascii="Times New Roman" w:hAnsi="Times New Roman" w:cs="Times New Roman"/>
          <w:i/>
          <w:color w:val="auto"/>
          <w:spacing w:val="-2"/>
          <w:kern w:val="0"/>
          <w:szCs w:val="20"/>
          <w:vertAlign w:val="subscript"/>
        </w:rPr>
        <w:t xml:space="preserve">Su </w:t>
      </w:r>
      <w:r>
        <w:rPr>
          <w:rFonts w:ascii="Times New Roman" w:hAnsi="Times New Roman" w:cs="Times New Roman"/>
          <w:color w:val="auto"/>
          <w:spacing w:val="-2"/>
          <w:kern w:val="0"/>
          <w:szCs w:val="20"/>
        </w:rPr>
        <w:t xml:space="preserve">— </w:t>
      </w:r>
      <w:r>
        <w:rPr>
          <w:rFonts w:ascii="Times New Roman" w:hAnsi="Times New Roman" w:cs="Times New Roman"/>
          <w:i/>
          <w:color w:val="auto"/>
          <w:spacing w:val="-2"/>
          <w:kern w:val="0"/>
          <w:szCs w:val="20"/>
        </w:rPr>
        <w:t>pH</w:t>
      </w:r>
      <w:r>
        <w:rPr>
          <w:rFonts w:ascii="Times New Roman" w:hAnsi="Times New Roman" w:cs="Times New Roman"/>
          <w:color w:val="auto"/>
          <w:spacing w:val="-2"/>
          <w:kern w:val="0"/>
          <w:szCs w:val="20"/>
        </w:rPr>
        <w:t>值评价标准的上限值</w:t>
      </w:r>
    </w:p>
    <w:p>
      <w:pPr>
        <w:widowControl/>
        <w:ind w:firstLine="480"/>
        <w:rPr>
          <w:rFonts w:ascii="Times New Roman" w:hAnsi="Times New Roman" w:cs="Times New Roman"/>
          <w:color w:val="auto"/>
          <w:kern w:val="0"/>
          <w:szCs w:val="20"/>
        </w:rPr>
      </w:pPr>
      <w:r>
        <w:rPr>
          <w:rFonts w:ascii="Times New Roman" w:hAnsi="Times New Roman" w:cs="Times New Roman"/>
          <w:color w:val="auto"/>
          <w:kern w:val="0"/>
          <w:szCs w:val="20"/>
        </w:rPr>
        <w:t>（2）评价标准</w:t>
      </w:r>
    </w:p>
    <w:p>
      <w:pPr>
        <w:widowControl/>
        <w:ind w:firstLine="480"/>
        <w:rPr>
          <w:rFonts w:ascii="Times New Roman" w:hAnsi="Times New Roman" w:cs="Times New Roman"/>
          <w:color w:val="auto"/>
          <w:kern w:val="0"/>
          <w:szCs w:val="20"/>
        </w:rPr>
      </w:pPr>
      <w:r>
        <w:rPr>
          <w:rFonts w:ascii="Times New Roman" w:hAnsi="Times New Roman" w:cs="Times New Roman"/>
          <w:color w:val="auto"/>
          <w:kern w:val="0"/>
          <w:szCs w:val="20"/>
        </w:rPr>
        <w:t>地表水体</w:t>
      </w:r>
      <w:r>
        <w:rPr>
          <w:rFonts w:ascii="Times New Roman" w:hAnsi="Times New Roman" w:cs="Times New Roman"/>
          <w:color w:val="auto"/>
          <w:spacing w:val="-2"/>
          <w:kern w:val="0"/>
          <w:szCs w:val="20"/>
        </w:rPr>
        <w:t>店埠河及撮镇灌溉渠水质</w:t>
      </w:r>
      <w:r>
        <w:rPr>
          <w:rFonts w:ascii="Times New Roman" w:hAnsi="Times New Roman" w:cs="Times New Roman"/>
          <w:color w:val="auto"/>
          <w:kern w:val="0"/>
          <w:szCs w:val="20"/>
        </w:rPr>
        <w:t>执行</w:t>
      </w:r>
      <w:r>
        <w:rPr>
          <w:rFonts w:ascii="Times New Roman" w:hAnsi="Times New Roman" w:cs="Times New Roman"/>
          <w:color w:val="auto"/>
          <w:spacing w:val="-2"/>
          <w:kern w:val="0"/>
          <w:szCs w:val="20"/>
        </w:rPr>
        <w:t>《地表水环境质量标准》（GB3838-2002）</w:t>
      </w:r>
      <w:r>
        <w:rPr>
          <w:rFonts w:ascii="Times New Roman" w:hAnsi="Times New Roman" w:cs="Times New Roman"/>
          <w:color w:val="auto"/>
          <w:spacing w:val="-2"/>
          <w:kern w:val="0"/>
          <w:szCs w:val="20"/>
        </w:rPr>
        <w:fldChar w:fldCharType="begin"/>
      </w:r>
      <w:r>
        <w:rPr>
          <w:rFonts w:ascii="Times New Roman" w:hAnsi="Times New Roman" w:cs="Times New Roman"/>
          <w:color w:val="auto"/>
          <w:spacing w:val="-2"/>
          <w:kern w:val="0"/>
          <w:szCs w:val="20"/>
        </w:rPr>
        <w:instrText xml:space="preserve"> = 4 \* ROMAN </w:instrText>
      </w:r>
      <w:r>
        <w:rPr>
          <w:rFonts w:ascii="Times New Roman" w:hAnsi="Times New Roman" w:cs="Times New Roman"/>
          <w:color w:val="auto"/>
          <w:spacing w:val="-2"/>
          <w:kern w:val="0"/>
          <w:szCs w:val="20"/>
        </w:rPr>
        <w:fldChar w:fldCharType="separate"/>
      </w:r>
      <w:r>
        <w:rPr>
          <w:rFonts w:ascii="Times New Roman" w:hAnsi="Times New Roman" w:cs="Times New Roman"/>
          <w:color w:val="auto"/>
          <w:spacing w:val="-2"/>
          <w:kern w:val="0"/>
          <w:szCs w:val="20"/>
        </w:rPr>
        <w:t>IV</w:t>
      </w:r>
      <w:r>
        <w:rPr>
          <w:rFonts w:ascii="Times New Roman" w:hAnsi="Times New Roman" w:cs="Times New Roman"/>
          <w:color w:val="auto"/>
          <w:spacing w:val="-2"/>
          <w:kern w:val="0"/>
          <w:szCs w:val="20"/>
        </w:rPr>
        <w:fldChar w:fldCharType="end"/>
      </w:r>
      <w:r>
        <w:rPr>
          <w:rFonts w:ascii="Times New Roman" w:hAnsi="Times New Roman" w:cs="Times New Roman"/>
          <w:color w:val="auto"/>
          <w:spacing w:val="-2"/>
          <w:kern w:val="0"/>
          <w:szCs w:val="20"/>
        </w:rPr>
        <w:t>类标准</w:t>
      </w:r>
      <w:r>
        <w:rPr>
          <w:rFonts w:ascii="Times New Roman" w:hAnsi="Times New Roman" w:cs="Times New Roman"/>
          <w:color w:val="auto"/>
          <w:kern w:val="0"/>
          <w:szCs w:val="20"/>
        </w:rPr>
        <w:t>。</w:t>
      </w:r>
    </w:p>
    <w:p>
      <w:pPr>
        <w:widowControl/>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（3）评价结果</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 xml:space="preserve">各监测因子指数见表4.2-3。 </w:t>
      </w:r>
    </w:p>
    <w:p>
      <w:pPr>
        <w:spacing w:line="240" w:lineRule="auto"/>
        <w:ind w:firstLine="414"/>
        <w:jc w:val="center"/>
        <w:rPr>
          <w:rFonts w:ascii="Times New Roman" w:hAnsi="Times New Roman" w:cs="Times New Roman"/>
          <w:b/>
          <w:bCs/>
          <w:color w:val="auto"/>
          <w:spacing w:val="-2"/>
          <w:kern w:val="0"/>
          <w:sz w:val="21"/>
          <w:szCs w:val="21"/>
        </w:rPr>
      </w:pPr>
      <w:r>
        <w:rPr>
          <w:rFonts w:ascii="Times New Roman" w:hAnsi="Times New Roman" w:cs="Times New Roman"/>
          <w:b/>
          <w:bCs/>
          <w:color w:val="auto"/>
          <w:spacing w:val="-2"/>
          <w:kern w:val="0"/>
          <w:sz w:val="21"/>
          <w:szCs w:val="21"/>
        </w:rPr>
        <w:t>表4.2-3  本次评价地表水监测断面各监测因子污染指数表</w:t>
      </w:r>
    </w:p>
    <w:tbl>
      <w:tblPr>
        <w:tblStyle w:val="62"/>
        <w:tblW w:w="909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06"/>
        <w:gridCol w:w="814"/>
        <w:gridCol w:w="1703"/>
        <w:gridCol w:w="912"/>
        <w:gridCol w:w="1121"/>
        <w:gridCol w:w="955"/>
        <w:gridCol w:w="746"/>
        <w:gridCol w:w="932"/>
        <w:gridCol w:w="9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jc w:val="center"/>
        </w:trPr>
        <w:tc>
          <w:tcPr>
            <w:tcW w:w="1006"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采样日期</w:t>
            </w:r>
          </w:p>
        </w:tc>
        <w:tc>
          <w:tcPr>
            <w:tcW w:w="814"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河流名称</w:t>
            </w:r>
          </w:p>
        </w:tc>
        <w:tc>
          <w:tcPr>
            <w:tcW w:w="1703"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检测点位</w:t>
            </w:r>
          </w:p>
        </w:tc>
        <w:tc>
          <w:tcPr>
            <w:tcW w:w="91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化学</w:t>
            </w:r>
          </w:p>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需氧量</w:t>
            </w:r>
          </w:p>
        </w:tc>
        <w:tc>
          <w:tcPr>
            <w:tcW w:w="1121"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五日生化需氧量</w:t>
            </w:r>
          </w:p>
        </w:tc>
        <w:tc>
          <w:tcPr>
            <w:tcW w:w="955"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氨氮</w:t>
            </w:r>
          </w:p>
        </w:tc>
        <w:tc>
          <w:tcPr>
            <w:tcW w:w="746"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总氮</w:t>
            </w:r>
          </w:p>
        </w:tc>
        <w:tc>
          <w:tcPr>
            <w:tcW w:w="93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总磷</w:t>
            </w:r>
          </w:p>
        </w:tc>
        <w:tc>
          <w:tcPr>
            <w:tcW w:w="908"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石油类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 w:hRule="atLeast"/>
          <w:jc w:val="center"/>
        </w:trPr>
        <w:tc>
          <w:tcPr>
            <w:tcW w:w="1006" w:type="dxa"/>
            <w:vMerge w:val="restart"/>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2021.2.22</w:t>
            </w:r>
          </w:p>
        </w:tc>
        <w:tc>
          <w:tcPr>
            <w:tcW w:w="814" w:type="dxa"/>
            <w:vMerge w:val="restart"/>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店埠河</w:t>
            </w:r>
          </w:p>
        </w:tc>
        <w:tc>
          <w:tcPr>
            <w:tcW w:w="1703"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码头上游200米</w:t>
            </w:r>
          </w:p>
        </w:tc>
        <w:tc>
          <w:tcPr>
            <w:tcW w:w="91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0.93</w:t>
            </w:r>
          </w:p>
        </w:tc>
        <w:tc>
          <w:tcPr>
            <w:tcW w:w="1121"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0.57</w:t>
            </w:r>
          </w:p>
        </w:tc>
        <w:tc>
          <w:tcPr>
            <w:tcW w:w="955"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0.41</w:t>
            </w:r>
          </w:p>
        </w:tc>
        <w:tc>
          <w:tcPr>
            <w:tcW w:w="746"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0.83</w:t>
            </w:r>
          </w:p>
        </w:tc>
        <w:tc>
          <w:tcPr>
            <w:tcW w:w="93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0.42</w:t>
            </w:r>
          </w:p>
        </w:tc>
        <w:tc>
          <w:tcPr>
            <w:tcW w:w="908"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 w:hRule="atLeast"/>
          <w:jc w:val="center"/>
        </w:trPr>
        <w:tc>
          <w:tcPr>
            <w:tcW w:w="1006" w:type="dxa"/>
            <w:vMerge w:val="continue"/>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p>
        </w:tc>
        <w:tc>
          <w:tcPr>
            <w:tcW w:w="814" w:type="dxa"/>
            <w:vMerge w:val="continue"/>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p>
        </w:tc>
        <w:tc>
          <w:tcPr>
            <w:tcW w:w="1703"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码头下游300米</w:t>
            </w:r>
          </w:p>
        </w:tc>
        <w:tc>
          <w:tcPr>
            <w:tcW w:w="91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0.83</w:t>
            </w:r>
          </w:p>
        </w:tc>
        <w:tc>
          <w:tcPr>
            <w:tcW w:w="1121"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0.50</w:t>
            </w:r>
          </w:p>
        </w:tc>
        <w:tc>
          <w:tcPr>
            <w:tcW w:w="955"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0.40</w:t>
            </w:r>
          </w:p>
        </w:tc>
        <w:tc>
          <w:tcPr>
            <w:tcW w:w="746"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0.79</w:t>
            </w:r>
          </w:p>
        </w:tc>
        <w:tc>
          <w:tcPr>
            <w:tcW w:w="93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0.38</w:t>
            </w:r>
          </w:p>
        </w:tc>
        <w:tc>
          <w:tcPr>
            <w:tcW w:w="908"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 w:hRule="atLeast"/>
          <w:jc w:val="center"/>
        </w:trPr>
        <w:tc>
          <w:tcPr>
            <w:tcW w:w="1006" w:type="dxa"/>
            <w:vMerge w:val="continue"/>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p>
        </w:tc>
        <w:tc>
          <w:tcPr>
            <w:tcW w:w="814"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撮镇灌溉渠</w:t>
            </w:r>
          </w:p>
        </w:tc>
        <w:tc>
          <w:tcPr>
            <w:tcW w:w="1703"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拟建码头上游200m</w:t>
            </w:r>
          </w:p>
        </w:tc>
        <w:tc>
          <w:tcPr>
            <w:tcW w:w="91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0.90</w:t>
            </w:r>
          </w:p>
        </w:tc>
        <w:tc>
          <w:tcPr>
            <w:tcW w:w="1121"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0.53</w:t>
            </w:r>
          </w:p>
        </w:tc>
        <w:tc>
          <w:tcPr>
            <w:tcW w:w="955"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0.49</w:t>
            </w:r>
          </w:p>
        </w:tc>
        <w:tc>
          <w:tcPr>
            <w:tcW w:w="746"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0.87</w:t>
            </w:r>
          </w:p>
        </w:tc>
        <w:tc>
          <w:tcPr>
            <w:tcW w:w="93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0.48</w:t>
            </w:r>
          </w:p>
        </w:tc>
        <w:tc>
          <w:tcPr>
            <w:tcW w:w="908"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7" w:hRule="atLeast"/>
          <w:jc w:val="center"/>
        </w:trPr>
        <w:tc>
          <w:tcPr>
            <w:tcW w:w="1006" w:type="dxa"/>
            <w:vMerge w:val="restart"/>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2021.2.23</w:t>
            </w:r>
          </w:p>
        </w:tc>
        <w:tc>
          <w:tcPr>
            <w:tcW w:w="814" w:type="dxa"/>
            <w:vMerge w:val="restart"/>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店埠河</w:t>
            </w:r>
          </w:p>
        </w:tc>
        <w:tc>
          <w:tcPr>
            <w:tcW w:w="1703"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码头上游200米</w:t>
            </w:r>
          </w:p>
        </w:tc>
        <w:tc>
          <w:tcPr>
            <w:tcW w:w="91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0.97</w:t>
            </w:r>
          </w:p>
        </w:tc>
        <w:tc>
          <w:tcPr>
            <w:tcW w:w="1121"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0.58</w:t>
            </w:r>
          </w:p>
        </w:tc>
        <w:tc>
          <w:tcPr>
            <w:tcW w:w="955"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0.39</w:t>
            </w:r>
          </w:p>
        </w:tc>
        <w:tc>
          <w:tcPr>
            <w:tcW w:w="746"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0.83</w:t>
            </w:r>
          </w:p>
        </w:tc>
        <w:tc>
          <w:tcPr>
            <w:tcW w:w="93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0.38</w:t>
            </w:r>
          </w:p>
        </w:tc>
        <w:tc>
          <w:tcPr>
            <w:tcW w:w="908"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7" w:hRule="atLeast"/>
          <w:jc w:val="center"/>
        </w:trPr>
        <w:tc>
          <w:tcPr>
            <w:tcW w:w="1006" w:type="dxa"/>
            <w:vMerge w:val="continue"/>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p>
        </w:tc>
        <w:tc>
          <w:tcPr>
            <w:tcW w:w="814" w:type="dxa"/>
            <w:vMerge w:val="continue"/>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p>
        </w:tc>
        <w:tc>
          <w:tcPr>
            <w:tcW w:w="1703"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码头下游300米</w:t>
            </w:r>
          </w:p>
        </w:tc>
        <w:tc>
          <w:tcPr>
            <w:tcW w:w="91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0.87</w:t>
            </w:r>
          </w:p>
        </w:tc>
        <w:tc>
          <w:tcPr>
            <w:tcW w:w="1121"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0.52</w:t>
            </w:r>
          </w:p>
        </w:tc>
        <w:tc>
          <w:tcPr>
            <w:tcW w:w="955"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0.36</w:t>
            </w:r>
          </w:p>
        </w:tc>
        <w:tc>
          <w:tcPr>
            <w:tcW w:w="746"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0.75</w:t>
            </w:r>
          </w:p>
        </w:tc>
        <w:tc>
          <w:tcPr>
            <w:tcW w:w="93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0.36</w:t>
            </w:r>
          </w:p>
        </w:tc>
        <w:tc>
          <w:tcPr>
            <w:tcW w:w="908"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7" w:hRule="atLeast"/>
          <w:jc w:val="center"/>
        </w:trPr>
        <w:tc>
          <w:tcPr>
            <w:tcW w:w="1006" w:type="dxa"/>
            <w:vMerge w:val="continue"/>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p>
        </w:tc>
        <w:tc>
          <w:tcPr>
            <w:tcW w:w="814"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撮镇灌溉渠</w:t>
            </w:r>
          </w:p>
        </w:tc>
        <w:tc>
          <w:tcPr>
            <w:tcW w:w="1703"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拟建码头上游200m</w:t>
            </w:r>
          </w:p>
        </w:tc>
        <w:tc>
          <w:tcPr>
            <w:tcW w:w="91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0.93</w:t>
            </w:r>
          </w:p>
        </w:tc>
        <w:tc>
          <w:tcPr>
            <w:tcW w:w="1121"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0.57</w:t>
            </w:r>
          </w:p>
        </w:tc>
        <w:tc>
          <w:tcPr>
            <w:tcW w:w="955"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0.52</w:t>
            </w:r>
          </w:p>
        </w:tc>
        <w:tc>
          <w:tcPr>
            <w:tcW w:w="746"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0.94</w:t>
            </w:r>
          </w:p>
        </w:tc>
        <w:tc>
          <w:tcPr>
            <w:tcW w:w="93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0.44</w:t>
            </w:r>
          </w:p>
        </w:tc>
        <w:tc>
          <w:tcPr>
            <w:tcW w:w="908"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7" w:hRule="atLeast"/>
          <w:jc w:val="center"/>
        </w:trPr>
        <w:tc>
          <w:tcPr>
            <w:tcW w:w="1006" w:type="dxa"/>
            <w:vMerge w:val="restart"/>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2021.2.24</w:t>
            </w:r>
          </w:p>
        </w:tc>
        <w:tc>
          <w:tcPr>
            <w:tcW w:w="814" w:type="dxa"/>
            <w:vMerge w:val="restart"/>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店埠河</w:t>
            </w:r>
          </w:p>
        </w:tc>
        <w:tc>
          <w:tcPr>
            <w:tcW w:w="1703"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码头上游200米</w:t>
            </w:r>
          </w:p>
        </w:tc>
        <w:tc>
          <w:tcPr>
            <w:tcW w:w="91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0.90</w:t>
            </w:r>
          </w:p>
        </w:tc>
        <w:tc>
          <w:tcPr>
            <w:tcW w:w="1121"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0.53</w:t>
            </w:r>
          </w:p>
        </w:tc>
        <w:tc>
          <w:tcPr>
            <w:tcW w:w="955"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0.39</w:t>
            </w:r>
          </w:p>
        </w:tc>
        <w:tc>
          <w:tcPr>
            <w:tcW w:w="746"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0.85</w:t>
            </w:r>
          </w:p>
        </w:tc>
        <w:tc>
          <w:tcPr>
            <w:tcW w:w="93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0.32</w:t>
            </w:r>
          </w:p>
        </w:tc>
        <w:tc>
          <w:tcPr>
            <w:tcW w:w="908"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7" w:hRule="atLeast"/>
          <w:jc w:val="center"/>
        </w:trPr>
        <w:tc>
          <w:tcPr>
            <w:tcW w:w="1006" w:type="dxa"/>
            <w:vMerge w:val="continue"/>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p>
        </w:tc>
        <w:tc>
          <w:tcPr>
            <w:tcW w:w="814" w:type="dxa"/>
            <w:vMerge w:val="continue"/>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p>
        </w:tc>
        <w:tc>
          <w:tcPr>
            <w:tcW w:w="1703"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码头下游300米</w:t>
            </w:r>
          </w:p>
        </w:tc>
        <w:tc>
          <w:tcPr>
            <w:tcW w:w="91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0.90</w:t>
            </w:r>
          </w:p>
        </w:tc>
        <w:tc>
          <w:tcPr>
            <w:tcW w:w="1121"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0.53</w:t>
            </w:r>
          </w:p>
        </w:tc>
        <w:tc>
          <w:tcPr>
            <w:tcW w:w="955"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0.37</w:t>
            </w:r>
          </w:p>
        </w:tc>
        <w:tc>
          <w:tcPr>
            <w:tcW w:w="746"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0.77</w:t>
            </w:r>
          </w:p>
        </w:tc>
        <w:tc>
          <w:tcPr>
            <w:tcW w:w="93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0.34</w:t>
            </w:r>
          </w:p>
        </w:tc>
        <w:tc>
          <w:tcPr>
            <w:tcW w:w="908"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7" w:hRule="atLeast"/>
          <w:jc w:val="center"/>
        </w:trPr>
        <w:tc>
          <w:tcPr>
            <w:tcW w:w="1006" w:type="dxa"/>
            <w:vMerge w:val="continue"/>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p>
        </w:tc>
        <w:tc>
          <w:tcPr>
            <w:tcW w:w="814"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撮镇灌溉渠</w:t>
            </w:r>
          </w:p>
        </w:tc>
        <w:tc>
          <w:tcPr>
            <w:tcW w:w="1703"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拟建码头上游200m</w:t>
            </w:r>
          </w:p>
        </w:tc>
        <w:tc>
          <w:tcPr>
            <w:tcW w:w="91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0.97</w:t>
            </w:r>
          </w:p>
        </w:tc>
        <w:tc>
          <w:tcPr>
            <w:tcW w:w="1121"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0.57</w:t>
            </w:r>
          </w:p>
        </w:tc>
        <w:tc>
          <w:tcPr>
            <w:tcW w:w="955"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0.42</w:t>
            </w:r>
          </w:p>
        </w:tc>
        <w:tc>
          <w:tcPr>
            <w:tcW w:w="746"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0.87</w:t>
            </w:r>
          </w:p>
        </w:tc>
        <w:tc>
          <w:tcPr>
            <w:tcW w:w="93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0.38</w:t>
            </w:r>
          </w:p>
        </w:tc>
        <w:tc>
          <w:tcPr>
            <w:tcW w:w="908"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eastAsia="等线" w:cs="Times New Roman"/>
                <w:sz w:val="18"/>
                <w:szCs w:val="18"/>
              </w:rPr>
              <w:t>0.03</w:t>
            </w:r>
          </w:p>
        </w:tc>
      </w:tr>
    </w:tbl>
    <w:p>
      <w:pPr>
        <w:spacing w:before="166" w:beforeLines="50"/>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由表4.2-3可见：评价范围内店埠河及撮镇灌溉渠水质参数标准指数均小于1，说明评价范围内店埠河及撮镇灌溉渠水质达到《地表水环境质量标准》（GB3838-2002）</w:t>
      </w:r>
      <w:r>
        <w:rPr>
          <w:rFonts w:ascii="Times New Roman" w:hAnsi="Times New Roman" w:cs="Times New Roman"/>
          <w:color w:val="auto"/>
          <w:spacing w:val="-2"/>
          <w:kern w:val="0"/>
          <w:szCs w:val="20"/>
        </w:rPr>
        <w:fldChar w:fldCharType="begin"/>
      </w:r>
      <w:r>
        <w:rPr>
          <w:rFonts w:ascii="Times New Roman" w:hAnsi="Times New Roman" w:cs="Times New Roman"/>
          <w:color w:val="auto"/>
          <w:spacing w:val="-2"/>
          <w:kern w:val="0"/>
          <w:szCs w:val="20"/>
        </w:rPr>
        <w:instrText xml:space="preserve"> = 4 \* ROMAN </w:instrText>
      </w:r>
      <w:r>
        <w:rPr>
          <w:rFonts w:ascii="Times New Roman" w:hAnsi="Times New Roman" w:cs="Times New Roman"/>
          <w:color w:val="auto"/>
          <w:spacing w:val="-2"/>
          <w:kern w:val="0"/>
          <w:szCs w:val="20"/>
        </w:rPr>
        <w:fldChar w:fldCharType="separate"/>
      </w:r>
      <w:r>
        <w:rPr>
          <w:rFonts w:ascii="Times New Roman" w:hAnsi="Times New Roman" w:cs="Times New Roman"/>
          <w:color w:val="auto"/>
          <w:spacing w:val="-2"/>
          <w:kern w:val="0"/>
          <w:szCs w:val="20"/>
        </w:rPr>
        <w:t>IV</w:t>
      </w:r>
      <w:r>
        <w:rPr>
          <w:rFonts w:ascii="Times New Roman" w:hAnsi="Times New Roman" w:cs="Times New Roman"/>
          <w:color w:val="auto"/>
          <w:spacing w:val="-2"/>
          <w:kern w:val="0"/>
          <w:szCs w:val="20"/>
        </w:rPr>
        <w:fldChar w:fldCharType="end"/>
      </w:r>
      <w:r>
        <w:rPr>
          <w:rFonts w:ascii="Times New Roman" w:hAnsi="Times New Roman" w:cs="Times New Roman"/>
          <w:color w:val="auto"/>
          <w:spacing w:val="-2"/>
          <w:kern w:val="0"/>
          <w:szCs w:val="20"/>
        </w:rPr>
        <w:t>类标准要求，区域地表水现状较好。</w:t>
      </w:r>
      <w:bookmarkStart w:id="302" w:name="_Toc1329"/>
      <w:bookmarkStart w:id="303" w:name="_Toc2051"/>
      <w:bookmarkStart w:id="304" w:name="_Toc21537"/>
    </w:p>
    <w:p>
      <w:pPr>
        <w:spacing w:before="166" w:beforeLines="50"/>
        <w:ind w:firstLine="0" w:firstLineChars="0"/>
        <w:outlineLvl w:val="1"/>
        <w:rPr>
          <w:rFonts w:ascii="Times New Roman" w:hAnsi="Times New Roman" w:cs="Times New Roman"/>
          <w:b/>
          <w:bCs/>
          <w:color w:val="auto"/>
          <w:sz w:val="28"/>
          <w:szCs w:val="32"/>
        </w:rPr>
      </w:pPr>
      <w:bookmarkStart w:id="305" w:name="_Toc104733376"/>
      <w:r>
        <w:rPr>
          <w:rFonts w:ascii="Times New Roman" w:hAnsi="Times New Roman" w:eastAsia="黑体" w:cs="Times New Roman"/>
          <w:b/>
          <w:bCs/>
          <w:color w:val="auto"/>
          <w:sz w:val="28"/>
          <w:szCs w:val="32"/>
        </w:rPr>
        <w:t>4.4 声环境现状调查</w:t>
      </w:r>
      <w:bookmarkEnd w:id="302"/>
      <w:bookmarkEnd w:id="303"/>
      <w:bookmarkEnd w:id="304"/>
      <w:bookmarkEnd w:id="305"/>
    </w:p>
    <w:p>
      <w:pPr>
        <w:keepNext/>
        <w:keepLines/>
        <w:ind w:firstLine="0" w:firstLineChars="0"/>
        <w:outlineLvl w:val="2"/>
        <w:rPr>
          <w:rFonts w:ascii="Times New Roman" w:hAnsi="Times New Roman" w:cs="Times New Roman"/>
          <w:b/>
          <w:bCs/>
          <w:color w:val="auto"/>
          <w:szCs w:val="32"/>
        </w:rPr>
      </w:pPr>
      <w:bookmarkStart w:id="306" w:name="_Toc102984344"/>
      <w:bookmarkStart w:id="307" w:name="_Toc104733377"/>
      <w:r>
        <w:rPr>
          <w:rFonts w:ascii="Times New Roman" w:hAnsi="Times New Roman" w:cs="Times New Roman"/>
          <w:b/>
          <w:bCs/>
          <w:color w:val="auto"/>
          <w:szCs w:val="32"/>
        </w:rPr>
        <w:t>4.4.1声环境现状监测</w:t>
      </w:r>
      <w:bookmarkEnd w:id="306"/>
      <w:bookmarkEnd w:id="307"/>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本次项目区场界声环境质量现状监测委托安徽世标检测技术有限公司于2021年2月22日和23日进行了现状监测。</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（1）监测点位布设</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为掌握评价区内声环境质量现状，根据声环境评价的工作等级，本次声环境质量现状监测共布设4个声环境质量监测点，同时具体点位设置见表4.4-1和图4.4-1。</w:t>
      </w:r>
    </w:p>
    <w:p>
      <w:pPr>
        <w:ind w:firstLine="414"/>
        <w:jc w:val="center"/>
        <w:rPr>
          <w:rFonts w:ascii="Times New Roman" w:hAnsi="Times New Roman" w:cs="Times New Roman"/>
          <w:b/>
          <w:bCs/>
          <w:color w:val="auto"/>
          <w:spacing w:val="-2"/>
          <w:kern w:val="0"/>
          <w:sz w:val="21"/>
          <w:szCs w:val="21"/>
        </w:rPr>
      </w:pPr>
      <w:r>
        <w:rPr>
          <w:rFonts w:ascii="Times New Roman" w:hAnsi="Times New Roman" w:cs="Times New Roman"/>
          <w:b/>
          <w:bCs/>
          <w:color w:val="auto"/>
          <w:spacing w:val="-2"/>
          <w:kern w:val="0"/>
          <w:sz w:val="21"/>
          <w:szCs w:val="21"/>
        </w:rPr>
        <w:t>表4.4-1   声环境现状监测点位一览表</w:t>
      </w:r>
    </w:p>
    <w:tbl>
      <w:tblPr>
        <w:tblStyle w:val="62"/>
        <w:tblW w:w="89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2"/>
        <w:gridCol w:w="3149"/>
        <w:gridCol w:w="1595"/>
        <w:gridCol w:w="32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882"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序号</w:t>
            </w:r>
          </w:p>
        </w:tc>
        <w:tc>
          <w:tcPr>
            <w:tcW w:w="3149"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监测布点</w:t>
            </w:r>
          </w:p>
        </w:tc>
        <w:tc>
          <w:tcPr>
            <w:tcW w:w="1595"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监测项目</w:t>
            </w:r>
          </w:p>
        </w:tc>
        <w:tc>
          <w:tcPr>
            <w:tcW w:w="3296"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882"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1</w:t>
            </w:r>
          </w:p>
        </w:tc>
        <w:tc>
          <w:tcPr>
            <w:tcW w:w="3149"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东</w:t>
            </w:r>
            <w:r>
              <w:rPr>
                <w:rFonts w:hint="eastAsia" w:ascii="Times New Roman" w:hAnsi="Times New Roman" w:cs="Times New Roman"/>
                <w:sz w:val="18"/>
                <w:szCs w:val="18"/>
              </w:rPr>
              <w:t>边</w:t>
            </w:r>
            <w:r>
              <w:rPr>
                <w:rFonts w:ascii="Times New Roman" w:hAnsi="Times New Roman" w:cs="Times New Roman"/>
                <w:sz w:val="18"/>
                <w:szCs w:val="18"/>
              </w:rPr>
              <w:t>界外1米处</w:t>
            </w:r>
          </w:p>
        </w:tc>
        <w:tc>
          <w:tcPr>
            <w:tcW w:w="1595" w:type="dxa"/>
            <w:vMerge w:val="restart"/>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LeqdB（A）</w:t>
            </w:r>
          </w:p>
        </w:tc>
        <w:tc>
          <w:tcPr>
            <w:tcW w:w="3296" w:type="dxa"/>
            <w:vMerge w:val="restart"/>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分昼间和夜间进行监测，连续2天，统计连续等效A声级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882"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2</w:t>
            </w:r>
          </w:p>
        </w:tc>
        <w:tc>
          <w:tcPr>
            <w:tcW w:w="3149"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南</w:t>
            </w:r>
            <w:r>
              <w:rPr>
                <w:rFonts w:hint="eastAsia" w:ascii="Times New Roman" w:hAnsi="Times New Roman" w:cs="Times New Roman"/>
                <w:sz w:val="18"/>
                <w:szCs w:val="18"/>
              </w:rPr>
              <w:t>边</w:t>
            </w:r>
            <w:r>
              <w:rPr>
                <w:rFonts w:ascii="Times New Roman" w:hAnsi="Times New Roman" w:cs="Times New Roman"/>
                <w:sz w:val="18"/>
                <w:szCs w:val="18"/>
              </w:rPr>
              <w:t>界外1米处</w:t>
            </w:r>
          </w:p>
        </w:tc>
        <w:tc>
          <w:tcPr>
            <w:tcW w:w="1595" w:type="dxa"/>
            <w:vMerge w:val="continue"/>
            <w:vAlign w:val="center"/>
          </w:tcPr>
          <w:p>
            <w:pPr>
              <w:ind w:firstLine="352"/>
              <w:rPr>
                <w:rFonts w:ascii="Times New Roman" w:hAnsi="Times New Roman" w:cs="Times New Roman"/>
                <w:color w:val="auto"/>
                <w:spacing w:val="-2"/>
                <w:kern w:val="0"/>
                <w:sz w:val="18"/>
                <w:szCs w:val="18"/>
              </w:rPr>
            </w:pPr>
          </w:p>
        </w:tc>
        <w:tc>
          <w:tcPr>
            <w:tcW w:w="3296" w:type="dxa"/>
            <w:vMerge w:val="continue"/>
            <w:vAlign w:val="center"/>
          </w:tcPr>
          <w:p>
            <w:pPr>
              <w:ind w:firstLine="352"/>
              <w:rPr>
                <w:rFonts w:ascii="Times New Roman" w:hAnsi="Times New Roman" w:cs="Times New Roman"/>
                <w:color w:val="auto"/>
                <w:spacing w:val="-2"/>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882"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3</w:t>
            </w:r>
          </w:p>
        </w:tc>
        <w:tc>
          <w:tcPr>
            <w:tcW w:w="3149"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南</w:t>
            </w:r>
            <w:r>
              <w:rPr>
                <w:rFonts w:hint="eastAsia" w:ascii="Times New Roman" w:hAnsi="Times New Roman" w:cs="Times New Roman"/>
                <w:sz w:val="18"/>
                <w:szCs w:val="18"/>
              </w:rPr>
              <w:t>边</w:t>
            </w:r>
            <w:r>
              <w:rPr>
                <w:rFonts w:ascii="Times New Roman" w:hAnsi="Times New Roman" w:cs="Times New Roman"/>
                <w:sz w:val="18"/>
                <w:szCs w:val="18"/>
              </w:rPr>
              <w:t>界外1米处</w:t>
            </w:r>
          </w:p>
        </w:tc>
        <w:tc>
          <w:tcPr>
            <w:tcW w:w="1595" w:type="dxa"/>
            <w:vMerge w:val="continue"/>
            <w:vAlign w:val="center"/>
          </w:tcPr>
          <w:p>
            <w:pPr>
              <w:ind w:firstLine="352"/>
              <w:rPr>
                <w:rFonts w:ascii="Times New Roman" w:hAnsi="Times New Roman" w:cs="Times New Roman"/>
                <w:color w:val="auto"/>
                <w:spacing w:val="-2"/>
                <w:kern w:val="0"/>
                <w:sz w:val="18"/>
                <w:szCs w:val="18"/>
              </w:rPr>
            </w:pPr>
          </w:p>
        </w:tc>
        <w:tc>
          <w:tcPr>
            <w:tcW w:w="3296" w:type="dxa"/>
            <w:vMerge w:val="continue"/>
            <w:vAlign w:val="center"/>
          </w:tcPr>
          <w:p>
            <w:pPr>
              <w:ind w:firstLine="352"/>
              <w:rPr>
                <w:rFonts w:ascii="Times New Roman" w:hAnsi="Times New Roman" w:cs="Times New Roman"/>
                <w:color w:val="auto"/>
                <w:spacing w:val="-2"/>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 w:hRule="atLeast"/>
          <w:jc w:val="center"/>
        </w:trPr>
        <w:tc>
          <w:tcPr>
            <w:tcW w:w="882"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4</w:t>
            </w:r>
          </w:p>
        </w:tc>
        <w:tc>
          <w:tcPr>
            <w:tcW w:w="3149"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西</w:t>
            </w:r>
            <w:r>
              <w:rPr>
                <w:rFonts w:hint="eastAsia" w:ascii="Times New Roman" w:hAnsi="Times New Roman" w:cs="Times New Roman"/>
                <w:sz w:val="18"/>
                <w:szCs w:val="18"/>
              </w:rPr>
              <w:t>边</w:t>
            </w:r>
            <w:r>
              <w:rPr>
                <w:rFonts w:ascii="Times New Roman" w:hAnsi="Times New Roman" w:cs="Times New Roman"/>
                <w:sz w:val="18"/>
                <w:szCs w:val="18"/>
              </w:rPr>
              <w:t>界</w:t>
            </w:r>
          </w:p>
        </w:tc>
        <w:tc>
          <w:tcPr>
            <w:tcW w:w="1595" w:type="dxa"/>
            <w:vMerge w:val="continue"/>
            <w:vAlign w:val="center"/>
          </w:tcPr>
          <w:p>
            <w:pPr>
              <w:ind w:firstLine="352"/>
              <w:rPr>
                <w:rFonts w:ascii="Times New Roman" w:hAnsi="Times New Roman" w:cs="Times New Roman"/>
                <w:color w:val="auto"/>
                <w:spacing w:val="-2"/>
                <w:kern w:val="0"/>
                <w:sz w:val="18"/>
                <w:szCs w:val="18"/>
              </w:rPr>
            </w:pPr>
          </w:p>
        </w:tc>
        <w:tc>
          <w:tcPr>
            <w:tcW w:w="3296" w:type="dxa"/>
            <w:vMerge w:val="continue"/>
            <w:vAlign w:val="center"/>
          </w:tcPr>
          <w:p>
            <w:pPr>
              <w:ind w:firstLine="352"/>
              <w:rPr>
                <w:rFonts w:ascii="Times New Roman" w:hAnsi="Times New Roman" w:cs="Times New Roman"/>
                <w:color w:val="auto"/>
                <w:spacing w:val="-2"/>
                <w:kern w:val="0"/>
                <w:sz w:val="18"/>
                <w:szCs w:val="18"/>
              </w:rPr>
            </w:pPr>
          </w:p>
        </w:tc>
      </w:tr>
    </w:tbl>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（2）监测方法</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声环境质量现状监测依据《声环境质量标准》（GB3096-2008）中相关要求进行。</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（3）监测项目</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监测项目为连续等效A声级L</w:t>
      </w:r>
      <w:r>
        <w:rPr>
          <w:rFonts w:ascii="Times New Roman" w:hAnsi="Times New Roman" w:cs="Times New Roman"/>
          <w:color w:val="auto"/>
          <w:spacing w:val="-2"/>
          <w:kern w:val="0"/>
          <w:szCs w:val="20"/>
          <w:vertAlign w:val="subscript"/>
        </w:rPr>
        <w:t>eq</w:t>
      </w:r>
      <w:r>
        <w:rPr>
          <w:rFonts w:ascii="Times New Roman" w:hAnsi="Times New Roman" w:cs="Times New Roman"/>
          <w:color w:val="auto"/>
          <w:spacing w:val="-2"/>
          <w:kern w:val="0"/>
          <w:szCs w:val="20"/>
        </w:rPr>
        <w:t>。</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（4）监测结果</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本次监测结果列于表4.4-2。</w:t>
      </w:r>
    </w:p>
    <w:p>
      <w:pPr>
        <w:ind w:firstLine="414"/>
        <w:jc w:val="center"/>
        <w:rPr>
          <w:rFonts w:ascii="Times New Roman" w:hAnsi="Times New Roman" w:cs="Times New Roman"/>
          <w:b/>
          <w:bCs/>
          <w:color w:val="auto"/>
          <w:spacing w:val="-2"/>
          <w:kern w:val="0"/>
          <w:sz w:val="21"/>
          <w:szCs w:val="21"/>
        </w:rPr>
      </w:pPr>
      <w:r>
        <w:rPr>
          <w:rFonts w:ascii="Times New Roman" w:hAnsi="Times New Roman" w:cs="Times New Roman"/>
          <w:b/>
          <w:bCs/>
          <w:color w:val="auto"/>
          <w:spacing w:val="-2"/>
          <w:kern w:val="0"/>
          <w:sz w:val="21"/>
          <w:szCs w:val="21"/>
        </w:rPr>
        <w:t>表4.4-2  声环境现状监测结果       单位：dB(A)</w:t>
      </w:r>
    </w:p>
    <w:tbl>
      <w:tblPr>
        <w:tblStyle w:val="62"/>
        <w:tblW w:w="856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45"/>
        <w:gridCol w:w="1991"/>
        <w:gridCol w:w="1431"/>
        <w:gridCol w:w="1433"/>
        <w:gridCol w:w="1431"/>
        <w:gridCol w:w="14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1" w:hRule="atLeast"/>
          <w:jc w:val="center"/>
        </w:trPr>
        <w:tc>
          <w:tcPr>
            <w:tcW w:w="845" w:type="dxa"/>
            <w:vMerge w:val="restart"/>
            <w:vAlign w:val="center"/>
          </w:tcPr>
          <w:p>
            <w:pPr>
              <w:adjustRightInd/>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点位编号</w:t>
            </w:r>
          </w:p>
        </w:tc>
        <w:tc>
          <w:tcPr>
            <w:tcW w:w="1991" w:type="dxa"/>
            <w:vMerge w:val="restart"/>
            <w:vAlign w:val="center"/>
          </w:tcPr>
          <w:p>
            <w:pPr>
              <w:adjustRightInd/>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检测点位</w:t>
            </w:r>
          </w:p>
        </w:tc>
        <w:tc>
          <w:tcPr>
            <w:tcW w:w="2864" w:type="dxa"/>
            <w:gridSpan w:val="2"/>
            <w:vAlign w:val="center"/>
          </w:tcPr>
          <w:p>
            <w:pPr>
              <w:adjustRightInd/>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2021.2.22</w:t>
            </w:r>
          </w:p>
        </w:tc>
        <w:tc>
          <w:tcPr>
            <w:tcW w:w="2864" w:type="dxa"/>
            <w:gridSpan w:val="2"/>
            <w:vAlign w:val="center"/>
          </w:tcPr>
          <w:p>
            <w:pPr>
              <w:adjustRightInd/>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2021.2.23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7" w:hRule="atLeast"/>
          <w:jc w:val="center"/>
        </w:trPr>
        <w:tc>
          <w:tcPr>
            <w:tcW w:w="845" w:type="dxa"/>
            <w:vMerge w:val="continue"/>
            <w:vAlign w:val="center"/>
          </w:tcPr>
          <w:p>
            <w:pPr>
              <w:adjustRightInd/>
              <w:spacing w:line="240" w:lineRule="auto"/>
              <w:ind w:firstLine="0" w:firstLineChars="0"/>
              <w:jc w:val="center"/>
              <w:rPr>
                <w:rFonts w:ascii="Times New Roman" w:hAnsi="Times New Roman" w:cs="Times New Roman"/>
                <w:sz w:val="20"/>
                <w:szCs w:val="20"/>
              </w:rPr>
            </w:pPr>
          </w:p>
        </w:tc>
        <w:tc>
          <w:tcPr>
            <w:tcW w:w="1991" w:type="dxa"/>
            <w:vMerge w:val="continue"/>
            <w:vAlign w:val="center"/>
          </w:tcPr>
          <w:p>
            <w:pPr>
              <w:adjustRightInd/>
              <w:spacing w:line="240" w:lineRule="auto"/>
              <w:ind w:firstLine="0" w:firstLineChars="0"/>
              <w:jc w:val="center"/>
              <w:rPr>
                <w:rFonts w:ascii="Times New Roman" w:hAnsi="Times New Roman" w:cs="Times New Roman"/>
                <w:sz w:val="20"/>
                <w:szCs w:val="20"/>
              </w:rPr>
            </w:pPr>
          </w:p>
        </w:tc>
        <w:tc>
          <w:tcPr>
            <w:tcW w:w="1431" w:type="dxa"/>
            <w:vAlign w:val="center"/>
          </w:tcPr>
          <w:p>
            <w:pPr>
              <w:adjustRightInd/>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昼间Leq</w:t>
            </w:r>
          </w:p>
        </w:tc>
        <w:tc>
          <w:tcPr>
            <w:tcW w:w="1433" w:type="dxa"/>
            <w:vAlign w:val="center"/>
          </w:tcPr>
          <w:p>
            <w:pPr>
              <w:adjustRightInd/>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夜间Leq</w:t>
            </w:r>
          </w:p>
        </w:tc>
        <w:tc>
          <w:tcPr>
            <w:tcW w:w="1431" w:type="dxa"/>
            <w:vAlign w:val="center"/>
          </w:tcPr>
          <w:p>
            <w:pPr>
              <w:adjustRightInd/>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昼间Leq</w:t>
            </w:r>
          </w:p>
        </w:tc>
        <w:tc>
          <w:tcPr>
            <w:tcW w:w="1433" w:type="dxa"/>
            <w:vAlign w:val="center"/>
          </w:tcPr>
          <w:p>
            <w:pPr>
              <w:adjustRightInd/>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夜间Leq</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7" w:hRule="atLeast"/>
          <w:jc w:val="center"/>
        </w:trPr>
        <w:tc>
          <w:tcPr>
            <w:tcW w:w="845" w:type="dxa"/>
            <w:vAlign w:val="center"/>
          </w:tcPr>
          <w:p>
            <w:pPr>
              <w:adjustRightInd/>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N1</w:t>
            </w:r>
          </w:p>
        </w:tc>
        <w:tc>
          <w:tcPr>
            <w:tcW w:w="1991"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东</w:t>
            </w:r>
            <w:r>
              <w:rPr>
                <w:rFonts w:hint="eastAsia" w:ascii="Times New Roman" w:hAnsi="Times New Roman" w:cs="Times New Roman"/>
                <w:sz w:val="18"/>
                <w:szCs w:val="18"/>
              </w:rPr>
              <w:t>边</w:t>
            </w:r>
            <w:r>
              <w:rPr>
                <w:rFonts w:ascii="Times New Roman" w:hAnsi="Times New Roman" w:cs="Times New Roman"/>
                <w:sz w:val="18"/>
                <w:szCs w:val="18"/>
              </w:rPr>
              <w:t>界外1米处</w:t>
            </w:r>
          </w:p>
        </w:tc>
        <w:tc>
          <w:tcPr>
            <w:tcW w:w="1431"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54.6</w:t>
            </w:r>
          </w:p>
        </w:tc>
        <w:tc>
          <w:tcPr>
            <w:tcW w:w="1433"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47.1</w:t>
            </w:r>
          </w:p>
        </w:tc>
        <w:tc>
          <w:tcPr>
            <w:tcW w:w="1431"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55.0</w:t>
            </w:r>
          </w:p>
        </w:tc>
        <w:tc>
          <w:tcPr>
            <w:tcW w:w="1433"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46.5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9" w:hRule="atLeast"/>
          <w:jc w:val="center"/>
        </w:trPr>
        <w:tc>
          <w:tcPr>
            <w:tcW w:w="845" w:type="dxa"/>
            <w:vAlign w:val="center"/>
          </w:tcPr>
          <w:p>
            <w:pPr>
              <w:adjustRightInd/>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N2</w:t>
            </w:r>
          </w:p>
        </w:tc>
        <w:tc>
          <w:tcPr>
            <w:tcW w:w="1991"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南</w:t>
            </w:r>
            <w:r>
              <w:rPr>
                <w:rFonts w:hint="eastAsia" w:ascii="Times New Roman" w:hAnsi="Times New Roman" w:cs="Times New Roman"/>
                <w:sz w:val="18"/>
                <w:szCs w:val="18"/>
              </w:rPr>
              <w:t>边</w:t>
            </w:r>
            <w:r>
              <w:rPr>
                <w:rFonts w:ascii="Times New Roman" w:hAnsi="Times New Roman" w:cs="Times New Roman"/>
                <w:sz w:val="18"/>
                <w:szCs w:val="18"/>
              </w:rPr>
              <w:t>界外1米处</w:t>
            </w:r>
          </w:p>
        </w:tc>
        <w:tc>
          <w:tcPr>
            <w:tcW w:w="1431"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52.7</w:t>
            </w:r>
          </w:p>
        </w:tc>
        <w:tc>
          <w:tcPr>
            <w:tcW w:w="1433"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46.0</w:t>
            </w:r>
          </w:p>
        </w:tc>
        <w:tc>
          <w:tcPr>
            <w:tcW w:w="1431"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52.4</w:t>
            </w:r>
          </w:p>
        </w:tc>
        <w:tc>
          <w:tcPr>
            <w:tcW w:w="1433"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45.6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7" w:hRule="atLeast"/>
          <w:jc w:val="center"/>
        </w:trPr>
        <w:tc>
          <w:tcPr>
            <w:tcW w:w="845" w:type="dxa"/>
            <w:vAlign w:val="center"/>
          </w:tcPr>
          <w:p>
            <w:pPr>
              <w:adjustRightInd/>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N3</w:t>
            </w:r>
          </w:p>
        </w:tc>
        <w:tc>
          <w:tcPr>
            <w:tcW w:w="1991"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南</w:t>
            </w:r>
            <w:r>
              <w:rPr>
                <w:rFonts w:hint="eastAsia" w:ascii="Times New Roman" w:hAnsi="Times New Roman" w:cs="Times New Roman"/>
                <w:sz w:val="18"/>
                <w:szCs w:val="18"/>
              </w:rPr>
              <w:t>边</w:t>
            </w:r>
            <w:r>
              <w:rPr>
                <w:rFonts w:ascii="Times New Roman" w:hAnsi="Times New Roman" w:cs="Times New Roman"/>
                <w:sz w:val="18"/>
                <w:szCs w:val="18"/>
              </w:rPr>
              <w:t>界外1米处</w:t>
            </w:r>
          </w:p>
        </w:tc>
        <w:tc>
          <w:tcPr>
            <w:tcW w:w="1431"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52.1</w:t>
            </w:r>
          </w:p>
        </w:tc>
        <w:tc>
          <w:tcPr>
            <w:tcW w:w="1433"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45.7</w:t>
            </w:r>
          </w:p>
        </w:tc>
        <w:tc>
          <w:tcPr>
            <w:tcW w:w="1431"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53.0</w:t>
            </w:r>
          </w:p>
        </w:tc>
        <w:tc>
          <w:tcPr>
            <w:tcW w:w="1433"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44.9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7" w:hRule="atLeast"/>
          <w:jc w:val="center"/>
        </w:trPr>
        <w:tc>
          <w:tcPr>
            <w:tcW w:w="845" w:type="dxa"/>
            <w:vAlign w:val="center"/>
          </w:tcPr>
          <w:p>
            <w:pPr>
              <w:adjustRightInd/>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rPr>
              <w:t>N4</w:t>
            </w:r>
          </w:p>
        </w:tc>
        <w:tc>
          <w:tcPr>
            <w:tcW w:w="1991"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西</w:t>
            </w:r>
            <w:r>
              <w:rPr>
                <w:rFonts w:hint="eastAsia" w:ascii="Times New Roman" w:hAnsi="Times New Roman" w:cs="Times New Roman"/>
                <w:sz w:val="18"/>
                <w:szCs w:val="18"/>
              </w:rPr>
              <w:t>边</w:t>
            </w:r>
            <w:r>
              <w:rPr>
                <w:rFonts w:ascii="Times New Roman" w:hAnsi="Times New Roman" w:cs="Times New Roman"/>
                <w:sz w:val="18"/>
                <w:szCs w:val="18"/>
              </w:rPr>
              <w:t>界</w:t>
            </w:r>
          </w:p>
        </w:tc>
        <w:tc>
          <w:tcPr>
            <w:tcW w:w="1431"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53.0</w:t>
            </w:r>
          </w:p>
        </w:tc>
        <w:tc>
          <w:tcPr>
            <w:tcW w:w="1433"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46.1</w:t>
            </w:r>
          </w:p>
        </w:tc>
        <w:tc>
          <w:tcPr>
            <w:tcW w:w="1431"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52.8</w:t>
            </w:r>
          </w:p>
        </w:tc>
        <w:tc>
          <w:tcPr>
            <w:tcW w:w="1433"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45.7</w:t>
            </w:r>
          </w:p>
        </w:tc>
      </w:tr>
    </w:tbl>
    <w:p>
      <w:pPr>
        <w:keepNext/>
        <w:keepLines/>
        <w:spacing w:before="166" w:beforeLines="50"/>
        <w:ind w:firstLine="0" w:firstLineChars="0"/>
        <w:outlineLvl w:val="2"/>
        <w:rPr>
          <w:rFonts w:ascii="Times New Roman" w:hAnsi="Times New Roman" w:cs="Times New Roman"/>
          <w:b/>
          <w:bCs/>
          <w:color w:val="auto"/>
          <w:szCs w:val="24"/>
        </w:rPr>
      </w:pPr>
      <w:bookmarkStart w:id="308" w:name="_Toc102984345"/>
      <w:bookmarkStart w:id="309" w:name="_Toc104733378"/>
      <w:r>
        <w:rPr>
          <w:rFonts w:ascii="Times New Roman" w:hAnsi="Times New Roman" w:cs="Times New Roman"/>
          <w:b/>
          <w:bCs/>
          <w:color w:val="auto"/>
          <w:szCs w:val="24"/>
        </w:rPr>
        <w:t>4.4.2噪声现状评价</w:t>
      </w:r>
      <w:bookmarkEnd w:id="308"/>
      <w:bookmarkEnd w:id="309"/>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（1）执行标准</w:t>
      </w:r>
    </w:p>
    <w:p>
      <w:pPr>
        <w:ind w:firstLine="472"/>
        <w:rPr>
          <w:rFonts w:ascii="Times New Roman" w:hAnsi="Times New Roman" w:cs="Times New Roman"/>
          <w:b/>
          <w:color w:val="auto"/>
          <w:spacing w:val="-2"/>
          <w:kern w:val="0"/>
          <w:sz w:val="21"/>
          <w:szCs w:val="21"/>
        </w:rPr>
      </w:pPr>
      <w:r>
        <w:rPr>
          <w:rFonts w:ascii="Times New Roman" w:hAnsi="Times New Roman" w:cs="Times New Roman"/>
          <w:color w:val="auto"/>
          <w:spacing w:val="-2"/>
          <w:kern w:val="0"/>
          <w:szCs w:val="20"/>
        </w:rPr>
        <w:t xml:space="preserve">项目边界执行《声环境质量标准》（GB3096-2008）中的3类；西侧邻店埠河航道侧执行4a类标准。 </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（2）评价结果</w:t>
      </w:r>
    </w:p>
    <w:p>
      <w:pPr>
        <w:ind w:firstLine="472"/>
        <w:rPr>
          <w:rFonts w:ascii="Times New Roman" w:hAnsi="Times New Roman" w:cs="Times New Roman"/>
          <w:color w:val="auto"/>
          <w:spacing w:val="-2"/>
        </w:rPr>
      </w:pPr>
      <w:r>
        <w:rPr>
          <w:rFonts w:ascii="Times New Roman" w:hAnsi="Times New Roman" w:cs="Times New Roman"/>
          <w:color w:val="auto"/>
          <w:spacing w:val="-2"/>
        </w:rPr>
        <w:t>监测结果表明，项目边界噪声能够满足声环境对应功能区标准，声环境质量良好。</w:t>
      </w:r>
    </w:p>
    <w:p>
      <w:pPr>
        <w:ind w:firstLine="0" w:firstLineChars="0"/>
        <w:rPr>
          <w:rFonts w:ascii="Times New Roman" w:hAnsi="Times New Roman" w:cs="Times New Roman"/>
          <w:b/>
          <w:color w:val="auto"/>
          <w:spacing w:val="-2"/>
          <w:kern w:val="0"/>
          <w:szCs w:val="20"/>
        </w:rPr>
      </w:pPr>
      <w:r>
        <w:rPr>
          <w:rFonts w:ascii="Times New Roman" w:hAnsi="Times New Roman" w:cs="Times New Roman"/>
        </w:rPr>
        <mc:AlternateContent>
          <mc:Choice Requires="wps">
            <w:drawing>
              <wp:anchor distT="0" distB="0" distL="114300" distR="114300" simplePos="0" relativeHeight="251626496" behindDoc="0" locked="0" layoutInCell="1" allowOverlap="1">
                <wp:simplePos x="0" y="0"/>
                <wp:positionH relativeFrom="column">
                  <wp:posOffset>3538855</wp:posOffset>
                </wp:positionH>
                <wp:positionV relativeFrom="paragraph">
                  <wp:posOffset>955040</wp:posOffset>
                </wp:positionV>
                <wp:extent cx="457200" cy="295275"/>
                <wp:effectExtent l="0" t="0" r="0" b="1270"/>
                <wp:wrapNone/>
                <wp:docPr id="236" name="Rectangle 3015"/>
                <wp:cNvGraphicFramePr/>
                <a:graphic xmlns:a="http://schemas.openxmlformats.org/drawingml/2006/main">
                  <a:graphicData uri="http://schemas.microsoft.com/office/word/2010/wordprocessingShape">
                    <wps:wsp>
                      <wps:cNvSpPr>
                        <a:spLocks noChangeArrowheads="true"/>
                      </wps:cNvSpPr>
                      <wps:spPr bwMode="auto">
                        <a:xfrm>
                          <a:off x="0" y="0"/>
                          <a:ext cx="457200" cy="295275"/>
                        </a:xfrm>
                        <a:prstGeom prst="rect">
                          <a:avLst/>
                        </a:prstGeom>
                        <a:noFill/>
                        <a:ln>
                          <a:noFill/>
                        </a:ln>
                      </wps:spPr>
                      <wps:txbx>
                        <w:txbxContent>
                          <w:p>
                            <w:pPr>
                              <w:ind w:firstLine="0" w:firstLineChars="0"/>
                              <w:rPr>
                                <w:color w:val="FFFF00"/>
                              </w:rPr>
                            </w:pPr>
                            <w:r>
                              <w:rPr>
                                <w:rFonts w:hint="eastAsia"/>
                                <w:color w:val="FFFF00"/>
                                <w:highlight w:val="red"/>
                              </w:rPr>
                              <w:t>N</w:t>
                            </w:r>
                            <w:r>
                              <w:rPr>
                                <w:color w:val="FFFF00"/>
                                <w:highlight w:val="red"/>
                              </w:rPr>
                              <w:t>4</w:t>
                            </w:r>
                          </w:p>
                        </w:txbxContent>
                      </wps:txbx>
                      <wps:bodyPr rot="0" vert="horz" wrap="square" lIns="91440" tIns="45720" rIns="91440" bIns="45720" anchor="t" anchorCtr="false" upright="true">
                        <a:noAutofit/>
                      </wps:bodyPr>
                    </wps:wsp>
                  </a:graphicData>
                </a:graphic>
              </wp:anchor>
            </w:drawing>
          </mc:Choice>
          <mc:Fallback>
            <w:pict>
              <v:rect id="Rectangle 3015" o:spid="_x0000_s1026" o:spt="1" style="position:absolute;left:0pt;margin-left:278.65pt;margin-top:75.2pt;height:23.25pt;width:36pt;z-index:251626496;mso-width-relative:page;mso-height-relative:page;" filled="f" stroked="f" coordsize="21600,21600" o:gfxdata="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FgAAAGRycy9QSwECFAAUAAAACACHTuJAA7g+gNsAAAALAQAADwAAAAAAAAABACAAAAA4AAAA&#10;ZHJzL2Rvd25yZXYueG1sUEsBAhQAFAAAAAgAh07iQFtobhvuAQAAywMAAA4AAAAAAAAAAQAgAAAA&#10;QAEAAGRycy9lMm9Eb2MueG1sUEsFBgAAAAAGAAYAWQEAAKAFAAAAAA==&#10;">
                <v:fill on="f" focussize="0,0"/>
                <v:stroke on="f"/>
                <v:imagedata o:title=""/>
                <o:lock v:ext="edit" aspectratio="f"/>
                <v:textbox>
                  <w:txbxContent>
                    <w:p>
                      <w:pPr>
                        <w:ind w:firstLine="0" w:firstLineChars="0"/>
                        <w:rPr>
                          <w:color w:val="FFFF00"/>
                        </w:rPr>
                      </w:pPr>
                      <w:r>
                        <w:rPr>
                          <w:rFonts w:hint="eastAsia"/>
                          <w:color w:val="FFFF00"/>
                          <w:highlight w:val="red"/>
                        </w:rPr>
                        <w:t>N</w:t>
                      </w:r>
                      <w:r>
                        <w:rPr>
                          <w:color w:val="FFFF00"/>
                          <w:highlight w:val="red"/>
                        </w:rPr>
                        <w:t>4</w:t>
                      </w:r>
                    </w:p>
                  </w:txbxContent>
                </v:textbox>
              </v:rect>
            </w:pict>
          </mc:Fallback>
        </mc:AlternateContent>
      </w:r>
      <w:r>
        <w:rPr>
          <w:rFonts w:ascii="Times New Roman" w:hAnsi="Times New Roman" w:cs="Times New Roman"/>
        </w:rPr>
        <mc:AlternateContent>
          <mc:Choice Requires="wps">
            <w:drawing>
              <wp:anchor distT="0" distB="0" distL="114300" distR="114300" simplePos="0" relativeHeight="251627520" behindDoc="0" locked="0" layoutInCell="1" allowOverlap="1">
                <wp:simplePos x="0" y="0"/>
                <wp:positionH relativeFrom="column">
                  <wp:posOffset>1910080</wp:posOffset>
                </wp:positionH>
                <wp:positionV relativeFrom="paragraph">
                  <wp:posOffset>1898015</wp:posOffset>
                </wp:positionV>
                <wp:extent cx="457200" cy="295275"/>
                <wp:effectExtent l="0" t="0" r="0" b="1270"/>
                <wp:wrapNone/>
                <wp:docPr id="235" name="Rectangle 3014"/>
                <wp:cNvGraphicFramePr/>
                <a:graphic xmlns:a="http://schemas.openxmlformats.org/drawingml/2006/main">
                  <a:graphicData uri="http://schemas.microsoft.com/office/word/2010/wordprocessingShape">
                    <wps:wsp>
                      <wps:cNvSpPr>
                        <a:spLocks noChangeArrowheads="true"/>
                      </wps:cNvSpPr>
                      <wps:spPr bwMode="auto">
                        <a:xfrm>
                          <a:off x="0" y="0"/>
                          <a:ext cx="457200" cy="295275"/>
                        </a:xfrm>
                        <a:prstGeom prst="rect">
                          <a:avLst/>
                        </a:prstGeom>
                        <a:noFill/>
                        <a:ln>
                          <a:noFill/>
                        </a:ln>
                      </wps:spPr>
                      <wps:txbx>
                        <w:txbxContent>
                          <w:p>
                            <w:pPr>
                              <w:ind w:firstLine="0" w:firstLineChars="0"/>
                              <w:rPr>
                                <w:color w:val="FFFF00"/>
                              </w:rPr>
                            </w:pPr>
                            <w:r>
                              <w:rPr>
                                <w:rFonts w:hint="eastAsia"/>
                                <w:color w:val="FFFF00"/>
                                <w:highlight w:val="red"/>
                              </w:rPr>
                              <w:t>N</w:t>
                            </w:r>
                            <w:r>
                              <w:rPr>
                                <w:color w:val="FFFF00"/>
                                <w:highlight w:val="red"/>
                              </w:rPr>
                              <w:t>3</w:t>
                            </w:r>
                          </w:p>
                        </w:txbxContent>
                      </wps:txbx>
                      <wps:bodyPr rot="0" vert="horz" wrap="square" lIns="91440" tIns="45720" rIns="91440" bIns="45720" anchor="t" anchorCtr="false" upright="true">
                        <a:noAutofit/>
                      </wps:bodyPr>
                    </wps:wsp>
                  </a:graphicData>
                </a:graphic>
              </wp:anchor>
            </w:drawing>
          </mc:Choice>
          <mc:Fallback>
            <w:pict>
              <v:rect id="Rectangle 3014" o:spid="_x0000_s1026" o:spt="1" style="position:absolute;left:0pt;margin-left:150.4pt;margin-top:149.45pt;height:23.25pt;width:36pt;z-index:251627520;mso-width-relative:page;mso-height-relative:page;" filled="f" stroked="f" coordsize="21600,21600" o:gfxdata="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BYAAABkcnMvUEsBAhQAFAAAAAgAh07iQKZl+2bcAAAACwEAAA8AAAAAAAAAAQAgAAAAOAAA&#10;AGRycy9kb3ducmV2LnhtbFBLAQIUABQAAAAIAIdO4kA4S7yf7gEAAMsDAAAOAAAAAAAAAAEAIAAA&#10;AEEBAABkcnMvZTJvRG9jLnhtbFBLBQYAAAAABgAGAFkBAAChBQAAAAA=&#10;">
                <v:fill on="f" focussize="0,0"/>
                <v:stroke on="f"/>
                <v:imagedata o:title=""/>
                <o:lock v:ext="edit" aspectratio="f"/>
                <v:textbox>
                  <w:txbxContent>
                    <w:p>
                      <w:pPr>
                        <w:ind w:firstLine="0" w:firstLineChars="0"/>
                        <w:rPr>
                          <w:color w:val="FFFF00"/>
                        </w:rPr>
                      </w:pPr>
                      <w:r>
                        <w:rPr>
                          <w:rFonts w:hint="eastAsia"/>
                          <w:color w:val="FFFF00"/>
                          <w:highlight w:val="red"/>
                        </w:rPr>
                        <w:t>N</w:t>
                      </w:r>
                      <w:r>
                        <w:rPr>
                          <w:color w:val="FFFF00"/>
                          <w:highlight w:val="red"/>
                        </w:rPr>
                        <w:t>3</w:t>
                      </w:r>
                    </w:p>
                  </w:txbxContent>
                </v:textbox>
              </v:rect>
            </w:pict>
          </mc:Fallback>
        </mc:AlternateContent>
      </w:r>
      <w:r>
        <w:rPr>
          <w:rFonts w:ascii="Times New Roman" w:hAnsi="Times New Roman" w:cs="Times New Roman"/>
        </w:rPr>
        <mc:AlternateContent>
          <mc:Choice Requires="wps">
            <w:drawing>
              <wp:anchor distT="0" distB="0" distL="114300" distR="114300" simplePos="0" relativeHeight="251628544" behindDoc="0" locked="0" layoutInCell="1" allowOverlap="1">
                <wp:simplePos x="0" y="0"/>
                <wp:positionH relativeFrom="column">
                  <wp:posOffset>3243580</wp:posOffset>
                </wp:positionH>
                <wp:positionV relativeFrom="paragraph">
                  <wp:posOffset>3079115</wp:posOffset>
                </wp:positionV>
                <wp:extent cx="457200" cy="295275"/>
                <wp:effectExtent l="0" t="0" r="0" b="1270"/>
                <wp:wrapNone/>
                <wp:docPr id="234" name="Rectangle 3013"/>
                <wp:cNvGraphicFramePr/>
                <a:graphic xmlns:a="http://schemas.openxmlformats.org/drawingml/2006/main">
                  <a:graphicData uri="http://schemas.microsoft.com/office/word/2010/wordprocessingShape">
                    <wps:wsp>
                      <wps:cNvSpPr>
                        <a:spLocks noChangeArrowheads="true"/>
                      </wps:cNvSpPr>
                      <wps:spPr bwMode="auto">
                        <a:xfrm>
                          <a:off x="0" y="0"/>
                          <a:ext cx="457200" cy="295275"/>
                        </a:xfrm>
                        <a:prstGeom prst="rect">
                          <a:avLst/>
                        </a:prstGeom>
                        <a:noFill/>
                        <a:ln>
                          <a:noFill/>
                        </a:ln>
                      </wps:spPr>
                      <wps:txbx>
                        <w:txbxContent>
                          <w:p>
                            <w:pPr>
                              <w:ind w:firstLine="0" w:firstLineChars="0"/>
                              <w:rPr>
                                <w:color w:val="FFFF00"/>
                              </w:rPr>
                            </w:pPr>
                            <w:r>
                              <w:rPr>
                                <w:rFonts w:hint="eastAsia"/>
                                <w:color w:val="FFFF00"/>
                                <w:highlight w:val="red"/>
                              </w:rPr>
                              <w:t>N</w:t>
                            </w:r>
                            <w:r>
                              <w:rPr>
                                <w:color w:val="FFFF00"/>
                                <w:highlight w:val="red"/>
                              </w:rPr>
                              <w:t>2</w:t>
                            </w:r>
                          </w:p>
                        </w:txbxContent>
                      </wps:txbx>
                      <wps:bodyPr rot="0" vert="horz" wrap="square" lIns="91440" tIns="45720" rIns="91440" bIns="45720" anchor="t" anchorCtr="false" upright="true">
                        <a:noAutofit/>
                      </wps:bodyPr>
                    </wps:wsp>
                  </a:graphicData>
                </a:graphic>
              </wp:anchor>
            </w:drawing>
          </mc:Choice>
          <mc:Fallback>
            <w:pict>
              <v:rect id="Rectangle 3013" o:spid="_x0000_s1026" o:spt="1" style="position:absolute;left:0pt;margin-left:255.4pt;margin-top:242.45pt;height:23.25pt;width:36pt;z-index:251628544;mso-width-relative:page;mso-height-relative:page;" filled="f" stroked="f" coordsize="21600,21600" o:gfxdata="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BYAAABkcnMvUEsBAhQAFAAAAAgAh07iQKj4psfcAAAACwEAAA8AAAAAAAAAAQAgAAAAOAAA&#10;AGRycy9kb3ducmV2LnhtbFBLAQIUABQAAAAIAIdO4kC+zbs07gEAAMsDAAAOAAAAAAAAAAEAIAAA&#10;AEEBAABkcnMvZTJvRG9jLnhtbFBLBQYAAAAABgAGAFkBAAChBQAAAAA=&#10;">
                <v:fill on="f" focussize="0,0"/>
                <v:stroke on="f"/>
                <v:imagedata o:title=""/>
                <o:lock v:ext="edit" aspectratio="f"/>
                <v:textbox>
                  <w:txbxContent>
                    <w:p>
                      <w:pPr>
                        <w:ind w:firstLine="0" w:firstLineChars="0"/>
                        <w:rPr>
                          <w:color w:val="FFFF00"/>
                        </w:rPr>
                      </w:pPr>
                      <w:r>
                        <w:rPr>
                          <w:rFonts w:hint="eastAsia"/>
                          <w:color w:val="FFFF00"/>
                          <w:highlight w:val="red"/>
                        </w:rPr>
                        <w:t>N</w:t>
                      </w:r>
                      <w:r>
                        <w:rPr>
                          <w:color w:val="FFFF00"/>
                          <w:highlight w:val="red"/>
                        </w:rPr>
                        <w:t>2</w:t>
                      </w:r>
                    </w:p>
                  </w:txbxContent>
                </v:textbox>
              </v:rect>
            </w:pict>
          </mc:Fallback>
        </mc:AlternateContent>
      </w:r>
      <w:r>
        <w:rPr>
          <w:rFonts w:ascii="Times New Roman" w:hAnsi="Times New Roman" w:cs="Times New Roman"/>
        </w:rPr>
        <mc:AlternateContent>
          <mc:Choice Requires="wps">
            <w:drawing>
              <wp:anchor distT="0" distB="0" distL="114300" distR="114300" simplePos="0" relativeHeight="251629568" behindDoc="0" locked="0" layoutInCell="1" allowOverlap="1">
                <wp:simplePos x="0" y="0"/>
                <wp:positionH relativeFrom="column">
                  <wp:posOffset>4310380</wp:posOffset>
                </wp:positionH>
                <wp:positionV relativeFrom="paragraph">
                  <wp:posOffset>1974215</wp:posOffset>
                </wp:positionV>
                <wp:extent cx="457200" cy="295275"/>
                <wp:effectExtent l="0" t="0" r="0" b="1270"/>
                <wp:wrapNone/>
                <wp:docPr id="233" name="Rectangle 3012"/>
                <wp:cNvGraphicFramePr/>
                <a:graphic xmlns:a="http://schemas.openxmlformats.org/drawingml/2006/main">
                  <a:graphicData uri="http://schemas.microsoft.com/office/word/2010/wordprocessingShape">
                    <wps:wsp>
                      <wps:cNvSpPr>
                        <a:spLocks noChangeArrowheads="true"/>
                      </wps:cNvSpPr>
                      <wps:spPr bwMode="auto">
                        <a:xfrm>
                          <a:off x="0" y="0"/>
                          <a:ext cx="457200" cy="295275"/>
                        </a:xfrm>
                        <a:prstGeom prst="rect">
                          <a:avLst/>
                        </a:prstGeom>
                        <a:noFill/>
                        <a:ln>
                          <a:noFill/>
                        </a:ln>
                      </wps:spPr>
                      <wps:txbx>
                        <w:txbxContent>
                          <w:p>
                            <w:pPr>
                              <w:ind w:firstLine="0" w:firstLineChars="0"/>
                              <w:rPr>
                                <w:color w:val="FFFF00"/>
                              </w:rPr>
                            </w:pPr>
                            <w:r>
                              <w:rPr>
                                <w:rFonts w:hint="eastAsia"/>
                                <w:color w:val="FFFF00"/>
                                <w:highlight w:val="red"/>
                              </w:rPr>
                              <w:t>N</w:t>
                            </w:r>
                            <w:r>
                              <w:rPr>
                                <w:color w:val="FFFF00"/>
                                <w:highlight w:val="red"/>
                              </w:rPr>
                              <w:t>1</w:t>
                            </w:r>
                          </w:p>
                        </w:txbxContent>
                      </wps:txbx>
                      <wps:bodyPr rot="0" vert="horz" wrap="square" lIns="91440" tIns="45720" rIns="91440" bIns="45720" anchor="t" anchorCtr="false" upright="true">
                        <a:noAutofit/>
                      </wps:bodyPr>
                    </wps:wsp>
                  </a:graphicData>
                </a:graphic>
              </wp:anchor>
            </w:drawing>
          </mc:Choice>
          <mc:Fallback>
            <w:pict>
              <v:rect id="Rectangle 3012" o:spid="_x0000_s1026" o:spt="1" style="position:absolute;left:0pt;margin-left:339.4pt;margin-top:155.45pt;height:23.25pt;width:36pt;z-index:251629568;mso-width-relative:page;mso-height-relative:page;" filled="f" stroked="f" coordsize="21600,21600" o:gfxdata="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FgAAAGRycy9QSwECFAAUAAAACACHTuJA0DDUJdsAAAALAQAADwAAAAAAAAABACAAAAA4AAAA&#10;ZHJzL2Rvd25yZXYueG1sUEsBAhQAFAAAAAgAh07iQOvcPBzuAQAAywMAAA4AAAAAAAAAAQAgAAAA&#10;QAEAAGRycy9lMm9Eb2MueG1sUEsFBgAAAAAGAAYAWQEAAKAFAAAAAA==&#10;">
                <v:fill on="f" focussize="0,0"/>
                <v:stroke on="f"/>
                <v:imagedata o:title=""/>
                <o:lock v:ext="edit" aspectratio="f"/>
                <v:textbox>
                  <w:txbxContent>
                    <w:p>
                      <w:pPr>
                        <w:ind w:firstLine="0" w:firstLineChars="0"/>
                        <w:rPr>
                          <w:color w:val="FFFF00"/>
                        </w:rPr>
                      </w:pPr>
                      <w:r>
                        <w:rPr>
                          <w:rFonts w:hint="eastAsia"/>
                          <w:color w:val="FFFF00"/>
                          <w:highlight w:val="red"/>
                        </w:rPr>
                        <w:t>N</w:t>
                      </w:r>
                      <w:r>
                        <w:rPr>
                          <w:color w:val="FFFF00"/>
                          <w:highlight w:val="red"/>
                        </w:rPr>
                        <w:t>1</w:t>
                      </w:r>
                    </w:p>
                  </w:txbxContent>
                </v:textbox>
              </v:rect>
            </w:pict>
          </mc:Fallback>
        </mc:AlternateContent>
      </w:r>
      <w:r>
        <w:rPr>
          <w:rFonts w:ascii="Times New Roman" w:hAnsi="Times New Roman" w:cs="Times New Roman"/>
        </w:rPr>
        <mc:AlternateContent>
          <mc:Choice Requires="wps">
            <w:drawing>
              <wp:anchor distT="0" distB="0" distL="114300" distR="114300" simplePos="0" relativeHeight="251630592" behindDoc="0" locked="0" layoutInCell="1" allowOverlap="1">
                <wp:simplePos x="0" y="0"/>
                <wp:positionH relativeFrom="column">
                  <wp:posOffset>3434080</wp:posOffset>
                </wp:positionH>
                <wp:positionV relativeFrom="paragraph">
                  <wp:posOffset>1116965</wp:posOffset>
                </wp:positionV>
                <wp:extent cx="180975" cy="133350"/>
                <wp:effectExtent l="19050" t="17780" r="19050" b="10795"/>
                <wp:wrapNone/>
                <wp:docPr id="232" name="AutoShape 3011"/>
                <wp:cNvGraphicFramePr/>
                <a:graphic xmlns:a="http://schemas.openxmlformats.org/drawingml/2006/main">
                  <a:graphicData uri="http://schemas.microsoft.com/office/word/2010/wordprocessingShape">
                    <wps:wsp>
                      <wps:cNvSpPr>
                        <a:spLocks noChangeArrowheads="true"/>
                      </wps:cNvSpPr>
                      <wps:spPr bwMode="auto">
                        <a:xfrm>
                          <a:off x="0" y="0"/>
                          <a:ext cx="180975" cy="133350"/>
                        </a:xfrm>
                        <a:prstGeom prst="triangle">
                          <a:avLst>
                            <a:gd name="adj" fmla="val 50000"/>
                          </a:avLst>
                        </a:prstGeom>
                        <a:solidFill>
                          <a:srgbClr val="FF0000"/>
                        </a:solidFill>
                        <a:ln w="9525">
                          <a:solidFill>
                            <a:srgbClr val="FFFF00"/>
                          </a:solidFill>
                          <a:miter lim="800000"/>
                        </a:ln>
                      </wps:spPr>
                      <wps:bodyPr rot="0" vert="horz" wrap="square" lIns="91440" tIns="45720" rIns="91440" bIns="45720" anchor="t" anchorCtr="false" upright="true">
                        <a:noAutofit/>
                      </wps:bodyPr>
                    </wps:wsp>
                  </a:graphicData>
                </a:graphic>
              </wp:anchor>
            </w:drawing>
          </mc:Choice>
          <mc:Fallback>
            <w:pict>
              <v:shape id="AutoShape 3011" o:spid="_x0000_s1026" o:spt="5" type="#_x0000_t5" style="position:absolute;left:0pt;margin-left:270.4pt;margin-top:87.95pt;height:10.5pt;width:14.25pt;z-index:251630592;mso-width-relative:page;mso-height-relative:page;" fillcolor="#FF0000" filled="t" stroked="t" coordsize="21600,21600" o:gfxdata="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I84NZXZAAAACwEAAA8AAAAAAAAAAQAgAAAAOAAA&#10;AGRycy9kb3ducmV2LnhtbFBLAQIUABQAAAAIAIdO4kDqeK13KgIAAGIEAAAOAAAAAAAAAAEAIAAA&#10;AD4BAABkcnMvZTJvRG9jLnhtbFBLBQYAAAAABgAGAFkBAADaBQAAAAA=&#10;" adj="10800">
                <v:fill on="t" focussize="0,0"/>
                <v:stroke color="#FFFF00" miterlimit="8" joinstyle="miter"/>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631616" behindDoc="0" locked="0" layoutInCell="1" allowOverlap="1">
                <wp:simplePos x="0" y="0"/>
                <wp:positionH relativeFrom="column">
                  <wp:posOffset>1995805</wp:posOffset>
                </wp:positionH>
                <wp:positionV relativeFrom="paragraph">
                  <wp:posOffset>2155190</wp:posOffset>
                </wp:positionV>
                <wp:extent cx="180975" cy="133350"/>
                <wp:effectExtent l="19050" t="17780" r="19050" b="10795"/>
                <wp:wrapNone/>
                <wp:docPr id="231" name="AutoShape 3010"/>
                <wp:cNvGraphicFramePr/>
                <a:graphic xmlns:a="http://schemas.openxmlformats.org/drawingml/2006/main">
                  <a:graphicData uri="http://schemas.microsoft.com/office/word/2010/wordprocessingShape">
                    <wps:wsp>
                      <wps:cNvSpPr>
                        <a:spLocks noChangeArrowheads="true"/>
                      </wps:cNvSpPr>
                      <wps:spPr bwMode="auto">
                        <a:xfrm>
                          <a:off x="0" y="0"/>
                          <a:ext cx="180975" cy="133350"/>
                        </a:xfrm>
                        <a:prstGeom prst="triangle">
                          <a:avLst>
                            <a:gd name="adj" fmla="val 50000"/>
                          </a:avLst>
                        </a:prstGeom>
                        <a:solidFill>
                          <a:srgbClr val="FF0000"/>
                        </a:solidFill>
                        <a:ln w="9525">
                          <a:solidFill>
                            <a:srgbClr val="FFFF00"/>
                          </a:solidFill>
                          <a:miter lim="800000"/>
                        </a:ln>
                      </wps:spPr>
                      <wps:bodyPr rot="0" vert="horz" wrap="square" lIns="91440" tIns="45720" rIns="91440" bIns="45720" anchor="t" anchorCtr="false" upright="true">
                        <a:noAutofit/>
                      </wps:bodyPr>
                    </wps:wsp>
                  </a:graphicData>
                </a:graphic>
              </wp:anchor>
            </w:drawing>
          </mc:Choice>
          <mc:Fallback>
            <w:pict>
              <v:shape id="AutoShape 3010" o:spid="_x0000_s1026" o:spt="5" type="#_x0000_t5" style="position:absolute;left:0pt;margin-left:157.15pt;margin-top:169.7pt;height:10.5pt;width:14.25pt;z-index:251631616;mso-width-relative:page;mso-height-relative:page;" fillcolor="#FF0000" filled="t" stroked="t" coordsize="21600,21600" o:gfxdata="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K4EQTNkAAAALAQAADwAAAAAAAAABACAAAAA4AAAA&#10;ZHJzL2Rvd25yZXYueG1sUEsBAhQAFAAAAAgAh07iQB0OxLspAgAAYgQAAA4AAAAAAAAAAQAgAAAA&#10;PgEAAGRycy9lMm9Eb2MueG1sUEsFBgAAAAAGAAYAWQEAANkFAAAAAA==&#10;" adj="10800">
                <v:fill on="t" focussize="0,0"/>
                <v:stroke color="#FFFF00" miterlimit="8" joinstyle="miter"/>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632640" behindDoc="0" locked="0" layoutInCell="1" allowOverlap="1">
                <wp:simplePos x="0" y="0"/>
                <wp:positionH relativeFrom="column">
                  <wp:posOffset>3138805</wp:posOffset>
                </wp:positionH>
                <wp:positionV relativeFrom="paragraph">
                  <wp:posOffset>3117215</wp:posOffset>
                </wp:positionV>
                <wp:extent cx="180975" cy="133350"/>
                <wp:effectExtent l="19050" t="17780" r="19050" b="10795"/>
                <wp:wrapNone/>
                <wp:docPr id="230" name="AutoShape 3009"/>
                <wp:cNvGraphicFramePr/>
                <a:graphic xmlns:a="http://schemas.openxmlformats.org/drawingml/2006/main">
                  <a:graphicData uri="http://schemas.microsoft.com/office/word/2010/wordprocessingShape">
                    <wps:wsp>
                      <wps:cNvSpPr>
                        <a:spLocks noChangeArrowheads="true"/>
                      </wps:cNvSpPr>
                      <wps:spPr bwMode="auto">
                        <a:xfrm>
                          <a:off x="0" y="0"/>
                          <a:ext cx="180975" cy="133350"/>
                        </a:xfrm>
                        <a:prstGeom prst="triangle">
                          <a:avLst>
                            <a:gd name="adj" fmla="val 50000"/>
                          </a:avLst>
                        </a:prstGeom>
                        <a:solidFill>
                          <a:srgbClr val="FF0000"/>
                        </a:solidFill>
                        <a:ln w="9525">
                          <a:solidFill>
                            <a:srgbClr val="FFFF00"/>
                          </a:solidFill>
                          <a:miter lim="800000"/>
                        </a:ln>
                      </wps:spPr>
                      <wps:bodyPr rot="0" vert="horz" wrap="square" lIns="91440" tIns="45720" rIns="91440" bIns="45720" anchor="t" anchorCtr="false" upright="true">
                        <a:noAutofit/>
                      </wps:bodyPr>
                    </wps:wsp>
                  </a:graphicData>
                </a:graphic>
              </wp:anchor>
            </w:drawing>
          </mc:Choice>
          <mc:Fallback>
            <w:pict>
              <v:shape id="AutoShape 3009" o:spid="_x0000_s1026" o:spt="5" type="#_x0000_t5" style="position:absolute;left:0pt;margin-left:247.15pt;margin-top:245.45pt;height:10.5pt;width:14.25pt;z-index:251632640;mso-width-relative:page;mso-height-relative:page;" fillcolor="#FF0000" filled="t" stroked="t" coordsize="21600,21600" o:gfxdata="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AiN9Tw2AAAAAsBAAAPAAAAAAAAAAEAIAAAADgAAABk&#10;cnMvZG93bnJldi54bWxQSwECFAAUAAAACACHTuJAJ+EMVikCAABiBAAADgAAAAAAAAABACAAAAA9&#10;AQAAZHJzL2Uyb0RvYy54bWxQSwUGAAAAAAYABgBZAQAA2AUAAAAA&#10;" adj="10800">
                <v:fill on="t" focussize="0,0"/>
                <v:stroke color="#FFFF00" miterlimit="8" joinstyle="miter"/>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633664" behindDoc="0" locked="0" layoutInCell="1" allowOverlap="1">
                <wp:simplePos x="0" y="0"/>
                <wp:positionH relativeFrom="column">
                  <wp:posOffset>4329430</wp:posOffset>
                </wp:positionH>
                <wp:positionV relativeFrom="paragraph">
                  <wp:posOffset>1859915</wp:posOffset>
                </wp:positionV>
                <wp:extent cx="180975" cy="133350"/>
                <wp:effectExtent l="19050" t="17780" r="19050" b="10795"/>
                <wp:wrapNone/>
                <wp:docPr id="229" name="AutoShape 3008"/>
                <wp:cNvGraphicFramePr/>
                <a:graphic xmlns:a="http://schemas.openxmlformats.org/drawingml/2006/main">
                  <a:graphicData uri="http://schemas.microsoft.com/office/word/2010/wordprocessingShape">
                    <wps:wsp>
                      <wps:cNvSpPr>
                        <a:spLocks noChangeArrowheads="true"/>
                      </wps:cNvSpPr>
                      <wps:spPr bwMode="auto">
                        <a:xfrm>
                          <a:off x="0" y="0"/>
                          <a:ext cx="180975" cy="133350"/>
                        </a:xfrm>
                        <a:prstGeom prst="triangle">
                          <a:avLst>
                            <a:gd name="adj" fmla="val 50000"/>
                          </a:avLst>
                        </a:prstGeom>
                        <a:solidFill>
                          <a:srgbClr val="FF0000"/>
                        </a:solidFill>
                        <a:ln w="9525">
                          <a:solidFill>
                            <a:srgbClr val="FFFF00"/>
                          </a:solidFill>
                          <a:miter lim="800000"/>
                        </a:ln>
                      </wps:spPr>
                      <wps:bodyPr rot="0" vert="horz" wrap="square" lIns="91440" tIns="45720" rIns="91440" bIns="45720" anchor="t" anchorCtr="false" upright="true">
                        <a:noAutofit/>
                      </wps:bodyPr>
                    </wps:wsp>
                  </a:graphicData>
                </a:graphic>
              </wp:anchor>
            </w:drawing>
          </mc:Choice>
          <mc:Fallback>
            <w:pict>
              <v:shape id="AutoShape 3008" o:spid="_x0000_s1026" o:spt="5" type="#_x0000_t5" style="position:absolute;left:0pt;margin-left:340.9pt;margin-top:146.45pt;height:10.5pt;width:14.25pt;z-index:251633664;mso-width-relative:page;mso-height-relative:page;" fillcolor="#FF0000" filled="t" stroked="t" coordsize="21600,21600" o:gfxdata="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WAAAAZHJzL1BLAQIUABQAAAAIAIdO4kAixopq2gAAAAsBAAAPAAAAAAAAAAEAIAAAADgA&#10;AABkcnMvZG93bnJldi54bWxQSwECFAAUAAAACACHTuJAsqKCUioCAABiBAAADgAAAAAAAAABACAA&#10;AAA/AQAAZHJzL2Uyb0RvYy54bWxQSwUGAAAAAAYABgBZAQAA2wUAAAAA&#10;" adj="10800">
                <v:fill on="t" focussize="0,0"/>
                <v:stroke color="#FFFF00" miterlimit="8" joinstyle="miter"/>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634688" behindDoc="0" locked="0" layoutInCell="1" allowOverlap="1">
                <wp:simplePos x="0" y="0"/>
                <wp:positionH relativeFrom="column">
                  <wp:posOffset>1386205</wp:posOffset>
                </wp:positionH>
                <wp:positionV relativeFrom="paragraph">
                  <wp:posOffset>1193165</wp:posOffset>
                </wp:positionV>
                <wp:extent cx="2971800" cy="1943100"/>
                <wp:effectExtent l="0" t="74930" r="19050" b="77470"/>
                <wp:wrapNone/>
                <wp:docPr id="4" name="Freeform 3006"/>
                <wp:cNvGraphicFramePr/>
                <a:graphic xmlns:a="http://schemas.openxmlformats.org/drawingml/2006/main">
                  <a:graphicData uri="http://schemas.microsoft.com/office/word/2010/wordprocessingShape">
                    <wps:wsp>
                      <wps:cNvSpPr/>
                      <wps:spPr bwMode="auto">
                        <a:xfrm rot="-139322">
                          <a:off x="0" y="0"/>
                          <a:ext cx="2971800" cy="1943100"/>
                        </a:xfrm>
                        <a:custGeom>
                          <a:avLst/>
                          <a:gdLst>
                            <a:gd name="T0" fmla="*/ 2250 w 4485"/>
                            <a:gd name="T1" fmla="*/ 330 h 3060"/>
                            <a:gd name="T2" fmla="*/ 4485 w 4485"/>
                            <a:gd name="T3" fmla="*/ 0 h 3060"/>
                            <a:gd name="T4" fmla="*/ 4440 w 4485"/>
                            <a:gd name="T5" fmla="*/ 3014 h 3060"/>
                            <a:gd name="T6" fmla="*/ 0 w 4485"/>
                            <a:gd name="T7" fmla="*/ 3060 h 3060"/>
                            <a:gd name="T8" fmla="*/ 2250 w 4485"/>
                            <a:gd name="T9" fmla="*/ 330 h 3060"/>
                          </a:gdLst>
                          <a:ahLst/>
                          <a:cxnLst>
                            <a:cxn ang="0">
                              <a:pos x="T0" y="T1"/>
                            </a:cxn>
                            <a:cxn ang="0">
                              <a:pos x="T2" y="T3"/>
                            </a:cxn>
                            <a:cxn ang="0">
                              <a:pos x="T4" y="T5"/>
                            </a:cxn>
                            <a:cxn ang="0">
                              <a:pos x="T6" y="T7"/>
                            </a:cxn>
                            <a:cxn ang="0">
                              <a:pos x="T8" y="T9"/>
                            </a:cxn>
                          </a:cxnLst>
                          <a:rect l="0" t="0" r="r" b="b"/>
                          <a:pathLst>
                            <a:path w="4485" h="3060">
                              <a:moveTo>
                                <a:pt x="2250" y="330"/>
                              </a:moveTo>
                              <a:lnTo>
                                <a:pt x="4485" y="0"/>
                              </a:lnTo>
                              <a:lnTo>
                                <a:pt x="4440" y="3014"/>
                              </a:lnTo>
                              <a:lnTo>
                                <a:pt x="0" y="3060"/>
                              </a:lnTo>
                              <a:lnTo>
                                <a:pt x="2250" y="330"/>
                              </a:lnTo>
                              <a:close/>
                            </a:path>
                          </a:pathLst>
                        </a:custGeom>
                        <a:noFill/>
                        <a:ln w="9525">
                          <a:solidFill>
                            <a:srgbClr val="FF0000"/>
                          </a:solidFill>
                          <a:round/>
                        </a:ln>
                      </wps:spPr>
                      <wps:bodyPr rot="0" vert="horz" wrap="square" lIns="91440" tIns="45720" rIns="91440" bIns="45720" anchor="t" anchorCtr="false" upright="true">
                        <a:noAutofit/>
                      </wps:bodyPr>
                    </wps:wsp>
                  </a:graphicData>
                </a:graphic>
              </wp:anchor>
            </w:drawing>
          </mc:Choice>
          <mc:Fallback>
            <w:pict>
              <v:shape id="Freeform 3006" o:spid="_x0000_s1026" o:spt="100" style="position:absolute;left:0pt;margin-left:109.15pt;margin-top:93.95pt;height:153pt;width:234pt;rotation:-152177f;z-index:251634688;mso-width-relative:page;mso-height-relative:page;" filled="f" stroked="t" coordsize="4485,3060" o:gfxdata="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FgAAAGRycy9QSwECFAAUAAAACACHTuJADjV1ZNsAAAALAQAADwAAAAAAAAABACAAAAA4AAAA&#10;ZHJzL2Rvd25yZXYueG1sUEsBAhQAFAAAAAgAh07iQISkoAgLAwAAjgcAAA4AAAAAAAAAAQAgAAAA&#10;QAEAAGRycy9lMm9Eb2MueG1sUEsFBgAAAAAGAAYAWQEAAL0GAAAAAA==&#10;" path="m2250,330l4485,0,4440,3014,0,3060,2250,330xe">
                <v:path o:connectlocs="1490869,209550;2971800,0;2941982,1913890;0,1943100;1490869,209550" o:connectangles="0,0,0,0,0"/>
                <v:fill on="f" focussize="0,0"/>
                <v:stroke color="#FF0000" joinstyle="round"/>
                <v:imagedata o:title=""/>
                <o:lock v:ext="edit" aspectratio="f"/>
              </v:shape>
            </w:pict>
          </mc:Fallback>
        </mc:AlternateContent>
      </w:r>
      <w:r>
        <w:rPr>
          <w:rFonts w:ascii="Times New Roman" w:hAnsi="Times New Roman" w:cs="Times New Roman"/>
        </w:rPr>
        <w:drawing>
          <wp:inline distT="0" distB="0" distL="0" distR="0">
            <wp:extent cx="5762625" cy="4061460"/>
            <wp:effectExtent l="0" t="0" r="0" b="0"/>
            <wp:docPr id="73" name="图片 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true" noChangeArrowheads="true"/>
                    </pic:cNvPicPr>
                  </pic:nvPicPr>
                  <pic:blipFill>
                    <a:blip r:embed="rId126"/>
                    <a:srcRect/>
                    <a:stretch>
                      <a:fillRect/>
                    </a:stretch>
                  </pic:blipFill>
                  <pic:spPr>
                    <a:xfrm>
                      <a:off x="0" y="0"/>
                      <a:ext cx="5762625" cy="4061460"/>
                    </a:xfrm>
                    <a:prstGeom prst="rect">
                      <a:avLst/>
                    </a:prstGeom>
                    <a:noFill/>
                    <a:ln>
                      <a:noFill/>
                    </a:ln>
                  </pic:spPr>
                </pic:pic>
              </a:graphicData>
            </a:graphic>
          </wp:inline>
        </w:drawing>
      </w:r>
      <w:r>
        <w:rPr>
          <w:rFonts w:ascii="Times New Roman" w:hAnsi="Times New Roman" w:cs="Times New Roman"/>
          <w:b/>
          <w:color w:val="auto"/>
          <w:spacing w:val="-2"/>
          <w:kern w:val="0"/>
          <w:szCs w:val="20"/>
        </w:rPr>
        <mc:AlternateContent>
          <mc:Choice Requires="wps">
            <w:drawing>
              <wp:anchor distT="0" distB="0" distL="114300" distR="114300" simplePos="0" relativeHeight="251635712" behindDoc="0" locked="0" layoutInCell="1" allowOverlap="1">
                <wp:simplePos x="0" y="0"/>
                <wp:positionH relativeFrom="column">
                  <wp:posOffset>1665605</wp:posOffset>
                </wp:positionH>
                <wp:positionV relativeFrom="paragraph">
                  <wp:posOffset>2757170</wp:posOffset>
                </wp:positionV>
                <wp:extent cx="525145" cy="349885"/>
                <wp:effectExtent l="0" t="0" r="0" b="0"/>
                <wp:wrapNone/>
                <wp:docPr id="272" name="矩形 272"/>
                <wp:cNvGraphicFramePr/>
                <a:graphic xmlns:a="http://schemas.openxmlformats.org/drawingml/2006/main">
                  <a:graphicData uri="http://schemas.microsoft.com/office/word/2010/wordprocessingShape">
                    <wps:wsp>
                      <wps:cNvSpPr/>
                      <wps:spPr>
                        <a:xfrm>
                          <a:off x="0" y="0"/>
                          <a:ext cx="525145" cy="349885"/>
                        </a:xfrm>
                        <a:prstGeom prst="rect">
                          <a:avLst/>
                        </a:prstGeom>
                        <a:noFill/>
                        <a:ln>
                          <a:noFill/>
                        </a:ln>
                        <a:effectLst/>
                      </wps:spPr>
                      <wps:txbx>
                        <w:txbxContent>
                          <w:p>
                            <w:pPr>
                              <w:spacing w:line="240" w:lineRule="auto"/>
                              <w:ind w:firstLine="0" w:firstLineChars="0"/>
                              <w:jc w:val="center"/>
                              <w:rPr>
                                <w:rFonts w:cs="宋体"/>
                                <w:b/>
                                <w:color w:val="FF0000"/>
                                <w:spacing w:val="-2"/>
                                <w:kern w:val="0"/>
                                <w:szCs w:val="20"/>
                              </w:rPr>
                            </w:pPr>
                          </w:p>
                        </w:txbxContent>
                      </wps:txbx>
                      <wps:bodyPr vert="horz" wrap="square" anchor="t" upright="true"/>
                    </wps:wsp>
                  </a:graphicData>
                </a:graphic>
              </wp:anchor>
            </w:drawing>
          </mc:Choice>
          <mc:Fallback>
            <w:pict>
              <v:rect id="_x0000_s1026" o:spid="_x0000_s1026" o:spt="1" style="position:absolute;left:0pt;margin-left:131.15pt;margin-top:217.1pt;height:27.55pt;width:41.35pt;z-index:251635712;mso-width-relative:page;mso-height-relative:page;" filled="f" stroked="f" coordsize="21600,21600" o:gfxdata="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FgAAAGRycy9Q&#10;SwECFAAUAAAACACHTuJAcr8VtdwAAAALAQAADwAAAAAAAAABACAAAAA4AAAAZHJzL2Rvd25yZXYu&#10;eG1sUEsBAhQAFAAAAAgAh07iQNkOloGoAQAALAMAAA4AAAAAAAAAAQAgAAAAQQEAAGRycy9lMm9E&#10;b2MueG1sUEsFBgAAAAAGAAYAWQEAAFsFAAAAAA==&#10;">
                <v:fill on="f" focussize="0,0"/>
                <v:stroke on="f"/>
                <v:imagedata o:title=""/>
                <o:lock v:ext="edit" aspectratio="f"/>
                <v:textbox>
                  <w:txbxContent>
                    <w:p>
                      <w:pPr>
                        <w:spacing w:line="240" w:lineRule="auto"/>
                        <w:ind w:firstLine="0" w:firstLineChars="0"/>
                        <w:jc w:val="center"/>
                        <w:rPr>
                          <w:rFonts w:cs="宋体"/>
                          <w:b/>
                          <w:color w:val="FF0000"/>
                          <w:spacing w:val="-2"/>
                          <w:kern w:val="0"/>
                          <w:szCs w:val="20"/>
                        </w:rPr>
                      </w:pPr>
                    </w:p>
                  </w:txbxContent>
                </v:textbox>
              </v:rect>
            </w:pict>
          </mc:Fallback>
        </mc:AlternateContent>
      </w:r>
    </w:p>
    <w:p>
      <w:pPr>
        <w:ind w:firstLine="422"/>
        <w:jc w:val="center"/>
        <w:rPr>
          <w:rFonts w:ascii="Times New Roman" w:hAnsi="Times New Roman" w:cs="Times New Roman"/>
          <w:b/>
          <w:color w:val="auto"/>
          <w:spacing w:val="-2"/>
          <w:kern w:val="0"/>
          <w:sz w:val="21"/>
          <w:szCs w:val="21"/>
        </w:rPr>
      </w:pPr>
      <w:r>
        <w:rPr>
          <w:rFonts w:ascii="Times New Roman" w:hAnsi="Times New Roman" w:cs="Times New Roman"/>
          <w:b/>
          <w:color w:val="auto"/>
          <w:spacing w:val="-2"/>
          <w:kern w:val="0"/>
          <w:sz w:val="21"/>
          <w:szCs w:val="21"/>
        </w:rPr>
        <mc:AlternateContent>
          <mc:Choice Requires="wps">
            <w:drawing>
              <wp:anchor distT="0" distB="0" distL="114300" distR="114300" simplePos="0" relativeHeight="251636736" behindDoc="0" locked="0" layoutInCell="1" allowOverlap="1">
                <wp:simplePos x="0" y="0"/>
                <wp:positionH relativeFrom="column">
                  <wp:posOffset>2732405</wp:posOffset>
                </wp:positionH>
                <wp:positionV relativeFrom="paragraph">
                  <wp:posOffset>1623695</wp:posOffset>
                </wp:positionV>
                <wp:extent cx="525145" cy="349885"/>
                <wp:effectExtent l="0" t="0" r="0" b="0"/>
                <wp:wrapNone/>
                <wp:docPr id="244" name="矩形 244"/>
                <wp:cNvGraphicFramePr/>
                <a:graphic xmlns:a="http://schemas.openxmlformats.org/drawingml/2006/main">
                  <a:graphicData uri="http://schemas.microsoft.com/office/word/2010/wordprocessingShape">
                    <wps:wsp>
                      <wps:cNvSpPr/>
                      <wps:spPr>
                        <a:xfrm>
                          <a:off x="0" y="0"/>
                          <a:ext cx="525145" cy="349885"/>
                        </a:xfrm>
                        <a:prstGeom prst="rect">
                          <a:avLst/>
                        </a:prstGeom>
                        <a:noFill/>
                        <a:ln>
                          <a:noFill/>
                        </a:ln>
                        <a:effectLst/>
                      </wps:spPr>
                      <wps:txbx>
                        <w:txbxContent>
                          <w:p>
                            <w:pPr>
                              <w:spacing w:line="240" w:lineRule="auto"/>
                              <w:ind w:firstLine="0" w:firstLineChars="0"/>
                              <w:rPr>
                                <w:rFonts w:cs="宋体"/>
                                <w:b/>
                                <w:color w:val="FF0000"/>
                                <w:spacing w:val="-2"/>
                                <w:kern w:val="0"/>
                                <w:szCs w:val="20"/>
                              </w:rPr>
                            </w:pPr>
                          </w:p>
                        </w:txbxContent>
                      </wps:txbx>
                      <wps:bodyPr vert="horz" wrap="square" anchor="t" upright="true"/>
                    </wps:wsp>
                  </a:graphicData>
                </a:graphic>
              </wp:anchor>
            </w:drawing>
          </mc:Choice>
          <mc:Fallback>
            <w:pict>
              <v:rect id="_x0000_s1026" o:spid="_x0000_s1026" o:spt="1" style="position:absolute;left:0pt;margin-left:215.15pt;margin-top:127.85pt;height:27.55pt;width:41.35pt;z-index:251636736;mso-width-relative:page;mso-height-relative:page;" filled="f" stroked="f" coordsize="21600,21600" o:gfxdata="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WAAAAZHJzL1BL&#10;AQIUABQAAAAIAIdO4kA+9d6E3AAAAAsBAAAPAAAAAAAAAAEAIAAAADgAAABkcnMvZG93bnJldi54&#10;bWxQSwECFAAUAAAACACHTuJAnCjpNacBAAAsAwAADgAAAAAAAAABACAAAABBAQAAZHJzL2Uyb0Rv&#10;Yy54bWxQSwUGAAAAAAYABgBZAQAAWgUAAAAA&#10;">
                <v:fill on="f" focussize="0,0"/>
                <v:stroke on="f"/>
                <v:imagedata o:title=""/>
                <o:lock v:ext="edit" aspectratio="f"/>
                <v:textbox>
                  <w:txbxContent>
                    <w:p>
                      <w:pPr>
                        <w:spacing w:line="240" w:lineRule="auto"/>
                        <w:ind w:firstLine="0" w:firstLineChars="0"/>
                        <w:rPr>
                          <w:rFonts w:cs="宋体"/>
                          <w:b/>
                          <w:color w:val="FF0000"/>
                          <w:spacing w:val="-2"/>
                          <w:kern w:val="0"/>
                          <w:szCs w:val="20"/>
                        </w:rPr>
                      </w:pPr>
                    </w:p>
                  </w:txbxContent>
                </v:textbox>
              </v:rect>
            </w:pict>
          </mc:Fallback>
        </mc:AlternateContent>
      </w:r>
      <w:r>
        <w:rPr>
          <w:rFonts w:ascii="Times New Roman" w:hAnsi="Times New Roman" w:cs="Times New Roman"/>
          <w:b/>
          <w:color w:val="auto"/>
          <w:spacing w:val="-2"/>
          <w:kern w:val="0"/>
          <w:sz w:val="21"/>
          <w:szCs w:val="21"/>
        </w:rPr>
        <w:t>图4.4-1   项目声环境现状监测布点图</w:t>
      </w:r>
    </w:p>
    <w:p>
      <w:pPr>
        <w:keepNext/>
        <w:keepLines/>
        <w:spacing w:before="166" w:beforeLines="50"/>
        <w:ind w:firstLine="0" w:firstLineChars="0"/>
        <w:outlineLvl w:val="1"/>
        <w:rPr>
          <w:rFonts w:ascii="Times New Roman" w:hAnsi="Times New Roman" w:eastAsia="黑体" w:cs="Times New Roman"/>
          <w:b/>
          <w:bCs/>
          <w:color w:val="auto"/>
          <w:sz w:val="28"/>
          <w:szCs w:val="32"/>
        </w:rPr>
      </w:pPr>
      <w:bookmarkStart w:id="310" w:name="_Toc741"/>
      <w:bookmarkStart w:id="311" w:name="_Toc102979829"/>
      <w:bookmarkStart w:id="312" w:name="_Toc28373"/>
      <w:bookmarkStart w:id="313" w:name="_Toc15989"/>
      <w:bookmarkStart w:id="314" w:name="_Toc104733379"/>
      <w:r>
        <w:rPr>
          <w:rFonts w:ascii="Times New Roman" w:hAnsi="Times New Roman" w:eastAsia="黑体" w:cs="Times New Roman"/>
          <w:b/>
          <w:bCs/>
          <w:color w:val="auto"/>
          <w:sz w:val="28"/>
          <w:szCs w:val="32"/>
        </w:rPr>
        <w:t>4.5地下水环境质量现状调查与评价</w:t>
      </w:r>
      <w:bookmarkEnd w:id="310"/>
      <w:bookmarkEnd w:id="311"/>
      <w:bookmarkEnd w:id="312"/>
      <w:bookmarkEnd w:id="313"/>
      <w:bookmarkEnd w:id="314"/>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区域地下水环境质量评价引用</w:t>
      </w:r>
      <w:r>
        <w:rPr>
          <w:rFonts w:ascii="Times New Roman" w:hAnsi="Times New Roman" w:cs="Times New Roman"/>
        </w:rPr>
        <w:t>《合肥循环经济示范园区环境影响区域评估报告（2021年版）》</w:t>
      </w:r>
      <w:r>
        <w:rPr>
          <w:rFonts w:ascii="Times New Roman" w:hAnsi="Times New Roman" w:cs="Times New Roman"/>
          <w:color w:val="auto"/>
          <w:spacing w:val="-2"/>
          <w:kern w:val="0"/>
          <w:szCs w:val="20"/>
        </w:rPr>
        <w:t>中对区域地下水的监测数据</w:t>
      </w:r>
      <w:r>
        <w:rPr>
          <w:rFonts w:hint="eastAsia" w:ascii="Times New Roman" w:hAnsi="Times New Roman" w:cs="Times New Roman"/>
          <w:color w:val="auto"/>
          <w:spacing w:val="-2"/>
          <w:kern w:val="0"/>
          <w:szCs w:val="20"/>
        </w:rPr>
        <w:t>（含水位）</w:t>
      </w:r>
      <w:r>
        <w:rPr>
          <w:rFonts w:ascii="Times New Roman" w:hAnsi="Times New Roman" w:cs="Times New Roman"/>
          <w:color w:val="auto"/>
          <w:spacing w:val="-2"/>
          <w:kern w:val="0"/>
          <w:szCs w:val="20"/>
        </w:rPr>
        <w:t>。本次评价</w:t>
      </w:r>
      <w:r>
        <w:rPr>
          <w:rFonts w:hint="eastAsia" w:ascii="Times New Roman" w:hAnsi="Times New Roman" w:cs="Times New Roman"/>
          <w:color w:val="auto"/>
          <w:spacing w:val="-2"/>
          <w:kern w:val="0"/>
          <w:szCs w:val="20"/>
        </w:rPr>
        <w:t>于</w:t>
      </w:r>
      <w:r>
        <w:rPr>
          <w:rFonts w:ascii="Times New Roman" w:hAnsi="Times New Roman" w:cs="Times New Roman"/>
          <w:color w:val="auto"/>
          <w:spacing w:val="-2"/>
          <w:kern w:val="0"/>
          <w:szCs w:val="20"/>
        </w:rPr>
        <w:t>2021年2月</w:t>
      </w:r>
      <w:r>
        <w:rPr>
          <w:rFonts w:hint="eastAsia" w:ascii="Times New Roman" w:hAnsi="Times New Roman" w:cs="Times New Roman"/>
          <w:color w:val="auto"/>
          <w:spacing w:val="-2"/>
          <w:kern w:val="0"/>
          <w:szCs w:val="20"/>
        </w:rPr>
        <w:t>和7月</w:t>
      </w:r>
      <w:r>
        <w:rPr>
          <w:rFonts w:ascii="Times New Roman" w:hAnsi="Times New Roman" w:cs="Times New Roman"/>
          <w:color w:val="auto"/>
          <w:spacing w:val="-2"/>
          <w:kern w:val="0"/>
          <w:szCs w:val="20"/>
        </w:rPr>
        <w:t>，在项目拟建场地上下游及侧向</w:t>
      </w:r>
      <w:r>
        <w:rPr>
          <w:rFonts w:hint="eastAsia" w:ascii="Times New Roman" w:hAnsi="Times New Roman" w:cs="Times New Roman"/>
          <w:color w:val="auto"/>
          <w:spacing w:val="-2"/>
          <w:kern w:val="0"/>
          <w:szCs w:val="20"/>
        </w:rPr>
        <w:t>共</w:t>
      </w:r>
      <w:r>
        <w:rPr>
          <w:rFonts w:ascii="Times New Roman" w:hAnsi="Times New Roman" w:cs="Times New Roman"/>
          <w:color w:val="auto"/>
          <w:spacing w:val="-2"/>
          <w:kern w:val="0"/>
          <w:szCs w:val="20"/>
        </w:rPr>
        <w:t>布设了5个地下水监测点位</w:t>
      </w:r>
      <w:r>
        <w:rPr>
          <w:rFonts w:hint="eastAsia" w:ascii="Times New Roman" w:hAnsi="Times New Roman" w:cs="Times New Roman"/>
          <w:color w:val="auto"/>
          <w:spacing w:val="-2"/>
          <w:kern w:val="0"/>
          <w:szCs w:val="20"/>
        </w:rPr>
        <w:t>（含水位）</w:t>
      </w:r>
      <w:r>
        <w:rPr>
          <w:rFonts w:ascii="Times New Roman" w:hAnsi="Times New Roman" w:cs="Times New Roman"/>
          <w:color w:val="auto"/>
          <w:spacing w:val="-2"/>
          <w:kern w:val="0"/>
          <w:szCs w:val="20"/>
        </w:rPr>
        <w:t>；具体的项目区地下水监测布点及引用的区域地下水监测布点见表4.5-1和图4.5-1。</w:t>
      </w:r>
    </w:p>
    <w:p>
      <w:pPr>
        <w:ind w:firstLine="0" w:firstLineChars="0"/>
        <w:rPr>
          <w:rFonts w:ascii="Times New Roman" w:hAnsi="Times New Roman" w:cs="Times New Roman"/>
          <w:color w:val="auto"/>
        </w:rPr>
      </w:pPr>
      <w:r>
        <w:rPr>
          <w:rFonts w:ascii="Times New Roman" w:hAnsi="Times New Roman" w:cs="Times New Roman"/>
          <w:color w:val="auto"/>
        </w:rPr>
        <mc:AlternateContent>
          <mc:Choice Requires="wps">
            <w:drawing>
              <wp:anchor distT="0" distB="0" distL="114300" distR="114300" simplePos="0" relativeHeight="251637760" behindDoc="0" locked="0" layoutInCell="1" allowOverlap="1">
                <wp:simplePos x="0" y="0"/>
                <wp:positionH relativeFrom="column">
                  <wp:posOffset>616585</wp:posOffset>
                </wp:positionH>
                <wp:positionV relativeFrom="paragraph">
                  <wp:posOffset>259080</wp:posOffset>
                </wp:positionV>
                <wp:extent cx="1071245" cy="357505"/>
                <wp:effectExtent l="1905" t="6350" r="212725" b="198120"/>
                <wp:wrapNone/>
                <wp:docPr id="227" name="AutoShape 841"/>
                <wp:cNvGraphicFramePr/>
                <a:graphic xmlns:a="http://schemas.openxmlformats.org/drawingml/2006/main">
                  <a:graphicData uri="http://schemas.microsoft.com/office/word/2010/wordprocessingShape">
                    <wps:wsp>
                      <wps:cNvSpPr>
                        <a:spLocks noChangeArrowheads="true"/>
                      </wps:cNvSpPr>
                      <wps:spPr bwMode="auto">
                        <a:xfrm>
                          <a:off x="0" y="0"/>
                          <a:ext cx="1071245" cy="357505"/>
                        </a:xfrm>
                        <a:prstGeom prst="wedgeRoundRectCallout">
                          <a:avLst>
                            <a:gd name="adj1" fmla="val 69741"/>
                            <a:gd name="adj2" fmla="val 102931"/>
                            <a:gd name="adj3" fmla="val 16667"/>
                          </a:avLst>
                        </a:prstGeom>
                        <a:solidFill>
                          <a:srgbClr val="FFFF00"/>
                        </a:solidFill>
                        <a:ln>
                          <a:noFill/>
                        </a:ln>
                      </wps:spPr>
                      <wps:txbx>
                        <w:txbxContent>
                          <w:p>
                            <w:pPr>
                              <w:ind w:firstLine="0" w:firstLineChars="0"/>
                              <w:rPr>
                                <w:b/>
                                <w:bCs/>
                              </w:rPr>
                            </w:pPr>
                            <w:r>
                              <w:rPr>
                                <w:rFonts w:hint="eastAsia"/>
                                <w:b/>
                                <w:bCs/>
                              </w:rPr>
                              <w:t>本项目位置</w:t>
                            </w:r>
                          </w:p>
                        </w:txbxContent>
                      </wps:txbx>
                      <wps:bodyPr rot="0" vert="horz" wrap="square" lIns="91440" tIns="45720" rIns="91440" bIns="45720" anchor="t" anchorCtr="false" upright="true">
                        <a:noAutofit/>
                      </wps:bodyPr>
                    </wps:wsp>
                  </a:graphicData>
                </a:graphic>
              </wp:anchor>
            </w:drawing>
          </mc:Choice>
          <mc:Fallback>
            <w:pict>
              <v:shape id="AutoShape 841" o:spid="_x0000_s1026" o:spt="62" type="#_x0000_t62" style="position:absolute;left:0pt;margin-left:48.55pt;margin-top:20.4pt;height:28.15pt;width:84.35pt;z-index:251637760;mso-width-relative:page;mso-height-relative:page;" fillcolor="#FFFF00" filled="t" stroked="f" coordsize="21600,21600" o:gfxdata="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IP4JdYAAAAI&#10;AQAADwAAAAAAAAABACAAAAA4AAAAZHJzL2Rvd25yZXYueG1sUEsBAhQAFAAAAAgAh07iQCBTAGtB&#10;AgAAewQAAA4AAAAAAAAAAQAgAAAAOwEAAGRycy9lMm9Eb2MueG1sUEsFBgAAAAAGAAYAWQEAAO4F&#10;AAAAAA==&#10;" adj="25864,33033,14400">
                <v:fill on="t" focussize="0,0"/>
                <v:stroke on="f"/>
                <v:imagedata o:title=""/>
                <o:lock v:ext="edit" aspectratio="f"/>
                <v:textbox>
                  <w:txbxContent>
                    <w:p>
                      <w:pPr>
                        <w:ind w:firstLine="0" w:firstLineChars="0"/>
                        <w:rPr>
                          <w:b/>
                          <w:bCs/>
                        </w:rPr>
                      </w:pPr>
                      <w:r>
                        <w:rPr>
                          <w:rFonts w:hint="eastAsia"/>
                          <w:b/>
                          <w:bCs/>
                        </w:rPr>
                        <w:t>本项目位置</w:t>
                      </w:r>
                    </w:p>
                  </w:txbxContent>
                </v:textbox>
              </v:shape>
            </w:pict>
          </mc:Fallback>
        </mc:AlternateContent>
      </w:r>
      <w:r>
        <w:rPr>
          <w:rFonts w:ascii="Times New Roman" w:hAnsi="Times New Roman" w:cs="Times New Roman"/>
        </w:rPr>
        <w:drawing>
          <wp:inline distT="0" distB="0" distL="0" distR="0">
            <wp:extent cx="5752465" cy="3615055"/>
            <wp:effectExtent l="0" t="0" r="0" b="0"/>
            <wp:docPr id="74" name="图片 7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true" noChangeArrowheads="true"/>
                    </pic:cNvPicPr>
                  </pic:nvPicPr>
                  <pic:blipFill>
                    <a:blip r:embed="rId127" cstate="hqprint"/>
                    <a:srcRect/>
                    <a:stretch>
                      <a:fillRect/>
                    </a:stretch>
                  </pic:blipFill>
                  <pic:spPr>
                    <a:xfrm>
                      <a:off x="0" y="0"/>
                      <a:ext cx="5752465" cy="3615055"/>
                    </a:xfrm>
                    <a:prstGeom prst="rect">
                      <a:avLst/>
                    </a:prstGeom>
                    <a:noFill/>
                    <a:ln>
                      <a:noFill/>
                    </a:ln>
                  </pic:spPr>
                </pic:pic>
              </a:graphicData>
            </a:graphic>
          </wp:inline>
        </w:drawing>
      </w:r>
    </w:p>
    <w:p>
      <w:pPr>
        <w:ind w:firstLine="422"/>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表4.5-1  调查引用的项目所在区域地下水监测布点</w:t>
      </w:r>
    </w:p>
    <w:p>
      <w:pPr>
        <w:pStyle w:val="25"/>
        <w:ind w:firstLine="480"/>
        <w:rPr>
          <w:rFonts w:ascii="Times New Roman" w:hAnsi="Times New Roman" w:cs="Times New Roman"/>
        </w:rPr>
      </w:pPr>
      <w:r>
        <w:rPr>
          <w:rFonts w:ascii="Times New Roman" w:hAnsi="Times New Roman" w:cs="Times New Roman"/>
        </w:rPr>
        <w:t>本项目评价引用《合肥循环经济示范园区环境影响区域评估报告（2021年版）》</w:t>
      </w:r>
      <w:r>
        <w:rPr>
          <w:rFonts w:ascii="Times New Roman" w:hAnsi="Times New Roman" w:cs="Times New Roman"/>
          <w:color w:val="auto"/>
          <w:spacing w:val="-2"/>
          <w:kern w:val="0"/>
          <w:szCs w:val="20"/>
        </w:rPr>
        <w:t>中地下水3#、4#、5#、6#、7#监测点的调查监测结果。</w:t>
      </w:r>
    </w:p>
    <w:p>
      <w:pPr>
        <w:ind w:firstLine="422"/>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表4.5-1  项目区域地下水监测布点</w:t>
      </w:r>
    </w:p>
    <w:tbl>
      <w:tblPr>
        <w:tblStyle w:val="62"/>
        <w:tblW w:w="8998" w:type="dxa"/>
        <w:tblInd w:w="11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132"/>
        <w:gridCol w:w="1560"/>
        <w:gridCol w:w="3075"/>
        <w:gridCol w:w="1501"/>
        <w:gridCol w:w="173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8" w:hRule="atLeast"/>
        </w:trPr>
        <w:tc>
          <w:tcPr>
            <w:tcW w:w="1132"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类别</w:t>
            </w:r>
          </w:p>
        </w:tc>
        <w:tc>
          <w:tcPr>
            <w:tcW w:w="156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编号</w:t>
            </w:r>
          </w:p>
        </w:tc>
        <w:tc>
          <w:tcPr>
            <w:tcW w:w="307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取样点位置</w:t>
            </w:r>
          </w:p>
        </w:tc>
        <w:tc>
          <w:tcPr>
            <w:tcW w:w="1501"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取样点区位</w:t>
            </w:r>
          </w:p>
        </w:tc>
        <w:tc>
          <w:tcPr>
            <w:tcW w:w="173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层位</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7" w:hRule="atLeast"/>
        </w:trPr>
        <w:tc>
          <w:tcPr>
            <w:tcW w:w="1132" w:type="dxa"/>
            <w:vMerge w:val="restart"/>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引用区域监测点位</w:t>
            </w:r>
          </w:p>
        </w:tc>
        <w:tc>
          <w:tcPr>
            <w:tcW w:w="156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w:t>
            </w:r>
          </w:p>
        </w:tc>
        <w:tc>
          <w:tcPr>
            <w:tcW w:w="307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碑坊村水井 （原来地名）</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N117 . 480214 ，E31 . 79528</w:t>
            </w:r>
          </w:p>
        </w:tc>
        <w:tc>
          <w:tcPr>
            <w:tcW w:w="1501"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循环经济园规划区北侧</w:t>
            </w:r>
          </w:p>
        </w:tc>
        <w:tc>
          <w:tcPr>
            <w:tcW w:w="173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第一含水层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7" w:hRule="atLeast"/>
        </w:trPr>
        <w:tc>
          <w:tcPr>
            <w:tcW w:w="1132"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56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w:t>
            </w:r>
          </w:p>
        </w:tc>
        <w:tc>
          <w:tcPr>
            <w:tcW w:w="307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北岗村水井 （原来地名）</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N117 . 487688 ，E31 . 747515</w:t>
            </w:r>
          </w:p>
        </w:tc>
        <w:tc>
          <w:tcPr>
            <w:tcW w:w="1501"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循环经济园规划区南侧</w:t>
            </w:r>
          </w:p>
        </w:tc>
        <w:tc>
          <w:tcPr>
            <w:tcW w:w="173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第一含水层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7" w:hRule="atLeast"/>
        </w:trPr>
        <w:tc>
          <w:tcPr>
            <w:tcW w:w="1132"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56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w:t>
            </w:r>
          </w:p>
        </w:tc>
        <w:tc>
          <w:tcPr>
            <w:tcW w:w="307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临河村水井 （原来地名）</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N117 . 456861 ，E31 . 791040</w:t>
            </w:r>
          </w:p>
        </w:tc>
        <w:tc>
          <w:tcPr>
            <w:tcW w:w="1501"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循环经济园规划区下游</w:t>
            </w:r>
          </w:p>
        </w:tc>
        <w:tc>
          <w:tcPr>
            <w:tcW w:w="173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第一含水层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7" w:hRule="atLeast"/>
        </w:trPr>
        <w:tc>
          <w:tcPr>
            <w:tcW w:w="1132"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56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w:t>
            </w:r>
          </w:p>
        </w:tc>
        <w:tc>
          <w:tcPr>
            <w:tcW w:w="307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中兴村水井 （原来地名）</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N117 . 453132 ，E31 . 784459</w:t>
            </w:r>
          </w:p>
        </w:tc>
        <w:tc>
          <w:tcPr>
            <w:tcW w:w="1501"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循环经济园规划区下游</w:t>
            </w:r>
          </w:p>
        </w:tc>
        <w:tc>
          <w:tcPr>
            <w:tcW w:w="173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第一含水层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7" w:hRule="atLeast"/>
        </w:trPr>
        <w:tc>
          <w:tcPr>
            <w:tcW w:w="1132"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56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w:t>
            </w:r>
          </w:p>
        </w:tc>
        <w:tc>
          <w:tcPr>
            <w:tcW w:w="307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张湾村水井 （原来地名）</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N117 . 435558,E31 . 767465</w:t>
            </w:r>
          </w:p>
        </w:tc>
        <w:tc>
          <w:tcPr>
            <w:tcW w:w="1501"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循环经济园规划区下游</w:t>
            </w:r>
          </w:p>
        </w:tc>
        <w:tc>
          <w:tcPr>
            <w:tcW w:w="173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第一含水层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7" w:hRule="atLeast"/>
        </w:trPr>
        <w:tc>
          <w:tcPr>
            <w:tcW w:w="1132" w:type="dxa"/>
            <w:vMerge w:val="restart"/>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评价布设点位</w:t>
            </w:r>
          </w:p>
        </w:tc>
        <w:tc>
          <w:tcPr>
            <w:tcW w:w="156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D1</w:t>
            </w:r>
          </w:p>
        </w:tc>
        <w:tc>
          <w:tcPr>
            <w:tcW w:w="307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项目所在区域地下水流向上游</w:t>
            </w:r>
          </w:p>
        </w:tc>
        <w:tc>
          <w:tcPr>
            <w:tcW w:w="1501"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项目区上游</w:t>
            </w:r>
          </w:p>
        </w:tc>
        <w:tc>
          <w:tcPr>
            <w:tcW w:w="173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第一含水层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7" w:hRule="atLeast"/>
        </w:trPr>
        <w:tc>
          <w:tcPr>
            <w:tcW w:w="1132"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56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D2</w:t>
            </w:r>
          </w:p>
        </w:tc>
        <w:tc>
          <w:tcPr>
            <w:tcW w:w="307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项目所在区域地下水流向侧向</w:t>
            </w:r>
          </w:p>
        </w:tc>
        <w:tc>
          <w:tcPr>
            <w:tcW w:w="1501"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项目区侧向</w:t>
            </w:r>
          </w:p>
        </w:tc>
        <w:tc>
          <w:tcPr>
            <w:tcW w:w="173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第一含水层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7" w:hRule="atLeast"/>
        </w:trPr>
        <w:tc>
          <w:tcPr>
            <w:tcW w:w="1132"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56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D3</w:t>
            </w:r>
          </w:p>
        </w:tc>
        <w:tc>
          <w:tcPr>
            <w:tcW w:w="307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项目所在区域地下水流向下游</w:t>
            </w:r>
          </w:p>
        </w:tc>
        <w:tc>
          <w:tcPr>
            <w:tcW w:w="1501"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项目区下游</w:t>
            </w:r>
          </w:p>
        </w:tc>
        <w:tc>
          <w:tcPr>
            <w:tcW w:w="173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第一含水层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7" w:hRule="atLeast"/>
        </w:trPr>
        <w:tc>
          <w:tcPr>
            <w:tcW w:w="1132"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56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D4</w:t>
            </w:r>
          </w:p>
        </w:tc>
        <w:tc>
          <w:tcPr>
            <w:tcW w:w="307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项目所在区域地下水流向上游</w:t>
            </w:r>
          </w:p>
        </w:tc>
        <w:tc>
          <w:tcPr>
            <w:tcW w:w="1501"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项目区上游</w:t>
            </w:r>
          </w:p>
        </w:tc>
        <w:tc>
          <w:tcPr>
            <w:tcW w:w="173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第一含水层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7" w:hRule="atLeast"/>
        </w:trPr>
        <w:tc>
          <w:tcPr>
            <w:tcW w:w="1132"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56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D5</w:t>
            </w:r>
          </w:p>
        </w:tc>
        <w:tc>
          <w:tcPr>
            <w:tcW w:w="307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项目所在区域地下水流向下游</w:t>
            </w:r>
          </w:p>
        </w:tc>
        <w:tc>
          <w:tcPr>
            <w:tcW w:w="1501"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项目区下游</w:t>
            </w:r>
          </w:p>
        </w:tc>
        <w:tc>
          <w:tcPr>
            <w:tcW w:w="1730"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第一含水层</w:t>
            </w:r>
          </w:p>
        </w:tc>
      </w:tr>
    </w:tbl>
    <w:p>
      <w:pPr>
        <w:ind w:firstLine="0" w:firstLineChars="0"/>
        <w:rPr>
          <w:rFonts w:ascii="Times New Roman" w:hAnsi="Times New Roman" w:cs="Times New Roman"/>
        </w:rPr>
      </w:pPr>
      <w:bookmarkStart w:id="315" w:name="_Toc102984347"/>
      <w:r>
        <w:rPr>
          <w:rFonts w:ascii="Times New Roman" w:hAnsi="Times New Roman" w:cs="Times New Roman"/>
        </w:rPr>
        <w:drawing>
          <wp:inline distT="0" distB="0" distL="0" distR="0">
            <wp:extent cx="5773420" cy="3742690"/>
            <wp:effectExtent l="0" t="0" r="0" b="0"/>
            <wp:docPr id="75" name="图片 7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true" noChangeArrowheads="true"/>
                    </pic:cNvPicPr>
                  </pic:nvPicPr>
                  <pic:blipFill>
                    <a:blip r:embed="rId128"/>
                    <a:srcRect/>
                    <a:stretch>
                      <a:fillRect/>
                    </a:stretch>
                  </pic:blipFill>
                  <pic:spPr>
                    <a:xfrm>
                      <a:off x="0" y="0"/>
                      <a:ext cx="5773420" cy="3742690"/>
                    </a:xfrm>
                    <a:prstGeom prst="rect">
                      <a:avLst/>
                    </a:prstGeom>
                    <a:noFill/>
                    <a:ln>
                      <a:noFill/>
                    </a:ln>
                  </pic:spPr>
                </pic:pic>
              </a:graphicData>
            </a:graphic>
          </wp:inline>
        </w:drawing>
      </w:r>
    </w:p>
    <w:p>
      <w:pPr>
        <w:ind w:firstLine="422"/>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图</w:t>
      </w:r>
      <w:r>
        <w:rPr>
          <w:rFonts w:ascii="Times New Roman" w:hAnsi="Times New Roman" w:cs="Times New Roman"/>
          <w:b/>
          <w:bCs/>
          <w:color w:val="auto"/>
          <w:sz w:val="21"/>
          <w:szCs w:val="21"/>
        </w:rPr>
        <w:t>4.5-2.1  项目区域地下水、土壤监测布点图</w:t>
      </w:r>
      <w:r>
        <w:rPr>
          <w:rFonts w:hint="eastAsia" w:ascii="Times New Roman" w:hAnsi="Times New Roman" w:cs="Times New Roman"/>
          <w:b/>
          <w:bCs/>
          <w:color w:val="auto"/>
          <w:sz w:val="21"/>
          <w:szCs w:val="21"/>
        </w:rPr>
        <w:t>（2</w:t>
      </w:r>
      <w:r>
        <w:rPr>
          <w:rFonts w:ascii="Times New Roman" w:hAnsi="Times New Roman" w:cs="Times New Roman"/>
          <w:b/>
          <w:bCs/>
          <w:color w:val="auto"/>
          <w:sz w:val="21"/>
          <w:szCs w:val="21"/>
        </w:rPr>
        <w:t>021</w:t>
      </w:r>
      <w:r>
        <w:rPr>
          <w:rFonts w:hint="eastAsia" w:ascii="Times New Roman" w:hAnsi="Times New Roman" w:cs="Times New Roman"/>
          <w:b/>
          <w:bCs/>
          <w:color w:val="auto"/>
          <w:sz w:val="21"/>
          <w:szCs w:val="21"/>
        </w:rPr>
        <w:t>年2月）</w:t>
      </w:r>
    </w:p>
    <w:p>
      <w:pPr>
        <w:pStyle w:val="25"/>
        <w:ind w:firstLine="0" w:firstLineChars="0"/>
      </w:pPr>
      <w:r>
        <w:drawing>
          <wp:inline distT="0" distB="0" distL="0" distR="0">
            <wp:extent cx="5760720" cy="4306570"/>
            <wp:effectExtent l="0" t="0" r="0" b="0"/>
            <wp:docPr id="1976" name="图片 197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76" name="图片 1976"/>
                    <pic:cNvPicPr>
                      <a:picLocks noChangeAspect="true"/>
                    </pic:cNvPicPr>
                  </pic:nvPicPr>
                  <pic:blipFill>
                    <a:blip r:embed="rId129"/>
                    <a:stretch>
                      <a:fillRect/>
                    </a:stretch>
                  </pic:blipFill>
                  <pic:spPr>
                    <a:xfrm>
                      <a:off x="0" y="0"/>
                      <a:ext cx="5760720" cy="4306570"/>
                    </a:xfrm>
                    <a:prstGeom prst="rect">
                      <a:avLst/>
                    </a:prstGeom>
                  </pic:spPr>
                </pic:pic>
              </a:graphicData>
            </a:graphic>
          </wp:inline>
        </w:drawing>
      </w:r>
    </w:p>
    <w:bookmarkEnd w:id="315"/>
    <w:p>
      <w:pPr>
        <w:ind w:firstLine="0" w:firstLineChars="0"/>
        <w:jc w:val="center"/>
        <w:rPr>
          <w:rFonts w:ascii="Times New Roman" w:hAnsi="Times New Roman" w:cs="Times New Roman"/>
          <w:b/>
          <w:bCs/>
          <w:color w:val="auto"/>
          <w:sz w:val="21"/>
          <w:szCs w:val="21"/>
        </w:rPr>
      </w:pPr>
      <w:r>
        <w:drawing>
          <wp:inline distT="0" distB="0" distL="0" distR="0">
            <wp:extent cx="5207000" cy="3667125"/>
            <wp:effectExtent l="0" t="0" r="0" b="0"/>
            <wp:docPr id="1977" name="图片 197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77" name="图片 1977"/>
                    <pic:cNvPicPr>
                      <a:picLocks noChangeAspect="true"/>
                    </pic:cNvPicPr>
                  </pic:nvPicPr>
                  <pic:blipFill>
                    <a:blip r:embed="rId130"/>
                    <a:stretch>
                      <a:fillRect/>
                    </a:stretch>
                  </pic:blipFill>
                  <pic:spPr>
                    <a:xfrm>
                      <a:off x="0" y="0"/>
                      <a:ext cx="5213455" cy="3671601"/>
                    </a:xfrm>
                    <a:prstGeom prst="rect">
                      <a:avLst/>
                    </a:prstGeom>
                  </pic:spPr>
                </pic:pic>
              </a:graphicData>
            </a:graphic>
          </wp:inline>
        </w:drawing>
      </w:r>
    </w:p>
    <w:p>
      <w:pPr>
        <w:ind w:firstLine="0" w:firstLineChars="0"/>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图</w:t>
      </w:r>
      <w:r>
        <w:rPr>
          <w:rFonts w:ascii="Times New Roman" w:hAnsi="Times New Roman" w:cs="Times New Roman"/>
          <w:b/>
          <w:bCs/>
          <w:color w:val="auto"/>
          <w:sz w:val="21"/>
          <w:szCs w:val="21"/>
        </w:rPr>
        <w:t>4.5-2.2  项目区域地下水、土壤监测布点图</w:t>
      </w:r>
      <w:r>
        <w:rPr>
          <w:rFonts w:hint="eastAsia" w:ascii="Times New Roman" w:hAnsi="Times New Roman" w:cs="Times New Roman"/>
          <w:b/>
          <w:bCs/>
          <w:color w:val="auto"/>
          <w:sz w:val="21"/>
          <w:szCs w:val="21"/>
        </w:rPr>
        <w:t>（2</w:t>
      </w:r>
      <w:r>
        <w:rPr>
          <w:rFonts w:ascii="Times New Roman" w:hAnsi="Times New Roman" w:cs="Times New Roman"/>
          <w:b/>
          <w:bCs/>
          <w:color w:val="auto"/>
          <w:sz w:val="21"/>
          <w:szCs w:val="21"/>
        </w:rPr>
        <w:t>021</w:t>
      </w:r>
      <w:r>
        <w:rPr>
          <w:rFonts w:hint="eastAsia" w:ascii="Times New Roman" w:hAnsi="Times New Roman" w:cs="Times New Roman"/>
          <w:b/>
          <w:bCs/>
          <w:color w:val="auto"/>
          <w:sz w:val="21"/>
          <w:szCs w:val="21"/>
        </w:rPr>
        <w:t>年</w:t>
      </w:r>
      <w:r>
        <w:rPr>
          <w:rFonts w:ascii="Times New Roman" w:hAnsi="Times New Roman" w:cs="Times New Roman"/>
          <w:b/>
          <w:bCs/>
          <w:color w:val="auto"/>
          <w:sz w:val="21"/>
          <w:szCs w:val="21"/>
        </w:rPr>
        <w:t>7</w:t>
      </w:r>
      <w:r>
        <w:rPr>
          <w:rFonts w:hint="eastAsia" w:ascii="Times New Roman" w:hAnsi="Times New Roman" w:cs="Times New Roman"/>
          <w:b/>
          <w:bCs/>
          <w:color w:val="auto"/>
          <w:sz w:val="21"/>
          <w:szCs w:val="21"/>
        </w:rPr>
        <w:t>月）</w:t>
      </w:r>
    </w:p>
    <w:p>
      <w:pPr>
        <w:ind w:firstLine="474"/>
        <w:rPr>
          <w:rFonts w:ascii="Times New Roman" w:hAnsi="Times New Roman" w:cs="Times New Roman"/>
          <w:b/>
          <w:bCs/>
          <w:color w:val="auto"/>
          <w:spacing w:val="-2"/>
          <w:kern w:val="0"/>
          <w:szCs w:val="20"/>
        </w:rPr>
      </w:pPr>
      <w:r>
        <w:rPr>
          <w:rFonts w:ascii="Times New Roman" w:hAnsi="Times New Roman" w:cs="Times New Roman"/>
          <w:b/>
          <w:bCs/>
          <w:color w:val="auto"/>
          <w:spacing w:val="-2"/>
          <w:kern w:val="0"/>
          <w:szCs w:val="20"/>
        </w:rPr>
        <w:t>（1）监测时间和频次</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引用的区域</w:t>
      </w:r>
      <w:r>
        <w:rPr>
          <w:rFonts w:ascii="Times New Roman" w:hAnsi="Times New Roman" w:cs="Times New Roman"/>
        </w:rPr>
        <w:t>《合肥循环经济示范园区环境影响区域评估报告（2021年版）》中的点位地下水监测日期</w:t>
      </w:r>
      <w:r>
        <w:rPr>
          <w:rFonts w:ascii="Times New Roman" w:hAnsi="Times New Roman" w:cs="Times New Roman"/>
          <w:color w:val="auto"/>
          <w:spacing w:val="-2"/>
          <w:kern w:val="0"/>
          <w:szCs w:val="20"/>
        </w:rPr>
        <w:t>为2021 年 8月。</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2021年2月22日，本次评价在项目区布设了3处地下水监测点</w:t>
      </w:r>
      <w:r>
        <w:rPr>
          <w:rFonts w:hint="eastAsia" w:ascii="Times New Roman" w:hAnsi="Times New Roman" w:cs="Times New Roman"/>
          <w:color w:val="auto"/>
          <w:spacing w:val="-2"/>
          <w:kern w:val="0"/>
          <w:szCs w:val="20"/>
        </w:rPr>
        <w:t>（含水位）</w:t>
      </w:r>
      <w:r>
        <w:rPr>
          <w:rFonts w:ascii="Times New Roman" w:hAnsi="Times New Roman" w:cs="Times New Roman"/>
          <w:color w:val="auto"/>
          <w:spacing w:val="-2"/>
          <w:kern w:val="0"/>
          <w:szCs w:val="20"/>
        </w:rPr>
        <w:t>；2021年7月22日，评价在项目区另外布设了2处地下水监测点</w:t>
      </w:r>
      <w:r>
        <w:rPr>
          <w:rFonts w:hint="eastAsia" w:ascii="Times New Roman" w:hAnsi="Times New Roman" w:cs="Times New Roman"/>
          <w:color w:val="auto"/>
          <w:spacing w:val="-2"/>
          <w:kern w:val="0"/>
          <w:szCs w:val="20"/>
        </w:rPr>
        <w:t>（含水位）</w:t>
      </w:r>
      <w:r>
        <w:rPr>
          <w:rFonts w:ascii="Times New Roman" w:hAnsi="Times New Roman" w:cs="Times New Roman"/>
          <w:color w:val="auto"/>
          <w:spacing w:val="-2"/>
          <w:kern w:val="0"/>
          <w:szCs w:val="20"/>
        </w:rPr>
        <w:t>。</w:t>
      </w:r>
    </w:p>
    <w:p>
      <w:pPr>
        <w:ind w:firstLine="472"/>
        <w:rPr>
          <w:rFonts w:ascii="Times New Roman" w:hAnsi="Times New Roman" w:cs="Times New Roman"/>
          <w:bCs/>
          <w:color w:val="auto"/>
          <w:spacing w:val="-2"/>
          <w:kern w:val="0"/>
          <w:szCs w:val="20"/>
        </w:rPr>
      </w:pPr>
      <w:r>
        <w:rPr>
          <w:rFonts w:ascii="Times New Roman" w:hAnsi="Times New Roman" w:cs="Times New Roman"/>
          <w:bCs/>
          <w:color w:val="auto"/>
          <w:spacing w:val="-2"/>
          <w:kern w:val="0"/>
          <w:szCs w:val="20"/>
        </w:rPr>
        <w:t>（2）监测及分析方法</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按原国家环保总局颁布的《环境监测技术规范》和《环境监测分析方法》有关规定和要求执行。</w:t>
      </w:r>
    </w:p>
    <w:p>
      <w:pPr>
        <w:ind w:firstLine="482"/>
        <w:rPr>
          <w:rFonts w:ascii="Times New Roman" w:hAnsi="Times New Roman" w:cs="Times New Roman"/>
          <w:b/>
          <w:bCs/>
          <w:color w:val="auto"/>
          <w:kern w:val="0"/>
          <w:szCs w:val="32"/>
        </w:rPr>
      </w:pPr>
      <w:r>
        <w:rPr>
          <w:rFonts w:ascii="Times New Roman" w:hAnsi="Times New Roman" w:cs="Times New Roman"/>
          <w:b/>
          <w:bCs/>
          <w:color w:val="auto"/>
          <w:kern w:val="0"/>
          <w:szCs w:val="32"/>
        </w:rPr>
        <w:t>（3）监测结果</w:t>
      </w:r>
    </w:p>
    <w:p>
      <w:pPr>
        <w:pStyle w:val="25"/>
        <w:ind w:firstLine="480"/>
      </w:pPr>
      <w:r>
        <w:rPr>
          <w:rFonts w:ascii="Times New Roman" w:hAnsi="Times New Roman" w:cs="Times New Roman"/>
        </w:rPr>
        <w:t>调查的区域地下水监测点</w:t>
      </w:r>
      <w:r>
        <w:rPr>
          <w:rFonts w:hint="eastAsia" w:ascii="Times New Roman" w:hAnsi="Times New Roman" w:cs="Times New Roman"/>
        </w:rPr>
        <w:t>和本次评价委托布设地下水</w:t>
      </w:r>
      <w:r>
        <w:rPr>
          <w:rFonts w:ascii="Times New Roman" w:hAnsi="Times New Roman" w:cs="Times New Roman"/>
        </w:rPr>
        <w:t>监测</w:t>
      </w:r>
      <w:r>
        <w:rPr>
          <w:rFonts w:hint="eastAsia" w:ascii="Times New Roman" w:hAnsi="Times New Roman" w:cs="Times New Roman"/>
        </w:rPr>
        <w:t>点的地下水水位信息</w:t>
      </w:r>
      <w:r>
        <w:rPr>
          <w:rFonts w:ascii="Times New Roman" w:hAnsi="Times New Roman" w:cs="Times New Roman"/>
        </w:rPr>
        <w:t>见表4.5-2</w:t>
      </w:r>
      <w:r>
        <w:rPr>
          <w:rFonts w:hint="eastAsia" w:ascii="Times New Roman" w:hAnsi="Times New Roman" w:cs="Times New Roman"/>
        </w:rPr>
        <w:t>。</w:t>
      </w:r>
    </w:p>
    <w:p>
      <w:pPr>
        <w:spacing w:line="240" w:lineRule="auto"/>
        <w:ind w:firstLine="414"/>
        <w:jc w:val="center"/>
        <w:rPr>
          <w:rFonts w:ascii="Times New Roman" w:hAnsi="Times New Roman" w:cs="Times New Roman"/>
          <w:b/>
          <w:bCs/>
          <w:color w:val="auto"/>
          <w:spacing w:val="-2"/>
          <w:kern w:val="0"/>
          <w:sz w:val="21"/>
          <w:szCs w:val="21"/>
        </w:rPr>
      </w:pPr>
      <w:r>
        <w:rPr>
          <w:rFonts w:ascii="Times New Roman" w:hAnsi="Times New Roman" w:cs="Times New Roman"/>
          <w:b/>
          <w:bCs/>
          <w:color w:val="auto"/>
          <w:spacing w:val="-2"/>
          <w:kern w:val="0"/>
          <w:sz w:val="21"/>
          <w:szCs w:val="21"/>
        </w:rPr>
        <w:t>表4.5-2    区域地下水</w:t>
      </w:r>
      <w:r>
        <w:rPr>
          <w:rFonts w:hint="eastAsia" w:ascii="Times New Roman" w:hAnsi="Times New Roman" w:cs="Times New Roman"/>
          <w:b/>
          <w:bCs/>
          <w:color w:val="auto"/>
          <w:spacing w:val="-2"/>
          <w:kern w:val="0"/>
          <w:sz w:val="21"/>
          <w:szCs w:val="21"/>
        </w:rPr>
        <w:t>水位信息</w:t>
      </w:r>
      <w:r>
        <w:rPr>
          <w:rFonts w:ascii="Times New Roman" w:hAnsi="Times New Roman" w:cs="Times New Roman"/>
          <w:b/>
          <w:bCs/>
          <w:color w:val="auto"/>
          <w:spacing w:val="-2"/>
          <w:kern w:val="0"/>
          <w:sz w:val="21"/>
          <w:szCs w:val="21"/>
        </w:rPr>
        <w:t>一览表</w:t>
      </w:r>
    </w:p>
    <w:tbl>
      <w:tblPr>
        <w:tblStyle w:val="62"/>
        <w:tblW w:w="9525"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471"/>
        <w:gridCol w:w="805"/>
        <w:gridCol w:w="805"/>
        <w:gridCol w:w="805"/>
        <w:gridCol w:w="805"/>
        <w:gridCol w:w="751"/>
        <w:gridCol w:w="55"/>
        <w:gridCol w:w="805"/>
        <w:gridCol w:w="805"/>
        <w:gridCol w:w="805"/>
        <w:gridCol w:w="805"/>
        <w:gridCol w:w="808"/>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37" w:hRule="atLeast"/>
        </w:trPr>
        <w:tc>
          <w:tcPr>
            <w:tcW w:w="1471" w:type="dxa"/>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监测项目</w:t>
            </w:r>
          </w:p>
        </w:tc>
        <w:tc>
          <w:tcPr>
            <w:tcW w:w="3971" w:type="dxa"/>
            <w:gridSpan w:val="5"/>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调查的区域地下水监测点位</w:t>
            </w:r>
          </w:p>
        </w:tc>
        <w:tc>
          <w:tcPr>
            <w:tcW w:w="4083" w:type="dxa"/>
            <w:gridSpan w:val="6"/>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hint="eastAsia" w:ascii="Times New Roman" w:hAnsi="Times New Roman" w:cs="Times New Roman"/>
                <w:color w:val="auto"/>
                <w:spacing w:val="-2"/>
                <w:kern w:val="0"/>
                <w:sz w:val="18"/>
                <w:szCs w:val="18"/>
              </w:rPr>
              <w:t>评价委托布设地下水监测点位</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37" w:hRule="atLeast"/>
        </w:trPr>
        <w:tc>
          <w:tcPr>
            <w:tcW w:w="1471"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8054" w:type="dxa"/>
            <w:gridSpan w:val="11"/>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监测结果</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37" w:hRule="atLeast"/>
        </w:trPr>
        <w:tc>
          <w:tcPr>
            <w:tcW w:w="1471"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牌坊村3#</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北岗村4#</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临河村5#</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中兴村6#</w:t>
            </w:r>
          </w:p>
        </w:tc>
        <w:tc>
          <w:tcPr>
            <w:tcW w:w="806" w:type="dxa"/>
            <w:gridSpan w:val="2"/>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张湾村7#</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hint="eastAsia" w:ascii="Times New Roman" w:hAnsi="Times New Roman" w:cs="Times New Roman"/>
                <w:color w:val="auto"/>
                <w:spacing w:val="-2"/>
                <w:kern w:val="0"/>
                <w:sz w:val="18"/>
                <w:szCs w:val="18"/>
              </w:rPr>
              <w:t>D</w:t>
            </w:r>
            <w:r>
              <w:rPr>
                <w:rFonts w:ascii="Times New Roman" w:hAnsi="Times New Roman" w:cs="Times New Roman"/>
                <w:color w:val="auto"/>
                <w:spacing w:val="-2"/>
                <w:kern w:val="0"/>
                <w:sz w:val="18"/>
                <w:szCs w:val="18"/>
              </w:rPr>
              <w:t>1</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hint="eastAsia" w:ascii="Times New Roman" w:hAnsi="Times New Roman" w:cs="Times New Roman"/>
                <w:color w:val="auto"/>
                <w:spacing w:val="-2"/>
                <w:kern w:val="0"/>
                <w:sz w:val="18"/>
                <w:szCs w:val="18"/>
              </w:rPr>
              <w:t>D</w:t>
            </w:r>
            <w:r>
              <w:rPr>
                <w:rFonts w:ascii="Times New Roman" w:hAnsi="Times New Roman" w:cs="Times New Roman"/>
                <w:color w:val="auto"/>
                <w:spacing w:val="-2"/>
                <w:kern w:val="0"/>
                <w:sz w:val="18"/>
                <w:szCs w:val="18"/>
              </w:rPr>
              <w:t>2</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hint="eastAsia" w:ascii="Times New Roman" w:hAnsi="Times New Roman" w:cs="Times New Roman"/>
                <w:color w:val="auto"/>
                <w:spacing w:val="-2"/>
                <w:kern w:val="0"/>
                <w:sz w:val="18"/>
                <w:szCs w:val="18"/>
              </w:rPr>
              <w:t>D</w:t>
            </w:r>
            <w:r>
              <w:rPr>
                <w:rFonts w:ascii="Times New Roman" w:hAnsi="Times New Roman" w:cs="Times New Roman"/>
                <w:color w:val="auto"/>
                <w:spacing w:val="-2"/>
                <w:kern w:val="0"/>
                <w:sz w:val="18"/>
                <w:szCs w:val="18"/>
              </w:rPr>
              <w:t>3</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hint="eastAsia" w:ascii="Times New Roman" w:hAnsi="Times New Roman" w:cs="Times New Roman"/>
                <w:color w:val="auto"/>
                <w:spacing w:val="-2"/>
                <w:kern w:val="0"/>
                <w:sz w:val="18"/>
                <w:szCs w:val="18"/>
              </w:rPr>
              <w:t>D</w:t>
            </w:r>
            <w:r>
              <w:rPr>
                <w:rFonts w:ascii="Times New Roman" w:hAnsi="Times New Roman" w:cs="Times New Roman"/>
                <w:color w:val="auto"/>
                <w:spacing w:val="-2"/>
                <w:kern w:val="0"/>
                <w:sz w:val="18"/>
                <w:szCs w:val="18"/>
              </w:rPr>
              <w:t>4</w:t>
            </w:r>
          </w:p>
        </w:tc>
        <w:tc>
          <w:tcPr>
            <w:tcW w:w="808"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hint="eastAsia" w:ascii="Times New Roman" w:hAnsi="Times New Roman" w:cs="Times New Roman"/>
                <w:color w:val="auto"/>
                <w:spacing w:val="-2"/>
                <w:kern w:val="0"/>
                <w:sz w:val="18"/>
                <w:szCs w:val="18"/>
              </w:rPr>
              <w:t>D</w:t>
            </w:r>
            <w:r>
              <w:rPr>
                <w:rFonts w:ascii="Times New Roman" w:hAnsi="Times New Roman" w:cs="Times New Roman"/>
                <w:color w:val="auto"/>
                <w:spacing w:val="-2"/>
                <w:kern w:val="0"/>
                <w:sz w:val="18"/>
                <w:szCs w:val="18"/>
              </w:rPr>
              <w:t>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275" w:hRule="atLeast"/>
        </w:trPr>
        <w:tc>
          <w:tcPr>
            <w:tcW w:w="1471"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水位高程（m）</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2.8</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2.3</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w:t>
            </w:r>
          </w:p>
        </w:tc>
        <w:tc>
          <w:tcPr>
            <w:tcW w:w="806" w:type="dxa"/>
            <w:gridSpan w:val="2"/>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2.3</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hint="eastAsia" w:ascii="Times New Roman" w:hAnsi="Times New Roman" w:cs="Times New Roman"/>
                <w:color w:val="auto"/>
                <w:spacing w:val="-2"/>
                <w:kern w:val="0"/>
                <w:sz w:val="18"/>
                <w:szCs w:val="18"/>
              </w:rPr>
              <w:t>3</w:t>
            </w:r>
            <w:r>
              <w:rPr>
                <w:rFonts w:ascii="Times New Roman" w:hAnsi="Times New Roman" w:cs="Times New Roman"/>
                <w:color w:val="auto"/>
                <w:spacing w:val="-2"/>
                <w:kern w:val="0"/>
                <w:sz w:val="18"/>
                <w:szCs w:val="18"/>
              </w:rPr>
              <w:t>.0</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hint="eastAsia" w:ascii="Times New Roman" w:hAnsi="Times New Roman" w:cs="Times New Roman"/>
                <w:color w:val="auto"/>
                <w:spacing w:val="-2"/>
                <w:kern w:val="0"/>
                <w:sz w:val="18"/>
                <w:szCs w:val="18"/>
              </w:rPr>
              <w:t>3</w:t>
            </w:r>
            <w:r>
              <w:rPr>
                <w:rFonts w:ascii="Times New Roman" w:hAnsi="Times New Roman" w:cs="Times New Roman"/>
                <w:color w:val="auto"/>
                <w:spacing w:val="-2"/>
                <w:kern w:val="0"/>
                <w:sz w:val="18"/>
                <w:szCs w:val="18"/>
              </w:rPr>
              <w:t>.0</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hint="eastAsia" w:ascii="Times New Roman" w:hAnsi="Times New Roman" w:cs="Times New Roman"/>
                <w:color w:val="auto"/>
                <w:spacing w:val="-2"/>
                <w:kern w:val="0"/>
                <w:sz w:val="18"/>
                <w:szCs w:val="18"/>
              </w:rPr>
              <w:t>2</w:t>
            </w:r>
            <w:r>
              <w:rPr>
                <w:rFonts w:ascii="Times New Roman" w:hAnsi="Times New Roman" w:cs="Times New Roman"/>
                <w:color w:val="auto"/>
                <w:spacing w:val="-2"/>
                <w:kern w:val="0"/>
                <w:sz w:val="18"/>
                <w:szCs w:val="18"/>
              </w:rPr>
              <w:t>.0</w:t>
            </w:r>
          </w:p>
        </w:tc>
        <w:tc>
          <w:tcPr>
            <w:tcW w:w="80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hint="eastAsia" w:ascii="Times New Roman" w:hAnsi="Times New Roman" w:cs="Times New Roman"/>
                <w:color w:val="auto"/>
                <w:spacing w:val="-2"/>
                <w:kern w:val="0"/>
                <w:sz w:val="18"/>
                <w:szCs w:val="18"/>
              </w:rPr>
              <w:t>2</w:t>
            </w:r>
            <w:r>
              <w:rPr>
                <w:rFonts w:ascii="Times New Roman" w:hAnsi="Times New Roman" w:cs="Times New Roman"/>
                <w:color w:val="auto"/>
                <w:spacing w:val="-2"/>
                <w:kern w:val="0"/>
                <w:sz w:val="18"/>
                <w:szCs w:val="18"/>
              </w:rPr>
              <w:t>.7</w:t>
            </w:r>
          </w:p>
        </w:tc>
        <w:tc>
          <w:tcPr>
            <w:tcW w:w="808"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hint="eastAsia" w:ascii="Times New Roman" w:hAnsi="Times New Roman" w:cs="Times New Roman"/>
                <w:color w:val="auto"/>
                <w:spacing w:val="-2"/>
                <w:kern w:val="0"/>
                <w:sz w:val="18"/>
                <w:szCs w:val="18"/>
              </w:rPr>
              <w:t>2</w:t>
            </w:r>
            <w:r>
              <w:rPr>
                <w:rFonts w:ascii="Times New Roman" w:hAnsi="Times New Roman" w:cs="Times New Roman"/>
                <w:color w:val="auto"/>
                <w:spacing w:val="-2"/>
                <w:kern w:val="0"/>
                <w:sz w:val="18"/>
                <w:szCs w:val="18"/>
              </w:rPr>
              <w:t>.1</w:t>
            </w:r>
          </w:p>
        </w:tc>
      </w:tr>
    </w:tbl>
    <w:p>
      <w:pPr>
        <w:ind w:firstLine="480"/>
        <w:rPr>
          <w:rFonts w:ascii="Times New Roman" w:hAnsi="Times New Roman" w:cs="Times New Roman"/>
        </w:rPr>
      </w:pPr>
      <w:r>
        <w:rPr>
          <w:rFonts w:ascii="Times New Roman" w:hAnsi="Times New Roman" w:cs="Times New Roman"/>
        </w:rPr>
        <w:t>调查的区域地下水监测点监测结果见表4.5-3，项目区布点地下水监测结果见表4.5-4及4.5-5。</w:t>
      </w:r>
    </w:p>
    <w:p>
      <w:pPr>
        <w:ind w:firstLine="422"/>
        <w:rPr>
          <w:rFonts w:ascii="Times New Roman" w:hAnsi="Times New Roman" w:cs="Times New Roman"/>
          <w:b/>
          <w:bCs/>
          <w:color w:val="auto"/>
          <w:sz w:val="21"/>
          <w:szCs w:val="21"/>
        </w:rPr>
        <w:sectPr>
          <w:pgSz w:w="11906" w:h="16838"/>
          <w:pgMar w:top="1417" w:right="1417" w:bottom="1417" w:left="1417" w:header="850" w:footer="992" w:gutter="0"/>
          <w:cols w:space="720" w:num="1"/>
          <w:docGrid w:type="lines" w:linePitch="333" w:charSpace="0"/>
        </w:sectPr>
      </w:pPr>
    </w:p>
    <w:p>
      <w:pPr>
        <w:ind w:firstLine="414"/>
        <w:jc w:val="center"/>
        <w:rPr>
          <w:rFonts w:ascii="Times New Roman" w:hAnsi="Times New Roman" w:cs="Times New Roman"/>
          <w:b/>
          <w:bCs/>
          <w:color w:val="auto"/>
          <w:spacing w:val="-2"/>
          <w:kern w:val="0"/>
          <w:sz w:val="21"/>
          <w:szCs w:val="21"/>
        </w:rPr>
      </w:pPr>
      <w:r>
        <w:rPr>
          <w:rFonts w:ascii="Times New Roman" w:hAnsi="Times New Roman" w:cs="Times New Roman"/>
          <w:b/>
          <w:bCs/>
          <w:color w:val="auto"/>
          <w:spacing w:val="-2"/>
          <w:kern w:val="0"/>
          <w:sz w:val="21"/>
          <w:szCs w:val="21"/>
        </w:rPr>
        <w:t>表4.5-3   区域地下水环境质量现状监测结果一览表</w:t>
      </w:r>
    </w:p>
    <w:tbl>
      <w:tblPr>
        <w:tblStyle w:val="62"/>
        <w:tblW w:w="8977" w:type="dxa"/>
        <w:tblInd w:w="203"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589"/>
        <w:gridCol w:w="1302"/>
        <w:gridCol w:w="1307"/>
        <w:gridCol w:w="1302"/>
        <w:gridCol w:w="1320"/>
        <w:gridCol w:w="1307"/>
        <w:gridCol w:w="85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监测项目</w:t>
            </w:r>
          </w:p>
        </w:tc>
        <w:tc>
          <w:tcPr>
            <w:tcW w:w="6538" w:type="dxa"/>
            <w:gridSpan w:val="5"/>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调查的区域地下水监测点位</w:t>
            </w:r>
          </w:p>
        </w:tc>
        <w:tc>
          <w:tcPr>
            <w:tcW w:w="850" w:type="dxa"/>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标准值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6538" w:type="dxa"/>
            <w:gridSpan w:val="5"/>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监测结果</w:t>
            </w:r>
          </w:p>
        </w:tc>
        <w:tc>
          <w:tcPr>
            <w:tcW w:w="85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牌坊村3#</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北岗村4#</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临河村5#</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中兴村6#</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张湾村7#</w:t>
            </w:r>
          </w:p>
        </w:tc>
        <w:tc>
          <w:tcPr>
            <w:tcW w:w="85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钾（mg/L）</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71.5</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11.8</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32.1</w:t>
            </w:r>
          </w:p>
        </w:tc>
        <w:tc>
          <w:tcPr>
            <w:tcW w:w="132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0.74</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0.46</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钠（mg/L）</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62.2</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58.4</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21.4</w:t>
            </w:r>
          </w:p>
        </w:tc>
        <w:tc>
          <w:tcPr>
            <w:tcW w:w="132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48.3</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40.0</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51"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钙（mg/L）</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57.8</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83.6</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37.0</w:t>
            </w:r>
          </w:p>
        </w:tc>
        <w:tc>
          <w:tcPr>
            <w:tcW w:w="132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124</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136</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6"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镁（mg/L）</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23.9</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17.2</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11.6</w:t>
            </w:r>
          </w:p>
        </w:tc>
        <w:tc>
          <w:tcPr>
            <w:tcW w:w="132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21.5</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19.8</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6"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CO32-（mol/L）</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32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HCO3-（mol/L）</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2.34</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1.50</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2.11</w:t>
            </w:r>
          </w:p>
        </w:tc>
        <w:tc>
          <w:tcPr>
            <w:tcW w:w="132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6.35</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2.41</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Cl-（mg/L）</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10.9</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70.0</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19.9</w:t>
            </w:r>
          </w:p>
        </w:tc>
        <w:tc>
          <w:tcPr>
            <w:tcW w:w="132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67.2</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13.3</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SO42-（mg/L）</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21.2</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4.76</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88.0</w:t>
            </w:r>
          </w:p>
        </w:tc>
        <w:tc>
          <w:tcPr>
            <w:tcW w:w="132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13.1</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8.82</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6"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pH值（无量纲）</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7.51</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7.53</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7.12</w:t>
            </w:r>
          </w:p>
        </w:tc>
        <w:tc>
          <w:tcPr>
            <w:tcW w:w="132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7.22</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7.67</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6.5-8.5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氨氮（mg/L）</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0.103</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0.422</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0.307</w:t>
            </w:r>
          </w:p>
        </w:tc>
        <w:tc>
          <w:tcPr>
            <w:tcW w:w="132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0.247</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0.047</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硝酸盐（氮）（mg/L）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2.53</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&lt;0.016</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2.60</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0.128</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0.134</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亚硝酸盐（氮（mg/L）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0.794</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0.883</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0.756</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0.943</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0.809</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挥发酚（mg/L）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氰化物（mg/L）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6"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砷（mg/L）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＜0.001</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＜0.001</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＜0.001</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＜0.001</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＜0.001</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汞（mg/L）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＜0.0001</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＜0.0001</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＜0.0001</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＜0.0001</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＜0.0001</w:t>
            </w:r>
          </w:p>
        </w:tc>
        <w:tc>
          <w:tcPr>
            <w:tcW w:w="85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铬（六价）（mg/L）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＜0.004</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＜0.004</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＜0.004</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＜0.004</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＜0.004</w:t>
            </w:r>
          </w:p>
        </w:tc>
        <w:tc>
          <w:tcPr>
            <w:tcW w:w="85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总硬度（mg/L）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120</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104</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126</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133</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119</w:t>
            </w:r>
          </w:p>
        </w:tc>
        <w:tc>
          <w:tcPr>
            <w:tcW w:w="85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铅（mg/L）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＜0.0025</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＜0.0025</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＜0.0025</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＜0.0025</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＜0.0025</w:t>
            </w:r>
          </w:p>
        </w:tc>
        <w:tc>
          <w:tcPr>
            <w:tcW w:w="85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7"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氟化物（mg/L）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0.491</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0.907</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0.780</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0.882</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0.911</w:t>
            </w:r>
          </w:p>
        </w:tc>
        <w:tc>
          <w:tcPr>
            <w:tcW w:w="85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6"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镉（mg/L）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＜0.0005</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＜0.0005</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＜0.0005</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＜0.0005</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＜0.0005</w:t>
            </w:r>
          </w:p>
        </w:tc>
        <w:tc>
          <w:tcPr>
            <w:tcW w:w="85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9"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铁（mg/L）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0.121</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0.011</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0.008</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0.019</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0.027</w:t>
            </w:r>
          </w:p>
        </w:tc>
        <w:tc>
          <w:tcPr>
            <w:tcW w:w="85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9"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锰（mg/L）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w:t>
            </w:r>
          </w:p>
        </w:tc>
        <w:tc>
          <w:tcPr>
            <w:tcW w:w="85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9"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溶解性总固体</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920</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576</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549</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839</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536</w:t>
            </w:r>
          </w:p>
        </w:tc>
        <w:tc>
          <w:tcPr>
            <w:tcW w:w="85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9"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耗氧量（mg/L）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2.53</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2.45</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2.16</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0.65</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2.69</w:t>
            </w:r>
          </w:p>
        </w:tc>
        <w:tc>
          <w:tcPr>
            <w:tcW w:w="85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9"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总大肠菌群 （MPN/100mL）</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9"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细菌总数</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77</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70</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85</w:t>
            </w:r>
          </w:p>
        </w:tc>
        <w:tc>
          <w:tcPr>
            <w:tcW w:w="132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70</w:t>
            </w:r>
          </w:p>
        </w:tc>
        <w:tc>
          <w:tcPr>
            <w:tcW w:w="13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49</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9"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镍（mg/L）</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＜0.005</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＜0.005</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＜0.005</w:t>
            </w:r>
          </w:p>
        </w:tc>
        <w:tc>
          <w:tcPr>
            <w:tcW w:w="132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＜0.005</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＜0.005</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9"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总铬（mg/L）</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＜0.03</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＜0.03</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＜0.03</w:t>
            </w:r>
          </w:p>
        </w:tc>
        <w:tc>
          <w:tcPr>
            <w:tcW w:w="132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＜0.03</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＜0.03</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9" w:hRule="atLeast"/>
        </w:trPr>
        <w:tc>
          <w:tcPr>
            <w:tcW w:w="1589"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硫化物（mg/L）</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w:t>
            </w:r>
          </w:p>
        </w:tc>
        <w:tc>
          <w:tcPr>
            <w:tcW w:w="130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w:t>
            </w:r>
          </w:p>
        </w:tc>
        <w:tc>
          <w:tcPr>
            <w:tcW w:w="1320"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w:t>
            </w:r>
          </w:p>
        </w:tc>
        <w:tc>
          <w:tcPr>
            <w:tcW w:w="130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w:t>
            </w:r>
          </w:p>
        </w:tc>
        <w:tc>
          <w:tcPr>
            <w:tcW w:w="85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w:t>
            </w:r>
          </w:p>
        </w:tc>
      </w:tr>
    </w:tbl>
    <w:p>
      <w:pPr>
        <w:ind w:firstLine="480"/>
        <w:rPr>
          <w:rFonts w:ascii="Times New Roman" w:hAnsi="Times New Roman" w:cs="Times New Roman"/>
          <w:color w:val="auto"/>
        </w:rPr>
        <w:sectPr>
          <w:pgSz w:w="11906" w:h="16838"/>
          <w:pgMar w:top="1418" w:right="1418" w:bottom="1418" w:left="1418" w:header="851" w:footer="992" w:gutter="0"/>
          <w:cols w:space="720" w:num="1"/>
          <w:docGrid w:type="linesAndChars" w:linePitch="333" w:charSpace="0"/>
        </w:sectPr>
      </w:pPr>
    </w:p>
    <w:p>
      <w:pPr>
        <w:ind w:firstLine="414"/>
        <w:jc w:val="center"/>
        <w:rPr>
          <w:rFonts w:ascii="Times New Roman" w:hAnsi="Times New Roman" w:cs="Times New Roman"/>
          <w:b/>
          <w:bCs/>
          <w:color w:val="auto"/>
          <w:spacing w:val="-2"/>
          <w:kern w:val="0"/>
          <w:sz w:val="21"/>
          <w:szCs w:val="21"/>
        </w:rPr>
      </w:pPr>
      <w:r>
        <w:rPr>
          <w:rFonts w:ascii="Times New Roman" w:hAnsi="Times New Roman" w:cs="Times New Roman"/>
          <w:b/>
          <w:bCs/>
          <w:color w:val="auto"/>
          <w:spacing w:val="-2"/>
          <w:kern w:val="0"/>
          <w:sz w:val="21"/>
          <w:szCs w:val="21"/>
        </w:rPr>
        <w:t xml:space="preserve">表4.5-4   </w:t>
      </w:r>
      <w:r>
        <w:rPr>
          <w:rFonts w:hint="eastAsia" w:ascii="Times New Roman" w:hAnsi="Times New Roman" w:cs="Times New Roman"/>
          <w:b/>
          <w:bCs/>
          <w:color w:val="auto"/>
          <w:spacing w:val="-2"/>
          <w:kern w:val="0"/>
          <w:sz w:val="21"/>
          <w:szCs w:val="21"/>
        </w:rPr>
        <w:t>本</w:t>
      </w:r>
      <w:r>
        <w:rPr>
          <w:rFonts w:ascii="Times New Roman" w:hAnsi="Times New Roman" w:cs="Times New Roman"/>
          <w:b/>
          <w:bCs/>
          <w:color w:val="auto"/>
          <w:spacing w:val="-2"/>
          <w:kern w:val="0"/>
          <w:sz w:val="21"/>
          <w:szCs w:val="21"/>
        </w:rPr>
        <w:t>项目</w:t>
      </w:r>
      <w:r>
        <w:rPr>
          <w:rFonts w:hint="eastAsia" w:ascii="Times New Roman" w:hAnsi="Times New Roman" w:cs="Times New Roman"/>
          <w:b/>
          <w:bCs/>
          <w:color w:val="auto"/>
          <w:spacing w:val="-2"/>
          <w:kern w:val="0"/>
          <w:sz w:val="21"/>
          <w:szCs w:val="21"/>
        </w:rPr>
        <w:t>委托</w:t>
      </w:r>
      <w:r>
        <w:rPr>
          <w:rFonts w:ascii="Times New Roman" w:hAnsi="Times New Roman" w:cs="Times New Roman"/>
          <w:b/>
          <w:bCs/>
          <w:color w:val="auto"/>
          <w:spacing w:val="-2"/>
          <w:kern w:val="0"/>
          <w:sz w:val="21"/>
          <w:szCs w:val="21"/>
        </w:rPr>
        <w:t>地下水环境监测结果</w:t>
      </w:r>
    </w:p>
    <w:tbl>
      <w:tblPr>
        <w:tblStyle w:val="62"/>
        <w:tblW w:w="904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98"/>
        <w:gridCol w:w="1843"/>
        <w:gridCol w:w="1843"/>
        <w:gridCol w:w="1624"/>
        <w:gridCol w:w="13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采样日期</w:t>
            </w:r>
          </w:p>
        </w:tc>
        <w:tc>
          <w:tcPr>
            <w:tcW w:w="5310" w:type="dxa"/>
            <w:gridSpan w:val="3"/>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2021.02.22</w:t>
            </w:r>
          </w:p>
        </w:tc>
        <w:tc>
          <w:tcPr>
            <w:tcW w:w="1339" w:type="dxa"/>
            <w:vMerge w:val="restart"/>
            <w:shd w:val="clear" w:color="auto" w:fill="auto"/>
            <w:vAlign w:val="center"/>
          </w:tcPr>
          <w:p>
            <w:pPr>
              <w:ind w:firstLine="352"/>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监测点位</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D1项目所在区域地下水流向上游</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D2项目所在区域地下水流向侧向</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D3项目所在区域地下水流向下游</w:t>
            </w:r>
          </w:p>
        </w:tc>
        <w:tc>
          <w:tcPr>
            <w:tcW w:w="1339"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样品性状</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无色、无味、清澈</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无色、无味、清澈</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无色、无味、清澈</w:t>
            </w:r>
          </w:p>
        </w:tc>
        <w:tc>
          <w:tcPr>
            <w:tcW w:w="1339"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pH（无量纲）</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7.5</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7.2</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7.4</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6.5-8.5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氨氮（mg/L）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0.146</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0.130</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0.094</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硫酸盐（mg/L）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37.4</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31.3</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25.7</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亚硝酸盐（以N计）（mg/L）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1.14</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1.25</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1.18</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挥发酚（mg/L）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0.0003L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0.0003L</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0.0003L</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氟化物（mg/L）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0.25</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0.33</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0.29</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砷（μg/L）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0.3L</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0.3L</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汞（μg/L）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0.04L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0.04L</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0.04L</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六价铬（mg/L）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0.004L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0.004L</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0.004L</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总硬度（mg/L）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242</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247</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250</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铅（μg/L）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1L</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1L</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镉（μg/L）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0.1L</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0.1L</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≤0.005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铁（mg/L）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0.03L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0.03L</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0.03L</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锰（mg/L）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0.01L</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0.01L</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溶解性总固体（mg/L）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394</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377</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394</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耗氧量（mg/L）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1.3</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1.3</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氯化物（mg/L）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85.4</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76.4</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93.3</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SO42-（mg/L）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37.4</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31.3</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25.7</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Cl-（mg/L）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85.4</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76.4</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93.3</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菌落总数（cfu/mL）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28</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28</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28</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总大肠菌群（MPN/100mL）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2L</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2L</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钾（mg/L）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2.54</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3.13</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2.21</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钠（mg/L）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49.4</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53.1</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44.7</w:t>
            </w:r>
          </w:p>
        </w:tc>
        <w:tc>
          <w:tcPr>
            <w:tcW w:w="1339" w:type="dxa"/>
            <w:shd w:val="clear" w:color="auto" w:fill="auto"/>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钙（mg/L）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67.4</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75.3</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70.2</w:t>
            </w:r>
          </w:p>
        </w:tc>
        <w:tc>
          <w:tcPr>
            <w:tcW w:w="1339" w:type="dxa"/>
            <w:shd w:val="clear" w:color="auto" w:fill="auto"/>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镁（mg/L）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17.9</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14.4</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18.1</w:t>
            </w:r>
          </w:p>
        </w:tc>
        <w:tc>
          <w:tcPr>
            <w:tcW w:w="1339" w:type="dxa"/>
            <w:shd w:val="clear" w:color="auto" w:fill="auto"/>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碳酸根（mg/L）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5L</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5L</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2398"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碳酸氢根（mg/L）</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267</w:t>
            </w:r>
          </w:p>
        </w:tc>
        <w:tc>
          <w:tcPr>
            <w:tcW w:w="1843"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246</w:t>
            </w:r>
          </w:p>
        </w:tc>
        <w:tc>
          <w:tcPr>
            <w:tcW w:w="162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280</w:t>
            </w:r>
          </w:p>
        </w:tc>
        <w:tc>
          <w:tcPr>
            <w:tcW w:w="133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9047" w:type="dxa"/>
            <w:gridSpan w:val="5"/>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备注：“L”表示低于检出限</w:t>
            </w:r>
          </w:p>
        </w:tc>
      </w:tr>
    </w:tbl>
    <w:p>
      <w:pPr>
        <w:ind w:firstLine="414"/>
        <w:jc w:val="center"/>
        <w:rPr>
          <w:rFonts w:ascii="Times New Roman" w:hAnsi="Times New Roman" w:cs="Times New Roman"/>
          <w:b/>
          <w:bCs/>
          <w:color w:val="auto"/>
          <w:spacing w:val="-2"/>
          <w:kern w:val="0"/>
          <w:sz w:val="21"/>
          <w:szCs w:val="21"/>
        </w:rPr>
      </w:pPr>
      <w:bookmarkStart w:id="316" w:name="_Toc102984348"/>
      <w:r>
        <w:rPr>
          <w:rFonts w:ascii="Times New Roman" w:hAnsi="Times New Roman" w:cs="Times New Roman"/>
          <w:b/>
          <w:bCs/>
          <w:color w:val="auto"/>
          <w:spacing w:val="-2"/>
          <w:kern w:val="0"/>
          <w:sz w:val="21"/>
          <w:szCs w:val="21"/>
        </w:rPr>
        <w:t>表4.5-5       项目区地下水环境监测结果</w:t>
      </w:r>
    </w:p>
    <w:tbl>
      <w:tblPr>
        <w:tblStyle w:val="62"/>
        <w:tblW w:w="876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256"/>
        <w:gridCol w:w="2849"/>
        <w:gridCol w:w="2254"/>
        <w:gridCol w:w="14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采样日期</w:t>
            </w:r>
          </w:p>
        </w:tc>
        <w:tc>
          <w:tcPr>
            <w:tcW w:w="5103" w:type="dxa"/>
            <w:gridSpan w:val="2"/>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2021.07.22</w:t>
            </w:r>
          </w:p>
        </w:tc>
        <w:tc>
          <w:tcPr>
            <w:tcW w:w="1405" w:type="dxa"/>
            <w:vMerge w:val="restart"/>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监测点位</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D4项目所在区域地下水流向上游</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D5项目所在区域地下水流向侧向</w:t>
            </w:r>
          </w:p>
        </w:tc>
        <w:tc>
          <w:tcPr>
            <w:tcW w:w="1405"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样品性状</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无色、无味、清澈</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无色、无味、清澈</w:t>
            </w:r>
          </w:p>
        </w:tc>
        <w:tc>
          <w:tcPr>
            <w:tcW w:w="1405"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点位坐标</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E117.45718</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N31.79033</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E117.45206</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N31.78506</w:t>
            </w:r>
          </w:p>
        </w:tc>
        <w:tc>
          <w:tcPr>
            <w:tcW w:w="1405" w:type="dxa"/>
            <w:vMerge w:val="continue"/>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pH（无量纲）</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7.3</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7.4</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6.5-8.5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氨氮（mg/L）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0.025L</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0.025L</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硫酸盐（mg/L）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2.57</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4.17</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亚硝酸盐（以N计）（mg/L）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0.480</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0.317</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挥发酚（mg/L）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0.0003L</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0.0003L</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氟化物（mg/L）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0.25</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0.33</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砷（μg/L）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0.3L</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0.3L</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汞（μg/L）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0.04L</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0.04L</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六价铬（mg/L）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0.004L</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0.004L</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总硬度（mg/L）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142</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128</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铅（μg/L）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镉（μg/L）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0.1L</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0.1L</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≤0.005 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铁（mg/L）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0.03L</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0.03L</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锰（mg/L）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0.01L</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0.01L</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溶解性总固体（mg/L）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183</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181</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耗氧量（mg/L）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2.60</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2.14</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氯化物（mg/L）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19.1</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21.4</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SO</w:t>
            </w:r>
            <w:r>
              <w:rPr>
                <w:rFonts w:ascii="Times New Roman" w:hAnsi="Times New Roman" w:cs="Times New Roman"/>
                <w:color w:val="auto"/>
                <w:spacing w:val="-2"/>
                <w:kern w:val="0"/>
                <w:sz w:val="18"/>
                <w:szCs w:val="18"/>
                <w:vertAlign w:val="subscript"/>
              </w:rPr>
              <w:t>4</w:t>
            </w:r>
            <w:r>
              <w:rPr>
                <w:rFonts w:ascii="Times New Roman" w:hAnsi="Times New Roman" w:cs="Times New Roman"/>
                <w:color w:val="auto"/>
                <w:spacing w:val="-2"/>
                <w:kern w:val="0"/>
                <w:sz w:val="18"/>
                <w:szCs w:val="18"/>
                <w:vertAlign w:val="superscript"/>
              </w:rPr>
              <w:t>2-</w:t>
            </w:r>
            <w:r>
              <w:rPr>
                <w:rFonts w:ascii="Times New Roman" w:hAnsi="Times New Roman" w:cs="Times New Roman"/>
                <w:color w:val="auto"/>
                <w:spacing w:val="-2"/>
                <w:kern w:val="0"/>
                <w:sz w:val="18"/>
                <w:szCs w:val="18"/>
              </w:rPr>
              <w:t>（mg/L）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2.57</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4.17</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Cl</w:t>
            </w:r>
            <w:r>
              <w:rPr>
                <w:rFonts w:ascii="Times New Roman" w:hAnsi="Times New Roman" w:cs="Times New Roman"/>
                <w:color w:val="auto"/>
                <w:spacing w:val="-2"/>
                <w:kern w:val="0"/>
                <w:sz w:val="18"/>
                <w:szCs w:val="18"/>
                <w:vertAlign w:val="superscript"/>
              </w:rPr>
              <w:t>-</w:t>
            </w:r>
            <w:r>
              <w:rPr>
                <w:rFonts w:ascii="Times New Roman" w:hAnsi="Times New Roman" w:cs="Times New Roman"/>
                <w:color w:val="auto"/>
                <w:spacing w:val="-2"/>
                <w:kern w:val="0"/>
                <w:sz w:val="18"/>
                <w:szCs w:val="18"/>
              </w:rPr>
              <w:t>（mg/L）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19.1</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21.4</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菌落总数（cfu/mL）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32</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44</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总大肠菌群（MPN/100mL）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2L</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2L</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钾（mg/L）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1.59</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1.63</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钠（mg/L）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14.3</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17.5</w:t>
            </w:r>
          </w:p>
        </w:tc>
        <w:tc>
          <w:tcPr>
            <w:tcW w:w="1405" w:type="dxa"/>
            <w:shd w:val="clear" w:color="auto" w:fill="auto"/>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钙（mg/L）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37.2</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32.1</w:t>
            </w:r>
          </w:p>
        </w:tc>
        <w:tc>
          <w:tcPr>
            <w:tcW w:w="1405" w:type="dxa"/>
            <w:shd w:val="clear" w:color="auto" w:fill="auto"/>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镁（mg/L）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12.0</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11.7</w:t>
            </w:r>
          </w:p>
        </w:tc>
        <w:tc>
          <w:tcPr>
            <w:tcW w:w="1405" w:type="dxa"/>
            <w:shd w:val="clear" w:color="auto" w:fill="auto"/>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碳酸根（mg/L）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5L</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5L</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256"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碳酸氢根（mg/L）</w:t>
            </w:r>
          </w:p>
        </w:tc>
        <w:tc>
          <w:tcPr>
            <w:tcW w:w="2849"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192</w:t>
            </w:r>
          </w:p>
        </w:tc>
        <w:tc>
          <w:tcPr>
            <w:tcW w:w="2254"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185</w:t>
            </w:r>
          </w:p>
        </w:tc>
        <w:tc>
          <w:tcPr>
            <w:tcW w:w="1405" w:type="dxa"/>
            <w:shd w:val="clear" w:color="auto" w:fill="auto"/>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bookmarkEnd w:id="316"/>
    </w:tbl>
    <w:p>
      <w:pPr>
        <w:ind w:firstLine="482"/>
        <w:rPr>
          <w:rFonts w:ascii="Times New Roman" w:hAnsi="Times New Roman" w:cs="Times New Roman"/>
          <w:b/>
          <w:bCs/>
          <w:color w:val="auto"/>
          <w:kern w:val="0"/>
          <w:szCs w:val="32"/>
        </w:rPr>
      </w:pPr>
      <w:r>
        <w:rPr>
          <w:rFonts w:ascii="Times New Roman" w:hAnsi="Times New Roman" w:cs="Times New Roman"/>
          <w:b/>
          <w:bCs/>
          <w:color w:val="auto"/>
          <w:kern w:val="0"/>
          <w:szCs w:val="32"/>
        </w:rPr>
        <w:t>（4）评价结果</w:t>
      </w:r>
    </w:p>
    <w:p>
      <w:pPr>
        <w:ind w:firstLine="472"/>
        <w:rPr>
          <w:rFonts w:ascii="Times New Roman" w:hAnsi="Times New Roman" w:cs="Times New Roman"/>
          <w:color w:val="FF0000"/>
          <w:spacing w:val="-2"/>
          <w:kern w:val="0"/>
          <w:szCs w:val="24"/>
        </w:rPr>
      </w:pPr>
      <w:r>
        <w:rPr>
          <w:rFonts w:hint="eastAsia" w:ascii="Times New Roman" w:hAnsi="Times New Roman" w:cs="Times New Roman"/>
          <w:color w:val="FF0000"/>
          <w:spacing w:val="-2"/>
          <w:kern w:val="0"/>
          <w:szCs w:val="20"/>
        </w:rPr>
        <w:t>本次评价调查引用的区域地下水点位监测结果及本项目委托布点监测地下水点位监测结果表明：各地下水</w:t>
      </w:r>
      <w:r>
        <w:rPr>
          <w:rFonts w:ascii="Times New Roman" w:hAnsi="Times New Roman" w:cs="Times New Roman"/>
          <w:color w:val="FF0000"/>
          <w:spacing w:val="-2"/>
          <w:kern w:val="0"/>
          <w:szCs w:val="20"/>
        </w:rPr>
        <w:t>监测点位的监测因子在监测时期均满足《地下水质量标准》（GB/T14848-2017）中Ⅲ类标准限值要求</w:t>
      </w:r>
      <w:r>
        <w:rPr>
          <w:rFonts w:ascii="Times New Roman" w:hAnsi="Times New Roman" w:cs="Times New Roman"/>
          <w:color w:val="FF0000"/>
          <w:spacing w:val="-2"/>
          <w:kern w:val="0"/>
          <w:szCs w:val="24"/>
        </w:rPr>
        <w:t>。</w:t>
      </w:r>
    </w:p>
    <w:p>
      <w:pPr>
        <w:ind w:firstLine="472"/>
        <w:rPr>
          <w:rFonts w:ascii="Times New Roman" w:hAnsi="Times New Roman" w:cs="Times New Roman"/>
          <w:color w:val="auto"/>
          <w:spacing w:val="-2"/>
          <w:kern w:val="0"/>
          <w:szCs w:val="24"/>
        </w:rPr>
      </w:pPr>
    </w:p>
    <w:p>
      <w:pPr>
        <w:ind w:firstLine="480"/>
        <w:rPr>
          <w:rFonts w:ascii="Times New Roman" w:hAnsi="Times New Roman" w:cs="Times New Roman"/>
          <w:color w:val="auto"/>
          <w:szCs w:val="24"/>
        </w:rPr>
        <w:sectPr>
          <w:pgSz w:w="11906" w:h="16838"/>
          <w:pgMar w:top="1417" w:right="1417" w:bottom="1417" w:left="1417" w:header="850" w:footer="992" w:gutter="0"/>
          <w:cols w:space="720" w:num="1"/>
          <w:docGrid w:type="lines" w:linePitch="333" w:charSpace="0"/>
        </w:sectPr>
      </w:pPr>
    </w:p>
    <w:p>
      <w:pPr>
        <w:tabs>
          <w:tab w:val="left" w:pos="2385"/>
        </w:tabs>
        <w:ind w:firstLine="0" w:firstLineChars="0"/>
        <w:jc w:val="left"/>
        <w:outlineLvl w:val="1"/>
        <w:rPr>
          <w:rFonts w:ascii="Times New Roman" w:hAnsi="Times New Roman" w:eastAsia="黑体" w:cs="Times New Roman"/>
          <w:color w:val="auto"/>
          <w:sz w:val="28"/>
        </w:rPr>
      </w:pPr>
      <w:bookmarkStart w:id="317" w:name="_Toc24507"/>
      <w:bookmarkStart w:id="318" w:name="_Toc30142"/>
      <w:bookmarkStart w:id="319" w:name="_Toc32094"/>
      <w:bookmarkStart w:id="320" w:name="_Toc104733380"/>
      <w:bookmarkStart w:id="321" w:name="_Toc2626"/>
      <w:r>
        <w:rPr>
          <w:rFonts w:ascii="Times New Roman" w:hAnsi="Times New Roman" w:eastAsia="黑体" w:cs="Times New Roman"/>
          <w:color w:val="auto"/>
          <w:sz w:val="28"/>
        </w:rPr>
        <w:t>4.6土壤环境质量现状调查与评价</w:t>
      </w:r>
      <w:bookmarkEnd w:id="317"/>
      <w:bookmarkEnd w:id="318"/>
      <w:bookmarkEnd w:id="319"/>
      <w:bookmarkEnd w:id="320"/>
      <w:bookmarkEnd w:id="321"/>
    </w:p>
    <w:p>
      <w:pPr>
        <w:pStyle w:val="4"/>
        <w:numPr>
          <w:ilvl w:val="2"/>
          <w:numId w:val="0"/>
        </w:numPr>
        <w:jc w:val="both"/>
        <w:rPr>
          <w:rFonts w:ascii="Times New Roman" w:hAnsi="Times New Roman" w:cs="Times New Roman"/>
          <w:color w:val="auto"/>
        </w:rPr>
      </w:pPr>
      <w:bookmarkStart w:id="322" w:name="_Toc102984350"/>
      <w:bookmarkStart w:id="323" w:name="_Toc104733381"/>
      <w:r>
        <w:rPr>
          <w:rFonts w:ascii="Times New Roman" w:hAnsi="Times New Roman" w:cs="Times New Roman"/>
          <w:color w:val="auto"/>
        </w:rPr>
        <w:t>4.6.1土壤环境质量现状监测</w:t>
      </w:r>
      <w:bookmarkEnd w:id="322"/>
      <w:bookmarkEnd w:id="323"/>
      <w:r>
        <w:rPr>
          <w:rFonts w:ascii="Times New Roman" w:hAnsi="Times New Roman" w:cs="Times New Roman"/>
          <w:color w:val="auto"/>
        </w:rPr>
        <w:tab/>
      </w:r>
    </w:p>
    <w:p>
      <w:pPr>
        <w:ind w:firstLine="480"/>
        <w:rPr>
          <w:rFonts w:ascii="Times New Roman" w:hAnsi="Times New Roman" w:cs="Times New Roman"/>
          <w:color w:val="FF0000"/>
          <w:spacing w:val="-2"/>
          <w:kern w:val="0"/>
          <w:szCs w:val="20"/>
        </w:rPr>
      </w:pPr>
      <w:r>
        <w:rPr>
          <w:rFonts w:ascii="Times New Roman" w:hAnsi="Times New Roman" w:cs="Times New Roman"/>
          <w:color w:val="FF0000"/>
        </w:rPr>
        <w:t>本项目</w:t>
      </w:r>
      <w:r>
        <w:rPr>
          <w:rFonts w:hint="eastAsia" w:ascii="Times New Roman" w:hAnsi="Times New Roman" w:cs="Times New Roman"/>
          <w:color w:val="FF0000"/>
        </w:rPr>
        <w:t>为生态影响及污染影响复合型项目</w:t>
      </w:r>
      <w:r>
        <w:rPr>
          <w:rFonts w:ascii="Times New Roman" w:hAnsi="Times New Roman" w:cs="Times New Roman"/>
          <w:color w:val="FF0000"/>
        </w:rPr>
        <w:t>。根据《环境影响评价技术导则 土壤环境（试行）》（HJ964-2018），</w:t>
      </w:r>
      <w:r>
        <w:rPr>
          <w:rFonts w:hint="eastAsia" w:ascii="Times New Roman" w:hAnsi="Times New Roman" w:cs="Times New Roman"/>
          <w:color w:val="FF0000"/>
        </w:rPr>
        <w:t>结合项目</w:t>
      </w:r>
      <w:r>
        <w:rPr>
          <w:rFonts w:ascii="Times New Roman" w:hAnsi="Times New Roman" w:cs="Times New Roman"/>
          <w:color w:val="FF0000"/>
        </w:rPr>
        <w:t>影响途径、影响源及影响因子的识别，</w:t>
      </w:r>
      <w:r>
        <w:rPr>
          <w:rFonts w:hint="eastAsia" w:ascii="Times New Roman" w:hAnsi="Times New Roman" w:cs="Times New Roman"/>
          <w:color w:val="FF0000"/>
        </w:rPr>
        <w:t>判定本项目生态影响型土壤环境影响评价等级为三级；</w:t>
      </w:r>
      <w:r>
        <w:rPr>
          <w:rFonts w:ascii="Times New Roman" w:hAnsi="Times New Roman" w:cs="Times New Roman"/>
          <w:color w:val="FF0000"/>
        </w:rPr>
        <w:t>污染影响型</w:t>
      </w:r>
      <w:r>
        <w:rPr>
          <w:rFonts w:hint="eastAsia" w:ascii="Times New Roman" w:hAnsi="Times New Roman" w:cs="Times New Roman"/>
          <w:color w:val="FF0000"/>
        </w:rPr>
        <w:t>土壤环境影响评价等级</w:t>
      </w:r>
      <w:r>
        <w:rPr>
          <w:rFonts w:ascii="Times New Roman" w:hAnsi="Times New Roman" w:cs="Times New Roman"/>
          <w:color w:val="FF0000"/>
        </w:rPr>
        <w:t>为二级</w:t>
      </w:r>
      <w:r>
        <w:rPr>
          <w:rFonts w:ascii="Times New Roman" w:hAnsi="Times New Roman" w:cs="Times New Roman"/>
          <w:color w:val="FF0000"/>
          <w:spacing w:val="-2"/>
          <w:kern w:val="0"/>
          <w:szCs w:val="20"/>
        </w:rPr>
        <w:t>。</w:t>
      </w:r>
    </w:p>
    <w:p>
      <w:pPr>
        <w:pStyle w:val="1619"/>
        <w:tabs>
          <w:tab w:val="left" w:pos="1325"/>
        </w:tabs>
        <w:autoSpaceDE w:val="0"/>
        <w:autoSpaceDN w:val="0"/>
        <w:adjustRightInd/>
        <w:ind w:firstLineChars="0"/>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（1）监测点位和监测因子</w:t>
      </w:r>
    </w:p>
    <w:p>
      <w:pPr>
        <w:pStyle w:val="25"/>
        <w:spacing w:line="360" w:lineRule="auto"/>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本次评价项目区及周边共设置了6个土壤监测采样点，分别是</w:t>
      </w:r>
      <w:r>
        <w:rPr>
          <w:rFonts w:hint="eastAsia" w:ascii="Times New Roman" w:hAnsi="Times New Roman" w:cs="Times New Roman"/>
          <w:color w:val="auto"/>
          <w:spacing w:val="-2"/>
          <w:kern w:val="0"/>
          <w:szCs w:val="20"/>
        </w:rPr>
        <w:t>项目</w:t>
      </w:r>
      <w:r>
        <w:rPr>
          <w:rFonts w:ascii="Times New Roman" w:hAnsi="Times New Roman" w:cs="Times New Roman"/>
          <w:color w:val="auto"/>
          <w:spacing w:val="-2"/>
          <w:kern w:val="0"/>
          <w:szCs w:val="20"/>
        </w:rPr>
        <w:t>区内3个点位和</w:t>
      </w:r>
      <w:r>
        <w:rPr>
          <w:rFonts w:hint="eastAsia" w:ascii="Times New Roman" w:hAnsi="Times New Roman" w:cs="Times New Roman"/>
          <w:color w:val="auto"/>
          <w:spacing w:val="-2"/>
          <w:kern w:val="0"/>
          <w:szCs w:val="20"/>
        </w:rPr>
        <w:t>区外3</w:t>
      </w:r>
      <w:r>
        <w:rPr>
          <w:rFonts w:ascii="Times New Roman" w:hAnsi="Times New Roman" w:cs="Times New Roman"/>
          <w:color w:val="auto"/>
          <w:spacing w:val="-2"/>
          <w:kern w:val="0"/>
          <w:szCs w:val="20"/>
        </w:rPr>
        <w:t>个点位，具体位置见表 4.6-1、图 4.5-1。</w:t>
      </w:r>
    </w:p>
    <w:p>
      <w:pPr>
        <w:adjustRightInd/>
        <w:snapToGrid/>
        <w:spacing w:line="240" w:lineRule="auto"/>
        <w:ind w:firstLine="0" w:firstLineChars="0"/>
        <w:jc w:val="right"/>
        <w:rPr>
          <w:rFonts w:ascii="Times New Roman" w:hAnsi="Times New Roman" w:cs="Times New Roman"/>
          <w:b/>
          <w:bCs/>
          <w:color w:val="auto"/>
          <w:sz w:val="21"/>
          <w:szCs w:val="21"/>
        </w:rPr>
      </w:pPr>
      <w:r>
        <w:rPr>
          <w:rFonts w:ascii="Times New Roman" w:hAnsi="Times New Roman" w:cs="Times New Roman"/>
          <w:b/>
          <w:bCs/>
          <w:color w:val="auto"/>
          <w:sz w:val="21"/>
          <w:szCs w:val="21"/>
        </w:rPr>
        <w:t>表4.6-1   本项目土壤环境监测布点一览表                     （单位：mg/kg）</w:t>
      </w:r>
    </w:p>
    <w:tbl>
      <w:tblPr>
        <w:tblStyle w:val="62"/>
        <w:tblW w:w="921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32"/>
        <w:gridCol w:w="1417"/>
        <w:gridCol w:w="1134"/>
        <w:gridCol w:w="1135"/>
        <w:gridCol w:w="1275"/>
        <w:gridCol w:w="26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1632" w:type="dxa"/>
            <w:shd w:val="clear" w:color="auto" w:fill="auto"/>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检测点位</w:t>
            </w:r>
          </w:p>
        </w:tc>
        <w:tc>
          <w:tcPr>
            <w:tcW w:w="1417" w:type="dxa"/>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点位坐标</w:t>
            </w:r>
          </w:p>
        </w:tc>
        <w:tc>
          <w:tcPr>
            <w:tcW w:w="1134" w:type="dxa"/>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highlight w:val="yellow"/>
              </w:rPr>
            </w:pPr>
            <w:r>
              <w:rPr>
                <w:rFonts w:ascii="Times New Roman" w:hAnsi="Times New Roman" w:cs="Times New Roman"/>
                <w:color w:val="auto"/>
                <w:kern w:val="0"/>
                <w:sz w:val="18"/>
                <w:szCs w:val="18"/>
              </w:rPr>
              <w:t>监测点类型</w:t>
            </w:r>
          </w:p>
        </w:tc>
        <w:tc>
          <w:tcPr>
            <w:tcW w:w="1135"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color w:val="auto"/>
                <w:kern w:val="0"/>
                <w:sz w:val="18"/>
                <w:szCs w:val="18"/>
              </w:rPr>
              <w:t>采样深度</w:t>
            </w:r>
          </w:p>
        </w:tc>
        <w:tc>
          <w:tcPr>
            <w:tcW w:w="1275"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土地类型</w:t>
            </w:r>
          </w:p>
        </w:tc>
        <w:tc>
          <w:tcPr>
            <w:tcW w:w="2623"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监测因子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33" w:hRule="atLeast"/>
          <w:jc w:val="center"/>
        </w:trPr>
        <w:tc>
          <w:tcPr>
            <w:tcW w:w="1632" w:type="dxa"/>
            <w:vMerge w:val="restart"/>
            <w:shd w:val="clear" w:color="auto" w:fill="auto"/>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T1码头平台陆域</w:t>
            </w:r>
          </w:p>
        </w:tc>
        <w:tc>
          <w:tcPr>
            <w:tcW w:w="1417" w:type="dxa"/>
            <w:vMerge w:val="restart"/>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E117°27′30″</w:t>
            </w:r>
          </w:p>
          <w:p>
            <w:pPr>
              <w:adjustRightInd/>
              <w:snapToGrid/>
              <w:spacing w:line="240" w:lineRule="exact"/>
              <w:ind w:firstLine="0" w:firstLineChars="0"/>
              <w:jc w:val="center"/>
              <w:rPr>
                <w:rFonts w:ascii="Times New Roman" w:hAnsi="Times New Roman" w:cs="Times New Roman"/>
                <w:color w:val="auto"/>
                <w:kern w:val="0"/>
                <w:sz w:val="18"/>
                <w:szCs w:val="18"/>
                <w:highlight w:val="yellow"/>
              </w:rPr>
            </w:pPr>
            <w:r>
              <w:rPr>
                <w:rFonts w:ascii="Times New Roman" w:hAnsi="Times New Roman" w:cs="Times New Roman"/>
                <w:color w:val="auto"/>
                <w:kern w:val="0"/>
                <w:sz w:val="18"/>
                <w:szCs w:val="18"/>
              </w:rPr>
              <w:t>N31°47′17″</w:t>
            </w:r>
          </w:p>
        </w:tc>
        <w:tc>
          <w:tcPr>
            <w:tcW w:w="1134" w:type="dxa"/>
            <w:vMerge w:val="restart"/>
            <w:vAlign w:val="center"/>
          </w:tcPr>
          <w:p>
            <w:pPr>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柱状样</w:t>
            </w: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0~0.5m</w:t>
            </w:r>
          </w:p>
        </w:tc>
        <w:tc>
          <w:tcPr>
            <w:tcW w:w="1275" w:type="dxa"/>
            <w:vMerge w:val="restart"/>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建设用地</w:t>
            </w:r>
          </w:p>
        </w:tc>
        <w:tc>
          <w:tcPr>
            <w:tcW w:w="2623"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特征因子</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rPr>
              <w:t>PH、石油烃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1632" w:type="dxa"/>
            <w:vMerge w:val="continue"/>
            <w:shd w:val="clear" w:color="auto" w:fill="auto"/>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1417"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highlight w:val="yellow"/>
              </w:rPr>
            </w:pPr>
          </w:p>
        </w:tc>
        <w:tc>
          <w:tcPr>
            <w:tcW w:w="1134" w:type="dxa"/>
            <w:vMerge w:val="continue"/>
            <w:vAlign w:val="center"/>
          </w:tcPr>
          <w:p>
            <w:pPr>
              <w:spacing w:line="240" w:lineRule="exact"/>
              <w:ind w:firstLine="360"/>
              <w:jc w:val="center"/>
              <w:rPr>
                <w:rFonts w:ascii="Times New Roman" w:hAnsi="Times New Roman" w:cs="Times New Roman"/>
                <w:color w:val="auto"/>
                <w:kern w:val="0"/>
                <w:sz w:val="18"/>
                <w:szCs w:val="18"/>
              </w:rPr>
            </w:pP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0.5~1.5m</w:t>
            </w:r>
          </w:p>
        </w:tc>
        <w:tc>
          <w:tcPr>
            <w:tcW w:w="1275"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2623"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33" w:hRule="atLeast"/>
          <w:jc w:val="center"/>
        </w:trPr>
        <w:tc>
          <w:tcPr>
            <w:tcW w:w="1632" w:type="dxa"/>
            <w:vMerge w:val="continue"/>
            <w:shd w:val="clear" w:color="auto" w:fill="auto"/>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1417"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highlight w:val="yellow"/>
              </w:rPr>
            </w:pPr>
          </w:p>
        </w:tc>
        <w:tc>
          <w:tcPr>
            <w:tcW w:w="1134"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1.5~3m</w:t>
            </w:r>
          </w:p>
        </w:tc>
        <w:tc>
          <w:tcPr>
            <w:tcW w:w="1275"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2623"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1632" w:type="dxa"/>
            <w:vMerge w:val="restart"/>
            <w:shd w:val="clear" w:color="auto" w:fill="auto"/>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T2罐区陆域</w:t>
            </w:r>
          </w:p>
        </w:tc>
        <w:tc>
          <w:tcPr>
            <w:tcW w:w="1417" w:type="dxa"/>
            <w:vMerge w:val="restart"/>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E117°27′41″</w:t>
            </w:r>
          </w:p>
          <w:p>
            <w:pPr>
              <w:adjustRightInd/>
              <w:snapToGrid/>
              <w:spacing w:line="240" w:lineRule="exact"/>
              <w:ind w:firstLine="0" w:firstLineChars="0"/>
              <w:jc w:val="center"/>
              <w:rPr>
                <w:rFonts w:ascii="Times New Roman" w:hAnsi="Times New Roman" w:cs="Times New Roman"/>
                <w:color w:val="auto"/>
                <w:kern w:val="0"/>
                <w:sz w:val="18"/>
                <w:szCs w:val="18"/>
                <w:highlight w:val="yellow"/>
              </w:rPr>
            </w:pPr>
            <w:r>
              <w:rPr>
                <w:rFonts w:ascii="Times New Roman" w:hAnsi="Times New Roman" w:cs="Times New Roman"/>
                <w:color w:val="auto"/>
                <w:kern w:val="0"/>
                <w:sz w:val="18"/>
                <w:szCs w:val="18"/>
              </w:rPr>
              <w:t>N31°47′13″</w:t>
            </w:r>
          </w:p>
        </w:tc>
        <w:tc>
          <w:tcPr>
            <w:tcW w:w="1134" w:type="dxa"/>
            <w:vMerge w:val="restart"/>
            <w:vAlign w:val="center"/>
          </w:tcPr>
          <w:p>
            <w:pPr>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柱状样</w:t>
            </w: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0~0.5m</w:t>
            </w:r>
          </w:p>
        </w:tc>
        <w:tc>
          <w:tcPr>
            <w:tcW w:w="1275" w:type="dxa"/>
            <w:vMerge w:val="restart"/>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sz w:val="18"/>
                <w:szCs w:val="18"/>
              </w:rPr>
              <w:t>建设用地</w:t>
            </w:r>
          </w:p>
        </w:tc>
        <w:tc>
          <w:tcPr>
            <w:tcW w:w="2623"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特征因子</w:t>
            </w:r>
          </w:p>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PH、石油烃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33" w:hRule="atLeast"/>
          <w:jc w:val="center"/>
        </w:trPr>
        <w:tc>
          <w:tcPr>
            <w:tcW w:w="1632" w:type="dxa"/>
            <w:vMerge w:val="continue"/>
            <w:shd w:val="clear" w:color="auto" w:fill="auto"/>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1417"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highlight w:val="yellow"/>
              </w:rPr>
            </w:pPr>
          </w:p>
        </w:tc>
        <w:tc>
          <w:tcPr>
            <w:tcW w:w="1134" w:type="dxa"/>
            <w:vMerge w:val="continue"/>
            <w:vAlign w:val="center"/>
          </w:tcPr>
          <w:p>
            <w:pPr>
              <w:spacing w:line="240" w:lineRule="exact"/>
              <w:ind w:firstLine="360"/>
              <w:jc w:val="center"/>
              <w:rPr>
                <w:rFonts w:ascii="Times New Roman" w:hAnsi="Times New Roman" w:cs="Times New Roman"/>
                <w:color w:val="auto"/>
                <w:kern w:val="0"/>
                <w:sz w:val="18"/>
                <w:szCs w:val="18"/>
              </w:rPr>
            </w:pP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0.5~1.5m</w:t>
            </w:r>
          </w:p>
        </w:tc>
        <w:tc>
          <w:tcPr>
            <w:tcW w:w="1275"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2623"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1632" w:type="dxa"/>
            <w:vMerge w:val="continue"/>
            <w:shd w:val="clear" w:color="auto" w:fill="auto"/>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1417"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highlight w:val="yellow"/>
              </w:rPr>
            </w:pPr>
          </w:p>
        </w:tc>
        <w:tc>
          <w:tcPr>
            <w:tcW w:w="1134"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1.5~3m</w:t>
            </w:r>
          </w:p>
        </w:tc>
        <w:tc>
          <w:tcPr>
            <w:tcW w:w="1275"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2623"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33" w:hRule="atLeast"/>
          <w:jc w:val="center"/>
        </w:trPr>
        <w:tc>
          <w:tcPr>
            <w:tcW w:w="1632" w:type="dxa"/>
            <w:vMerge w:val="continue"/>
            <w:shd w:val="clear" w:color="auto" w:fill="auto"/>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1417"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E117.45481</w:t>
            </w:r>
          </w:p>
          <w:p>
            <w:pPr>
              <w:adjustRightInd/>
              <w:snapToGrid/>
              <w:spacing w:line="240" w:lineRule="exact"/>
              <w:ind w:firstLine="0" w:firstLineChars="0"/>
              <w:jc w:val="center"/>
              <w:rPr>
                <w:rFonts w:ascii="Times New Roman" w:hAnsi="Times New Roman" w:cs="Times New Roman"/>
                <w:color w:val="auto"/>
                <w:kern w:val="0"/>
                <w:sz w:val="18"/>
                <w:szCs w:val="18"/>
                <w:highlight w:val="yellow"/>
              </w:rPr>
            </w:pPr>
            <w:r>
              <w:rPr>
                <w:rFonts w:ascii="Times New Roman" w:hAnsi="Times New Roman" w:cs="Times New Roman"/>
                <w:color w:val="auto"/>
                <w:kern w:val="0"/>
                <w:sz w:val="18"/>
                <w:szCs w:val="18"/>
              </w:rPr>
              <w:t>N31.78994</w:t>
            </w:r>
          </w:p>
        </w:tc>
        <w:tc>
          <w:tcPr>
            <w:tcW w:w="1134"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表层样</w:t>
            </w: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0~0.2m</w:t>
            </w:r>
          </w:p>
        </w:tc>
        <w:tc>
          <w:tcPr>
            <w:tcW w:w="127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sz w:val="18"/>
                <w:szCs w:val="18"/>
              </w:rPr>
              <w:t>建设用地</w:t>
            </w:r>
          </w:p>
        </w:tc>
        <w:tc>
          <w:tcPr>
            <w:tcW w:w="2623"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土壤环境质量 建设用地土壤污染风险管控标准（试行）(GB36600—2018)表1中45</w:t>
            </w:r>
            <w:r>
              <w:rPr>
                <w:rFonts w:ascii="Times New Roman" w:hAnsi="Times New Roman" w:cs="Times New Roman"/>
                <w:color w:val="auto"/>
                <w:kern w:val="0"/>
                <w:sz w:val="18"/>
                <w:szCs w:val="18"/>
              </w:rPr>
              <w:t>个污染物项目</w:t>
            </w:r>
            <w:r>
              <w:rPr>
                <w:rFonts w:ascii="Times New Roman" w:hAnsi="Times New Roman" w:cs="Times New Roman"/>
                <w:color w:val="auto"/>
                <w:sz w:val="18"/>
                <w:szCs w:val="18"/>
              </w:rPr>
              <w:t>+石油烃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1632" w:type="dxa"/>
            <w:vMerge w:val="restart"/>
            <w:shd w:val="clear" w:color="auto" w:fill="auto"/>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T3污水处理区</w:t>
            </w:r>
          </w:p>
        </w:tc>
        <w:tc>
          <w:tcPr>
            <w:tcW w:w="1417" w:type="dxa"/>
            <w:vMerge w:val="restart"/>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E117°27′38″</w:t>
            </w:r>
          </w:p>
          <w:p>
            <w:pPr>
              <w:adjustRightInd/>
              <w:snapToGrid/>
              <w:spacing w:line="240" w:lineRule="exact"/>
              <w:ind w:firstLine="0" w:firstLineChars="0"/>
              <w:jc w:val="center"/>
              <w:rPr>
                <w:rFonts w:ascii="Times New Roman" w:hAnsi="Times New Roman" w:cs="Times New Roman"/>
                <w:color w:val="auto"/>
                <w:kern w:val="0"/>
                <w:sz w:val="18"/>
                <w:szCs w:val="18"/>
                <w:highlight w:val="yellow"/>
              </w:rPr>
            </w:pPr>
            <w:r>
              <w:rPr>
                <w:rFonts w:ascii="Times New Roman" w:hAnsi="Times New Roman" w:cs="Times New Roman"/>
                <w:color w:val="auto"/>
                <w:kern w:val="0"/>
                <w:sz w:val="18"/>
                <w:szCs w:val="18"/>
              </w:rPr>
              <w:t>N31°47′21″</w:t>
            </w:r>
          </w:p>
        </w:tc>
        <w:tc>
          <w:tcPr>
            <w:tcW w:w="1134" w:type="dxa"/>
            <w:vMerge w:val="restart"/>
            <w:vAlign w:val="center"/>
          </w:tcPr>
          <w:p>
            <w:pPr>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柱状样</w:t>
            </w: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0~0.5m</w:t>
            </w:r>
          </w:p>
        </w:tc>
        <w:tc>
          <w:tcPr>
            <w:tcW w:w="1275" w:type="dxa"/>
            <w:vMerge w:val="restart"/>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sz w:val="18"/>
                <w:szCs w:val="18"/>
              </w:rPr>
              <w:t>建设用地</w:t>
            </w:r>
          </w:p>
        </w:tc>
        <w:tc>
          <w:tcPr>
            <w:tcW w:w="2623"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特征因子</w:t>
            </w:r>
          </w:p>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PH、石油烃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33" w:hRule="atLeast"/>
          <w:jc w:val="center"/>
        </w:trPr>
        <w:tc>
          <w:tcPr>
            <w:tcW w:w="1632" w:type="dxa"/>
            <w:vMerge w:val="continue"/>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p>
        </w:tc>
        <w:tc>
          <w:tcPr>
            <w:tcW w:w="1417"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highlight w:val="yellow"/>
              </w:rPr>
            </w:pPr>
          </w:p>
        </w:tc>
        <w:tc>
          <w:tcPr>
            <w:tcW w:w="1134" w:type="dxa"/>
            <w:vMerge w:val="continue"/>
            <w:vAlign w:val="center"/>
          </w:tcPr>
          <w:p>
            <w:pPr>
              <w:spacing w:line="240" w:lineRule="exact"/>
              <w:ind w:firstLine="360"/>
              <w:jc w:val="center"/>
              <w:rPr>
                <w:rFonts w:ascii="Times New Roman" w:hAnsi="Times New Roman" w:cs="Times New Roman"/>
                <w:color w:val="auto"/>
                <w:kern w:val="0"/>
                <w:sz w:val="18"/>
                <w:szCs w:val="18"/>
              </w:rPr>
            </w:pP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0.5~1.5m</w:t>
            </w:r>
          </w:p>
        </w:tc>
        <w:tc>
          <w:tcPr>
            <w:tcW w:w="1275"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2623"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1632" w:type="dxa"/>
            <w:vMerge w:val="continue"/>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p>
        </w:tc>
        <w:tc>
          <w:tcPr>
            <w:tcW w:w="1417"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highlight w:val="yellow"/>
              </w:rPr>
            </w:pPr>
          </w:p>
        </w:tc>
        <w:tc>
          <w:tcPr>
            <w:tcW w:w="1134"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1.5~3m</w:t>
            </w:r>
          </w:p>
        </w:tc>
        <w:tc>
          <w:tcPr>
            <w:tcW w:w="1275"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c>
          <w:tcPr>
            <w:tcW w:w="2623" w:type="dxa"/>
            <w:vMerge w:val="continue"/>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33" w:hRule="atLeast"/>
          <w:jc w:val="center"/>
        </w:trPr>
        <w:tc>
          <w:tcPr>
            <w:tcW w:w="1632" w:type="dxa"/>
            <w:vMerge w:val="continue"/>
            <w:shd w:val="clear" w:color="auto" w:fill="auto"/>
            <w:vAlign w:val="center"/>
          </w:tcPr>
          <w:p>
            <w:pPr>
              <w:adjustRightInd/>
              <w:snapToGrid/>
              <w:spacing w:line="240" w:lineRule="exact"/>
              <w:ind w:firstLine="0" w:firstLineChars="0"/>
              <w:jc w:val="center"/>
              <w:rPr>
                <w:rFonts w:ascii="Times New Roman" w:hAnsi="Times New Roman" w:cs="Times New Roman"/>
                <w:color w:val="auto"/>
                <w:sz w:val="18"/>
                <w:szCs w:val="18"/>
              </w:rPr>
            </w:pPr>
          </w:p>
        </w:tc>
        <w:tc>
          <w:tcPr>
            <w:tcW w:w="1417" w:type="dxa"/>
            <w:vAlign w:val="center"/>
          </w:tcPr>
          <w:p>
            <w:pPr>
              <w:pStyle w:val="25"/>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E117°27′38″</w:t>
            </w:r>
          </w:p>
          <w:p>
            <w:pPr>
              <w:adjustRightInd/>
              <w:snapToGrid/>
              <w:spacing w:line="240" w:lineRule="exact"/>
              <w:ind w:firstLine="0" w:firstLineChars="0"/>
              <w:jc w:val="center"/>
              <w:rPr>
                <w:rFonts w:ascii="Times New Roman" w:hAnsi="Times New Roman" w:cs="Times New Roman"/>
                <w:color w:val="auto"/>
                <w:kern w:val="0"/>
                <w:sz w:val="18"/>
                <w:szCs w:val="18"/>
                <w:highlight w:val="yellow"/>
              </w:rPr>
            </w:pPr>
            <w:r>
              <w:rPr>
                <w:rFonts w:ascii="Times New Roman" w:hAnsi="Times New Roman" w:cs="Times New Roman"/>
                <w:kern w:val="0"/>
                <w:sz w:val="18"/>
                <w:szCs w:val="18"/>
              </w:rPr>
              <w:t>N31°47′21″</w:t>
            </w:r>
          </w:p>
        </w:tc>
        <w:tc>
          <w:tcPr>
            <w:tcW w:w="1134"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表层样</w:t>
            </w: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0~0.2m</w:t>
            </w:r>
          </w:p>
        </w:tc>
        <w:tc>
          <w:tcPr>
            <w:tcW w:w="127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sz w:val="18"/>
                <w:szCs w:val="18"/>
              </w:rPr>
              <w:t>建设用地</w:t>
            </w:r>
          </w:p>
        </w:tc>
        <w:tc>
          <w:tcPr>
            <w:tcW w:w="2623"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土壤环境质量 建设用地土壤污染风险管控标准（试行）(GB36600—2018)表1中45</w:t>
            </w:r>
            <w:r>
              <w:rPr>
                <w:rFonts w:ascii="Times New Roman" w:hAnsi="Times New Roman" w:cs="Times New Roman"/>
                <w:color w:val="auto"/>
                <w:kern w:val="0"/>
                <w:sz w:val="18"/>
                <w:szCs w:val="18"/>
              </w:rPr>
              <w:t>个污染物项目</w:t>
            </w:r>
            <w:r>
              <w:rPr>
                <w:rFonts w:ascii="Times New Roman" w:hAnsi="Times New Roman" w:cs="Times New Roman"/>
                <w:color w:val="auto"/>
                <w:sz w:val="18"/>
                <w:szCs w:val="18"/>
              </w:rPr>
              <w:t>+石油烃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1632"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T4项目区东侧</w:t>
            </w:r>
          </w:p>
        </w:tc>
        <w:tc>
          <w:tcPr>
            <w:tcW w:w="1417"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E117°27′19″</w:t>
            </w:r>
          </w:p>
          <w:p>
            <w:pPr>
              <w:adjustRightInd/>
              <w:snapToGrid/>
              <w:spacing w:line="240" w:lineRule="exact"/>
              <w:ind w:firstLine="0" w:firstLineChars="0"/>
              <w:jc w:val="center"/>
              <w:rPr>
                <w:rFonts w:ascii="Times New Roman" w:hAnsi="Times New Roman" w:cs="Times New Roman"/>
                <w:color w:val="auto"/>
                <w:kern w:val="0"/>
                <w:sz w:val="18"/>
                <w:szCs w:val="18"/>
                <w:highlight w:val="yellow"/>
              </w:rPr>
            </w:pPr>
            <w:r>
              <w:rPr>
                <w:rFonts w:ascii="Times New Roman" w:hAnsi="Times New Roman" w:cs="Times New Roman"/>
                <w:color w:val="auto"/>
                <w:kern w:val="0"/>
                <w:sz w:val="18"/>
                <w:szCs w:val="18"/>
              </w:rPr>
              <w:t>N31°47′23″</w:t>
            </w:r>
          </w:p>
        </w:tc>
        <w:tc>
          <w:tcPr>
            <w:tcW w:w="1134"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表层样</w:t>
            </w: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0~0.2m</w:t>
            </w:r>
          </w:p>
        </w:tc>
        <w:tc>
          <w:tcPr>
            <w:tcW w:w="127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农用地</w:t>
            </w:r>
          </w:p>
        </w:tc>
        <w:tc>
          <w:tcPr>
            <w:tcW w:w="2623"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土壤环境质量 农用地土壤污染风险管控标准（试行）（GB 15618-2018）表1中8个污染物项目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33" w:hRule="atLeast"/>
          <w:jc w:val="center"/>
        </w:trPr>
        <w:tc>
          <w:tcPr>
            <w:tcW w:w="1632"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T5店埠河西侧对岸</w:t>
            </w:r>
          </w:p>
        </w:tc>
        <w:tc>
          <w:tcPr>
            <w:tcW w:w="1417"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E117°27′49″</w:t>
            </w:r>
          </w:p>
          <w:p>
            <w:pPr>
              <w:adjustRightInd/>
              <w:snapToGrid/>
              <w:spacing w:line="240" w:lineRule="exact"/>
              <w:ind w:firstLine="0" w:firstLineChars="0"/>
              <w:jc w:val="center"/>
              <w:rPr>
                <w:rFonts w:ascii="Times New Roman" w:hAnsi="Times New Roman" w:cs="Times New Roman"/>
                <w:color w:val="auto"/>
                <w:kern w:val="0"/>
                <w:sz w:val="18"/>
                <w:szCs w:val="18"/>
                <w:highlight w:val="yellow"/>
              </w:rPr>
            </w:pPr>
            <w:r>
              <w:rPr>
                <w:rFonts w:ascii="Times New Roman" w:hAnsi="Times New Roman" w:cs="Times New Roman"/>
                <w:color w:val="auto"/>
                <w:kern w:val="0"/>
                <w:sz w:val="18"/>
                <w:szCs w:val="18"/>
              </w:rPr>
              <w:t>N31°47′25″</w:t>
            </w:r>
          </w:p>
        </w:tc>
        <w:tc>
          <w:tcPr>
            <w:tcW w:w="1134"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表层样</w:t>
            </w: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0~0.2m</w:t>
            </w:r>
          </w:p>
        </w:tc>
        <w:tc>
          <w:tcPr>
            <w:tcW w:w="127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农用地</w:t>
            </w:r>
          </w:p>
        </w:tc>
        <w:tc>
          <w:tcPr>
            <w:tcW w:w="2623"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土壤环境质量 农用地土壤污染风险管控标准（试行）（GB 15618-2018）表1中8个污染物项目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1632" w:type="dxa"/>
            <w:shd w:val="clear" w:color="auto" w:fill="auto"/>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T6 项目区南侧</w:t>
            </w:r>
          </w:p>
        </w:tc>
        <w:tc>
          <w:tcPr>
            <w:tcW w:w="1417"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E117.45327</w:t>
            </w:r>
          </w:p>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N31.78612</w:t>
            </w:r>
          </w:p>
        </w:tc>
        <w:tc>
          <w:tcPr>
            <w:tcW w:w="1134"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表层样</w:t>
            </w:r>
          </w:p>
        </w:tc>
        <w:tc>
          <w:tcPr>
            <w:tcW w:w="113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0~0.2m</w:t>
            </w:r>
          </w:p>
        </w:tc>
        <w:tc>
          <w:tcPr>
            <w:tcW w:w="1275"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sz w:val="18"/>
                <w:szCs w:val="18"/>
              </w:rPr>
              <w:t>建设用地</w:t>
            </w:r>
          </w:p>
        </w:tc>
        <w:tc>
          <w:tcPr>
            <w:tcW w:w="2623" w:type="dxa"/>
            <w:vAlign w:val="center"/>
          </w:tcPr>
          <w:p>
            <w:pPr>
              <w:adjustRightInd/>
              <w:snapToGrid/>
              <w:spacing w:line="240" w:lineRule="exact"/>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土壤环境质量 建设用地土壤污染风险管控标准（试行）(GB36600—2018)表1中45</w:t>
            </w:r>
            <w:r>
              <w:rPr>
                <w:rFonts w:ascii="Times New Roman" w:hAnsi="Times New Roman" w:cs="Times New Roman"/>
                <w:color w:val="auto"/>
                <w:kern w:val="0"/>
                <w:sz w:val="18"/>
                <w:szCs w:val="18"/>
              </w:rPr>
              <w:t>个污染物项目</w:t>
            </w:r>
            <w:r>
              <w:rPr>
                <w:rFonts w:ascii="Times New Roman" w:hAnsi="Times New Roman" w:cs="Times New Roman"/>
                <w:color w:val="auto"/>
                <w:sz w:val="18"/>
                <w:szCs w:val="18"/>
              </w:rPr>
              <w:t>+石油烃</w:t>
            </w:r>
          </w:p>
        </w:tc>
      </w:tr>
    </w:tbl>
    <w:p>
      <w:pPr>
        <w:pStyle w:val="1619"/>
        <w:tabs>
          <w:tab w:val="left" w:pos="1325"/>
        </w:tabs>
        <w:autoSpaceDE w:val="0"/>
        <w:autoSpaceDN w:val="0"/>
        <w:adjustRightInd/>
        <w:ind w:firstLineChars="0"/>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（2）采样时间、分析方法</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本次评价委托监测单位于</w:t>
      </w:r>
      <w:r>
        <w:rPr>
          <w:rFonts w:ascii="Times New Roman" w:hAnsi="Times New Roman" w:eastAsia="Times New Roman" w:cs="Times New Roman"/>
          <w:color w:val="auto"/>
        </w:rPr>
        <w:t>2021</w:t>
      </w:r>
      <w:r>
        <w:rPr>
          <w:rFonts w:ascii="Times New Roman" w:hAnsi="Times New Roman" w:cs="Times New Roman"/>
          <w:color w:val="auto"/>
        </w:rPr>
        <w:t>年</w:t>
      </w:r>
      <w:r>
        <w:rPr>
          <w:rFonts w:ascii="Times New Roman" w:hAnsi="Times New Roman" w:eastAsia="Times New Roman" w:cs="Times New Roman"/>
          <w:color w:val="auto"/>
        </w:rPr>
        <w:t>2</w:t>
      </w:r>
      <w:r>
        <w:rPr>
          <w:rFonts w:ascii="Times New Roman" w:hAnsi="Times New Roman" w:cs="Times New Roman"/>
          <w:color w:val="auto"/>
        </w:rPr>
        <w:t>月</w:t>
      </w:r>
      <w:r>
        <w:rPr>
          <w:rFonts w:ascii="Times New Roman" w:hAnsi="Times New Roman" w:eastAsia="Times New Roman" w:cs="Times New Roman"/>
          <w:color w:val="auto"/>
        </w:rPr>
        <w:t>22</w:t>
      </w:r>
      <w:r>
        <w:rPr>
          <w:rFonts w:ascii="Times New Roman" w:hAnsi="Times New Roman" w:cs="Times New Roman"/>
          <w:color w:val="auto"/>
        </w:rPr>
        <w:t>日和2021年7月22日分两次对项目区及周边土壤监测点进行了采样，各采样监测</w:t>
      </w:r>
      <w:r>
        <w:rPr>
          <w:rFonts w:ascii="Times New Roman" w:hAnsi="Times New Roman" w:eastAsia="Times New Roman" w:cs="Times New Roman"/>
          <w:color w:val="auto"/>
        </w:rPr>
        <w:t>1</w:t>
      </w:r>
      <w:r>
        <w:rPr>
          <w:rFonts w:ascii="Times New Roman" w:hAnsi="Times New Roman" w:cs="Times New Roman"/>
          <w:color w:val="auto"/>
        </w:rPr>
        <w:t>次。</w:t>
      </w:r>
    </w:p>
    <w:p>
      <w:pPr>
        <w:pStyle w:val="8"/>
        <w:keepNext w:val="0"/>
        <w:keepLines w:val="0"/>
        <w:numPr>
          <w:ilvl w:val="0"/>
          <w:numId w:val="0"/>
        </w:numPr>
        <w:tabs>
          <w:tab w:val="left" w:pos="1325"/>
        </w:tabs>
        <w:autoSpaceDE w:val="0"/>
        <w:autoSpaceDN w:val="0"/>
        <w:adjustRightInd/>
        <w:spacing w:before="0" w:after="0" w:line="360" w:lineRule="auto"/>
        <w:ind w:firstLine="472" w:firstLineChars="200"/>
        <w:textAlignment w:val="auto"/>
        <w:rPr>
          <w:rFonts w:ascii="Times New Roman" w:hAnsi="Times New Roman" w:cs="Times New Roman"/>
          <w:b w:val="0"/>
          <w:color w:val="auto"/>
          <w:spacing w:val="-2"/>
          <w:kern w:val="0"/>
          <w:szCs w:val="20"/>
        </w:rPr>
      </w:pPr>
      <w:r>
        <w:rPr>
          <w:rFonts w:ascii="Times New Roman" w:hAnsi="Times New Roman" w:cs="Times New Roman"/>
          <w:b w:val="0"/>
          <w:color w:val="auto"/>
          <w:spacing w:val="-2"/>
          <w:kern w:val="0"/>
          <w:szCs w:val="20"/>
        </w:rPr>
        <w:t>（3）监测方法</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按原国家环保总局颁布的《环境监测技术规范》和《环境监测分析方法》有关规定和要求执行。</w:t>
      </w:r>
    </w:p>
    <w:p>
      <w:pPr>
        <w:pStyle w:val="25"/>
        <w:spacing w:line="360" w:lineRule="auto"/>
        <w:ind w:firstLine="472"/>
        <w:rPr>
          <w:rFonts w:ascii="Times New Roman" w:hAnsi="Times New Roman" w:cs="Times New Roman"/>
          <w:color w:val="auto"/>
          <w:spacing w:val="-2"/>
          <w:kern w:val="0"/>
          <w:szCs w:val="24"/>
        </w:rPr>
      </w:pPr>
      <w:r>
        <w:rPr>
          <w:rFonts w:ascii="Times New Roman" w:hAnsi="Times New Roman" w:cs="Times New Roman"/>
          <w:color w:val="auto"/>
          <w:spacing w:val="-2"/>
          <w:kern w:val="0"/>
          <w:szCs w:val="24"/>
        </w:rPr>
        <w:t>（4）检测方法及检出限</w:t>
      </w:r>
    </w:p>
    <w:p>
      <w:pPr>
        <w:pStyle w:val="3550"/>
        <w:spacing w:before="0" w:after="0"/>
        <w:ind w:firstLine="472" w:firstLineChars="200"/>
        <w:rPr>
          <w:rFonts w:ascii="Times New Roman" w:hAnsi="Times New Roman" w:cs="Times New Roman"/>
          <w:color w:val="auto"/>
          <w:spacing w:val="-2"/>
          <w:sz w:val="24"/>
          <w:szCs w:val="24"/>
        </w:rPr>
      </w:pPr>
      <w:r>
        <w:rPr>
          <w:rFonts w:ascii="Times New Roman" w:hAnsi="Times New Roman" w:cs="Times New Roman"/>
          <w:color w:val="auto"/>
          <w:spacing w:val="-2"/>
          <w:sz w:val="24"/>
          <w:szCs w:val="24"/>
        </w:rPr>
        <w:t>本项目土壤检测方法及检出限见表4.6-2。</w:t>
      </w:r>
    </w:p>
    <w:p>
      <w:pPr>
        <w:pStyle w:val="25"/>
        <w:ind w:firstLine="422"/>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表4.6-2    检测方法与检出限一览表</w:t>
      </w:r>
    </w:p>
    <w:tbl>
      <w:tblPr>
        <w:tblStyle w:val="62"/>
        <w:tblW w:w="8985"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99"/>
        <w:gridCol w:w="2249"/>
        <w:gridCol w:w="4340"/>
        <w:gridCol w:w="119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3" w:hRule="exact"/>
          <w:tblHeader/>
        </w:trPr>
        <w:tc>
          <w:tcPr>
            <w:tcW w:w="119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样品类别</w:t>
            </w: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检测项目</w:t>
            </w:r>
          </w:p>
        </w:tc>
        <w:tc>
          <w:tcPr>
            <w:tcW w:w="434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检测依据</w:t>
            </w: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检出限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土壤及底泥</w:t>
            </w: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pH</w:t>
            </w:r>
          </w:p>
        </w:tc>
        <w:tc>
          <w:tcPr>
            <w:tcW w:w="434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土壤检测 第2部分：土壤pH的测定</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NY/T1121.2-2006</w:t>
            </w: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铜</w:t>
            </w:r>
          </w:p>
        </w:tc>
        <w:tc>
          <w:tcPr>
            <w:tcW w:w="434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土壤和沉积物  </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铜、锌、铅、镍、铬的测定</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火焰原子吸收分光光度法</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HJ 491-2019</w:t>
            </w: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六价铬</w:t>
            </w:r>
          </w:p>
        </w:tc>
        <w:tc>
          <w:tcPr>
            <w:tcW w:w="434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固体废物 六价铬的测定</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碱消解/火焰原子吸收分光光度法</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HJ 687-2014</w:t>
            </w: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 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铅</w:t>
            </w:r>
          </w:p>
        </w:tc>
        <w:tc>
          <w:tcPr>
            <w:tcW w:w="434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fldChar w:fldCharType="begin"/>
            </w:r>
            <w:r>
              <w:rPr>
                <w:rFonts w:ascii="Times New Roman" w:hAnsi="Times New Roman" w:cs="Times New Roman"/>
                <w:color w:val="auto"/>
                <w:spacing w:val="-2"/>
                <w:kern w:val="0"/>
                <w:sz w:val="18"/>
                <w:szCs w:val="18"/>
              </w:rPr>
              <w:instrText xml:space="preserve"> HYPERLINK "http://kjs.mep.gov.cn/hjbhbz/bzwb/trhj/trjcgfffbz/199805/t19980501_82029.htm"</w:instrText>
            </w:r>
            <w:r>
              <w:rPr>
                <w:rFonts w:ascii="Times New Roman" w:hAnsi="Times New Roman" w:cs="Times New Roman"/>
                <w:color w:val="auto"/>
                <w:spacing w:val="-2"/>
                <w:kern w:val="0"/>
                <w:sz w:val="18"/>
                <w:szCs w:val="18"/>
              </w:rPr>
              <w:fldChar w:fldCharType="separate"/>
            </w:r>
            <w:r>
              <w:rPr>
                <w:rFonts w:ascii="Times New Roman" w:hAnsi="Times New Roman" w:cs="Times New Roman"/>
                <w:color w:val="auto"/>
                <w:spacing w:val="-2"/>
                <w:kern w:val="0"/>
                <w:sz w:val="18"/>
                <w:szCs w:val="18"/>
              </w:rPr>
              <w:t>土壤质量 铅、镉的测定</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石墨炉原子吸收分光光度法</w:t>
            </w:r>
            <w:r>
              <w:rPr>
                <w:rFonts w:ascii="Times New Roman" w:hAnsi="Times New Roman" w:cs="Times New Roman"/>
                <w:color w:val="auto"/>
                <w:spacing w:val="-2"/>
                <w:kern w:val="0"/>
                <w:sz w:val="18"/>
                <w:szCs w:val="18"/>
              </w:rPr>
              <w:fldChar w:fldCharType="end"/>
            </w:r>
            <w:r>
              <w:rPr>
                <w:rFonts w:ascii="Times New Roman" w:hAnsi="Times New Roman" w:cs="Times New Roman"/>
                <w:color w:val="auto"/>
                <w:spacing w:val="-2"/>
                <w:kern w:val="0"/>
                <w:sz w:val="18"/>
                <w:szCs w:val="18"/>
              </w:rPr>
              <w:t xml:space="preserve"> </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GB/T 17141-1997</w:t>
            </w: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镍</w:t>
            </w:r>
          </w:p>
        </w:tc>
        <w:tc>
          <w:tcPr>
            <w:tcW w:w="434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土壤和沉积物  </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铜、锌、铅、镍、铬的测定</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火焰原子吸收分光光度法</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HJ 491-2019</w:t>
            </w: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汞</w:t>
            </w:r>
          </w:p>
        </w:tc>
        <w:tc>
          <w:tcPr>
            <w:tcW w:w="434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fldChar w:fldCharType="begin"/>
            </w:r>
            <w:r>
              <w:rPr>
                <w:rFonts w:ascii="Times New Roman" w:hAnsi="Times New Roman" w:cs="Times New Roman"/>
                <w:color w:val="auto"/>
                <w:spacing w:val="-2"/>
                <w:kern w:val="0"/>
                <w:sz w:val="18"/>
                <w:szCs w:val="18"/>
              </w:rPr>
              <w:instrText xml:space="preserve"> HYPERLINK "http://kjs.mep.gov.cn/hjbhbz/bzwb/trhj/trjcgfffbz/201312/t20131203_264304.htm"</w:instrText>
            </w:r>
            <w:r>
              <w:rPr>
                <w:rFonts w:ascii="Times New Roman" w:hAnsi="Times New Roman" w:cs="Times New Roman"/>
                <w:color w:val="auto"/>
                <w:spacing w:val="-2"/>
                <w:kern w:val="0"/>
                <w:sz w:val="18"/>
                <w:szCs w:val="18"/>
              </w:rPr>
              <w:fldChar w:fldCharType="separate"/>
            </w:r>
            <w:r>
              <w:rPr>
                <w:rFonts w:ascii="Times New Roman" w:hAnsi="Times New Roman" w:cs="Times New Roman"/>
                <w:color w:val="auto"/>
                <w:spacing w:val="-2"/>
                <w:kern w:val="0"/>
                <w:sz w:val="18"/>
                <w:szCs w:val="18"/>
              </w:rPr>
              <w:t>土壤和沉积物 汞、砷、硒、铋、锑的测定</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微波消解/原子荧光法</w:t>
            </w:r>
            <w:r>
              <w:rPr>
                <w:rFonts w:ascii="Times New Roman" w:hAnsi="Times New Roman" w:cs="Times New Roman"/>
                <w:color w:val="auto"/>
                <w:spacing w:val="-2"/>
                <w:kern w:val="0"/>
                <w:sz w:val="18"/>
                <w:szCs w:val="18"/>
              </w:rPr>
              <w:fldChar w:fldCharType="end"/>
            </w:r>
            <w:r>
              <w:rPr>
                <w:rFonts w:ascii="Times New Roman" w:hAnsi="Times New Roman" w:cs="Times New Roman"/>
                <w:color w:val="auto"/>
                <w:spacing w:val="-2"/>
                <w:kern w:val="0"/>
                <w:sz w:val="18"/>
                <w:szCs w:val="18"/>
              </w:rPr>
              <w:t xml:space="preserve">  </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 HJ 680-2013</w:t>
            </w: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0.002mg/kg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砷</w:t>
            </w:r>
          </w:p>
        </w:tc>
        <w:tc>
          <w:tcPr>
            <w:tcW w:w="434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fldChar w:fldCharType="begin"/>
            </w:r>
            <w:r>
              <w:rPr>
                <w:rFonts w:ascii="Times New Roman" w:hAnsi="Times New Roman" w:cs="Times New Roman"/>
                <w:color w:val="auto"/>
                <w:spacing w:val="-2"/>
                <w:kern w:val="0"/>
                <w:sz w:val="18"/>
                <w:szCs w:val="18"/>
              </w:rPr>
              <w:instrText xml:space="preserve"> HYPERLINK "http://kjs.mep.gov.cn/hjbhbz/bzwb/trhj/trjcgfffbz/201312/t20131203_264304.htm"</w:instrText>
            </w:r>
            <w:r>
              <w:rPr>
                <w:rFonts w:ascii="Times New Roman" w:hAnsi="Times New Roman" w:cs="Times New Roman"/>
                <w:color w:val="auto"/>
                <w:spacing w:val="-2"/>
                <w:kern w:val="0"/>
                <w:sz w:val="18"/>
                <w:szCs w:val="18"/>
              </w:rPr>
              <w:fldChar w:fldCharType="separate"/>
            </w:r>
            <w:r>
              <w:rPr>
                <w:rFonts w:ascii="Times New Roman" w:hAnsi="Times New Roman" w:cs="Times New Roman"/>
                <w:color w:val="auto"/>
                <w:spacing w:val="-2"/>
                <w:kern w:val="0"/>
                <w:sz w:val="18"/>
                <w:szCs w:val="18"/>
              </w:rPr>
              <w:t>土壤和沉积物 汞、砷、硒、铋、锑的测定</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微波消解/原子荧光法</w:t>
            </w:r>
            <w:r>
              <w:rPr>
                <w:rFonts w:ascii="Times New Roman" w:hAnsi="Times New Roman" w:cs="Times New Roman"/>
                <w:color w:val="auto"/>
                <w:spacing w:val="-2"/>
                <w:kern w:val="0"/>
                <w:sz w:val="18"/>
                <w:szCs w:val="18"/>
              </w:rPr>
              <w:fldChar w:fldCharType="end"/>
            </w:r>
            <w:r>
              <w:rPr>
                <w:rFonts w:ascii="Times New Roman" w:hAnsi="Times New Roman" w:cs="Times New Roman"/>
                <w:color w:val="auto"/>
                <w:spacing w:val="-2"/>
                <w:kern w:val="0"/>
                <w:sz w:val="18"/>
                <w:szCs w:val="18"/>
              </w:rPr>
              <w:t xml:space="preserve">   </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HJ 680-2013</w:t>
            </w: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氯甲烷</w:t>
            </w:r>
          </w:p>
        </w:tc>
        <w:tc>
          <w:tcPr>
            <w:tcW w:w="434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土壤和沉积物  挥发性卤代烃的测定 </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顶空/气相色谱-质谱法  </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HJ 736-2015</w:t>
            </w: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1,1,2-三氯乙烷</w:t>
            </w:r>
          </w:p>
        </w:tc>
        <w:tc>
          <w:tcPr>
            <w:tcW w:w="4340" w:type="dxa"/>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土壤和沉积物 挥发性有机物的测定 </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顶空/气相色谱-质谱法  </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HJ 642-2013</w:t>
            </w: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1.4μg/kg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氯乙烯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1,1-二氯乙烯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0.8μg/kg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二氯甲烷</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2.6μg/kg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反-1,2-二氯乙烯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0.9μg/kg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1,1-二氯乙烷</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1.6μg/kg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顺-1,2-二氯乙烯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0.9μg/kg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trPr>
        <w:tc>
          <w:tcPr>
            <w:tcW w:w="1199" w:type="dxa"/>
            <w:vMerge w:val="continue"/>
            <w:vAlign w:val="center"/>
          </w:tcPr>
          <w:p>
            <w:pPr>
              <w:spacing w:line="240" w:lineRule="auto"/>
              <w:ind w:firstLine="352"/>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氯仿</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7"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1,1,1-三氯乙烷</w:t>
            </w:r>
          </w:p>
        </w:tc>
        <w:tc>
          <w:tcPr>
            <w:tcW w:w="4340" w:type="dxa"/>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土壤和沉积物 挥发性有机物的测定 </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顶空/气相色谱-质谱法  </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HJ 642-2013</w:t>
            </w: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1"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四氯化碳</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2.1μg/kg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3"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1,2-二氯乙烷</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1.3μg/kg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三氯乙烯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0.9μg/kg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1,2-二氯丙烷</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1.9μg/kg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四氯乙烯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0.8μg/kg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1,1,1,2-四氯乙烷</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1,1,2,2-四氯乙烷</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1,2,3-三氯丙烷</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1.6μg/kg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甲苯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2.0μg/kg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乙苯 </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1"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间+对-二甲苯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3.6μg/kg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邻-二甲苯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1.3μg/kg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苯乙烯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1.6μg/kg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1,4-二氯苯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1,2-二氯苯</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硝基苯</w:t>
            </w:r>
          </w:p>
        </w:tc>
        <w:tc>
          <w:tcPr>
            <w:tcW w:w="4340" w:type="dxa"/>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土壤和沉积物 半挥发性有机物的测定 </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气相色谱-质谱法 </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HJ 834-2017</w:t>
            </w: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0.09mg/kg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苯胺</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0.08mg/kg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2-氯酚</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0.06mg/kg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萘</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0.09mg/kg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9"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苯并[a]蒽</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苯并[a]芘</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苯并[b]荧蒽</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0.2mg/kg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6"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苯并[k]荧蒽</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䓛</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二苯并[a，h]蒽</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茚并[1,2,3-cd]芘</w:t>
            </w:r>
          </w:p>
        </w:tc>
        <w:tc>
          <w:tcPr>
            <w:tcW w:w="4340"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19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119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2249" w:type="dxa"/>
            <w:vAlign w:val="center"/>
          </w:tcPr>
          <w:p>
            <w:pPr>
              <w:widowControl/>
              <w:spacing w:line="240" w:lineRule="auto"/>
              <w:ind w:firstLine="0" w:firstLineChars="0"/>
              <w:jc w:val="center"/>
              <w:rPr>
                <w:rFonts w:ascii="Times New Roman" w:hAnsi="Times New Roman" w:cs="Times New Roman"/>
                <w:color w:val="FF0000"/>
                <w:spacing w:val="-2"/>
                <w:kern w:val="0"/>
                <w:sz w:val="18"/>
                <w:szCs w:val="18"/>
              </w:rPr>
            </w:pPr>
            <w:r>
              <w:rPr>
                <w:rFonts w:hint="eastAsia" w:ascii="Times New Roman" w:hAnsi="Times New Roman" w:cs="Times New Roman"/>
                <w:color w:val="FF0000"/>
                <w:spacing w:val="-2"/>
                <w:kern w:val="0"/>
                <w:sz w:val="18"/>
                <w:szCs w:val="18"/>
              </w:rPr>
              <w:t>石油烃</w:t>
            </w:r>
          </w:p>
        </w:tc>
        <w:tc>
          <w:tcPr>
            <w:tcW w:w="4340" w:type="dxa"/>
            <w:vAlign w:val="center"/>
          </w:tcPr>
          <w:p>
            <w:pPr>
              <w:widowControl/>
              <w:spacing w:line="240" w:lineRule="auto"/>
              <w:ind w:firstLine="0" w:firstLineChars="0"/>
              <w:jc w:val="center"/>
              <w:rPr>
                <w:rFonts w:ascii="Times New Roman" w:hAnsi="Times New Roman" w:cs="Times New Roman"/>
                <w:color w:val="FF0000"/>
                <w:spacing w:val="-2"/>
                <w:kern w:val="0"/>
                <w:sz w:val="18"/>
                <w:szCs w:val="18"/>
              </w:rPr>
            </w:pPr>
            <w:r>
              <w:rPr>
                <w:rFonts w:hint="eastAsia" w:ascii="Times New Roman" w:hAnsi="Times New Roman" w:cs="Times New Roman"/>
                <w:color w:val="FF0000"/>
                <w:spacing w:val="-2"/>
                <w:kern w:val="0"/>
                <w:sz w:val="18"/>
                <w:szCs w:val="18"/>
              </w:rPr>
              <w:t>土壤质量石油烃的测定ISO16703-2011</w:t>
            </w:r>
          </w:p>
        </w:tc>
        <w:tc>
          <w:tcPr>
            <w:tcW w:w="1197" w:type="dxa"/>
            <w:vAlign w:val="center"/>
          </w:tcPr>
          <w:p>
            <w:pPr>
              <w:widowControl/>
              <w:spacing w:line="240" w:lineRule="auto"/>
              <w:ind w:firstLine="0" w:firstLineChars="0"/>
              <w:jc w:val="center"/>
              <w:rPr>
                <w:rFonts w:ascii="Times New Roman" w:hAnsi="Times New Roman" w:cs="Times New Roman"/>
                <w:color w:val="FF0000"/>
                <w:spacing w:val="-2"/>
                <w:kern w:val="0"/>
                <w:sz w:val="18"/>
                <w:szCs w:val="18"/>
              </w:rPr>
            </w:pPr>
            <w:r>
              <w:rPr>
                <w:rFonts w:ascii="Times New Roman" w:hAnsi="Times New Roman" w:cs="Times New Roman"/>
                <w:color w:val="FF0000"/>
                <w:spacing w:val="-2"/>
                <w:kern w:val="0"/>
                <w:sz w:val="18"/>
                <w:szCs w:val="18"/>
              </w:rPr>
              <w:t>100mg/kg</w:t>
            </w:r>
          </w:p>
        </w:tc>
      </w:tr>
    </w:tbl>
    <w:p>
      <w:pPr>
        <w:pStyle w:val="8"/>
        <w:keepNext w:val="0"/>
        <w:keepLines w:val="0"/>
        <w:numPr>
          <w:ilvl w:val="0"/>
          <w:numId w:val="0"/>
        </w:numPr>
        <w:tabs>
          <w:tab w:val="left" w:pos="1325"/>
        </w:tabs>
        <w:autoSpaceDE w:val="0"/>
        <w:autoSpaceDN w:val="0"/>
        <w:adjustRightInd/>
        <w:snapToGrid/>
        <w:spacing w:before="5" w:after="0" w:line="240" w:lineRule="auto"/>
        <w:ind w:firstLine="472" w:firstLineChars="200"/>
        <w:textAlignment w:val="auto"/>
        <w:rPr>
          <w:rFonts w:ascii="Times New Roman" w:hAnsi="Times New Roman" w:cs="Times New Roman"/>
          <w:b w:val="0"/>
          <w:color w:val="auto"/>
          <w:spacing w:val="-2"/>
          <w:kern w:val="0"/>
          <w:szCs w:val="20"/>
        </w:rPr>
      </w:pPr>
      <w:r>
        <w:rPr>
          <w:rFonts w:ascii="Times New Roman" w:hAnsi="Times New Roman" w:cs="Times New Roman"/>
          <w:b w:val="0"/>
          <w:color w:val="auto"/>
          <w:spacing w:val="-2"/>
          <w:kern w:val="0"/>
          <w:szCs w:val="20"/>
        </w:rPr>
        <w:t>（4）监测结果分析与评价</w:t>
      </w:r>
    </w:p>
    <w:p>
      <w:pPr>
        <w:pStyle w:val="25"/>
        <w:spacing w:before="158" w:line="364" w:lineRule="auto"/>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评价标准：T1、T2、T3、T6评价采用《土壤环境质量建设用地土壤污染风险管控标准（试行）》（GB36600-2018）第二类用地筛选值，T4、T5评价采用《土壤环境质量 农用地土壤污染风险管控标准（试行）》（GB15618-2018）。</w:t>
      </w:r>
    </w:p>
    <w:p>
      <w:pPr>
        <w:adjustRightInd/>
        <w:snapToGrid/>
        <w:ind w:firstLine="476"/>
        <w:rPr>
          <w:rFonts w:ascii="Times New Roman" w:hAnsi="Times New Roman" w:cs="Times New Roman"/>
          <w:color w:val="auto"/>
          <w:spacing w:val="-2"/>
          <w:kern w:val="0"/>
          <w:szCs w:val="20"/>
        </w:rPr>
      </w:pPr>
      <w:r>
        <w:rPr>
          <w:rFonts w:ascii="Times New Roman" w:hAnsi="Times New Roman" w:cs="Times New Roman"/>
          <w:color w:val="auto"/>
          <w:spacing w:val="-1"/>
        </w:rPr>
        <w:t>监测结果：土壤中重金属和无机物及石油烃类监测结果及标准指数见表</w:t>
      </w:r>
      <w:r>
        <w:rPr>
          <w:rFonts w:ascii="Times New Roman" w:hAnsi="Times New Roman" w:eastAsia="Times New Roman" w:cs="Times New Roman"/>
          <w:color w:val="auto"/>
        </w:rPr>
        <w:t>4.6-3</w:t>
      </w:r>
      <w:r>
        <w:rPr>
          <w:rFonts w:ascii="Times New Roman" w:hAnsi="Times New Roman" w:cs="Times New Roman"/>
          <w:color w:val="auto"/>
          <w:spacing w:val="-8"/>
        </w:rPr>
        <w:t>；土</w:t>
      </w:r>
      <w:r>
        <w:rPr>
          <w:rFonts w:ascii="Times New Roman" w:hAnsi="Times New Roman" w:cs="Times New Roman"/>
          <w:color w:val="auto"/>
          <w:spacing w:val="-3"/>
        </w:rPr>
        <w:t>壤中挥发性有机物、半挥发性有机物监测结果见表</w:t>
      </w:r>
      <w:r>
        <w:rPr>
          <w:rFonts w:ascii="Times New Roman" w:hAnsi="Times New Roman" w:eastAsia="Times New Roman" w:cs="Times New Roman"/>
          <w:color w:val="auto"/>
        </w:rPr>
        <w:t>4.6-4</w:t>
      </w:r>
      <w:r>
        <w:rPr>
          <w:rFonts w:ascii="Times New Roman" w:hAnsi="Times New Roman" w:cs="Times New Roman"/>
          <w:color w:val="auto"/>
          <w:spacing w:val="-2"/>
          <w:kern w:val="0"/>
          <w:szCs w:val="20"/>
        </w:rPr>
        <w:t>。</w:t>
      </w:r>
    </w:p>
    <w:p>
      <w:pPr>
        <w:pStyle w:val="25"/>
        <w:ind w:firstLine="480"/>
        <w:rPr>
          <w:rFonts w:ascii="Times New Roman" w:hAnsi="Times New Roman" w:cs="Times New Roman"/>
          <w:color w:val="auto"/>
        </w:rPr>
        <w:sectPr>
          <w:pgSz w:w="11906" w:h="16838"/>
          <w:pgMar w:top="1417" w:right="1417" w:bottom="1417" w:left="1417" w:header="850" w:footer="992" w:gutter="0"/>
          <w:cols w:space="720" w:num="1"/>
          <w:docGrid w:type="lines" w:linePitch="333" w:charSpace="0"/>
        </w:sectPr>
      </w:pPr>
    </w:p>
    <w:p>
      <w:pPr>
        <w:spacing w:before="166" w:beforeLines="50" w:line="240" w:lineRule="auto"/>
        <w:ind w:firstLine="414"/>
        <w:jc w:val="center"/>
        <w:rPr>
          <w:rFonts w:ascii="Times New Roman" w:hAnsi="Times New Roman" w:cs="Times New Roman"/>
          <w:b/>
          <w:color w:val="auto"/>
          <w:spacing w:val="-2"/>
          <w:kern w:val="0"/>
          <w:sz w:val="21"/>
          <w:szCs w:val="21"/>
        </w:rPr>
      </w:pPr>
      <w:r>
        <w:rPr>
          <w:rFonts w:ascii="Times New Roman" w:hAnsi="Times New Roman" w:cs="Times New Roman"/>
          <w:b/>
          <w:color w:val="auto"/>
          <w:spacing w:val="-2"/>
          <w:kern w:val="0"/>
          <w:sz w:val="21"/>
          <w:szCs w:val="21"/>
        </w:rPr>
        <w:t>表4.6-3    监测点土壤环境质量监测结果单位：mg/kg（pH除外）</w:t>
      </w:r>
    </w:p>
    <w:tbl>
      <w:tblPr>
        <w:tblStyle w:val="62"/>
        <w:tblW w:w="14153"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00"/>
        <w:gridCol w:w="859"/>
        <w:gridCol w:w="992"/>
        <w:gridCol w:w="1375"/>
        <w:gridCol w:w="1077"/>
        <w:gridCol w:w="1077"/>
        <w:gridCol w:w="1083"/>
        <w:gridCol w:w="1079"/>
        <w:gridCol w:w="1084"/>
        <w:gridCol w:w="1083"/>
        <w:gridCol w:w="1079"/>
        <w:gridCol w:w="990"/>
        <w:gridCol w:w="1025"/>
        <w:gridCol w:w="1203"/>
        <w:gridCol w:w="32"/>
        <w:gridCol w:w="1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245" w:hRule="atLeast"/>
        </w:trPr>
        <w:tc>
          <w:tcPr>
            <w:tcW w:w="1951" w:type="dxa"/>
            <w:gridSpan w:val="3"/>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采样地点</w:t>
            </w:r>
          </w:p>
        </w:tc>
        <w:tc>
          <w:tcPr>
            <w:tcW w:w="12202" w:type="dxa"/>
            <w:gridSpan w:val="13"/>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项目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gridAfter w:val="1"/>
          <w:wAfter w:w="15" w:type="dxa"/>
          <w:trHeight w:val="389" w:hRule="atLeast"/>
        </w:trPr>
        <w:tc>
          <w:tcPr>
            <w:tcW w:w="1951" w:type="dxa"/>
            <w:gridSpan w:val="3"/>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pH</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砷</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镉</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六价铬</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铅</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汞</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铜</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镍</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总铬</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锌</w:t>
            </w:r>
          </w:p>
        </w:tc>
        <w:tc>
          <w:tcPr>
            <w:tcW w:w="1235" w:type="dxa"/>
            <w:gridSpan w:val="2"/>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石油</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烃类</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gridAfter w:val="1"/>
          <w:wAfter w:w="15" w:type="dxa"/>
          <w:trHeight w:val="235" w:hRule="atLeast"/>
        </w:trPr>
        <w:tc>
          <w:tcPr>
            <w:tcW w:w="959" w:type="dxa"/>
            <w:gridSpan w:val="2"/>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T1</w:t>
            </w:r>
            <w:r>
              <w:rPr>
                <w:rFonts w:ascii="Times New Roman" w:hAnsi="Times New Roman" w:cs="Times New Roman"/>
                <w:kern w:val="0"/>
                <w:sz w:val="18"/>
                <w:szCs w:val="18"/>
              </w:rPr>
              <w:t>码头平台陆域</w:t>
            </w: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监测值</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6.96/7.02/6.88</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35" w:type="dxa"/>
            <w:gridSpan w:val="2"/>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gridAfter w:val="1"/>
          <w:wAfter w:w="15" w:type="dxa"/>
          <w:trHeight w:val="229" w:hRule="atLeast"/>
        </w:trPr>
        <w:tc>
          <w:tcPr>
            <w:tcW w:w="959" w:type="dxa"/>
            <w:gridSpan w:val="2"/>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标准值</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60</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65</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5.7</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800</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38</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18000</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900</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35" w:type="dxa"/>
            <w:gridSpan w:val="2"/>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4500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gridAfter w:val="1"/>
          <w:wAfter w:w="15" w:type="dxa"/>
          <w:trHeight w:val="237" w:hRule="atLeast"/>
        </w:trPr>
        <w:tc>
          <w:tcPr>
            <w:tcW w:w="959" w:type="dxa"/>
            <w:gridSpan w:val="2"/>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污染指数</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35" w:type="dxa"/>
            <w:gridSpan w:val="2"/>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gridBefore w:val="1"/>
          <w:gridAfter w:val="2"/>
          <w:wBefore w:w="100" w:type="dxa"/>
          <w:wAfter w:w="47" w:type="dxa"/>
          <w:trHeight w:val="243" w:hRule="atLeast"/>
        </w:trPr>
        <w:tc>
          <w:tcPr>
            <w:tcW w:w="859" w:type="dxa"/>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T2罐区陆域</w:t>
            </w: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监测值</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6.94/6.91/7.02</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4.5</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0.61</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29.3</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0.240</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23</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Before w:val="1"/>
          <w:gridAfter w:val="2"/>
          <w:wBefore w:w="100" w:type="dxa"/>
          <w:wAfter w:w="47" w:type="dxa"/>
          <w:trHeight w:val="243" w:hRule="atLeast"/>
        </w:trPr>
        <w:tc>
          <w:tcPr>
            <w:tcW w:w="85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标准值</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60</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65</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5.7</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800</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38</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18000</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900</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4500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gridBefore w:val="1"/>
          <w:gridAfter w:val="2"/>
          <w:wBefore w:w="100" w:type="dxa"/>
          <w:wAfter w:w="47" w:type="dxa"/>
          <w:trHeight w:val="243" w:hRule="atLeast"/>
        </w:trPr>
        <w:tc>
          <w:tcPr>
            <w:tcW w:w="85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污染指数</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7"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0.08 </w:t>
            </w:r>
          </w:p>
        </w:tc>
        <w:tc>
          <w:tcPr>
            <w:tcW w:w="1077"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0.01 </w:t>
            </w:r>
          </w:p>
        </w:tc>
        <w:tc>
          <w:tcPr>
            <w:tcW w:w="1083"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0.04 </w:t>
            </w:r>
          </w:p>
        </w:tc>
        <w:tc>
          <w:tcPr>
            <w:tcW w:w="1084"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0.01 </w:t>
            </w:r>
          </w:p>
        </w:tc>
        <w:tc>
          <w:tcPr>
            <w:tcW w:w="1083"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0.00 </w:t>
            </w:r>
          </w:p>
        </w:tc>
        <w:tc>
          <w:tcPr>
            <w:tcW w:w="1079"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0.03 </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Before w:val="1"/>
          <w:gridAfter w:val="2"/>
          <w:wBefore w:w="100" w:type="dxa"/>
          <w:wAfter w:w="47" w:type="dxa"/>
          <w:trHeight w:val="241" w:hRule="atLeast"/>
        </w:trPr>
        <w:tc>
          <w:tcPr>
            <w:tcW w:w="859" w:type="dxa"/>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T3污水处理区</w:t>
            </w: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监测值</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7.05/6.93/6.99</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9.18</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0.08</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47.3</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0.125</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30</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52</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gridBefore w:val="1"/>
          <w:gridAfter w:val="2"/>
          <w:wBefore w:w="100" w:type="dxa"/>
          <w:wAfter w:w="47" w:type="dxa"/>
          <w:trHeight w:val="243" w:hRule="atLeast"/>
        </w:trPr>
        <w:tc>
          <w:tcPr>
            <w:tcW w:w="85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标准值</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60</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65</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5.7</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800</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38</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18000</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900</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4500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Before w:val="1"/>
          <w:gridAfter w:val="2"/>
          <w:wBefore w:w="100" w:type="dxa"/>
          <w:wAfter w:w="47" w:type="dxa"/>
          <w:trHeight w:val="243" w:hRule="atLeast"/>
        </w:trPr>
        <w:tc>
          <w:tcPr>
            <w:tcW w:w="85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污染指数</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7"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0.15 </w:t>
            </w:r>
          </w:p>
        </w:tc>
        <w:tc>
          <w:tcPr>
            <w:tcW w:w="1077"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0.00 </w:t>
            </w:r>
          </w:p>
        </w:tc>
        <w:tc>
          <w:tcPr>
            <w:tcW w:w="1083"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0.06 </w:t>
            </w:r>
          </w:p>
        </w:tc>
        <w:tc>
          <w:tcPr>
            <w:tcW w:w="1084"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0.00 </w:t>
            </w:r>
          </w:p>
        </w:tc>
        <w:tc>
          <w:tcPr>
            <w:tcW w:w="1083"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0.00 </w:t>
            </w:r>
          </w:p>
        </w:tc>
        <w:tc>
          <w:tcPr>
            <w:tcW w:w="1079"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0.06 </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gridBefore w:val="1"/>
          <w:gridAfter w:val="2"/>
          <w:wBefore w:w="100" w:type="dxa"/>
          <w:wAfter w:w="47" w:type="dxa"/>
          <w:trHeight w:val="243" w:hRule="atLeast"/>
        </w:trPr>
        <w:tc>
          <w:tcPr>
            <w:tcW w:w="859" w:type="dxa"/>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T4项目区东侧</w:t>
            </w: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监测值</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7.03</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8.99</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0.11</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61.4</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0.167</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29</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49</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64</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41</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Before w:val="1"/>
          <w:gridAfter w:val="2"/>
          <w:wBefore w:w="100" w:type="dxa"/>
          <w:wAfter w:w="47" w:type="dxa"/>
          <w:trHeight w:val="243" w:hRule="atLeast"/>
        </w:trPr>
        <w:tc>
          <w:tcPr>
            <w:tcW w:w="85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标准值</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0.6</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140</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0.6</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100</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100</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300</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250</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gridBefore w:val="1"/>
          <w:gridAfter w:val="2"/>
          <w:wBefore w:w="100" w:type="dxa"/>
          <w:wAfter w:w="47" w:type="dxa"/>
          <w:trHeight w:val="244" w:hRule="atLeast"/>
        </w:trPr>
        <w:tc>
          <w:tcPr>
            <w:tcW w:w="85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污染指数</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7"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0.36 </w:t>
            </w:r>
          </w:p>
        </w:tc>
        <w:tc>
          <w:tcPr>
            <w:tcW w:w="1077"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0.18 </w:t>
            </w:r>
          </w:p>
        </w:tc>
        <w:tc>
          <w:tcPr>
            <w:tcW w:w="1083"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0.44 </w:t>
            </w:r>
          </w:p>
        </w:tc>
        <w:tc>
          <w:tcPr>
            <w:tcW w:w="1084"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0.28 </w:t>
            </w:r>
          </w:p>
        </w:tc>
        <w:tc>
          <w:tcPr>
            <w:tcW w:w="1083"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0.29 </w:t>
            </w:r>
          </w:p>
        </w:tc>
        <w:tc>
          <w:tcPr>
            <w:tcW w:w="1079"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0.49 </w:t>
            </w:r>
          </w:p>
        </w:tc>
        <w:tc>
          <w:tcPr>
            <w:tcW w:w="990"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0.21 </w:t>
            </w:r>
          </w:p>
        </w:tc>
        <w:tc>
          <w:tcPr>
            <w:tcW w:w="1025"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0.16 </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Before w:val="1"/>
          <w:gridAfter w:val="2"/>
          <w:wBefore w:w="100" w:type="dxa"/>
          <w:wAfter w:w="47" w:type="dxa"/>
          <w:trHeight w:val="234" w:hRule="atLeast"/>
        </w:trPr>
        <w:tc>
          <w:tcPr>
            <w:tcW w:w="859" w:type="dxa"/>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T5店埠河西侧对岸</w:t>
            </w: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监测值</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6.94</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54.8</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0.09</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54.8</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0.192</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32</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43</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55</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37</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gridBefore w:val="1"/>
          <w:gridAfter w:val="2"/>
          <w:wBefore w:w="100" w:type="dxa"/>
          <w:wAfter w:w="47" w:type="dxa"/>
          <w:trHeight w:val="229" w:hRule="atLeast"/>
        </w:trPr>
        <w:tc>
          <w:tcPr>
            <w:tcW w:w="85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标准值</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6.5-7.5</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0.6</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140</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0.6</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100</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100</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300</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250</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Before w:val="1"/>
          <w:gridAfter w:val="2"/>
          <w:wBefore w:w="100" w:type="dxa"/>
          <w:wAfter w:w="47" w:type="dxa"/>
          <w:trHeight w:val="237" w:hRule="atLeast"/>
        </w:trPr>
        <w:tc>
          <w:tcPr>
            <w:tcW w:w="85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污染指数</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7"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2.19 </w:t>
            </w:r>
          </w:p>
        </w:tc>
        <w:tc>
          <w:tcPr>
            <w:tcW w:w="1077"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0.15 </w:t>
            </w:r>
          </w:p>
        </w:tc>
        <w:tc>
          <w:tcPr>
            <w:tcW w:w="1083"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0.39 </w:t>
            </w:r>
          </w:p>
        </w:tc>
        <w:tc>
          <w:tcPr>
            <w:tcW w:w="1084"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0.32 </w:t>
            </w:r>
          </w:p>
        </w:tc>
        <w:tc>
          <w:tcPr>
            <w:tcW w:w="1083"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0.32 </w:t>
            </w:r>
          </w:p>
        </w:tc>
        <w:tc>
          <w:tcPr>
            <w:tcW w:w="1079"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0.43 </w:t>
            </w:r>
          </w:p>
        </w:tc>
        <w:tc>
          <w:tcPr>
            <w:tcW w:w="990"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0.18 </w:t>
            </w:r>
          </w:p>
        </w:tc>
        <w:tc>
          <w:tcPr>
            <w:tcW w:w="1025"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0.15 </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gridBefore w:val="1"/>
          <w:gridAfter w:val="2"/>
          <w:wBefore w:w="100" w:type="dxa"/>
          <w:wAfter w:w="47" w:type="dxa"/>
          <w:trHeight w:val="237" w:hRule="atLeast"/>
        </w:trPr>
        <w:tc>
          <w:tcPr>
            <w:tcW w:w="859" w:type="dxa"/>
            <w:vMerge w:val="restart"/>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kern w:val="0"/>
                <w:sz w:val="18"/>
                <w:szCs w:val="18"/>
              </w:rPr>
              <w:t>T6 项目区南侧</w:t>
            </w: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监测值</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6.95</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5.12</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0.37</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21.5</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0.159</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34</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31</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gridBefore w:val="1"/>
          <w:gridAfter w:val="2"/>
          <w:wBefore w:w="100" w:type="dxa"/>
          <w:wAfter w:w="47" w:type="dxa"/>
          <w:trHeight w:val="237" w:hRule="atLeast"/>
        </w:trPr>
        <w:tc>
          <w:tcPr>
            <w:tcW w:w="85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标准值</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6.5-7.5</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25</w:t>
            </w:r>
          </w:p>
        </w:tc>
        <w:tc>
          <w:tcPr>
            <w:tcW w:w="107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0.6</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140</w:t>
            </w:r>
          </w:p>
        </w:tc>
        <w:tc>
          <w:tcPr>
            <w:tcW w:w="108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0.6</w:t>
            </w:r>
          </w:p>
        </w:tc>
        <w:tc>
          <w:tcPr>
            <w:tcW w:w="108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100</w:t>
            </w:r>
          </w:p>
        </w:tc>
        <w:tc>
          <w:tcPr>
            <w:tcW w:w="1079"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100</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4500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gridBefore w:val="1"/>
          <w:gridAfter w:val="2"/>
          <w:wBefore w:w="100" w:type="dxa"/>
          <w:wAfter w:w="47" w:type="dxa"/>
          <w:trHeight w:val="237" w:hRule="atLeast"/>
        </w:trPr>
        <w:tc>
          <w:tcPr>
            <w:tcW w:w="859"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c>
          <w:tcPr>
            <w:tcW w:w="99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污染指数</w:t>
            </w:r>
          </w:p>
        </w:tc>
        <w:tc>
          <w:tcPr>
            <w:tcW w:w="137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7"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0.20 </w:t>
            </w:r>
          </w:p>
        </w:tc>
        <w:tc>
          <w:tcPr>
            <w:tcW w:w="1077"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0.62 </w:t>
            </w:r>
          </w:p>
        </w:tc>
        <w:tc>
          <w:tcPr>
            <w:tcW w:w="1083"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79"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0.15 </w:t>
            </w:r>
          </w:p>
        </w:tc>
        <w:tc>
          <w:tcPr>
            <w:tcW w:w="1084"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0.27 </w:t>
            </w:r>
          </w:p>
        </w:tc>
        <w:tc>
          <w:tcPr>
            <w:tcW w:w="1083"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0.34 </w:t>
            </w:r>
          </w:p>
        </w:tc>
        <w:tc>
          <w:tcPr>
            <w:tcW w:w="1079" w:type="dxa"/>
            <w:vAlign w:val="bottom"/>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 xml:space="preserve">0.31 </w:t>
            </w:r>
          </w:p>
        </w:tc>
        <w:tc>
          <w:tcPr>
            <w:tcW w:w="99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02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03"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r>
    </w:tbl>
    <w:p>
      <w:pPr>
        <w:spacing w:before="166" w:beforeLines="50" w:line="240" w:lineRule="auto"/>
        <w:ind w:firstLine="414"/>
        <w:jc w:val="center"/>
        <w:rPr>
          <w:rFonts w:ascii="Times New Roman" w:hAnsi="Times New Roman" w:cs="Times New Roman"/>
          <w:b/>
          <w:color w:val="auto"/>
          <w:spacing w:val="-2"/>
          <w:kern w:val="0"/>
          <w:sz w:val="21"/>
          <w:szCs w:val="21"/>
        </w:rPr>
      </w:pPr>
      <w:r>
        <w:rPr>
          <w:rFonts w:ascii="Times New Roman" w:hAnsi="Times New Roman" w:cs="Times New Roman"/>
          <w:b/>
          <w:color w:val="auto"/>
          <w:spacing w:val="-2"/>
          <w:kern w:val="0"/>
          <w:sz w:val="21"/>
          <w:szCs w:val="21"/>
        </w:rPr>
        <w:t>表4.6-4   监测点土壤环境质量监测结果单位：mg/kg（pH除外）</w:t>
      </w:r>
    </w:p>
    <w:tbl>
      <w:tblPr>
        <w:tblStyle w:val="62"/>
        <w:tblW w:w="14228"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3107"/>
        <w:gridCol w:w="1302"/>
        <w:gridCol w:w="1244"/>
        <w:gridCol w:w="1567"/>
        <w:gridCol w:w="1535"/>
        <w:gridCol w:w="1418"/>
        <w:gridCol w:w="1417"/>
        <w:gridCol w:w="1276"/>
        <w:gridCol w:w="1362"/>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1"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检测项目</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标准值</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单位</w:t>
            </w:r>
          </w:p>
        </w:tc>
        <w:tc>
          <w:tcPr>
            <w:tcW w:w="156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T1</w:t>
            </w:r>
            <w:r>
              <w:rPr>
                <w:rFonts w:ascii="Times New Roman" w:hAnsi="Times New Roman" w:cs="Times New Roman"/>
                <w:kern w:val="0"/>
                <w:sz w:val="18"/>
                <w:szCs w:val="18"/>
              </w:rPr>
              <w:t>码头平台陆域</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(0-0.2m)</w:t>
            </w:r>
          </w:p>
        </w:tc>
        <w:tc>
          <w:tcPr>
            <w:tcW w:w="153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T2罐区陆域</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(0-0.2m)</w:t>
            </w:r>
          </w:p>
        </w:tc>
        <w:tc>
          <w:tcPr>
            <w:tcW w:w="1418"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T3污水处理区</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(0-0.2m)</w:t>
            </w:r>
          </w:p>
        </w:tc>
        <w:tc>
          <w:tcPr>
            <w:tcW w:w="141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T44项目区东侧</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(0-0.2m)</w:t>
            </w:r>
          </w:p>
        </w:tc>
        <w:tc>
          <w:tcPr>
            <w:tcW w:w="1276"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T5店埠河西侧对岸</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(0-0.2m)</w:t>
            </w:r>
          </w:p>
        </w:tc>
        <w:tc>
          <w:tcPr>
            <w:tcW w:w="136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T6</w:t>
            </w:r>
            <w:r>
              <w:rPr>
                <w:rFonts w:ascii="Times New Roman" w:hAnsi="Times New Roman" w:cs="Times New Roman"/>
                <w:color w:val="auto"/>
                <w:kern w:val="0"/>
                <w:sz w:val="18"/>
                <w:szCs w:val="18"/>
              </w:rPr>
              <w:t>项目区南侧</w:t>
            </w:r>
          </w:p>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(0-0.2m)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14228" w:type="dxa"/>
            <w:gridSpan w:val="9"/>
            <w:vAlign w:val="center"/>
          </w:tcPr>
          <w:p>
            <w:pPr>
              <w:widowControl/>
              <w:spacing w:line="240" w:lineRule="auto"/>
              <w:ind w:firstLine="0" w:firstLineChars="0"/>
              <w:jc w:val="left"/>
              <w:rPr>
                <w:rFonts w:ascii="Times New Roman" w:hAnsi="Times New Roman" w:cs="Times New Roman"/>
                <w:b/>
                <w:bCs/>
                <w:color w:val="auto"/>
                <w:spacing w:val="-2"/>
                <w:kern w:val="0"/>
                <w:sz w:val="18"/>
                <w:szCs w:val="18"/>
              </w:rPr>
            </w:pPr>
            <w:r>
              <w:rPr>
                <w:rFonts w:ascii="Times New Roman" w:hAnsi="Times New Roman" w:cs="Times New Roman"/>
                <w:b/>
                <w:bCs/>
                <w:color w:val="auto"/>
                <w:spacing w:val="-2"/>
                <w:kern w:val="0"/>
                <w:sz w:val="18"/>
                <w:szCs w:val="18"/>
              </w:rPr>
              <w:t>挥发性有机物</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四氯化碳</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2.8</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氯仿</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0.9</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4"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氯甲烷</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37</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1,1-二氯乙烷</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9</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1,2-二氯乙烷</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1,1-二氯乙烯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66</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顺-1,2-二氯乙烯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596</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4"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反-1,2-二氯乙烯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54</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二氯甲烷</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616</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1,2-二氯丙烷</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1,1,1,2-四氯乙烷</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10</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1,1,2,2-四氯乙烷</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6.8</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4"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四氯乙烯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53</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1,1,1-三氯乙烷</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840</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1,1,2-三氯乙烷</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2.8</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三氯乙烯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2.8</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4"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1,2,3-三氯丙烷</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0.5</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氯乙烯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0.43</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氯苯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270</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4"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1,2-二氯苯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560</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1,4-二氯苯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20</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乙苯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28</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4"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苯乙烯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1290</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甲苯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1200</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间二甲苯+对二甲苯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570</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邻二甲苯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640</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μg/kg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14228" w:type="dxa"/>
            <w:gridSpan w:val="9"/>
            <w:vAlign w:val="center"/>
          </w:tcPr>
          <w:p>
            <w:pPr>
              <w:widowControl/>
              <w:spacing w:line="240" w:lineRule="auto"/>
              <w:ind w:firstLine="0" w:firstLineChars="0"/>
              <w:jc w:val="left"/>
              <w:rPr>
                <w:rFonts w:ascii="Times New Roman" w:hAnsi="Times New Roman" w:cs="Times New Roman"/>
                <w:b/>
                <w:bCs/>
                <w:color w:val="auto"/>
                <w:spacing w:val="-2"/>
                <w:kern w:val="0"/>
                <w:sz w:val="18"/>
                <w:szCs w:val="18"/>
              </w:rPr>
            </w:pPr>
            <w:r>
              <w:rPr>
                <w:rFonts w:ascii="Times New Roman" w:hAnsi="Times New Roman" w:cs="Times New Roman"/>
                <w:b/>
                <w:bCs/>
                <w:color w:val="auto"/>
                <w:spacing w:val="-2"/>
                <w:kern w:val="0"/>
                <w:sz w:val="18"/>
                <w:szCs w:val="18"/>
              </w:rPr>
              <w:t>半挥发性有机物</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4"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硝基苯</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76</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苯胺</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260</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2-氯酚</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2256</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苯并[a]蒽</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4"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苯并[a]芘</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苯并[b]荧蒽</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苯并[k]荧蒽</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151</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䓛</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1293</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4"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二苯并[a,h]蒽</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茚并[1,2,3-cd]芘</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15</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2" w:hRule="atLeast"/>
        </w:trPr>
        <w:tc>
          <w:tcPr>
            <w:tcW w:w="3107"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萘</w:t>
            </w:r>
          </w:p>
        </w:tc>
        <w:tc>
          <w:tcPr>
            <w:tcW w:w="1302"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70</w:t>
            </w:r>
          </w:p>
        </w:tc>
        <w:tc>
          <w:tcPr>
            <w:tcW w:w="124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mg/kg</w:t>
            </w:r>
          </w:p>
        </w:tc>
        <w:tc>
          <w:tcPr>
            <w:tcW w:w="156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535"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8"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c>
          <w:tcPr>
            <w:tcW w:w="1417"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276"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w:t>
            </w:r>
          </w:p>
        </w:tc>
        <w:tc>
          <w:tcPr>
            <w:tcW w:w="1362" w:type="dxa"/>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ND</w:t>
            </w:r>
          </w:p>
        </w:tc>
      </w:tr>
    </w:tbl>
    <w:p>
      <w:pPr>
        <w:widowControl/>
        <w:tabs>
          <w:tab w:val="left" w:pos="855"/>
        </w:tabs>
        <w:adjustRightInd/>
        <w:snapToGrid/>
        <w:ind w:firstLine="0" w:firstLineChars="0"/>
        <w:jc w:val="left"/>
        <w:rPr>
          <w:rFonts w:ascii="Times New Roman" w:hAnsi="Times New Roman" w:cs="Times New Roman"/>
          <w:b/>
          <w:bCs/>
          <w:color w:val="auto"/>
          <w:sz w:val="21"/>
          <w:szCs w:val="21"/>
        </w:rPr>
      </w:pPr>
    </w:p>
    <w:p>
      <w:pPr>
        <w:tabs>
          <w:tab w:val="left" w:pos="855"/>
        </w:tabs>
        <w:ind w:firstLine="480"/>
        <w:rPr>
          <w:rFonts w:ascii="Times New Roman" w:hAnsi="Times New Roman" w:cs="Times New Roman"/>
          <w:color w:val="auto"/>
          <w:szCs w:val="32"/>
        </w:rPr>
        <w:sectPr>
          <w:pgSz w:w="16838" w:h="11906" w:orient="landscape"/>
          <w:pgMar w:top="1417" w:right="1417" w:bottom="1417" w:left="1417" w:header="850" w:footer="992" w:gutter="0"/>
          <w:cols w:space="720" w:num="1"/>
          <w:docGrid w:type="lines" w:linePitch="333" w:charSpace="0"/>
        </w:sectPr>
      </w:pPr>
      <w:r>
        <w:rPr>
          <w:rFonts w:ascii="Times New Roman" w:hAnsi="Times New Roman" w:cs="Times New Roman"/>
          <w:color w:val="auto"/>
          <w:szCs w:val="32"/>
        </w:rPr>
        <w:tab/>
      </w:r>
    </w:p>
    <w:p>
      <w:pPr>
        <w:pStyle w:val="4"/>
        <w:rPr>
          <w:rFonts w:ascii="Times New Roman" w:hAnsi="Times New Roman" w:cs="Times New Roman"/>
          <w:b w:val="0"/>
          <w:bCs w:val="0"/>
          <w:color w:val="auto"/>
        </w:rPr>
      </w:pPr>
      <w:bookmarkStart w:id="324" w:name="_Toc102984351"/>
      <w:bookmarkStart w:id="325" w:name="_Toc104733382"/>
      <w:r>
        <w:rPr>
          <w:rFonts w:ascii="Times New Roman" w:hAnsi="Times New Roman" w:cs="Times New Roman"/>
          <w:b w:val="0"/>
          <w:bCs w:val="0"/>
          <w:color w:val="auto"/>
        </w:rPr>
        <w:t>4</w:t>
      </w:r>
      <w:r>
        <w:rPr>
          <w:rFonts w:ascii="Times New Roman" w:hAnsi="Times New Roman" w:cs="Times New Roman"/>
          <w:color w:val="auto"/>
        </w:rPr>
        <w:t>.6.2土壤环境现状质量评价</w:t>
      </w:r>
      <w:bookmarkEnd w:id="324"/>
      <w:bookmarkEnd w:id="325"/>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由表4.6-2和4.6-3可知，项目区T1、T2、T3、T6监测点土壤环境质量满足《土壤环境质量建设用地土壤污染风险管控标准（试行）》（GB36600-2018）第二类用地筛选值，T4、T5监测点土壤环境质量满足《土壤环境质量 农用地土壤污染风险管控标准（试行）》（GB15618-2018），项目地块监测点各项指标监测值均低于标准中的筛选值要求。</w:t>
      </w:r>
    </w:p>
    <w:p>
      <w:pPr>
        <w:tabs>
          <w:tab w:val="left" w:pos="2385"/>
        </w:tabs>
        <w:ind w:firstLine="0" w:firstLineChars="0"/>
        <w:jc w:val="left"/>
        <w:outlineLvl w:val="1"/>
        <w:rPr>
          <w:rFonts w:ascii="Times New Roman" w:hAnsi="Times New Roman" w:eastAsia="黑体" w:cs="Times New Roman"/>
          <w:color w:val="auto"/>
          <w:sz w:val="28"/>
        </w:rPr>
      </w:pPr>
      <w:bookmarkStart w:id="326" w:name="_Toc104733383"/>
      <w:r>
        <w:rPr>
          <w:rFonts w:ascii="Times New Roman" w:hAnsi="Times New Roman" w:eastAsia="黑体" w:cs="Times New Roman"/>
          <w:color w:val="auto"/>
          <w:sz w:val="28"/>
        </w:rPr>
        <w:t>4.7底泥环境质量现状调查与评价</w:t>
      </w:r>
      <w:bookmarkEnd w:id="326"/>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为了解码头所在区域撮镇灌溉渠、店埠河底泥及下游南淝河的底泥环境质量情况，本次评价委托监测单位对撮镇灌溉渠、店埠河及南淝河的底泥进行了取样现状监测</w:t>
      </w:r>
      <w:r>
        <w:rPr>
          <w:rFonts w:hint="eastAsia" w:ascii="Times New Roman" w:hAnsi="Times New Roman" w:cs="Times New Roman"/>
          <w:color w:val="auto"/>
        </w:rPr>
        <w:t>；具体监测点位布设见图4</w:t>
      </w:r>
      <w:r>
        <w:rPr>
          <w:rFonts w:ascii="Times New Roman" w:hAnsi="Times New Roman" w:cs="Times New Roman"/>
          <w:color w:val="auto"/>
        </w:rPr>
        <w:t>.5-1。</w:t>
      </w:r>
    </w:p>
    <w:p>
      <w:pPr>
        <w:ind w:firstLine="480"/>
        <w:rPr>
          <w:rFonts w:ascii="Times New Roman" w:hAnsi="Times New Roman" w:cs="Times New Roman"/>
          <w:color w:val="auto"/>
        </w:rPr>
      </w:pPr>
      <w:r>
        <w:rPr>
          <w:rFonts w:ascii="Times New Roman" w:hAnsi="Times New Roman" w:cs="Times New Roman"/>
          <w:color w:val="auto"/>
        </w:rPr>
        <w:t>（1）监测布点及监测因子</w:t>
      </w:r>
    </w:p>
    <w:p>
      <w:pPr>
        <w:spacing w:line="240" w:lineRule="auto"/>
        <w:ind w:firstLine="422"/>
        <w:jc w:val="center"/>
        <w:rPr>
          <w:rFonts w:ascii="Times New Roman" w:hAnsi="Times New Roman" w:cs="Times New Roman"/>
          <w:b/>
          <w:color w:val="auto"/>
          <w:sz w:val="21"/>
          <w:szCs w:val="21"/>
        </w:rPr>
      </w:pPr>
      <w:r>
        <w:rPr>
          <w:rFonts w:ascii="Times New Roman" w:hAnsi="Times New Roman" w:cs="Times New Roman"/>
          <w:b/>
          <w:color w:val="auto"/>
          <w:sz w:val="21"/>
          <w:szCs w:val="21"/>
        </w:rPr>
        <w:t>表4.7-1     土壤监测点布设一览表</w:t>
      </w:r>
    </w:p>
    <w:tbl>
      <w:tblPr>
        <w:tblStyle w:val="62"/>
        <w:tblW w:w="903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24"/>
        <w:gridCol w:w="4980"/>
        <w:gridCol w:w="283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6" w:hRule="atLeast"/>
        </w:trPr>
        <w:tc>
          <w:tcPr>
            <w:tcW w:w="122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bookmarkStart w:id="327" w:name="_Hlk704311"/>
            <w:r>
              <w:rPr>
                <w:rFonts w:ascii="Times New Roman" w:hAnsi="Times New Roman" w:cs="Times New Roman"/>
                <w:color w:val="auto"/>
                <w:spacing w:val="-2"/>
                <w:kern w:val="0"/>
                <w:sz w:val="18"/>
                <w:szCs w:val="18"/>
              </w:rPr>
              <w:t>序号</w:t>
            </w:r>
          </w:p>
        </w:tc>
        <w:tc>
          <w:tcPr>
            <w:tcW w:w="498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布点</w:t>
            </w:r>
          </w:p>
        </w:tc>
        <w:tc>
          <w:tcPr>
            <w:tcW w:w="2835"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6" w:hRule="atLeast"/>
        </w:trPr>
        <w:tc>
          <w:tcPr>
            <w:tcW w:w="122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D1</w:t>
            </w:r>
          </w:p>
        </w:tc>
        <w:tc>
          <w:tcPr>
            <w:tcW w:w="498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码头处店埠河底泥</w:t>
            </w:r>
          </w:p>
        </w:tc>
        <w:tc>
          <w:tcPr>
            <w:tcW w:w="2835" w:type="dxa"/>
            <w:vMerge w:val="restart"/>
            <w:vAlign w:val="center"/>
          </w:tcPr>
          <w:p>
            <w:pPr>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45项指标+PH、全氮、石油烃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6" w:hRule="atLeast"/>
        </w:trPr>
        <w:tc>
          <w:tcPr>
            <w:tcW w:w="122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D2</w:t>
            </w:r>
          </w:p>
        </w:tc>
        <w:tc>
          <w:tcPr>
            <w:tcW w:w="498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撮镇灌溉渠底泥</w:t>
            </w:r>
          </w:p>
        </w:tc>
        <w:tc>
          <w:tcPr>
            <w:tcW w:w="2835"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6" w:hRule="atLeast"/>
        </w:trPr>
        <w:tc>
          <w:tcPr>
            <w:tcW w:w="1224"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D3</w:t>
            </w:r>
          </w:p>
        </w:tc>
        <w:tc>
          <w:tcPr>
            <w:tcW w:w="4980" w:type="dxa"/>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r>
              <w:rPr>
                <w:rFonts w:ascii="Times New Roman" w:hAnsi="Times New Roman" w:cs="Times New Roman"/>
                <w:color w:val="auto"/>
                <w:spacing w:val="-2"/>
                <w:kern w:val="0"/>
                <w:sz w:val="18"/>
                <w:szCs w:val="18"/>
              </w:rPr>
              <w:t>南淝河（店埠河入河口下游100m）</w:t>
            </w:r>
          </w:p>
        </w:tc>
        <w:tc>
          <w:tcPr>
            <w:tcW w:w="2835" w:type="dxa"/>
            <w:vMerge w:val="continue"/>
            <w:vAlign w:val="center"/>
          </w:tcPr>
          <w:p>
            <w:pPr>
              <w:widowControl/>
              <w:spacing w:line="240" w:lineRule="auto"/>
              <w:ind w:firstLine="0" w:firstLineChars="0"/>
              <w:jc w:val="center"/>
              <w:rPr>
                <w:rFonts w:ascii="Times New Roman" w:hAnsi="Times New Roman" w:cs="Times New Roman"/>
                <w:color w:val="auto"/>
                <w:spacing w:val="-2"/>
                <w:kern w:val="0"/>
                <w:sz w:val="18"/>
                <w:szCs w:val="18"/>
              </w:rPr>
            </w:pPr>
          </w:p>
        </w:tc>
      </w:tr>
      <w:bookmarkEnd w:id="327"/>
    </w:tbl>
    <w:p>
      <w:pPr>
        <w:ind w:firstLine="480"/>
        <w:rPr>
          <w:rFonts w:ascii="Times New Roman" w:hAnsi="Times New Roman" w:cs="Times New Roman"/>
          <w:color w:val="auto"/>
        </w:rPr>
      </w:pPr>
      <w:r>
        <w:rPr>
          <w:rFonts w:ascii="Times New Roman" w:hAnsi="Times New Roman" w:cs="Times New Roman"/>
          <w:color w:val="auto"/>
        </w:rPr>
        <w:t>（3）监测频次：本次评价委托监测单位于</w:t>
      </w:r>
      <w:r>
        <w:rPr>
          <w:rFonts w:ascii="Times New Roman" w:hAnsi="Times New Roman" w:eastAsia="Times New Roman" w:cs="Times New Roman"/>
          <w:color w:val="auto"/>
        </w:rPr>
        <w:t>2021</w:t>
      </w:r>
      <w:r>
        <w:rPr>
          <w:rFonts w:ascii="Times New Roman" w:hAnsi="Times New Roman" w:cs="Times New Roman"/>
          <w:color w:val="auto"/>
        </w:rPr>
        <w:t>年</w:t>
      </w:r>
      <w:r>
        <w:rPr>
          <w:rFonts w:ascii="Times New Roman" w:hAnsi="Times New Roman" w:eastAsia="Times New Roman" w:cs="Times New Roman"/>
          <w:color w:val="auto"/>
        </w:rPr>
        <w:t>2</w:t>
      </w:r>
      <w:r>
        <w:rPr>
          <w:rFonts w:ascii="Times New Roman" w:hAnsi="Times New Roman" w:cs="Times New Roman"/>
          <w:color w:val="auto"/>
        </w:rPr>
        <w:t>月</w:t>
      </w:r>
      <w:r>
        <w:rPr>
          <w:rFonts w:ascii="Times New Roman" w:hAnsi="Times New Roman" w:eastAsia="Times New Roman" w:cs="Times New Roman"/>
          <w:color w:val="auto"/>
        </w:rPr>
        <w:t>22</w:t>
      </w:r>
      <w:r>
        <w:rPr>
          <w:rFonts w:ascii="Times New Roman" w:hAnsi="Times New Roman" w:cs="Times New Roman"/>
          <w:color w:val="auto"/>
        </w:rPr>
        <w:t>日和2021年7月22日分两次对河流底泥监测点进行了采样，各采样监测</w:t>
      </w:r>
      <w:r>
        <w:rPr>
          <w:rFonts w:ascii="Times New Roman" w:hAnsi="Times New Roman" w:eastAsia="Times New Roman" w:cs="Times New Roman"/>
          <w:color w:val="auto"/>
        </w:rPr>
        <w:t>1</w:t>
      </w:r>
      <w:r>
        <w:rPr>
          <w:rFonts w:ascii="Times New Roman" w:hAnsi="Times New Roman" w:cs="Times New Roman"/>
          <w:color w:val="auto"/>
        </w:rPr>
        <w:t>次。</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（4）监测结果</w:t>
      </w:r>
    </w:p>
    <w:p>
      <w:pPr>
        <w:pStyle w:val="3550"/>
        <w:spacing w:before="0" w:after="0"/>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撮镇灌溉渠、店埠河及南淝河底泥监测结果见表4.7-2。</w:t>
      </w:r>
    </w:p>
    <w:p>
      <w:pPr>
        <w:pStyle w:val="3550"/>
        <w:spacing w:line="240" w:lineRule="auto"/>
        <w:ind w:firstLine="421" w:firstLineChars="200"/>
        <w:jc w:val="center"/>
        <w:rPr>
          <w:rFonts w:ascii="Times New Roman" w:hAnsi="Times New Roman" w:cs="Times New Roman"/>
          <w:b/>
          <w:color w:val="auto"/>
          <w:kern w:val="2"/>
          <w:sz w:val="21"/>
          <w:szCs w:val="21"/>
        </w:rPr>
      </w:pPr>
      <w:r>
        <w:rPr>
          <w:rFonts w:ascii="Times New Roman" w:hAnsi="Times New Roman" w:cs="Times New Roman"/>
          <w:b/>
          <w:color w:val="auto"/>
          <w:sz w:val="21"/>
          <w:szCs w:val="21"/>
        </w:rPr>
        <w:t>表4.7-2   底泥检测结果表              （单</w:t>
      </w:r>
      <w:r>
        <w:rPr>
          <w:rFonts w:ascii="Times New Roman" w:hAnsi="Times New Roman" w:cs="Times New Roman"/>
          <w:b/>
          <w:color w:val="auto"/>
          <w:kern w:val="2"/>
          <w:sz w:val="21"/>
          <w:szCs w:val="21"/>
        </w:rPr>
        <w:t>位：mg/kg）</w:t>
      </w:r>
    </w:p>
    <w:tbl>
      <w:tblPr>
        <w:tblStyle w:val="62"/>
        <w:tblW w:w="903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58"/>
        <w:gridCol w:w="2070"/>
        <w:gridCol w:w="1591"/>
        <w:gridCol w:w="1725"/>
        <w:gridCol w:w="1417"/>
        <w:gridCol w:w="127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1" w:hRule="atLeast"/>
          <w:jc w:val="center"/>
        </w:trPr>
        <w:tc>
          <w:tcPr>
            <w:tcW w:w="95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采样日期</w:t>
            </w:r>
          </w:p>
        </w:tc>
        <w:tc>
          <w:tcPr>
            <w:tcW w:w="2070"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检测点位</w:t>
            </w:r>
          </w:p>
        </w:tc>
        <w:tc>
          <w:tcPr>
            <w:tcW w:w="159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点位坐标</w:t>
            </w:r>
          </w:p>
        </w:tc>
        <w:tc>
          <w:tcPr>
            <w:tcW w:w="172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pH</w:t>
            </w:r>
          </w:p>
        </w:tc>
        <w:tc>
          <w:tcPr>
            <w:tcW w:w="141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全氮</w:t>
            </w:r>
          </w:p>
        </w:tc>
        <w:tc>
          <w:tcPr>
            <w:tcW w:w="127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石油烃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1" w:hRule="atLeast"/>
          <w:jc w:val="center"/>
        </w:trPr>
        <w:tc>
          <w:tcPr>
            <w:tcW w:w="958" w:type="dxa"/>
            <w:vMerge w:val="restart"/>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2021.02.22</w:t>
            </w:r>
          </w:p>
        </w:tc>
        <w:tc>
          <w:tcPr>
            <w:tcW w:w="2070" w:type="dxa"/>
            <w:shd w:val="clear" w:color="auto" w:fill="auto"/>
            <w:vAlign w:val="center"/>
          </w:tcPr>
          <w:p>
            <w:pPr>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T6店埠河底泥（拟建码头处）</w:t>
            </w:r>
          </w:p>
        </w:tc>
        <w:tc>
          <w:tcPr>
            <w:tcW w:w="1591" w:type="dxa"/>
            <w:vAlign w:val="center"/>
          </w:tcPr>
          <w:p>
            <w:pPr>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E117°27′20″</w:t>
            </w:r>
          </w:p>
          <w:p>
            <w:pPr>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N31°47′12″</w:t>
            </w:r>
          </w:p>
        </w:tc>
        <w:tc>
          <w:tcPr>
            <w:tcW w:w="172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6.97</w:t>
            </w:r>
          </w:p>
        </w:tc>
        <w:tc>
          <w:tcPr>
            <w:tcW w:w="141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405</w:t>
            </w:r>
          </w:p>
        </w:tc>
        <w:tc>
          <w:tcPr>
            <w:tcW w:w="127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1" w:hRule="atLeast"/>
          <w:jc w:val="center"/>
        </w:trPr>
        <w:tc>
          <w:tcPr>
            <w:tcW w:w="958" w:type="dxa"/>
            <w:vMerge w:val="continue"/>
            <w:vAlign w:val="center"/>
          </w:tcPr>
          <w:p>
            <w:pPr>
              <w:spacing w:line="240" w:lineRule="auto"/>
              <w:ind w:firstLine="0" w:firstLineChars="0"/>
              <w:jc w:val="center"/>
              <w:rPr>
                <w:rFonts w:ascii="Times New Roman" w:hAnsi="Times New Roman" w:cs="Times New Roman"/>
                <w:color w:val="auto"/>
                <w:sz w:val="18"/>
                <w:szCs w:val="18"/>
              </w:rPr>
            </w:pPr>
          </w:p>
        </w:tc>
        <w:tc>
          <w:tcPr>
            <w:tcW w:w="2070" w:type="dxa"/>
            <w:shd w:val="clear" w:color="auto" w:fill="auto"/>
            <w:vAlign w:val="center"/>
          </w:tcPr>
          <w:p>
            <w:pPr>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T7撮镇灌溉渠底泥（拟建码头处）</w:t>
            </w:r>
          </w:p>
        </w:tc>
        <w:tc>
          <w:tcPr>
            <w:tcW w:w="1591" w:type="dxa"/>
            <w:vAlign w:val="center"/>
          </w:tcPr>
          <w:p>
            <w:pPr>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E117°27′37″</w:t>
            </w:r>
          </w:p>
          <w:p>
            <w:pPr>
              <w:spacing w:line="24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N31°47′25″</w:t>
            </w:r>
          </w:p>
        </w:tc>
        <w:tc>
          <w:tcPr>
            <w:tcW w:w="172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7.03</w:t>
            </w:r>
          </w:p>
        </w:tc>
        <w:tc>
          <w:tcPr>
            <w:tcW w:w="1417"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419</w:t>
            </w:r>
          </w:p>
        </w:tc>
        <w:tc>
          <w:tcPr>
            <w:tcW w:w="127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1" w:hRule="atLeast"/>
          <w:jc w:val="center"/>
        </w:trPr>
        <w:tc>
          <w:tcPr>
            <w:tcW w:w="9039" w:type="dxa"/>
            <w:gridSpan w:val="6"/>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备注：“ND”表示低于检出限</w:t>
            </w:r>
          </w:p>
        </w:tc>
      </w:tr>
    </w:tbl>
    <w:p>
      <w:pPr>
        <w:pStyle w:val="3550"/>
        <w:spacing w:line="240" w:lineRule="auto"/>
        <w:ind w:firstLine="421" w:firstLineChars="200"/>
        <w:jc w:val="center"/>
        <w:rPr>
          <w:rFonts w:ascii="Times New Roman" w:hAnsi="Times New Roman" w:cs="Times New Roman"/>
          <w:b/>
          <w:color w:val="auto"/>
          <w:kern w:val="2"/>
          <w:sz w:val="21"/>
          <w:szCs w:val="21"/>
        </w:rPr>
      </w:pPr>
      <w:r>
        <w:rPr>
          <w:rFonts w:ascii="Times New Roman" w:hAnsi="Times New Roman" w:cs="Times New Roman"/>
          <w:b/>
          <w:color w:val="auto"/>
          <w:sz w:val="21"/>
          <w:szCs w:val="21"/>
        </w:rPr>
        <w:t>续表4.7-2   底泥检测结果表            （单</w:t>
      </w:r>
      <w:r>
        <w:rPr>
          <w:rFonts w:ascii="Times New Roman" w:hAnsi="Times New Roman" w:cs="Times New Roman"/>
          <w:b/>
          <w:color w:val="auto"/>
          <w:kern w:val="2"/>
          <w:sz w:val="21"/>
          <w:szCs w:val="21"/>
        </w:rPr>
        <w:t>位：mg/kg）</w:t>
      </w:r>
    </w:p>
    <w:tbl>
      <w:tblPr>
        <w:tblStyle w:val="62"/>
        <w:tblW w:w="917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34"/>
        <w:gridCol w:w="1528"/>
        <w:gridCol w:w="1126"/>
        <w:gridCol w:w="682"/>
        <w:gridCol w:w="682"/>
        <w:gridCol w:w="682"/>
        <w:gridCol w:w="681"/>
        <w:gridCol w:w="681"/>
        <w:gridCol w:w="681"/>
        <w:gridCol w:w="681"/>
        <w:gridCol w:w="62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134" w:type="dxa"/>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采样日期</w:t>
            </w:r>
          </w:p>
        </w:tc>
        <w:tc>
          <w:tcPr>
            <w:tcW w:w="1528" w:type="dxa"/>
            <w:shd w:val="clear" w:color="auto" w:fill="auto"/>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检测点位</w:t>
            </w:r>
          </w:p>
        </w:tc>
        <w:tc>
          <w:tcPr>
            <w:tcW w:w="1126" w:type="dxa"/>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highlight w:val="yellow"/>
              </w:rPr>
            </w:pPr>
            <w:r>
              <w:rPr>
                <w:rFonts w:ascii="Times New Roman" w:hAnsi="Times New Roman" w:cs="Times New Roman"/>
                <w:color w:val="auto"/>
                <w:kern w:val="0"/>
                <w:sz w:val="18"/>
                <w:szCs w:val="18"/>
              </w:rPr>
              <w:t>点位坐标</w:t>
            </w:r>
          </w:p>
        </w:tc>
        <w:tc>
          <w:tcPr>
            <w:tcW w:w="682" w:type="dxa"/>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砷</w:t>
            </w:r>
          </w:p>
        </w:tc>
        <w:tc>
          <w:tcPr>
            <w:tcW w:w="682" w:type="dxa"/>
            <w:shd w:val="clear" w:color="auto" w:fill="auto"/>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镉</w:t>
            </w:r>
          </w:p>
        </w:tc>
        <w:tc>
          <w:tcPr>
            <w:tcW w:w="682" w:type="dxa"/>
            <w:shd w:val="clear" w:color="auto" w:fill="auto"/>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六价铬</w:t>
            </w:r>
          </w:p>
        </w:tc>
        <w:tc>
          <w:tcPr>
            <w:tcW w:w="681" w:type="dxa"/>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铜</w:t>
            </w:r>
          </w:p>
        </w:tc>
        <w:tc>
          <w:tcPr>
            <w:tcW w:w="681" w:type="dxa"/>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铅</w:t>
            </w:r>
          </w:p>
        </w:tc>
        <w:tc>
          <w:tcPr>
            <w:tcW w:w="681" w:type="dxa"/>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汞</w:t>
            </w:r>
          </w:p>
        </w:tc>
        <w:tc>
          <w:tcPr>
            <w:tcW w:w="681"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color w:val="auto"/>
                <w:sz w:val="18"/>
                <w:szCs w:val="18"/>
              </w:rPr>
              <w:t>镍</w:t>
            </w:r>
          </w:p>
        </w:tc>
        <w:tc>
          <w:tcPr>
            <w:tcW w:w="621"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石油烃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134" w:type="dxa"/>
            <w:vMerge w:val="restart"/>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2021.07.22</w:t>
            </w:r>
          </w:p>
        </w:tc>
        <w:tc>
          <w:tcPr>
            <w:tcW w:w="1528"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T3店埠河底泥（拟建码头处）</w:t>
            </w:r>
          </w:p>
        </w:tc>
        <w:tc>
          <w:tcPr>
            <w:tcW w:w="112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E117.45196</w:t>
            </w:r>
          </w:p>
          <w:p>
            <w:pPr>
              <w:spacing w:line="240" w:lineRule="auto"/>
              <w:ind w:firstLine="0" w:firstLineChars="0"/>
              <w:jc w:val="center"/>
              <w:rPr>
                <w:rFonts w:ascii="Times New Roman" w:hAnsi="Times New Roman" w:cs="Times New Roman"/>
                <w:color w:val="auto"/>
                <w:sz w:val="18"/>
                <w:szCs w:val="18"/>
                <w:highlight w:val="yellow"/>
              </w:rPr>
            </w:pPr>
            <w:r>
              <w:rPr>
                <w:rFonts w:ascii="Times New Roman" w:hAnsi="Times New Roman" w:cs="Times New Roman"/>
                <w:color w:val="auto"/>
                <w:sz w:val="18"/>
                <w:szCs w:val="18"/>
              </w:rPr>
              <w:t>N31.79051</w:t>
            </w:r>
          </w:p>
        </w:tc>
        <w:tc>
          <w:tcPr>
            <w:tcW w:w="68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7.41</w:t>
            </w:r>
          </w:p>
        </w:tc>
        <w:tc>
          <w:tcPr>
            <w:tcW w:w="682"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0.38</w:t>
            </w:r>
          </w:p>
        </w:tc>
        <w:tc>
          <w:tcPr>
            <w:tcW w:w="682"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68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61</w:t>
            </w:r>
          </w:p>
        </w:tc>
        <w:tc>
          <w:tcPr>
            <w:tcW w:w="68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25.4</w:t>
            </w:r>
          </w:p>
        </w:tc>
        <w:tc>
          <w:tcPr>
            <w:tcW w:w="68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0.125</w:t>
            </w:r>
          </w:p>
        </w:tc>
        <w:tc>
          <w:tcPr>
            <w:tcW w:w="68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45</w:t>
            </w:r>
          </w:p>
        </w:tc>
        <w:tc>
          <w:tcPr>
            <w:tcW w:w="62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134" w:type="dxa"/>
            <w:vMerge w:val="continue"/>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p>
        </w:tc>
        <w:tc>
          <w:tcPr>
            <w:tcW w:w="1528"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T4撮镇灌溉渠底泥（拟建码头处）</w:t>
            </w:r>
          </w:p>
        </w:tc>
        <w:tc>
          <w:tcPr>
            <w:tcW w:w="112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E117.45314</w:t>
            </w:r>
          </w:p>
          <w:p>
            <w:pPr>
              <w:spacing w:line="240" w:lineRule="auto"/>
              <w:ind w:firstLine="0" w:firstLineChars="0"/>
              <w:jc w:val="center"/>
              <w:rPr>
                <w:rFonts w:ascii="Times New Roman" w:hAnsi="Times New Roman" w:cs="Times New Roman"/>
                <w:color w:val="auto"/>
                <w:sz w:val="18"/>
                <w:szCs w:val="18"/>
                <w:highlight w:val="yellow"/>
              </w:rPr>
            </w:pPr>
            <w:r>
              <w:rPr>
                <w:rFonts w:ascii="Times New Roman" w:hAnsi="Times New Roman" w:cs="Times New Roman"/>
                <w:color w:val="auto"/>
                <w:sz w:val="18"/>
                <w:szCs w:val="18"/>
              </w:rPr>
              <w:t>N31.79203</w:t>
            </w:r>
          </w:p>
        </w:tc>
        <w:tc>
          <w:tcPr>
            <w:tcW w:w="68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6.45</w:t>
            </w:r>
          </w:p>
        </w:tc>
        <w:tc>
          <w:tcPr>
            <w:tcW w:w="682"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0.55</w:t>
            </w:r>
          </w:p>
        </w:tc>
        <w:tc>
          <w:tcPr>
            <w:tcW w:w="682"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68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74</w:t>
            </w:r>
          </w:p>
        </w:tc>
        <w:tc>
          <w:tcPr>
            <w:tcW w:w="68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33.1</w:t>
            </w:r>
          </w:p>
        </w:tc>
        <w:tc>
          <w:tcPr>
            <w:tcW w:w="68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0.220</w:t>
            </w:r>
          </w:p>
        </w:tc>
        <w:tc>
          <w:tcPr>
            <w:tcW w:w="68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29</w:t>
            </w:r>
          </w:p>
        </w:tc>
        <w:tc>
          <w:tcPr>
            <w:tcW w:w="62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1134" w:type="dxa"/>
            <w:vMerge w:val="continue"/>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p>
        </w:tc>
        <w:tc>
          <w:tcPr>
            <w:tcW w:w="1528"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T5南淝河店埠河入口处下游100m</w:t>
            </w:r>
          </w:p>
        </w:tc>
        <w:tc>
          <w:tcPr>
            <w:tcW w:w="1126"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E117.42661</w:t>
            </w:r>
          </w:p>
          <w:p>
            <w:pPr>
              <w:spacing w:line="240" w:lineRule="auto"/>
              <w:ind w:firstLine="0" w:firstLineChars="0"/>
              <w:jc w:val="center"/>
              <w:rPr>
                <w:rFonts w:ascii="Times New Roman" w:hAnsi="Times New Roman" w:cs="Times New Roman"/>
                <w:color w:val="auto"/>
                <w:sz w:val="18"/>
                <w:szCs w:val="18"/>
                <w:highlight w:val="yellow"/>
              </w:rPr>
            </w:pPr>
            <w:r>
              <w:rPr>
                <w:rFonts w:ascii="Times New Roman" w:hAnsi="Times New Roman" w:cs="Times New Roman"/>
                <w:color w:val="auto"/>
                <w:sz w:val="18"/>
                <w:szCs w:val="18"/>
              </w:rPr>
              <w:t>N31.76639</w:t>
            </w:r>
          </w:p>
        </w:tc>
        <w:tc>
          <w:tcPr>
            <w:tcW w:w="682"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8.06</w:t>
            </w:r>
          </w:p>
        </w:tc>
        <w:tc>
          <w:tcPr>
            <w:tcW w:w="682"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0.46</w:t>
            </w:r>
          </w:p>
        </w:tc>
        <w:tc>
          <w:tcPr>
            <w:tcW w:w="682" w:type="dxa"/>
            <w:shd w:val="clear" w:color="auto" w:fill="auto"/>
            <w:vAlign w:val="center"/>
          </w:tcPr>
          <w:p>
            <w:pPr>
              <w:spacing w:line="240" w:lineRule="auto"/>
              <w:ind w:firstLine="0" w:firstLineChars="0"/>
              <w:jc w:val="center"/>
              <w:rPr>
                <w:rFonts w:ascii="Times New Roman" w:hAnsi="Times New Roman" w:cs="Times New Roman"/>
                <w:color w:val="auto"/>
                <w:sz w:val="18"/>
                <w:szCs w:val="18"/>
                <w:highlight w:val="yellow"/>
              </w:rPr>
            </w:pPr>
            <w:r>
              <w:rPr>
                <w:rFonts w:ascii="Times New Roman" w:hAnsi="Times New Roman" w:cs="Times New Roman"/>
                <w:color w:val="auto"/>
                <w:sz w:val="18"/>
                <w:szCs w:val="18"/>
              </w:rPr>
              <w:t>ND</w:t>
            </w:r>
          </w:p>
        </w:tc>
        <w:tc>
          <w:tcPr>
            <w:tcW w:w="68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46</w:t>
            </w:r>
          </w:p>
        </w:tc>
        <w:tc>
          <w:tcPr>
            <w:tcW w:w="68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22.9</w:t>
            </w:r>
          </w:p>
        </w:tc>
        <w:tc>
          <w:tcPr>
            <w:tcW w:w="68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0.163</w:t>
            </w:r>
          </w:p>
        </w:tc>
        <w:tc>
          <w:tcPr>
            <w:tcW w:w="681"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33</w:t>
            </w:r>
          </w:p>
        </w:tc>
        <w:tc>
          <w:tcPr>
            <w:tcW w:w="621" w:type="dxa"/>
            <w:vAlign w:val="center"/>
          </w:tcPr>
          <w:p>
            <w:pPr>
              <w:spacing w:line="240" w:lineRule="auto"/>
              <w:ind w:firstLine="0" w:firstLineChars="0"/>
              <w:jc w:val="center"/>
              <w:rPr>
                <w:rFonts w:ascii="Times New Roman" w:hAnsi="Times New Roman" w:cs="Times New Roman"/>
                <w:color w:val="auto"/>
                <w:sz w:val="18"/>
                <w:szCs w:val="18"/>
                <w:highlight w:val="yellow"/>
              </w:rPr>
            </w:pPr>
            <w:r>
              <w:rPr>
                <w:rFonts w:ascii="Times New Roman" w:hAnsi="Times New Roman" w:cs="Times New Roman"/>
                <w:color w:val="auto"/>
                <w:sz w:val="18"/>
                <w:szCs w:val="18"/>
              </w:rPr>
              <w:t>ND</w:t>
            </w:r>
          </w:p>
        </w:tc>
      </w:tr>
    </w:tbl>
    <w:p>
      <w:pPr>
        <w:pStyle w:val="3550"/>
        <w:spacing w:before="0" w:after="0" w:line="240" w:lineRule="auto"/>
        <w:ind w:firstLine="440" w:firstLineChars="200"/>
        <w:jc w:val="center"/>
        <w:rPr>
          <w:rFonts w:ascii="Times New Roman" w:hAnsi="Times New Roman" w:cs="Times New Roman"/>
          <w:color w:val="auto"/>
        </w:rPr>
      </w:pPr>
    </w:p>
    <w:p>
      <w:pPr>
        <w:pStyle w:val="3550"/>
        <w:spacing w:before="0" w:after="0" w:line="240" w:lineRule="auto"/>
        <w:ind w:firstLine="440" w:firstLineChars="200"/>
        <w:jc w:val="center"/>
        <w:rPr>
          <w:rFonts w:ascii="Times New Roman" w:hAnsi="Times New Roman" w:cs="Times New Roman"/>
          <w:color w:val="auto"/>
        </w:rPr>
      </w:pPr>
    </w:p>
    <w:p>
      <w:pPr>
        <w:pStyle w:val="3550"/>
        <w:spacing w:before="0" w:after="0" w:line="240" w:lineRule="auto"/>
        <w:ind w:firstLine="440" w:firstLineChars="200"/>
        <w:jc w:val="center"/>
        <w:rPr>
          <w:rFonts w:ascii="Times New Roman" w:hAnsi="Times New Roman" w:cs="Times New Roman"/>
          <w:b/>
          <w:color w:val="auto"/>
        </w:rPr>
      </w:pPr>
      <w:r>
        <w:rPr>
          <w:rFonts w:ascii="Times New Roman" w:hAnsi="Times New Roman" w:cs="Times New Roman"/>
          <w:color w:val="auto"/>
        </w:rPr>
        <w:t xml:space="preserve">    </w:t>
      </w:r>
      <w:r>
        <w:rPr>
          <w:rFonts w:ascii="Times New Roman" w:hAnsi="Times New Roman" w:cs="Times New Roman"/>
          <w:b/>
          <w:color w:val="auto"/>
          <w:sz w:val="21"/>
          <w:szCs w:val="21"/>
        </w:rPr>
        <w:t xml:space="preserve">  续表4.7-2  底泥检测结果表                     （单位：μg/kg）</w:t>
      </w:r>
    </w:p>
    <w:tbl>
      <w:tblPr>
        <w:tblStyle w:val="62"/>
        <w:tblW w:w="924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59"/>
        <w:gridCol w:w="1701"/>
        <w:gridCol w:w="1105"/>
        <w:gridCol w:w="913"/>
        <w:gridCol w:w="608"/>
        <w:gridCol w:w="969"/>
        <w:gridCol w:w="719"/>
        <w:gridCol w:w="719"/>
        <w:gridCol w:w="719"/>
        <w:gridCol w:w="8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959"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采样日期</w:t>
            </w:r>
          </w:p>
        </w:tc>
        <w:tc>
          <w:tcPr>
            <w:tcW w:w="1701" w:type="dxa"/>
            <w:shd w:val="clear" w:color="auto" w:fill="auto"/>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检测点位</w:t>
            </w:r>
          </w:p>
        </w:tc>
        <w:tc>
          <w:tcPr>
            <w:tcW w:w="1105" w:type="dxa"/>
            <w:vAlign w:val="center"/>
          </w:tcPr>
          <w:p>
            <w:pPr>
              <w:widowControl/>
              <w:adjustRightInd/>
              <w:snapToGrid/>
              <w:spacing w:line="240" w:lineRule="auto"/>
              <w:ind w:firstLine="0" w:firstLineChars="0"/>
              <w:jc w:val="center"/>
              <w:rPr>
                <w:rFonts w:ascii="Times New Roman" w:hAnsi="Times New Roman" w:cs="Times New Roman"/>
                <w:kern w:val="0"/>
                <w:sz w:val="18"/>
                <w:szCs w:val="18"/>
                <w:highlight w:val="yellow"/>
              </w:rPr>
            </w:pPr>
            <w:r>
              <w:rPr>
                <w:rFonts w:ascii="Times New Roman" w:hAnsi="Times New Roman" w:cs="Times New Roman"/>
                <w:kern w:val="0"/>
                <w:sz w:val="18"/>
                <w:szCs w:val="18"/>
              </w:rPr>
              <w:t>点位坐标</w:t>
            </w:r>
          </w:p>
        </w:tc>
        <w:tc>
          <w:tcPr>
            <w:tcW w:w="913" w:type="dxa"/>
            <w:vAlign w:val="center"/>
          </w:tcPr>
          <w:p>
            <w:pPr>
              <w:widowControl/>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1,1,2-</w:t>
            </w:r>
          </w:p>
          <w:p>
            <w:pPr>
              <w:widowControl/>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sz w:val="18"/>
                <w:szCs w:val="18"/>
              </w:rPr>
              <w:t>三氯乙烷</w:t>
            </w:r>
          </w:p>
        </w:tc>
        <w:tc>
          <w:tcPr>
            <w:tcW w:w="608" w:type="dxa"/>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氯乙烯</w:t>
            </w:r>
          </w:p>
        </w:tc>
        <w:tc>
          <w:tcPr>
            <w:tcW w:w="969" w:type="dxa"/>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1,1-</w:t>
            </w:r>
          </w:p>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二氯乙烯</w:t>
            </w:r>
          </w:p>
        </w:tc>
        <w:tc>
          <w:tcPr>
            <w:tcW w:w="719" w:type="dxa"/>
            <w:shd w:val="clear" w:color="auto" w:fill="auto"/>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二氯甲烷</w:t>
            </w:r>
          </w:p>
        </w:tc>
        <w:tc>
          <w:tcPr>
            <w:tcW w:w="719"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反-1,2-</w:t>
            </w:r>
          </w:p>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二氯乙烯</w:t>
            </w:r>
          </w:p>
        </w:tc>
        <w:tc>
          <w:tcPr>
            <w:tcW w:w="719"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1,1-</w:t>
            </w:r>
          </w:p>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二氯乙烷</w:t>
            </w:r>
          </w:p>
        </w:tc>
        <w:tc>
          <w:tcPr>
            <w:tcW w:w="830" w:type="dxa"/>
            <w:vAlign w:val="center"/>
          </w:tcPr>
          <w:p>
            <w:pPr>
              <w:adjustRightInd/>
              <w:snapToGrid/>
              <w:spacing w:line="240" w:lineRule="exact"/>
              <w:ind w:firstLine="0" w:firstLineChars="0"/>
              <w:jc w:val="center"/>
              <w:rPr>
                <w:rFonts w:ascii="Times New Roman" w:hAnsi="Times New Roman" w:cs="Times New Roman"/>
                <w:sz w:val="18"/>
                <w:szCs w:val="18"/>
              </w:rPr>
            </w:pPr>
            <w:r>
              <w:rPr>
                <w:rFonts w:ascii="Times New Roman" w:hAnsi="Times New Roman" w:cs="Times New Roman"/>
                <w:sz w:val="18"/>
                <w:szCs w:val="18"/>
              </w:rPr>
              <w:t>顺-1,2-</w:t>
            </w:r>
          </w:p>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sz w:val="18"/>
                <w:szCs w:val="18"/>
              </w:rPr>
              <w:t>二氯乙烯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959" w:type="dxa"/>
            <w:vMerge w:val="restart"/>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2021.07.22</w:t>
            </w:r>
          </w:p>
        </w:tc>
        <w:tc>
          <w:tcPr>
            <w:tcW w:w="1701"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T3店埠河底泥（拟建码头处）</w:t>
            </w:r>
          </w:p>
        </w:tc>
        <w:tc>
          <w:tcPr>
            <w:tcW w:w="110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E117.45196</w:t>
            </w:r>
          </w:p>
          <w:p>
            <w:pPr>
              <w:spacing w:line="240" w:lineRule="auto"/>
              <w:ind w:firstLine="0" w:firstLineChars="0"/>
              <w:jc w:val="center"/>
              <w:rPr>
                <w:rFonts w:ascii="Times New Roman" w:hAnsi="Times New Roman" w:cs="Times New Roman"/>
                <w:color w:val="auto"/>
                <w:sz w:val="18"/>
                <w:szCs w:val="18"/>
                <w:highlight w:val="yellow"/>
              </w:rPr>
            </w:pPr>
            <w:r>
              <w:rPr>
                <w:rFonts w:ascii="Times New Roman" w:hAnsi="Times New Roman" w:cs="Times New Roman"/>
                <w:color w:val="auto"/>
                <w:sz w:val="18"/>
                <w:szCs w:val="18"/>
              </w:rPr>
              <w:t>N31.79051</w:t>
            </w:r>
          </w:p>
        </w:tc>
        <w:tc>
          <w:tcPr>
            <w:tcW w:w="91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608"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969"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719"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71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71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83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959" w:type="dxa"/>
            <w:vMerge w:val="continue"/>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p>
        </w:tc>
        <w:tc>
          <w:tcPr>
            <w:tcW w:w="1701"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T4撮镇灌溉渠底泥（拟建码头处）</w:t>
            </w:r>
          </w:p>
        </w:tc>
        <w:tc>
          <w:tcPr>
            <w:tcW w:w="110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E117.45314</w:t>
            </w:r>
          </w:p>
          <w:p>
            <w:pPr>
              <w:spacing w:line="240" w:lineRule="auto"/>
              <w:ind w:firstLine="0" w:firstLineChars="0"/>
              <w:jc w:val="center"/>
              <w:rPr>
                <w:rFonts w:ascii="Times New Roman" w:hAnsi="Times New Roman" w:cs="Times New Roman"/>
                <w:color w:val="auto"/>
                <w:sz w:val="18"/>
                <w:szCs w:val="18"/>
                <w:highlight w:val="yellow"/>
              </w:rPr>
            </w:pPr>
            <w:r>
              <w:rPr>
                <w:rFonts w:ascii="Times New Roman" w:hAnsi="Times New Roman" w:cs="Times New Roman"/>
                <w:color w:val="auto"/>
                <w:sz w:val="18"/>
                <w:szCs w:val="18"/>
              </w:rPr>
              <w:t>N31.79203</w:t>
            </w:r>
          </w:p>
        </w:tc>
        <w:tc>
          <w:tcPr>
            <w:tcW w:w="91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608"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969"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719"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71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71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83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959" w:type="dxa"/>
            <w:vMerge w:val="continue"/>
            <w:vAlign w:val="center"/>
          </w:tcPr>
          <w:p>
            <w:pPr>
              <w:widowControl/>
              <w:adjustRightInd/>
              <w:snapToGrid/>
              <w:spacing w:line="240" w:lineRule="auto"/>
              <w:ind w:firstLine="0" w:firstLineChars="0"/>
              <w:jc w:val="center"/>
              <w:rPr>
                <w:rFonts w:ascii="Times New Roman" w:hAnsi="Times New Roman" w:cs="Times New Roman"/>
                <w:color w:val="auto"/>
                <w:kern w:val="0"/>
                <w:sz w:val="18"/>
                <w:szCs w:val="18"/>
              </w:rPr>
            </w:pPr>
          </w:p>
        </w:tc>
        <w:tc>
          <w:tcPr>
            <w:tcW w:w="1701"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T5南淝河店埠河入口处下游100m</w:t>
            </w:r>
          </w:p>
        </w:tc>
        <w:tc>
          <w:tcPr>
            <w:tcW w:w="1105"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E117.42661</w:t>
            </w:r>
          </w:p>
          <w:p>
            <w:pPr>
              <w:spacing w:line="240" w:lineRule="auto"/>
              <w:ind w:firstLine="0" w:firstLineChars="0"/>
              <w:jc w:val="center"/>
              <w:rPr>
                <w:rFonts w:ascii="Times New Roman" w:hAnsi="Times New Roman" w:cs="Times New Roman"/>
                <w:color w:val="auto"/>
                <w:sz w:val="18"/>
                <w:szCs w:val="18"/>
                <w:highlight w:val="yellow"/>
              </w:rPr>
            </w:pPr>
            <w:r>
              <w:rPr>
                <w:rFonts w:ascii="Times New Roman" w:hAnsi="Times New Roman" w:cs="Times New Roman"/>
                <w:color w:val="auto"/>
                <w:sz w:val="18"/>
                <w:szCs w:val="18"/>
              </w:rPr>
              <w:t>N31.76639</w:t>
            </w:r>
          </w:p>
        </w:tc>
        <w:tc>
          <w:tcPr>
            <w:tcW w:w="913"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608"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969"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719" w:type="dxa"/>
            <w:shd w:val="clear" w:color="auto" w:fill="auto"/>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71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719"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c>
          <w:tcPr>
            <w:tcW w:w="830"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ND</w:t>
            </w:r>
          </w:p>
        </w:tc>
      </w:tr>
    </w:tbl>
    <w:p>
      <w:pPr>
        <w:pStyle w:val="3550"/>
        <w:spacing w:before="0" w:after="0" w:line="240" w:lineRule="auto"/>
        <w:ind w:firstLine="421" w:firstLineChars="200"/>
        <w:jc w:val="center"/>
        <w:rPr>
          <w:rFonts w:ascii="Times New Roman" w:hAnsi="Times New Roman" w:cs="Times New Roman"/>
          <w:b/>
          <w:color w:val="auto"/>
          <w:sz w:val="21"/>
          <w:szCs w:val="21"/>
        </w:rPr>
      </w:pPr>
      <w:r>
        <w:rPr>
          <w:rFonts w:ascii="Times New Roman" w:hAnsi="Times New Roman" w:cs="Times New Roman"/>
          <w:b/>
          <w:color w:val="auto"/>
          <w:sz w:val="21"/>
          <w:szCs w:val="21"/>
        </w:rPr>
        <w:t>续表4.7-2 底泥检测结果表                     （单位：μg/kg）</w:t>
      </w:r>
    </w:p>
    <w:tbl>
      <w:tblPr>
        <w:tblStyle w:val="62"/>
        <w:tblW w:w="924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60"/>
        <w:gridCol w:w="1702"/>
        <w:gridCol w:w="1133"/>
        <w:gridCol w:w="850"/>
        <w:gridCol w:w="850"/>
        <w:gridCol w:w="710"/>
        <w:gridCol w:w="819"/>
        <w:gridCol w:w="741"/>
        <w:gridCol w:w="741"/>
        <w:gridCol w:w="73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960"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采样日期</w:t>
            </w:r>
          </w:p>
        </w:tc>
        <w:tc>
          <w:tcPr>
            <w:tcW w:w="1702" w:type="dxa"/>
            <w:shd w:val="clear" w:color="auto" w:fill="auto"/>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检测点位</w:t>
            </w:r>
          </w:p>
        </w:tc>
        <w:tc>
          <w:tcPr>
            <w:tcW w:w="1133"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点位坐标</w:t>
            </w:r>
          </w:p>
        </w:tc>
        <w:tc>
          <w:tcPr>
            <w:tcW w:w="850"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氯仿</w:t>
            </w:r>
          </w:p>
        </w:tc>
        <w:tc>
          <w:tcPr>
            <w:tcW w:w="850"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1,1,1-</w:t>
            </w:r>
          </w:p>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三氯乙烷</w:t>
            </w:r>
          </w:p>
        </w:tc>
        <w:tc>
          <w:tcPr>
            <w:tcW w:w="710" w:type="dxa"/>
            <w:shd w:val="clear" w:color="auto" w:fill="auto"/>
            <w:vAlign w:val="center"/>
          </w:tcPr>
          <w:p>
            <w:pPr>
              <w:widowControl/>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四氯化碳</w:t>
            </w:r>
          </w:p>
        </w:tc>
        <w:tc>
          <w:tcPr>
            <w:tcW w:w="819"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w:t>
            </w:r>
          </w:p>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二氯乙烷</w:t>
            </w:r>
          </w:p>
        </w:tc>
        <w:tc>
          <w:tcPr>
            <w:tcW w:w="741"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三氯乙烯</w:t>
            </w:r>
          </w:p>
        </w:tc>
        <w:tc>
          <w:tcPr>
            <w:tcW w:w="741"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w:t>
            </w:r>
          </w:p>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二氯丙烷</w:t>
            </w:r>
          </w:p>
        </w:tc>
        <w:tc>
          <w:tcPr>
            <w:tcW w:w="736"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四氯乙烯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960" w:type="dxa"/>
            <w:vMerge w:val="restart"/>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2021.07.22</w:t>
            </w:r>
          </w:p>
        </w:tc>
        <w:tc>
          <w:tcPr>
            <w:tcW w:w="1702"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T3店埠河底泥（拟建码头处）</w:t>
            </w:r>
          </w:p>
        </w:tc>
        <w:tc>
          <w:tcPr>
            <w:tcW w:w="1133"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E117.45196</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N31.79051</w:t>
            </w:r>
          </w:p>
        </w:tc>
        <w:tc>
          <w:tcPr>
            <w:tcW w:w="850"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50"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10"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19"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41"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41"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36"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960" w:type="dxa"/>
            <w:vMerge w:val="continue"/>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p>
        </w:tc>
        <w:tc>
          <w:tcPr>
            <w:tcW w:w="1702"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T4撮镇灌溉渠底泥（拟建码头处）</w:t>
            </w:r>
          </w:p>
        </w:tc>
        <w:tc>
          <w:tcPr>
            <w:tcW w:w="1133"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E117.45314</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N31.79203</w:t>
            </w:r>
          </w:p>
        </w:tc>
        <w:tc>
          <w:tcPr>
            <w:tcW w:w="850"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50"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10"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19"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41"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41"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36"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960" w:type="dxa"/>
            <w:vMerge w:val="continue"/>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p>
        </w:tc>
        <w:tc>
          <w:tcPr>
            <w:tcW w:w="1702"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T5南淝河店埠河入口处下游100m</w:t>
            </w:r>
          </w:p>
        </w:tc>
        <w:tc>
          <w:tcPr>
            <w:tcW w:w="1133"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E117.42661</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N31.76639</w:t>
            </w:r>
          </w:p>
        </w:tc>
        <w:tc>
          <w:tcPr>
            <w:tcW w:w="850"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50"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10"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19"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41"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41"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36"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bl>
    <w:p>
      <w:pPr>
        <w:pStyle w:val="3550"/>
        <w:spacing w:before="0" w:after="0" w:line="240" w:lineRule="auto"/>
        <w:ind w:firstLine="421" w:firstLineChars="200"/>
        <w:jc w:val="center"/>
        <w:rPr>
          <w:rFonts w:ascii="Times New Roman" w:hAnsi="Times New Roman" w:cs="Times New Roman"/>
          <w:b/>
          <w:color w:val="auto"/>
          <w:sz w:val="21"/>
          <w:szCs w:val="21"/>
        </w:rPr>
      </w:pPr>
      <w:r>
        <w:rPr>
          <w:rFonts w:ascii="Times New Roman" w:hAnsi="Times New Roman" w:cs="Times New Roman"/>
          <w:b/>
          <w:color w:val="auto"/>
          <w:sz w:val="21"/>
          <w:szCs w:val="21"/>
        </w:rPr>
        <w:t>续表4.7-2  底泥检测结果表                     （单位：μg/kg）</w:t>
      </w:r>
    </w:p>
    <w:tbl>
      <w:tblPr>
        <w:tblStyle w:val="62"/>
        <w:tblW w:w="932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56"/>
        <w:gridCol w:w="1704"/>
        <w:gridCol w:w="1145"/>
        <w:gridCol w:w="1078"/>
        <w:gridCol w:w="1038"/>
        <w:gridCol w:w="850"/>
        <w:gridCol w:w="708"/>
        <w:gridCol w:w="567"/>
        <w:gridCol w:w="567"/>
        <w:gridCol w:w="7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75" w:hRule="atLeast"/>
        </w:trPr>
        <w:tc>
          <w:tcPr>
            <w:tcW w:w="956"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采样日期</w:t>
            </w:r>
          </w:p>
        </w:tc>
        <w:tc>
          <w:tcPr>
            <w:tcW w:w="1704" w:type="dxa"/>
            <w:shd w:val="clear" w:color="auto" w:fill="auto"/>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检测点位</w:t>
            </w:r>
          </w:p>
        </w:tc>
        <w:tc>
          <w:tcPr>
            <w:tcW w:w="1145"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点位坐标</w:t>
            </w:r>
          </w:p>
        </w:tc>
        <w:tc>
          <w:tcPr>
            <w:tcW w:w="1078"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1,1,1,2-</w:t>
            </w:r>
          </w:p>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四氯乙烷</w:t>
            </w:r>
          </w:p>
        </w:tc>
        <w:tc>
          <w:tcPr>
            <w:tcW w:w="1038"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1,1,2,2-</w:t>
            </w:r>
          </w:p>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四氯乙烷</w:t>
            </w:r>
          </w:p>
        </w:tc>
        <w:tc>
          <w:tcPr>
            <w:tcW w:w="850"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1,2,3-</w:t>
            </w:r>
          </w:p>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三氯丙烷</w:t>
            </w:r>
          </w:p>
        </w:tc>
        <w:tc>
          <w:tcPr>
            <w:tcW w:w="708"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氯甲烷</w:t>
            </w:r>
          </w:p>
        </w:tc>
        <w:tc>
          <w:tcPr>
            <w:tcW w:w="567" w:type="dxa"/>
            <w:vAlign w:val="center"/>
          </w:tcPr>
          <w:p>
            <w:pPr>
              <w:widowControl/>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苯</w:t>
            </w:r>
          </w:p>
        </w:tc>
        <w:tc>
          <w:tcPr>
            <w:tcW w:w="567"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甲苯</w:t>
            </w:r>
          </w:p>
        </w:tc>
        <w:tc>
          <w:tcPr>
            <w:tcW w:w="708"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氯苯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54" w:hRule="atLeast"/>
        </w:trPr>
        <w:tc>
          <w:tcPr>
            <w:tcW w:w="956" w:type="dxa"/>
            <w:vMerge w:val="restart"/>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2021.07.22</w:t>
            </w:r>
          </w:p>
        </w:tc>
        <w:tc>
          <w:tcPr>
            <w:tcW w:w="1704"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T3店埠河底泥（拟建码头处）</w:t>
            </w:r>
          </w:p>
        </w:tc>
        <w:tc>
          <w:tcPr>
            <w:tcW w:w="1145"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E117.45196</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N31.79051</w:t>
            </w:r>
          </w:p>
        </w:tc>
        <w:tc>
          <w:tcPr>
            <w:tcW w:w="1078"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038"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50"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08"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567"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567"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08"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54" w:hRule="atLeast"/>
        </w:trPr>
        <w:tc>
          <w:tcPr>
            <w:tcW w:w="956" w:type="dxa"/>
            <w:vMerge w:val="continue"/>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p>
        </w:tc>
        <w:tc>
          <w:tcPr>
            <w:tcW w:w="1704"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T4撮镇灌溉渠底泥（拟建码头处）</w:t>
            </w:r>
          </w:p>
        </w:tc>
        <w:tc>
          <w:tcPr>
            <w:tcW w:w="1145"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E117.45314</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N31.79203</w:t>
            </w:r>
          </w:p>
        </w:tc>
        <w:tc>
          <w:tcPr>
            <w:tcW w:w="1078"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038"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50"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08"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567"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567"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08"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54" w:hRule="atLeast"/>
        </w:trPr>
        <w:tc>
          <w:tcPr>
            <w:tcW w:w="956" w:type="dxa"/>
            <w:vMerge w:val="continue"/>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p>
        </w:tc>
        <w:tc>
          <w:tcPr>
            <w:tcW w:w="1704"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T5南淝河店埠河入口处下游100m</w:t>
            </w:r>
          </w:p>
        </w:tc>
        <w:tc>
          <w:tcPr>
            <w:tcW w:w="1145"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E117.42661</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N31.76639</w:t>
            </w:r>
          </w:p>
        </w:tc>
        <w:tc>
          <w:tcPr>
            <w:tcW w:w="1078"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038"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50"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08"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567"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567"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08"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bl>
    <w:p>
      <w:pPr>
        <w:pStyle w:val="3550"/>
        <w:spacing w:before="0" w:after="0" w:line="240" w:lineRule="auto"/>
        <w:ind w:firstLine="421" w:firstLineChars="200"/>
        <w:jc w:val="center"/>
        <w:rPr>
          <w:rFonts w:ascii="Times New Roman" w:hAnsi="Times New Roman" w:cs="Times New Roman"/>
          <w:b/>
          <w:color w:val="auto"/>
          <w:sz w:val="21"/>
          <w:szCs w:val="21"/>
        </w:rPr>
      </w:pPr>
      <w:r>
        <w:rPr>
          <w:rFonts w:ascii="Times New Roman" w:hAnsi="Times New Roman" w:cs="Times New Roman"/>
          <w:b/>
          <w:color w:val="auto"/>
          <w:sz w:val="21"/>
          <w:szCs w:val="21"/>
        </w:rPr>
        <w:t>续表4.7-2 底泥检测结果表                     （单位：μg/kg）</w:t>
      </w:r>
    </w:p>
    <w:tbl>
      <w:tblPr>
        <w:tblStyle w:val="62"/>
        <w:tblW w:w="954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14"/>
        <w:gridCol w:w="1711"/>
        <w:gridCol w:w="1124"/>
        <w:gridCol w:w="1065"/>
        <w:gridCol w:w="962"/>
        <w:gridCol w:w="893"/>
        <w:gridCol w:w="893"/>
        <w:gridCol w:w="893"/>
        <w:gridCol w:w="89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9" w:hRule="atLeast"/>
          <w:jc w:val="center"/>
        </w:trPr>
        <w:tc>
          <w:tcPr>
            <w:tcW w:w="1114"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采样日期</w:t>
            </w:r>
          </w:p>
        </w:tc>
        <w:tc>
          <w:tcPr>
            <w:tcW w:w="1711" w:type="dxa"/>
            <w:shd w:val="clear" w:color="auto" w:fill="auto"/>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检测点位</w:t>
            </w:r>
          </w:p>
        </w:tc>
        <w:tc>
          <w:tcPr>
            <w:tcW w:w="1124"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点位坐标</w:t>
            </w:r>
          </w:p>
        </w:tc>
        <w:tc>
          <w:tcPr>
            <w:tcW w:w="1065"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 xml:space="preserve">乙苯 </w:t>
            </w:r>
          </w:p>
        </w:tc>
        <w:tc>
          <w:tcPr>
            <w:tcW w:w="962"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间+对-二甲苯</w:t>
            </w:r>
          </w:p>
        </w:tc>
        <w:tc>
          <w:tcPr>
            <w:tcW w:w="893"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邻-二甲苯</w:t>
            </w:r>
          </w:p>
        </w:tc>
        <w:tc>
          <w:tcPr>
            <w:tcW w:w="893"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苯乙烯</w:t>
            </w:r>
          </w:p>
        </w:tc>
        <w:tc>
          <w:tcPr>
            <w:tcW w:w="893"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1,4-二氯苯</w:t>
            </w:r>
          </w:p>
        </w:tc>
        <w:tc>
          <w:tcPr>
            <w:tcW w:w="890"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1,2-二氯苯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9" w:hRule="atLeast"/>
          <w:jc w:val="center"/>
        </w:trPr>
        <w:tc>
          <w:tcPr>
            <w:tcW w:w="1114" w:type="dxa"/>
            <w:vMerge w:val="restart"/>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2021.07.22</w:t>
            </w:r>
          </w:p>
        </w:tc>
        <w:tc>
          <w:tcPr>
            <w:tcW w:w="1711"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T3店埠河底泥（拟建码头处）</w:t>
            </w:r>
          </w:p>
        </w:tc>
        <w:tc>
          <w:tcPr>
            <w:tcW w:w="1124"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E117.45196</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N31.79051</w:t>
            </w:r>
          </w:p>
        </w:tc>
        <w:tc>
          <w:tcPr>
            <w:tcW w:w="1065"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962"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3"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3"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3"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0"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9" w:hRule="atLeast"/>
          <w:jc w:val="center"/>
        </w:trPr>
        <w:tc>
          <w:tcPr>
            <w:tcW w:w="1114" w:type="dxa"/>
            <w:vMerge w:val="continue"/>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p>
        </w:tc>
        <w:tc>
          <w:tcPr>
            <w:tcW w:w="1711"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T4撮镇灌溉渠底泥（拟建码头处）</w:t>
            </w:r>
          </w:p>
        </w:tc>
        <w:tc>
          <w:tcPr>
            <w:tcW w:w="1124"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E117.45314</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N31.79203</w:t>
            </w:r>
          </w:p>
        </w:tc>
        <w:tc>
          <w:tcPr>
            <w:tcW w:w="1065"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962"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3"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3"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3"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0"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9" w:hRule="atLeast"/>
          <w:jc w:val="center"/>
        </w:trPr>
        <w:tc>
          <w:tcPr>
            <w:tcW w:w="1114" w:type="dxa"/>
            <w:vMerge w:val="continue"/>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p>
        </w:tc>
        <w:tc>
          <w:tcPr>
            <w:tcW w:w="1711"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T5南淝河店埠河入口处下游100m</w:t>
            </w:r>
          </w:p>
        </w:tc>
        <w:tc>
          <w:tcPr>
            <w:tcW w:w="1124"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E117.42661</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N31.76639</w:t>
            </w:r>
          </w:p>
        </w:tc>
        <w:tc>
          <w:tcPr>
            <w:tcW w:w="1065"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962"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3"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3"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3"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0"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bl>
    <w:p>
      <w:pPr>
        <w:pStyle w:val="3550"/>
        <w:spacing w:before="0" w:after="0" w:line="240" w:lineRule="auto"/>
        <w:ind w:firstLine="421" w:firstLineChars="200"/>
        <w:jc w:val="center"/>
        <w:rPr>
          <w:rFonts w:ascii="Times New Roman" w:hAnsi="Times New Roman" w:cs="Times New Roman"/>
          <w:b/>
          <w:color w:val="auto"/>
          <w:sz w:val="21"/>
          <w:szCs w:val="21"/>
        </w:rPr>
      </w:pPr>
      <w:r>
        <w:rPr>
          <w:rFonts w:ascii="Times New Roman" w:hAnsi="Times New Roman" w:cs="Times New Roman"/>
          <w:b/>
          <w:color w:val="auto"/>
          <w:sz w:val="21"/>
          <w:szCs w:val="21"/>
        </w:rPr>
        <w:t>续表4.7-2 底泥检测结果表                        （单位：mg/kg）</w:t>
      </w:r>
    </w:p>
    <w:tbl>
      <w:tblPr>
        <w:tblStyle w:val="62"/>
        <w:tblW w:w="956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18"/>
        <w:gridCol w:w="1694"/>
        <w:gridCol w:w="1141"/>
        <w:gridCol w:w="1250"/>
        <w:gridCol w:w="897"/>
        <w:gridCol w:w="897"/>
        <w:gridCol w:w="897"/>
        <w:gridCol w:w="897"/>
        <w:gridCol w:w="76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3" w:hRule="atLeast"/>
          <w:jc w:val="center"/>
        </w:trPr>
        <w:tc>
          <w:tcPr>
            <w:tcW w:w="1118"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采样日期</w:t>
            </w:r>
          </w:p>
        </w:tc>
        <w:tc>
          <w:tcPr>
            <w:tcW w:w="1694" w:type="dxa"/>
            <w:shd w:val="clear" w:color="auto" w:fill="auto"/>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检测点位</w:t>
            </w:r>
          </w:p>
        </w:tc>
        <w:tc>
          <w:tcPr>
            <w:tcW w:w="1141"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点位坐标</w:t>
            </w:r>
          </w:p>
        </w:tc>
        <w:tc>
          <w:tcPr>
            <w:tcW w:w="1250"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硝基苯</w:t>
            </w:r>
          </w:p>
        </w:tc>
        <w:tc>
          <w:tcPr>
            <w:tcW w:w="897"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苯胺</w:t>
            </w:r>
          </w:p>
        </w:tc>
        <w:tc>
          <w:tcPr>
            <w:tcW w:w="897"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2-氯苯酚</w:t>
            </w:r>
          </w:p>
        </w:tc>
        <w:tc>
          <w:tcPr>
            <w:tcW w:w="897"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萘</w:t>
            </w:r>
          </w:p>
        </w:tc>
        <w:tc>
          <w:tcPr>
            <w:tcW w:w="897"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苯并[a]蒽</w:t>
            </w:r>
          </w:p>
        </w:tc>
        <w:tc>
          <w:tcPr>
            <w:tcW w:w="769"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苯并[a]芘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3" w:hRule="atLeast"/>
          <w:jc w:val="center"/>
        </w:trPr>
        <w:tc>
          <w:tcPr>
            <w:tcW w:w="1118" w:type="dxa"/>
            <w:vMerge w:val="restart"/>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2021.07.22</w:t>
            </w:r>
          </w:p>
        </w:tc>
        <w:tc>
          <w:tcPr>
            <w:tcW w:w="1694"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T3店埠河底泥（拟建码头处）</w:t>
            </w:r>
          </w:p>
        </w:tc>
        <w:tc>
          <w:tcPr>
            <w:tcW w:w="1141"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E117.45196</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N31.79051</w:t>
            </w:r>
          </w:p>
        </w:tc>
        <w:tc>
          <w:tcPr>
            <w:tcW w:w="1250"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7"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7"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7"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7"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69"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3" w:hRule="atLeast"/>
          <w:jc w:val="center"/>
        </w:trPr>
        <w:tc>
          <w:tcPr>
            <w:tcW w:w="1118" w:type="dxa"/>
            <w:vMerge w:val="continue"/>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p>
        </w:tc>
        <w:tc>
          <w:tcPr>
            <w:tcW w:w="1694"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T4撮镇灌溉渠底泥（拟建码头处）</w:t>
            </w:r>
          </w:p>
        </w:tc>
        <w:tc>
          <w:tcPr>
            <w:tcW w:w="1141"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E117.45314</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N31.79203</w:t>
            </w:r>
          </w:p>
        </w:tc>
        <w:tc>
          <w:tcPr>
            <w:tcW w:w="1250"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7"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7"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7"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7"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69"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3" w:hRule="atLeast"/>
          <w:jc w:val="center"/>
        </w:trPr>
        <w:tc>
          <w:tcPr>
            <w:tcW w:w="1118" w:type="dxa"/>
            <w:vMerge w:val="continue"/>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p>
        </w:tc>
        <w:tc>
          <w:tcPr>
            <w:tcW w:w="1694"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T5南淝河店埠河入口处下游100m</w:t>
            </w:r>
          </w:p>
        </w:tc>
        <w:tc>
          <w:tcPr>
            <w:tcW w:w="1141"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E117.42661</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N31.76639</w:t>
            </w:r>
          </w:p>
        </w:tc>
        <w:tc>
          <w:tcPr>
            <w:tcW w:w="1250"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7"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7"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7"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897"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769"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bl>
    <w:p>
      <w:pPr>
        <w:pStyle w:val="3550"/>
        <w:spacing w:before="0" w:after="0" w:line="240" w:lineRule="auto"/>
        <w:ind w:firstLine="421" w:firstLineChars="200"/>
        <w:jc w:val="center"/>
        <w:rPr>
          <w:rFonts w:ascii="Times New Roman" w:hAnsi="Times New Roman" w:cs="Times New Roman"/>
          <w:b/>
          <w:color w:val="auto"/>
          <w:sz w:val="21"/>
          <w:szCs w:val="21"/>
        </w:rPr>
      </w:pPr>
      <w:r>
        <w:rPr>
          <w:rFonts w:ascii="Times New Roman" w:hAnsi="Times New Roman" w:cs="Times New Roman"/>
          <w:b/>
          <w:color w:val="auto"/>
          <w:sz w:val="21"/>
          <w:szCs w:val="21"/>
        </w:rPr>
        <w:t>续表4.7-2 底泥检测结果表                        （单位：mg/kg）</w:t>
      </w:r>
    </w:p>
    <w:tbl>
      <w:tblPr>
        <w:tblStyle w:val="62"/>
        <w:tblW w:w="959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35"/>
        <w:gridCol w:w="1739"/>
        <w:gridCol w:w="1096"/>
        <w:gridCol w:w="1338"/>
        <w:gridCol w:w="1034"/>
        <w:gridCol w:w="1031"/>
        <w:gridCol w:w="1126"/>
        <w:gridCol w:w="109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135"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采样日期</w:t>
            </w:r>
          </w:p>
        </w:tc>
        <w:tc>
          <w:tcPr>
            <w:tcW w:w="1739" w:type="dxa"/>
            <w:shd w:val="clear" w:color="auto" w:fill="auto"/>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检测点位</w:t>
            </w:r>
          </w:p>
        </w:tc>
        <w:tc>
          <w:tcPr>
            <w:tcW w:w="1096" w:type="dxa"/>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点位坐标</w:t>
            </w:r>
          </w:p>
        </w:tc>
        <w:tc>
          <w:tcPr>
            <w:tcW w:w="1338"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苯并[b]荧蒽</w:t>
            </w:r>
          </w:p>
        </w:tc>
        <w:tc>
          <w:tcPr>
            <w:tcW w:w="1034"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苯并[k]荧蒽</w:t>
            </w:r>
          </w:p>
        </w:tc>
        <w:tc>
          <w:tcPr>
            <w:tcW w:w="1031"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䓛</w:t>
            </w:r>
          </w:p>
        </w:tc>
        <w:tc>
          <w:tcPr>
            <w:tcW w:w="1126" w:type="dxa"/>
            <w:shd w:val="clear" w:color="auto" w:fill="auto"/>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二苯并[a,h]蒽</w:t>
            </w:r>
          </w:p>
        </w:tc>
        <w:tc>
          <w:tcPr>
            <w:tcW w:w="1096" w:type="dxa"/>
            <w:vAlign w:val="center"/>
          </w:tcPr>
          <w:p>
            <w:pPr>
              <w:adjustRightInd/>
              <w:snapToGrid/>
              <w:spacing w:line="240" w:lineRule="exact"/>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茚并[1,2,3 -c,d]芘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135" w:type="dxa"/>
            <w:vMerge w:val="restart"/>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2021.07.22</w:t>
            </w:r>
          </w:p>
        </w:tc>
        <w:tc>
          <w:tcPr>
            <w:tcW w:w="1739"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T3店埠河底泥（拟建码头处）</w:t>
            </w:r>
          </w:p>
        </w:tc>
        <w:tc>
          <w:tcPr>
            <w:tcW w:w="1096"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E117.45196</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N31.79051</w:t>
            </w:r>
          </w:p>
        </w:tc>
        <w:tc>
          <w:tcPr>
            <w:tcW w:w="1338"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034"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031"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126"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096"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135" w:type="dxa"/>
            <w:vMerge w:val="continue"/>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p>
        </w:tc>
        <w:tc>
          <w:tcPr>
            <w:tcW w:w="1739"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T4撮镇灌溉渠底泥（拟建码头处）</w:t>
            </w:r>
          </w:p>
        </w:tc>
        <w:tc>
          <w:tcPr>
            <w:tcW w:w="1096"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E117.45314</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N31.79203</w:t>
            </w:r>
          </w:p>
        </w:tc>
        <w:tc>
          <w:tcPr>
            <w:tcW w:w="1338"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034"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031"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126"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096"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2" w:hRule="atLeast"/>
          <w:jc w:val="center"/>
        </w:trPr>
        <w:tc>
          <w:tcPr>
            <w:tcW w:w="1135" w:type="dxa"/>
            <w:vMerge w:val="continue"/>
            <w:vAlign w:val="center"/>
          </w:tcPr>
          <w:p>
            <w:pPr>
              <w:widowControl/>
              <w:adjustRightInd/>
              <w:snapToGrid/>
              <w:spacing w:line="240" w:lineRule="auto"/>
              <w:ind w:firstLine="0" w:firstLineChars="0"/>
              <w:jc w:val="center"/>
              <w:rPr>
                <w:rFonts w:ascii="Times New Roman" w:hAnsi="Times New Roman" w:cs="Times New Roman"/>
                <w:kern w:val="0"/>
                <w:sz w:val="18"/>
                <w:szCs w:val="18"/>
              </w:rPr>
            </w:pPr>
          </w:p>
        </w:tc>
        <w:tc>
          <w:tcPr>
            <w:tcW w:w="1739"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T5南淝河店埠河入口处下游100m</w:t>
            </w:r>
          </w:p>
        </w:tc>
        <w:tc>
          <w:tcPr>
            <w:tcW w:w="1096"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E117.42661</w:t>
            </w:r>
          </w:p>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N31.76639</w:t>
            </w:r>
          </w:p>
        </w:tc>
        <w:tc>
          <w:tcPr>
            <w:tcW w:w="1338"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034"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031"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126" w:type="dxa"/>
            <w:shd w:val="clear" w:color="auto" w:fill="auto"/>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c>
          <w:tcPr>
            <w:tcW w:w="1096" w:type="dxa"/>
            <w:vAlign w:val="center"/>
          </w:tcPr>
          <w:p>
            <w:pPr>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ND</w:t>
            </w:r>
          </w:p>
        </w:tc>
      </w:tr>
    </w:tbl>
    <w:p>
      <w:pPr>
        <w:pStyle w:val="1801"/>
        <w:rPr>
          <w:rFonts w:ascii="Times New Roman" w:hAnsi="Times New Roman" w:cs="Times New Roman"/>
        </w:rPr>
      </w:pPr>
    </w:p>
    <w:p>
      <w:pPr>
        <w:pStyle w:val="25"/>
        <w:ind w:firstLine="480"/>
        <w:rPr>
          <w:rFonts w:ascii="Times New Roman" w:hAnsi="Times New Roman" w:cs="Times New Roman"/>
          <w:color w:val="auto"/>
        </w:rPr>
      </w:pPr>
      <w:r>
        <w:rPr>
          <w:rFonts w:ascii="Times New Roman" w:hAnsi="Times New Roman" w:cs="Times New Roman"/>
          <w:color w:val="auto"/>
        </w:rPr>
        <w:t>（5）评价结果</w:t>
      </w:r>
    </w:p>
    <w:p>
      <w:pPr>
        <w:pStyle w:val="3550"/>
        <w:ind w:firstLine="480" w:firstLineChars="200"/>
        <w:rPr>
          <w:rFonts w:ascii="Times New Roman" w:hAnsi="Times New Roman" w:cs="Times New Roman"/>
          <w:color w:val="auto"/>
          <w:kern w:val="2"/>
          <w:sz w:val="24"/>
          <w:szCs w:val="22"/>
        </w:rPr>
      </w:pPr>
      <w:r>
        <w:rPr>
          <w:rFonts w:ascii="Times New Roman" w:hAnsi="Times New Roman" w:cs="Times New Roman"/>
          <w:color w:val="auto"/>
          <w:kern w:val="2"/>
          <w:sz w:val="24"/>
          <w:szCs w:val="22"/>
        </w:rPr>
        <w:t>根据监测结果可知，撮镇灌溉渠、店埠河及南淝河底泥环境质量满足《土壤环境质量建设用地土壤污染风险管控标准（试行）》（GB36600-2018）第二类用地筛选值要求。</w:t>
      </w:r>
    </w:p>
    <w:p>
      <w:pPr>
        <w:keepNext/>
        <w:keepLines/>
        <w:ind w:firstLine="0" w:firstLineChars="0"/>
        <w:outlineLvl w:val="1"/>
        <w:rPr>
          <w:rFonts w:ascii="Times New Roman" w:hAnsi="Times New Roman" w:eastAsia="黑体" w:cs="Times New Roman"/>
          <w:b/>
          <w:bCs/>
          <w:color w:val="auto"/>
          <w:sz w:val="28"/>
          <w:szCs w:val="28"/>
        </w:rPr>
      </w:pPr>
      <w:bookmarkStart w:id="328" w:name="_Toc102979830"/>
      <w:bookmarkStart w:id="329" w:name="_Toc104733384"/>
      <w:r>
        <w:rPr>
          <w:rFonts w:ascii="Times New Roman" w:hAnsi="Times New Roman" w:eastAsia="黑体" w:cs="Times New Roman"/>
          <w:b/>
          <w:bCs/>
          <w:color w:val="auto"/>
          <w:sz w:val="28"/>
          <w:szCs w:val="28"/>
        </w:rPr>
        <w:t>4.8区域生态环境现状调查</w:t>
      </w:r>
      <w:bookmarkEnd w:id="328"/>
      <w:bookmarkEnd w:id="329"/>
    </w:p>
    <w:p>
      <w:pPr>
        <w:pStyle w:val="3550"/>
        <w:ind w:firstLine="480" w:firstLineChars="200"/>
        <w:rPr>
          <w:rFonts w:ascii="Times New Roman" w:hAnsi="Times New Roman" w:cs="Times New Roman"/>
          <w:color w:val="auto"/>
          <w:kern w:val="2"/>
          <w:sz w:val="24"/>
          <w:szCs w:val="22"/>
        </w:rPr>
      </w:pPr>
      <w:r>
        <w:rPr>
          <w:rFonts w:ascii="Times New Roman" w:hAnsi="Times New Roman" w:cs="Times New Roman"/>
          <w:color w:val="auto"/>
          <w:kern w:val="2"/>
          <w:sz w:val="24"/>
          <w:szCs w:val="22"/>
        </w:rPr>
        <w:t>根据《安徽省生态功能区划》，本项目所在地肥东县撮镇，属于其</w:t>
      </w:r>
      <w:r>
        <w:rPr>
          <w:rFonts w:ascii="Times New Roman" w:hAnsi="Times New Roman" w:cs="Times New Roman"/>
          <w:b/>
          <w:bCs/>
        </w:rPr>
        <w:t>Ⅱ 江淮丘陵岗地生态区</w:t>
      </w:r>
      <w:r>
        <w:rPr>
          <w:rFonts w:ascii="Times New Roman" w:hAnsi="Times New Roman" w:cs="Times New Roman"/>
          <w:color w:val="auto"/>
          <w:kern w:val="2"/>
          <w:sz w:val="24"/>
          <w:szCs w:val="22"/>
        </w:rPr>
        <w:t>，Ⅱ4-3 合肥城市及城郊农业生态功能区；该生态功能区位于本生态亚区北部，主要包括合肥市区及肥西县东北部和肥东县的西南地区，面积1233.0km</w:t>
      </w:r>
      <w:r>
        <w:rPr>
          <w:rFonts w:ascii="Times New Roman" w:hAnsi="Times New Roman" w:cs="Times New Roman"/>
          <w:color w:val="auto"/>
          <w:kern w:val="2"/>
          <w:sz w:val="24"/>
          <w:szCs w:val="22"/>
          <w:vertAlign w:val="superscript"/>
        </w:rPr>
        <w:t>2</w:t>
      </w:r>
      <w:r>
        <w:rPr>
          <w:rFonts w:ascii="Times New Roman" w:hAnsi="Times New Roman" w:cs="Times New Roman"/>
          <w:color w:val="auto"/>
          <w:kern w:val="2"/>
          <w:sz w:val="24"/>
          <w:szCs w:val="22"/>
        </w:rPr>
        <w:t>。本区气候属亚热带湿润季风气候，气候湿润温暖，雨水较为充沛，阳光充足，四季分明，年平均降水量1000mm，年蒸发量1500mm，年平均气温15.0℃，年照时数2150小时，全年无霜期在235天左右。本区地貌以丘岗和平原相间为特征，岗冲交错。土壤类型以潴育水稻土为主，岗地上分布有黄褐土，部分地区有漂洗水稻土分布。农业耕作制度为一年两熟制，农作物以水稻、油菜、蔬菜类为主。</w:t>
      </w:r>
    </w:p>
    <w:p>
      <w:pPr>
        <w:pStyle w:val="3550"/>
        <w:ind w:firstLine="843"/>
        <w:rPr>
          <w:rFonts w:ascii="Times New Roman" w:hAnsi="Times New Roman" w:eastAsia="黑体" w:cs="Times New Roman"/>
          <w:b/>
          <w:bCs/>
          <w:color w:val="auto"/>
          <w:sz w:val="28"/>
          <w:szCs w:val="28"/>
        </w:rPr>
      </w:pPr>
    </w:p>
    <w:p>
      <w:pPr>
        <w:ind w:firstLine="0" w:firstLineChars="0"/>
        <w:rPr>
          <w:rFonts w:ascii="Times New Roman" w:hAnsi="Times New Roman" w:cs="Times New Roman"/>
        </w:rPr>
      </w:pPr>
      <w:bookmarkStart w:id="330" w:name="_Toc498510028"/>
      <w:bookmarkStart w:id="331" w:name="_Toc102984354"/>
      <w:r>
        <w:rPr>
          <w:rFonts w:ascii="Times New Roman" w:hAnsi="Times New Roman" w:cs="Times New Roman"/>
        </w:rPr>
        <mc:AlternateContent>
          <mc:Choice Requires="wps">
            <w:drawing>
              <wp:anchor distT="0" distB="0" distL="114300" distR="114300" simplePos="0" relativeHeight="251638784" behindDoc="0" locked="0" layoutInCell="1" allowOverlap="1">
                <wp:simplePos x="0" y="0"/>
                <wp:positionH relativeFrom="column">
                  <wp:posOffset>1066800</wp:posOffset>
                </wp:positionH>
                <wp:positionV relativeFrom="paragraph">
                  <wp:posOffset>2585720</wp:posOffset>
                </wp:positionV>
                <wp:extent cx="1028700" cy="361950"/>
                <wp:effectExtent l="9525" t="9525" r="1095375" b="866775"/>
                <wp:wrapNone/>
                <wp:docPr id="226" name="AutoShape 3474"/>
                <wp:cNvGraphicFramePr/>
                <a:graphic xmlns:a="http://schemas.openxmlformats.org/drawingml/2006/main">
                  <a:graphicData uri="http://schemas.microsoft.com/office/word/2010/wordprocessingShape">
                    <wps:wsp>
                      <wps:cNvSpPr>
                        <a:spLocks noChangeArrowheads="true"/>
                      </wps:cNvSpPr>
                      <wps:spPr bwMode="auto">
                        <a:xfrm>
                          <a:off x="0" y="0"/>
                          <a:ext cx="1028700" cy="361950"/>
                        </a:xfrm>
                        <a:prstGeom prst="wedgeRoundRectCallout">
                          <a:avLst>
                            <a:gd name="adj1" fmla="val 155310"/>
                            <a:gd name="adj2" fmla="val 270000"/>
                            <a:gd name="adj3" fmla="val 16667"/>
                          </a:avLst>
                        </a:prstGeom>
                        <a:solidFill>
                          <a:srgbClr val="FFFFFF"/>
                        </a:solidFill>
                        <a:ln w="9525">
                          <a:solidFill>
                            <a:srgbClr val="FF0000"/>
                          </a:solidFill>
                          <a:miter lim="800000"/>
                        </a:ln>
                      </wps:spPr>
                      <wps:txbx>
                        <w:txbxContent>
                          <w:p>
                            <w:pPr>
                              <w:ind w:firstLine="199" w:firstLineChars="83"/>
                              <w:rPr>
                                <w:color w:val="FF0000"/>
                              </w:rPr>
                            </w:pPr>
                            <w:r>
                              <w:rPr>
                                <w:rFonts w:hint="eastAsia"/>
                                <w:color w:val="FF0000"/>
                                <w:highlight w:val="yellow"/>
                              </w:rPr>
                              <w:t>本项目</w:t>
                            </w:r>
                          </w:p>
                        </w:txbxContent>
                      </wps:txbx>
                      <wps:bodyPr rot="0" vert="horz" wrap="square" lIns="91440" tIns="45720" rIns="91440" bIns="45720" anchor="t" anchorCtr="false" upright="true">
                        <a:noAutofit/>
                      </wps:bodyPr>
                    </wps:wsp>
                  </a:graphicData>
                </a:graphic>
              </wp:anchor>
            </w:drawing>
          </mc:Choice>
          <mc:Fallback>
            <w:pict>
              <v:shape id="AutoShape 3474" o:spid="_x0000_s1026" o:spt="62" type="#_x0000_t62" style="position:absolute;left:0pt;margin-left:84pt;margin-top:203.6pt;height:28.5pt;width:81pt;z-index:251638784;mso-width-relative:page;mso-height-relative:page;" fillcolor="#FFFFFF" filled="t" stroked="t" coordsize="21600,21600" o:gfxdata="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FgAAAGRycy9Q&#10;SwECFAAUAAAACACHTuJAgSgBrtcAAAALAQAADwAAAAAAAAABACAAAAA4AAAAZHJzL2Rvd25yZXYu&#10;eG1sUEsBAhQAFAAAAAgAh07iQMxIIplYAgAAxgQAAA4AAAAAAAAAAQAgAAAAPAEAAGRycy9lMm9E&#10;b2MueG1sUEsFBgAAAAAGAAYAWQEAAAYGAAAAAA==&#10;" adj="44347,69120,14400">
                <v:fill on="t" focussize="0,0"/>
                <v:stroke color="#FF0000" miterlimit="8" joinstyle="miter"/>
                <v:imagedata o:title=""/>
                <o:lock v:ext="edit" aspectratio="f"/>
                <v:textbox>
                  <w:txbxContent>
                    <w:p>
                      <w:pPr>
                        <w:ind w:firstLine="199" w:firstLineChars="83"/>
                        <w:rPr>
                          <w:color w:val="FF0000"/>
                        </w:rPr>
                      </w:pPr>
                      <w:r>
                        <w:rPr>
                          <w:rFonts w:hint="eastAsia"/>
                          <w:color w:val="FF0000"/>
                          <w:highlight w:val="yellow"/>
                        </w:rPr>
                        <w:t>本项目</w:t>
                      </w:r>
                    </w:p>
                  </w:txbxContent>
                </v:textbox>
              </v:shape>
            </w:pict>
          </mc:Fallback>
        </mc:AlternateContent>
      </w:r>
      <w:r>
        <w:rPr>
          <w:rFonts w:ascii="Times New Roman" w:hAnsi="Times New Roman" w:cs="Times New Roman"/>
        </w:rPr>
        <w:drawing>
          <wp:inline distT="0" distB="0" distL="0" distR="0">
            <wp:extent cx="5730875" cy="8091170"/>
            <wp:effectExtent l="0" t="0" r="0" b="0"/>
            <wp:docPr id="76" name="图片 7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true" noChangeArrowheads="true"/>
                    </pic:cNvPicPr>
                  </pic:nvPicPr>
                  <pic:blipFill>
                    <a:blip r:embed="rId131" cstate="hqprint"/>
                    <a:srcRect/>
                    <a:stretch>
                      <a:fillRect/>
                    </a:stretch>
                  </pic:blipFill>
                  <pic:spPr>
                    <a:xfrm>
                      <a:off x="0" y="0"/>
                      <a:ext cx="5730875" cy="8091170"/>
                    </a:xfrm>
                    <a:prstGeom prst="rect">
                      <a:avLst/>
                    </a:prstGeom>
                    <a:noFill/>
                    <a:ln>
                      <a:noFill/>
                    </a:ln>
                  </pic:spPr>
                </pic:pic>
              </a:graphicData>
            </a:graphic>
          </wp:inline>
        </w:drawing>
      </w:r>
    </w:p>
    <w:p>
      <w:pPr>
        <w:ind w:firstLine="422"/>
        <w:jc w:val="center"/>
        <w:rPr>
          <w:rFonts w:ascii="Times New Roman" w:hAnsi="Times New Roman" w:cs="Times New Roman"/>
          <w:b/>
          <w:bCs/>
          <w:sz w:val="21"/>
          <w:szCs w:val="20"/>
        </w:rPr>
        <w:sectPr>
          <w:pgSz w:w="11906" w:h="16838"/>
          <w:pgMar w:top="1418" w:right="1440" w:bottom="1418" w:left="1440" w:header="794" w:footer="992" w:gutter="0"/>
          <w:cols w:space="720" w:num="1"/>
          <w:docGrid w:linePitch="312" w:charSpace="0"/>
        </w:sectPr>
      </w:pPr>
      <w:r>
        <w:rPr>
          <w:rFonts w:ascii="Times New Roman" w:hAnsi="Times New Roman" w:cs="Times New Roman"/>
          <w:b/>
          <w:bCs/>
          <w:sz w:val="21"/>
          <w:szCs w:val="20"/>
        </w:rPr>
        <w:t>图4.8-1   安徽省生态功能区划图</w:t>
      </w:r>
    </w:p>
    <w:p>
      <w:pPr>
        <w:ind w:firstLine="0" w:firstLineChars="0"/>
        <w:rPr>
          <w:rFonts w:ascii="Times New Roman" w:hAnsi="Times New Roman" w:cs="Times New Roman"/>
        </w:rPr>
      </w:pPr>
      <w:r>
        <w:rPr>
          <w:rFonts w:ascii="Times New Roman" w:hAnsi="Times New Roman" w:cs="Times New Roman"/>
        </w:rPr>
        <w:drawing>
          <wp:anchor distT="0" distB="0" distL="114300" distR="114300" simplePos="0" relativeHeight="251639808" behindDoc="0" locked="0" layoutInCell="1" allowOverlap="1">
            <wp:simplePos x="0" y="0"/>
            <wp:positionH relativeFrom="column">
              <wp:posOffset>204470</wp:posOffset>
            </wp:positionH>
            <wp:positionV relativeFrom="paragraph">
              <wp:posOffset>561975</wp:posOffset>
            </wp:positionV>
            <wp:extent cx="1819910" cy="2447925"/>
            <wp:effectExtent l="0" t="0" r="0" b="0"/>
            <wp:wrapNone/>
            <wp:docPr id="3005"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05" name="图片 1"/>
                    <pic:cNvPicPr>
                      <a:picLocks noChangeAspect="true" noChangeArrowheads="true"/>
                    </pic:cNvPicPr>
                  </pic:nvPicPr>
                  <pic:blipFill>
                    <a:blip r:embed="rId132"/>
                    <a:srcRect/>
                    <a:stretch>
                      <a:fillRect/>
                    </a:stretch>
                  </pic:blipFill>
                  <pic:spPr>
                    <a:xfrm>
                      <a:off x="0" y="0"/>
                      <a:ext cx="1819910" cy="2447925"/>
                    </a:xfrm>
                    <a:prstGeom prst="rect">
                      <a:avLst/>
                    </a:prstGeom>
                    <a:noFill/>
                  </pic:spPr>
                </pic:pic>
              </a:graphicData>
            </a:graphic>
          </wp:anchor>
        </w:drawing>
      </w:r>
      <w:r>
        <w:rPr>
          <w:rFonts w:ascii="Times New Roman" w:hAnsi="Times New Roman" w:cs="Times New Roman"/>
        </w:rPr>
        <w:drawing>
          <wp:inline distT="0" distB="0" distL="0" distR="0">
            <wp:extent cx="8825230" cy="5167630"/>
            <wp:effectExtent l="0" t="0" r="0" b="0"/>
            <wp:docPr id="77" name="图片 7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true" noChangeArrowheads="true"/>
                    </pic:cNvPicPr>
                  </pic:nvPicPr>
                  <pic:blipFill>
                    <a:blip r:embed="rId133"/>
                    <a:srcRect/>
                    <a:stretch>
                      <a:fillRect/>
                    </a:stretch>
                  </pic:blipFill>
                  <pic:spPr>
                    <a:xfrm>
                      <a:off x="0" y="0"/>
                      <a:ext cx="8825230" cy="5167630"/>
                    </a:xfrm>
                    <a:prstGeom prst="rect">
                      <a:avLst/>
                    </a:prstGeom>
                    <a:noFill/>
                    <a:ln>
                      <a:noFill/>
                    </a:ln>
                  </pic:spPr>
                </pic:pic>
              </a:graphicData>
            </a:graphic>
          </wp:inline>
        </w:drawing>
      </w:r>
    </w:p>
    <w:p>
      <w:pPr>
        <w:ind w:firstLine="422"/>
        <w:jc w:val="center"/>
        <w:rPr>
          <w:rFonts w:ascii="Times New Roman" w:hAnsi="Times New Roman" w:cs="Times New Roman"/>
          <w:b/>
          <w:bCs/>
          <w:sz w:val="21"/>
          <w:szCs w:val="21"/>
        </w:rPr>
      </w:pPr>
      <w:r>
        <w:rPr>
          <w:rFonts w:ascii="Times New Roman" w:hAnsi="Times New Roman" w:cs="Times New Roman"/>
          <w:b/>
          <w:bCs/>
          <w:sz w:val="21"/>
          <w:szCs w:val="21"/>
        </w:rPr>
        <w:t>图4.8-2  项目区域土地类型图</w:t>
      </w:r>
    </w:p>
    <w:p>
      <w:pPr>
        <w:ind w:firstLine="480"/>
        <w:rPr>
          <w:rFonts w:ascii="Times New Roman" w:hAnsi="Times New Roman" w:cs="Times New Roman"/>
        </w:rPr>
        <w:sectPr>
          <w:pgSz w:w="16838" w:h="11906" w:orient="landscape"/>
          <w:pgMar w:top="1440" w:right="1418" w:bottom="1440" w:left="1418" w:header="794" w:footer="992" w:gutter="0"/>
          <w:cols w:space="720" w:num="1"/>
          <w:docGrid w:linePitch="312" w:charSpace="0"/>
        </w:sectPr>
      </w:pPr>
    </w:p>
    <w:p>
      <w:pPr>
        <w:keepNext/>
        <w:keepLines/>
        <w:tabs>
          <w:tab w:val="left" w:pos="3828"/>
        </w:tabs>
        <w:ind w:firstLine="0" w:firstLineChars="0"/>
        <w:outlineLvl w:val="2"/>
        <w:rPr>
          <w:rStyle w:val="1121"/>
          <w:color w:val="auto"/>
          <w:sz w:val="24"/>
          <w:szCs w:val="24"/>
        </w:rPr>
      </w:pPr>
      <w:bookmarkStart w:id="332" w:name="_Toc104733385"/>
      <w:r>
        <w:rPr>
          <w:rStyle w:val="1121"/>
          <w:color w:val="auto"/>
          <w:sz w:val="24"/>
          <w:szCs w:val="24"/>
        </w:rPr>
        <w:t>4.8.1</w:t>
      </w:r>
      <w:bookmarkEnd w:id="330"/>
      <w:r>
        <w:rPr>
          <w:rStyle w:val="1121"/>
          <w:color w:val="auto"/>
          <w:sz w:val="24"/>
          <w:szCs w:val="24"/>
        </w:rPr>
        <w:t>区域重要生态敏感区</w:t>
      </w:r>
      <w:bookmarkEnd w:id="331"/>
      <w:bookmarkEnd w:id="332"/>
    </w:p>
    <w:p>
      <w:pPr>
        <w:ind w:firstLine="480"/>
        <w:rPr>
          <w:rFonts w:ascii="Times New Roman" w:hAnsi="Times New Roman" w:cs="Times New Roman"/>
          <w:color w:val="FF0000"/>
        </w:rPr>
      </w:pPr>
      <w:r>
        <w:rPr>
          <w:rFonts w:ascii="Times New Roman" w:hAnsi="Times New Roman" w:cs="Times New Roman"/>
          <w:color w:val="FF0000"/>
        </w:rPr>
        <w:t>（1）巢湖国家级风景名胜区</w:t>
      </w:r>
    </w:p>
    <w:p>
      <w:pPr>
        <w:ind w:firstLine="480"/>
        <w:rPr>
          <w:rFonts w:ascii="Times New Roman" w:hAnsi="Times New Roman" w:cs="Times New Roman"/>
          <w:color w:val="FF0000"/>
        </w:rPr>
      </w:pPr>
      <w:r>
        <w:rPr>
          <w:rFonts w:ascii="Times New Roman" w:hAnsi="Times New Roman" w:cs="Times New Roman"/>
          <w:color w:val="FF0000"/>
        </w:rPr>
        <w:t>巢湖国家级风景名胜区由合肥市辖区范围内的“湖西”次区、巢湖市辖区范围内的“湖北、湖东、东南、西南”共五个次区组成，总面积1299.64km</w:t>
      </w:r>
      <w:r>
        <w:rPr>
          <w:rFonts w:ascii="Times New Roman" w:hAnsi="Times New Roman" w:cs="Times New Roman"/>
          <w:color w:val="FF0000"/>
          <w:vertAlign w:val="superscript"/>
        </w:rPr>
        <w:t>2</w:t>
      </w:r>
      <w:r>
        <w:rPr>
          <w:rFonts w:ascii="Times New Roman" w:hAnsi="Times New Roman" w:cs="Times New Roman"/>
          <w:color w:val="FF0000"/>
        </w:rPr>
        <w:t>。湖西次区包含巢湖风景名胜区合肥市辖区全部，范围为东至店忠公路，西、北方向以合肥市规划环湖大道外侧100m为界，南至杭埠河河道，陆域总面积61.65 km²。湖北次区涉及巢湖市居巢区忠庙街道与黄麓、烔炀两镇，范围为西至店忠公路，北以规划的滨湖旅游景观大道为界，东至</w:t>
      </w:r>
      <w:bookmarkStart w:id="333" w:name="qh"/>
      <w:r>
        <w:rPr>
          <w:rFonts w:ascii="Times New Roman" w:hAnsi="Times New Roman" w:cs="Times New Roman"/>
          <w:color w:val="FF0000"/>
        </w:rPr>
        <w:t>烔炀</w:t>
      </w:r>
      <w:bookmarkEnd w:id="333"/>
      <w:r>
        <w:rPr>
          <w:rFonts w:ascii="Times New Roman" w:hAnsi="Times New Roman" w:cs="Times New Roman"/>
          <w:color w:val="FF0000"/>
        </w:rPr>
        <w:t>镇与中垾镇行政边界，并包括大小黄山山体飞地，陆域总面积31.73km²。湖东次区涉及居巢区中垾镇、夏阁两镇和凤凰山、卧牛山、亚父、天河四个街道，范围为西至中垾镇与烔炀镇行政边界，北至规划的滨湖旅游景观大道，东以凤凰山东侧山麓为边界从龟山处跨湖至南岸盛湾，南以巢庐公路为界，陆域总面积54.3km²。东南次区涉及居巢区银屏、散兵、槐林三镇，范围为北至巢庐公路、散兵镇与天河街道行政边界，东至巢无公路，南至居巢区行政边界和巢庐公路，西至兆河，陆域总面积213.85km²。西南次区涉及庐江县盛桥、白山、同大三镇，范围为东至兆河，南至巢庐公路和盛同公路，西以杭埠河为界，陆域总面积163.95km²。</w:t>
      </w:r>
    </w:p>
    <w:p>
      <w:pPr>
        <w:ind w:firstLine="480"/>
        <w:rPr>
          <w:rFonts w:ascii="Times New Roman" w:hAnsi="Times New Roman" w:cs="Times New Roman"/>
          <w:color w:val="FF0000"/>
        </w:rPr>
      </w:pPr>
      <w:r>
        <w:rPr>
          <w:rFonts w:ascii="Times New Roman" w:hAnsi="Times New Roman" w:cs="Times New Roman"/>
          <w:color w:val="FF0000"/>
        </w:rPr>
        <w:t>根据巢湖国家级风景名胜区总体规划，巢湖国家级风景名胜区实行分区保护。分区包括生态保护区、史迹与人文景观保护区、自然景观保护区、风景（生态）恢复区、风景游览区和发展控制区。</w:t>
      </w:r>
    </w:p>
    <w:p>
      <w:pPr>
        <w:ind w:firstLine="480"/>
        <w:rPr>
          <w:rFonts w:ascii="Times New Roman" w:hAnsi="Times New Roman" w:cs="Times New Roman"/>
          <w:color w:val="FF0000"/>
        </w:rPr>
      </w:pPr>
      <w:r>
        <w:rPr>
          <w:rFonts w:hint="eastAsia" w:ascii="宋体" w:hAnsi="宋体" w:cs="宋体"/>
          <w:color w:val="FF0000"/>
        </w:rPr>
        <w:t>①</w:t>
      </w:r>
      <w:r>
        <w:rPr>
          <w:rFonts w:ascii="Times New Roman" w:hAnsi="Times New Roman" w:cs="Times New Roman"/>
          <w:color w:val="FF0000"/>
        </w:rPr>
        <w:t>生态保护区面积6.23km</w:t>
      </w:r>
      <w:r>
        <w:rPr>
          <w:rFonts w:ascii="Times New Roman" w:hAnsi="Times New Roman" w:cs="Times New Roman"/>
          <w:color w:val="FF0000"/>
          <w:vertAlign w:val="superscript"/>
        </w:rPr>
        <w:t>2</w:t>
      </w:r>
      <w:r>
        <w:rPr>
          <w:rFonts w:ascii="Times New Roman" w:hAnsi="Times New Roman" w:cs="Times New Roman"/>
          <w:color w:val="FF0000"/>
        </w:rPr>
        <w:t>，以保护山林生态系统的完整性、山林物种资源的原始性、珍稀动植物物种资源、湿地生态系统结构和功能的完整性、湿地生物多样性和湿地资源的稳定性为主，区内禁止游人、机动交通及其设施进入，亦不得建设任何建筑设施。</w:t>
      </w:r>
    </w:p>
    <w:p>
      <w:pPr>
        <w:ind w:firstLine="480"/>
        <w:rPr>
          <w:rFonts w:ascii="Times New Roman" w:hAnsi="Times New Roman" w:cs="Times New Roman"/>
          <w:color w:val="FF0000"/>
        </w:rPr>
      </w:pPr>
      <w:r>
        <w:rPr>
          <w:rFonts w:hint="eastAsia" w:ascii="宋体" w:hAnsi="宋体" w:cs="宋体"/>
          <w:color w:val="FF0000"/>
        </w:rPr>
        <w:t>②</w:t>
      </w:r>
      <w:r>
        <w:rPr>
          <w:rFonts w:ascii="Times New Roman" w:hAnsi="Times New Roman" w:cs="Times New Roman"/>
          <w:color w:val="FF0000"/>
        </w:rPr>
        <w:t>史迹与人文景观保护区面积0.78km</w:t>
      </w:r>
      <w:r>
        <w:rPr>
          <w:rFonts w:ascii="Times New Roman" w:hAnsi="Times New Roman" w:cs="Times New Roman"/>
          <w:color w:val="FF0000"/>
          <w:vertAlign w:val="superscript"/>
        </w:rPr>
        <w:t>2</w:t>
      </w:r>
      <w:r>
        <w:rPr>
          <w:rFonts w:ascii="Times New Roman" w:hAnsi="Times New Roman" w:cs="Times New Roman"/>
          <w:color w:val="FF0000"/>
        </w:rPr>
        <w:t>，区内可以安排必要的步行游览、安全防护设施和少量的按规划设置的文化与宗教设施，宜控制游客进入，不得安排旅宿床位，严禁增设与其无关的人为设施，严禁机动交通及其设施进入，严禁任何不利于保护的因素进入。</w:t>
      </w:r>
    </w:p>
    <w:p>
      <w:pPr>
        <w:ind w:firstLine="480"/>
        <w:rPr>
          <w:rFonts w:ascii="Times New Roman" w:hAnsi="Times New Roman" w:cs="Times New Roman"/>
          <w:color w:val="FF0000"/>
        </w:rPr>
      </w:pPr>
      <w:r>
        <w:rPr>
          <w:rFonts w:hint="eastAsia" w:ascii="宋体" w:hAnsi="宋体" w:cs="宋体"/>
          <w:color w:val="FF0000"/>
        </w:rPr>
        <w:t>③</w:t>
      </w:r>
      <w:r>
        <w:rPr>
          <w:rFonts w:ascii="Times New Roman" w:hAnsi="Times New Roman" w:cs="Times New Roman"/>
          <w:color w:val="FF0000"/>
        </w:rPr>
        <w:t>自然景观保护区面积33.37km</w:t>
      </w:r>
      <w:r>
        <w:rPr>
          <w:rFonts w:ascii="Times New Roman" w:hAnsi="Times New Roman" w:cs="Times New Roman"/>
          <w:color w:val="FF0000"/>
          <w:vertAlign w:val="superscript"/>
        </w:rPr>
        <w:t>2</w:t>
      </w:r>
      <w:r>
        <w:rPr>
          <w:rFonts w:ascii="Times New Roman" w:hAnsi="Times New Roman" w:cs="Times New Roman"/>
          <w:color w:val="FF0000"/>
        </w:rPr>
        <w:t>，区内可以配置必要的步行游览和安全防护设施，控制游人进入，禁止建设与其无关的人为设施，严禁机动交通及其设施进入，尤其要严格控制在湖中三岛的人为设施建设和加强湖中岛与景观的保护，严禁岛上核心景区范围内新建任何与规划确定景点景致无关的建筑物。</w:t>
      </w:r>
    </w:p>
    <w:p>
      <w:pPr>
        <w:ind w:firstLine="480"/>
        <w:rPr>
          <w:rFonts w:ascii="Times New Roman" w:hAnsi="Times New Roman" w:cs="Times New Roman"/>
          <w:color w:val="FF0000"/>
        </w:rPr>
      </w:pPr>
      <w:r>
        <w:rPr>
          <w:rFonts w:hint="eastAsia" w:ascii="宋体" w:hAnsi="宋体" w:cs="宋体"/>
          <w:color w:val="FF0000"/>
        </w:rPr>
        <w:t>④</w:t>
      </w:r>
      <w:r>
        <w:rPr>
          <w:rFonts w:ascii="Times New Roman" w:hAnsi="Times New Roman" w:cs="Times New Roman"/>
          <w:color w:val="FF0000"/>
        </w:rPr>
        <w:t>风景（生态）恢复区面积163.48km</w:t>
      </w:r>
      <w:r>
        <w:rPr>
          <w:rFonts w:ascii="Times New Roman" w:hAnsi="Times New Roman" w:cs="Times New Roman"/>
          <w:color w:val="FF0000"/>
          <w:vertAlign w:val="superscript"/>
        </w:rPr>
        <w:t>2</w:t>
      </w:r>
      <w:r>
        <w:rPr>
          <w:rFonts w:ascii="Times New Roman" w:hAnsi="Times New Roman" w:cs="Times New Roman"/>
          <w:color w:val="FF0000"/>
        </w:rPr>
        <w:t>，区内可采取必要的技术措施与设施，加强水土和植被的恢复、培育工作，应限制居民和游人活动，不得安排与其无关的项目和设施，严禁对其不利的活动。</w:t>
      </w:r>
    </w:p>
    <w:p>
      <w:pPr>
        <w:ind w:firstLine="480"/>
        <w:rPr>
          <w:rFonts w:ascii="Times New Roman" w:hAnsi="Times New Roman" w:cs="Times New Roman"/>
          <w:color w:val="FF0000"/>
        </w:rPr>
      </w:pPr>
      <w:r>
        <w:rPr>
          <w:rFonts w:hint="eastAsia" w:ascii="宋体" w:hAnsi="宋体" w:cs="宋体"/>
          <w:color w:val="FF0000"/>
        </w:rPr>
        <w:t>⑤</w:t>
      </w:r>
      <w:r>
        <w:rPr>
          <w:rFonts w:ascii="Times New Roman" w:hAnsi="Times New Roman" w:cs="Times New Roman"/>
          <w:color w:val="FF0000"/>
        </w:rPr>
        <w:t>风景游览区面积29.15km</w:t>
      </w:r>
      <w:r>
        <w:rPr>
          <w:rFonts w:ascii="Times New Roman" w:hAnsi="Times New Roman" w:cs="Times New Roman"/>
          <w:color w:val="FF0000"/>
          <w:vertAlign w:val="superscript"/>
        </w:rPr>
        <w:t>2</w:t>
      </w:r>
      <w:r>
        <w:rPr>
          <w:rFonts w:ascii="Times New Roman" w:hAnsi="Times New Roman" w:cs="Times New Roman"/>
          <w:color w:val="FF0000"/>
        </w:rPr>
        <w:t>，区内可以进行适度的资源利用行为，适宜安排各种游览新上项目，应分级限制机动交通及旅游设施的配置，同时应限制居民活动进入。</w:t>
      </w:r>
    </w:p>
    <w:p>
      <w:pPr>
        <w:ind w:firstLine="480"/>
        <w:rPr>
          <w:rFonts w:ascii="Times New Roman" w:hAnsi="Times New Roman" w:cs="Times New Roman"/>
          <w:color w:val="FF0000"/>
        </w:rPr>
      </w:pPr>
      <w:r>
        <w:rPr>
          <w:rFonts w:hint="eastAsia" w:ascii="宋体" w:hAnsi="宋体" w:cs="宋体"/>
          <w:color w:val="FF0000"/>
        </w:rPr>
        <w:t>⑥</w:t>
      </w:r>
      <w:r>
        <w:rPr>
          <w:rFonts w:ascii="Times New Roman" w:hAnsi="Times New Roman" w:cs="Times New Roman"/>
          <w:color w:val="FF0000"/>
        </w:rPr>
        <w:t>发展控制区面积1073.22km</w:t>
      </w:r>
      <w:r>
        <w:rPr>
          <w:rFonts w:ascii="Times New Roman" w:hAnsi="Times New Roman" w:cs="Times New Roman"/>
          <w:color w:val="FF0000"/>
          <w:vertAlign w:val="superscript"/>
        </w:rPr>
        <w:t>2</w:t>
      </w:r>
      <w:r>
        <w:rPr>
          <w:rFonts w:ascii="Times New Roman" w:hAnsi="Times New Roman" w:cs="Times New Roman"/>
          <w:color w:val="FF0000"/>
        </w:rPr>
        <w:t>，区内可以准许原有的土地利用方式与形态，可以安排同风景名胜区性质与容量相一致的各项旅游设施及基地，可以安排有序的生产，经营管理等设施，应分别控制各项设施的规模与内容。</w:t>
      </w:r>
    </w:p>
    <w:p>
      <w:pPr>
        <w:ind w:firstLine="480"/>
        <w:rPr>
          <w:rFonts w:ascii="Times New Roman" w:hAnsi="Times New Roman" w:cs="Times New Roman"/>
          <w:color w:val="FF0000"/>
          <w:szCs w:val="24"/>
          <w:lang w:val="zh-CN"/>
        </w:rPr>
      </w:pPr>
      <w:r>
        <w:rPr>
          <w:rFonts w:ascii="Times New Roman" w:hAnsi="Times New Roman" w:cs="Times New Roman"/>
          <w:color w:val="FF0000"/>
          <w:szCs w:val="24"/>
          <w:lang w:val="zh-CN"/>
        </w:rPr>
        <w:t>（2）巢湖国家重要湿地</w:t>
      </w:r>
    </w:p>
    <w:p>
      <w:pPr>
        <w:ind w:firstLine="480"/>
        <w:rPr>
          <w:rFonts w:ascii="Times New Roman" w:hAnsi="Times New Roman" w:cs="Times New Roman"/>
          <w:snapToGrid w:val="0"/>
          <w:color w:val="FF0000"/>
          <w:szCs w:val="20"/>
        </w:rPr>
      </w:pPr>
      <w:r>
        <w:rPr>
          <w:rFonts w:ascii="Times New Roman" w:hAnsi="Times New Roman" w:cs="Times New Roman"/>
          <w:snapToGrid w:val="0"/>
          <w:color w:val="FF0000"/>
          <w:szCs w:val="20"/>
        </w:rPr>
        <w:t>巢湖是中国重要湿地，与洞庭湖、鄱阳湖、太湖、洪泽湖并称为中国“五大淡水湖”。根据《安徽省全国第二次湿地资源调查》，巢湖湿地面积788km</w:t>
      </w:r>
      <w:r>
        <w:rPr>
          <w:rFonts w:ascii="Times New Roman" w:hAnsi="Times New Roman" w:cs="Times New Roman"/>
          <w:snapToGrid w:val="0"/>
          <w:color w:val="FF0000"/>
          <w:szCs w:val="20"/>
          <w:vertAlign w:val="superscript"/>
        </w:rPr>
        <w:t>2</w:t>
      </w:r>
      <w:r>
        <w:rPr>
          <w:rFonts w:ascii="Times New Roman" w:hAnsi="Times New Roman" w:cs="Times New Roman"/>
          <w:snapToGrid w:val="0"/>
          <w:color w:val="FF0000"/>
          <w:szCs w:val="20"/>
        </w:rPr>
        <w:t>。巢湖湖水主要靠地面径流补给，集水范围包括合肥市，巢湖市、肥东县，肥西县，庐江县，舒城县、无为县等两市五县，总集水面积为13486 km</w:t>
      </w:r>
      <w:r>
        <w:rPr>
          <w:rFonts w:ascii="Times New Roman" w:hAnsi="Times New Roman" w:cs="Times New Roman"/>
          <w:snapToGrid w:val="0"/>
          <w:color w:val="FF0000"/>
          <w:szCs w:val="20"/>
          <w:vertAlign w:val="superscript"/>
        </w:rPr>
        <w:t>2</w:t>
      </w:r>
      <w:r>
        <w:rPr>
          <w:rFonts w:ascii="Times New Roman" w:hAnsi="Times New Roman" w:cs="Times New Roman"/>
          <w:snapToGrid w:val="0"/>
          <w:color w:val="FF0000"/>
          <w:szCs w:val="20"/>
        </w:rPr>
        <w:t>。巢湖湖区分为西半湖和东半湖，湿地植物存在较大差异，西半湖植物较东半湖湿地植物丰富。</w:t>
      </w:r>
    </w:p>
    <w:p>
      <w:pPr>
        <w:ind w:firstLine="480"/>
        <w:rPr>
          <w:rFonts w:ascii="Times New Roman" w:hAnsi="Times New Roman" w:cs="Times New Roman"/>
          <w:color w:val="FF0000"/>
          <w:szCs w:val="24"/>
          <w:lang w:val="zh-CN"/>
        </w:rPr>
      </w:pPr>
      <w:r>
        <w:rPr>
          <w:rFonts w:ascii="Times New Roman" w:hAnsi="Times New Roman" w:cs="Times New Roman"/>
          <w:color w:val="FF0000"/>
          <w:szCs w:val="24"/>
          <w:lang w:val="zh-CN"/>
        </w:rPr>
        <w:t>（3）</w:t>
      </w:r>
      <w:r>
        <w:rPr>
          <w:rFonts w:ascii="Times New Roman" w:hAnsi="Times New Roman" w:cs="Times New Roman"/>
          <w:snapToGrid w:val="0"/>
          <w:color w:val="FF0000"/>
          <w:szCs w:val="24"/>
          <w:lang w:val="zh-CN"/>
        </w:rPr>
        <w:t>安徽</w:t>
      </w:r>
      <w:r>
        <w:rPr>
          <w:rFonts w:ascii="Times New Roman" w:hAnsi="Times New Roman" w:cs="Times New Roman"/>
          <w:color w:val="FF0000"/>
          <w:szCs w:val="24"/>
          <w:lang w:val="zh-CN"/>
        </w:rPr>
        <w:t>合肥滨湖省级湿地公园</w:t>
      </w:r>
    </w:p>
    <w:p>
      <w:pPr>
        <w:ind w:firstLine="480"/>
        <w:rPr>
          <w:rFonts w:ascii="Times New Roman" w:hAnsi="Times New Roman" w:cs="Times New Roman"/>
          <w:snapToGrid w:val="0"/>
          <w:color w:val="FF0000"/>
          <w:szCs w:val="20"/>
        </w:rPr>
      </w:pPr>
      <w:r>
        <w:rPr>
          <w:rFonts w:ascii="Times New Roman" w:hAnsi="Times New Roman" w:cs="Times New Roman"/>
          <w:snapToGrid w:val="0"/>
          <w:color w:val="FF0000"/>
          <w:szCs w:val="20"/>
        </w:rPr>
        <w:t>安徽包河区滨湖省级湿地公园于2014年12月设立。湿地公园位于合肥城区东南部、滨湖新区南端，毗邻巢湖。地理坐标为：东经117°29′56″～117°37′81″、北纬31°66′49″～31°72′74。湿地公园规划范围东至滨湖国家森林公园、西至派河、南至巢湖围堰大堤、北至环湖大道——苏拐风情街。滨湖省级湿地公园分为湿地保育区（包括塘西河口及其东侧围堰湿地、万年埠西侧围堰湿地）、恢复重建区（十五里河河口滩涂地）、宣教展示区（塘西河口东侧区域）、合理利用区（环湖北路南侧带状区域）、管理服务区（位于塘西河口西侧）5个功能区。规划总面积为906.5 hm</w:t>
      </w:r>
      <w:r>
        <w:rPr>
          <w:rFonts w:ascii="Times New Roman" w:hAnsi="Times New Roman" w:cs="Times New Roman"/>
          <w:snapToGrid w:val="0"/>
          <w:color w:val="FF0000"/>
          <w:szCs w:val="20"/>
          <w:vertAlign w:val="superscript"/>
        </w:rPr>
        <w:t>2</w:t>
      </w:r>
      <w:r>
        <w:rPr>
          <w:rFonts w:ascii="Times New Roman" w:hAnsi="Times New Roman" w:cs="Times New Roman"/>
          <w:snapToGrid w:val="0"/>
          <w:color w:val="FF0000"/>
          <w:szCs w:val="20"/>
        </w:rPr>
        <w:t>，其中湿地保育区面积578.8 hm</w:t>
      </w:r>
      <w:r>
        <w:rPr>
          <w:rFonts w:ascii="Times New Roman" w:hAnsi="Times New Roman" w:cs="Times New Roman"/>
          <w:snapToGrid w:val="0"/>
          <w:color w:val="FF0000"/>
          <w:szCs w:val="20"/>
          <w:vertAlign w:val="superscript"/>
        </w:rPr>
        <w:t>2</w:t>
      </w:r>
      <w:r>
        <w:rPr>
          <w:rFonts w:ascii="Times New Roman" w:hAnsi="Times New Roman" w:cs="Times New Roman"/>
          <w:snapToGrid w:val="0"/>
          <w:color w:val="FF0000"/>
          <w:szCs w:val="20"/>
        </w:rPr>
        <w:t>，占63.9%；恢复重建区面积85.2hm</w:t>
      </w:r>
      <w:r>
        <w:rPr>
          <w:rFonts w:ascii="Times New Roman" w:hAnsi="Times New Roman" w:cs="Times New Roman"/>
          <w:snapToGrid w:val="0"/>
          <w:color w:val="FF0000"/>
          <w:szCs w:val="20"/>
          <w:vertAlign w:val="superscript"/>
        </w:rPr>
        <w:t>2</w:t>
      </w:r>
      <w:r>
        <w:rPr>
          <w:rFonts w:ascii="Times New Roman" w:hAnsi="Times New Roman" w:cs="Times New Roman"/>
          <w:snapToGrid w:val="0"/>
          <w:color w:val="FF0000"/>
          <w:szCs w:val="20"/>
        </w:rPr>
        <w:t>，占9.4%；宣教展示区面积58.4hm</w:t>
      </w:r>
      <w:r>
        <w:rPr>
          <w:rFonts w:ascii="Times New Roman" w:hAnsi="Times New Roman" w:cs="Times New Roman"/>
          <w:snapToGrid w:val="0"/>
          <w:color w:val="FF0000"/>
          <w:szCs w:val="20"/>
          <w:vertAlign w:val="superscript"/>
        </w:rPr>
        <w:t>2</w:t>
      </w:r>
      <w:r>
        <w:rPr>
          <w:rFonts w:ascii="Times New Roman" w:hAnsi="Times New Roman" w:cs="Times New Roman"/>
          <w:snapToGrid w:val="0"/>
          <w:color w:val="FF0000"/>
          <w:szCs w:val="20"/>
        </w:rPr>
        <w:t>，占6.4%；合理利用区面积181.7hm</w:t>
      </w:r>
      <w:r>
        <w:rPr>
          <w:rFonts w:ascii="Times New Roman" w:hAnsi="Times New Roman" w:cs="Times New Roman"/>
          <w:snapToGrid w:val="0"/>
          <w:color w:val="FF0000"/>
          <w:szCs w:val="20"/>
          <w:vertAlign w:val="superscript"/>
        </w:rPr>
        <w:t>2</w:t>
      </w:r>
      <w:r>
        <w:rPr>
          <w:rFonts w:ascii="Times New Roman" w:hAnsi="Times New Roman" w:cs="Times New Roman"/>
          <w:snapToGrid w:val="0"/>
          <w:color w:val="FF0000"/>
          <w:szCs w:val="20"/>
        </w:rPr>
        <w:t>，占20.0%；湿地管理服务区面积2.4hm</w:t>
      </w:r>
      <w:r>
        <w:rPr>
          <w:rFonts w:ascii="Times New Roman" w:hAnsi="Times New Roman" w:cs="Times New Roman"/>
          <w:snapToGrid w:val="0"/>
          <w:color w:val="FF0000"/>
          <w:szCs w:val="20"/>
          <w:vertAlign w:val="superscript"/>
        </w:rPr>
        <w:t>2</w:t>
      </w:r>
      <w:r>
        <w:rPr>
          <w:rFonts w:ascii="Times New Roman" w:hAnsi="Times New Roman" w:cs="Times New Roman"/>
          <w:snapToGrid w:val="0"/>
          <w:color w:val="FF0000"/>
          <w:szCs w:val="20"/>
        </w:rPr>
        <w:t>，占0.3%。</w:t>
      </w:r>
    </w:p>
    <w:p>
      <w:pPr>
        <w:pStyle w:val="25"/>
        <w:spacing w:line="360" w:lineRule="auto"/>
        <w:ind w:firstLine="480"/>
        <w:rPr>
          <w:rFonts w:ascii="Times New Roman" w:hAnsi="Times New Roman" w:cs="Times New Roman"/>
          <w:color w:val="FF0000"/>
        </w:rPr>
      </w:pPr>
      <w:r>
        <w:rPr>
          <w:rFonts w:hint="eastAsia" w:ascii="Times New Roman" w:hAnsi="Times New Roman" w:cs="Times New Roman"/>
          <w:color w:val="FF0000"/>
        </w:rPr>
        <w:t>（4）合肥滨湖湿地森林公园</w:t>
      </w:r>
    </w:p>
    <w:p>
      <w:pPr>
        <w:pStyle w:val="25"/>
        <w:spacing w:line="360" w:lineRule="auto"/>
        <w:ind w:firstLine="480"/>
        <w:rPr>
          <w:rFonts w:ascii="Times New Roman" w:hAnsi="Times New Roman" w:cs="Times New Roman"/>
          <w:color w:val="FF0000"/>
        </w:rPr>
      </w:pPr>
      <w:r>
        <w:rPr>
          <w:rFonts w:hint="eastAsia" w:ascii="Times New Roman" w:hAnsi="Times New Roman" w:cs="Times New Roman"/>
          <w:color w:val="FF0000"/>
        </w:rPr>
        <w:t>合肥滨湖湿地森林公园位于安徽省合肥市包河区大张圩，靠近巢湖北岸南淝河入湖口，是中国首个退耕还林并经生态修复建成的国家级森林公园，开创了人工林成功晋升国家级森林公园的先河。</w:t>
      </w:r>
    </w:p>
    <w:p>
      <w:pPr>
        <w:pStyle w:val="25"/>
        <w:spacing w:line="360" w:lineRule="auto"/>
        <w:ind w:firstLine="480"/>
        <w:rPr>
          <w:rFonts w:ascii="Times New Roman" w:hAnsi="Times New Roman" w:cs="Times New Roman"/>
          <w:color w:val="FF0000"/>
        </w:rPr>
      </w:pPr>
      <w:r>
        <w:rPr>
          <w:rFonts w:hint="eastAsia" w:ascii="Times New Roman" w:hAnsi="Times New Roman" w:cs="Times New Roman"/>
          <w:color w:val="FF0000"/>
        </w:rPr>
        <w:t>合肥滨湖湿地公园升级为国家森林公园，于2014年4月12日正式挂牌，成为继紫蓬山国家森林公园、冶父山国家森林公园和大蜀山国家森林公园之后，合肥市第四个国家级森林公园，同时也让合肥成为在市区拥有两座国家森林公园的省会城市。</w:t>
      </w:r>
    </w:p>
    <w:p>
      <w:pPr>
        <w:pStyle w:val="25"/>
        <w:spacing w:line="360" w:lineRule="auto"/>
        <w:ind w:firstLine="480"/>
        <w:rPr>
          <w:rFonts w:ascii="Times New Roman" w:hAnsi="Times New Roman" w:cs="Times New Roman"/>
          <w:color w:val="FF0000"/>
        </w:rPr>
      </w:pPr>
      <w:r>
        <w:rPr>
          <w:rFonts w:hint="eastAsia" w:ascii="Times New Roman" w:hAnsi="Times New Roman" w:cs="Times New Roman"/>
          <w:color w:val="FF0000"/>
        </w:rPr>
        <w:t>合肥滨湖湿地森林公园北依甲子河，南达环湖北路，西连巢湖南路，东临南淝河，十五里河南北贯穿。公园面积1072公顷，其中森林面积799公顷，水域面积263公顷，是安徽省内万亩城市水网森林。</w:t>
      </w:r>
    </w:p>
    <w:p>
      <w:pPr>
        <w:pStyle w:val="98"/>
        <w:snapToGrid w:val="0"/>
        <w:ind w:firstLine="480" w:firstLineChars="200"/>
        <w:rPr>
          <w:rFonts w:ascii="Times New Roman" w:hAnsi="Times New Roman" w:cs="Times New Roman"/>
          <w:color w:val="FF0000"/>
          <w:szCs w:val="22"/>
        </w:rPr>
      </w:pPr>
      <w:r>
        <w:rPr>
          <w:rFonts w:hint="eastAsia" w:ascii="Times New Roman" w:hAnsi="Times New Roman" w:cs="Times New Roman"/>
          <w:color w:val="FF0000"/>
          <w:szCs w:val="22"/>
        </w:rPr>
        <w:t>合肥滨湖湿地森林公园内有植物达281种，形成多层次的植物群落系统。其中，森林上层以高大的杨树为主，辅以水杉、女贞、湿地松等；中层以次生的香樟、桑树、乌桕等为主；林下由棕榈、木芙蓉、藤蔓等植被组成。公园有国家一级保护植物水杉、珙桐、银杏等珍贵树种，以及再力花、德国鸢尾、荷花等水生植物。</w:t>
      </w:r>
    </w:p>
    <w:p>
      <w:pPr>
        <w:pStyle w:val="25"/>
        <w:spacing w:line="360" w:lineRule="auto"/>
        <w:ind w:firstLine="480"/>
        <w:rPr>
          <w:rFonts w:ascii="Times New Roman" w:hAnsi="Times New Roman" w:cs="Times New Roman"/>
          <w:color w:val="FF0000"/>
        </w:rPr>
      </w:pPr>
      <w:r>
        <w:rPr>
          <w:rFonts w:hint="eastAsia" w:ascii="Times New Roman" w:hAnsi="Times New Roman" w:cs="Times New Roman"/>
          <w:color w:val="FF0000"/>
        </w:rPr>
        <w:t>（</w:t>
      </w:r>
      <w:r>
        <w:rPr>
          <w:rFonts w:ascii="Times New Roman" w:hAnsi="Times New Roman" w:cs="Times New Roman"/>
          <w:color w:val="FF0000"/>
        </w:rPr>
        <w:t>5</w:t>
      </w:r>
      <w:r>
        <w:rPr>
          <w:rFonts w:hint="eastAsia" w:ascii="Times New Roman" w:hAnsi="Times New Roman" w:cs="Times New Roman"/>
          <w:color w:val="FF0000"/>
        </w:rPr>
        <w:t>）肥东临河省级湿地公园</w:t>
      </w:r>
    </w:p>
    <w:p>
      <w:pPr>
        <w:pStyle w:val="98"/>
        <w:snapToGrid w:val="0"/>
        <w:ind w:firstLine="480" w:firstLineChars="200"/>
        <w:rPr>
          <w:rFonts w:ascii="Times New Roman" w:hAnsi="Times New Roman" w:cs="Times New Roman"/>
          <w:color w:val="FF0000"/>
          <w:szCs w:val="22"/>
        </w:rPr>
      </w:pPr>
      <w:r>
        <w:rPr>
          <w:rFonts w:hint="eastAsia" w:ascii="Times New Roman" w:hAnsi="Times New Roman" w:cs="Times New Roman"/>
          <w:color w:val="FF0000"/>
          <w:szCs w:val="22"/>
        </w:rPr>
        <w:t>以长临河十八联圩为载体，打造成巢湖重要涵养生态的湿地、合肥市重要的再生水改造功能区。总占地面积2331.17公顷，湿地面积为1041.14公顷；东至回龙庵东侧；南至巢湖岸边常水位线8.5m；西至南淝河主河道岸西侧；北至南淝河与长乐河交汇处。</w:t>
      </w:r>
    </w:p>
    <w:p>
      <w:pPr>
        <w:pStyle w:val="25"/>
        <w:spacing w:line="360" w:lineRule="auto"/>
        <w:ind w:firstLine="480"/>
        <w:rPr>
          <w:rFonts w:ascii="Times New Roman" w:hAnsi="Times New Roman" w:cs="Times New Roman"/>
          <w:color w:val="FF0000"/>
        </w:rPr>
      </w:pPr>
      <w:r>
        <w:rPr>
          <w:rFonts w:hint="eastAsia" w:ascii="Times New Roman" w:hAnsi="Times New Roman" w:cs="Times New Roman"/>
          <w:color w:val="FF0000"/>
        </w:rPr>
        <w:t>（</w:t>
      </w:r>
      <w:r>
        <w:rPr>
          <w:rFonts w:ascii="Times New Roman" w:hAnsi="Times New Roman" w:cs="Times New Roman"/>
          <w:color w:val="FF0000"/>
        </w:rPr>
        <w:t>5</w:t>
      </w:r>
      <w:r>
        <w:rPr>
          <w:rFonts w:hint="eastAsia" w:ascii="Times New Roman" w:hAnsi="Times New Roman" w:cs="Times New Roman"/>
          <w:color w:val="FF0000"/>
        </w:rPr>
        <w:t>）安徽省生态红线</w:t>
      </w:r>
    </w:p>
    <w:p>
      <w:pPr>
        <w:pStyle w:val="98"/>
        <w:snapToGrid w:val="0"/>
        <w:ind w:firstLine="480" w:firstLineChars="200"/>
        <w:rPr>
          <w:rFonts w:ascii="Times New Roman" w:hAnsi="Times New Roman" w:cs="Times New Roman"/>
          <w:color w:val="FF0000"/>
          <w:szCs w:val="18"/>
        </w:rPr>
      </w:pPr>
      <w:r>
        <w:rPr>
          <w:rFonts w:ascii="Times New Roman" w:hAnsi="Times New Roman" w:cs="Times New Roman"/>
          <w:color w:val="FF0000"/>
          <w:szCs w:val="22"/>
        </w:rPr>
        <w:t>本项目位于肥东县撮镇店埠河左岸，根据《安徽省生态</w:t>
      </w:r>
      <w:r>
        <w:rPr>
          <w:rFonts w:hint="eastAsia" w:ascii="Times New Roman" w:hAnsi="Times New Roman" w:cs="Times New Roman"/>
          <w:color w:val="FF0000"/>
          <w:szCs w:val="22"/>
        </w:rPr>
        <w:t>保护</w:t>
      </w:r>
      <w:r>
        <w:rPr>
          <w:rFonts w:ascii="Times New Roman" w:hAnsi="Times New Roman" w:cs="Times New Roman"/>
          <w:color w:val="FF0000"/>
          <w:szCs w:val="22"/>
        </w:rPr>
        <w:t>红线》，项目区不占用生态红线，项目区附件分布有</w:t>
      </w:r>
      <w:r>
        <w:rPr>
          <w:rFonts w:ascii="Times New Roman" w:hAnsi="Times New Roman" w:cs="Times New Roman"/>
          <w:color w:val="FF0000"/>
          <w:szCs w:val="18"/>
        </w:rPr>
        <w:t>Ⅲ-3 巢湖盆地生物多样性维护生态保护红线；该生态红线区</w:t>
      </w:r>
      <w:r>
        <w:rPr>
          <w:rFonts w:ascii="Times New Roman" w:hAnsi="Times New Roman" w:cs="Times New Roman"/>
          <w:snapToGrid w:val="0"/>
          <w:color w:val="FF0000"/>
        </w:rPr>
        <w:t>生态系统特征：该区东、西、北三面为低山丘岗环绕，边缘有过渡型丘岗分布，岗冲交错起伏，沿巢湖一带为滨湖平原区。我国五大淡水湖之一的巢湖，在水生动植物和鸟类的生物多样性维护、区域气候调节、水文调节和水源供给等方面有着极高的生态价值，并提供了鱼虾等丰富的生态产品。该生态红线距离本项目最近的地点位于南淝河；</w:t>
      </w:r>
      <w:r>
        <w:rPr>
          <w:rFonts w:ascii="Times New Roman" w:hAnsi="Times New Roman" w:cs="Times New Roman"/>
          <w:color w:val="FF0000"/>
          <w:szCs w:val="18"/>
        </w:rPr>
        <w:t>位于本码头下游直线距离3km，水力路径3.2km处。</w:t>
      </w:r>
    </w:p>
    <w:p>
      <w:pPr>
        <w:pStyle w:val="98"/>
        <w:snapToGrid w:val="0"/>
        <w:ind w:firstLine="480" w:firstLineChars="200"/>
        <w:rPr>
          <w:rFonts w:ascii="Times New Roman" w:hAnsi="Times New Roman" w:cs="Times New Roman"/>
          <w:color w:val="FF0000"/>
          <w:sz w:val="21"/>
          <w:szCs w:val="20"/>
        </w:rPr>
      </w:pPr>
      <w:r>
        <w:rPr>
          <w:rFonts w:hint="eastAsia" w:ascii="Times New Roman" w:hAnsi="Times New Roman" w:cs="Times New Roman"/>
          <w:color w:val="FF0000"/>
          <w:szCs w:val="18"/>
        </w:rPr>
        <w:t>本项目与安徽省生态保护红线、巢湖重要湿地、安徽合肥巢湖湖滨国家湿地公园、合肥滨湖湿地森林公园、肥东临河省级湿地公园的规划图及位置关系图；见报告书图2.</w:t>
      </w:r>
      <w:r>
        <w:rPr>
          <w:rFonts w:ascii="Times New Roman" w:hAnsi="Times New Roman" w:cs="Times New Roman"/>
          <w:color w:val="FF0000"/>
          <w:szCs w:val="18"/>
        </w:rPr>
        <w:t>9-1</w:t>
      </w:r>
      <w:r>
        <w:rPr>
          <w:rFonts w:hint="eastAsia" w:ascii="Times New Roman" w:hAnsi="Times New Roman" w:cs="Times New Roman"/>
          <w:color w:val="FF0000"/>
          <w:szCs w:val="18"/>
        </w:rPr>
        <w:t>至图2</w:t>
      </w:r>
      <w:r>
        <w:rPr>
          <w:rFonts w:ascii="Times New Roman" w:hAnsi="Times New Roman" w:cs="Times New Roman"/>
          <w:color w:val="FF0000"/>
          <w:szCs w:val="18"/>
        </w:rPr>
        <w:t>.9-6</w:t>
      </w:r>
      <w:r>
        <w:rPr>
          <w:rFonts w:hint="eastAsia" w:ascii="Times New Roman" w:hAnsi="Times New Roman" w:cs="Times New Roman"/>
          <w:color w:val="FF0000"/>
          <w:szCs w:val="18"/>
        </w:rPr>
        <w:t>；本项目与巢湖风景名胜区的规划位置关系见图2.4-9。</w:t>
      </w:r>
    </w:p>
    <w:p>
      <w:pPr>
        <w:pStyle w:val="4"/>
        <w:rPr>
          <w:rStyle w:val="1121"/>
          <w:rFonts w:eastAsia="黑体"/>
          <w:b w:val="0"/>
          <w:color w:val="auto"/>
          <w:sz w:val="24"/>
          <w:szCs w:val="24"/>
        </w:rPr>
      </w:pPr>
      <w:bookmarkStart w:id="334" w:name="_Toc104733386"/>
      <w:bookmarkStart w:id="335" w:name="_Toc102984355"/>
      <w:r>
        <w:rPr>
          <w:rStyle w:val="1121"/>
          <w:rFonts w:eastAsia="黑体"/>
          <w:b w:val="0"/>
          <w:color w:val="auto"/>
          <w:sz w:val="24"/>
          <w:szCs w:val="24"/>
        </w:rPr>
        <w:t>4.8.2区域生态环境调查</w:t>
      </w:r>
      <w:bookmarkEnd w:id="334"/>
      <w:bookmarkEnd w:id="335"/>
    </w:p>
    <w:p>
      <w:pPr>
        <w:ind w:firstLine="480"/>
        <w:rPr>
          <w:rFonts w:ascii="Times New Roman" w:hAnsi="Times New Roman" w:cs="Times New Roman"/>
          <w:color w:val="auto"/>
        </w:rPr>
      </w:pPr>
      <w:r>
        <w:rPr>
          <w:rFonts w:ascii="Times New Roman" w:hAnsi="Times New Roman" w:cs="Times New Roman"/>
          <w:color w:val="auto"/>
        </w:rPr>
        <w:t>本项目位于店埠河东岸，店埠河属于南淝河支流，南淝河最终汇入巢湖，项目区属于巢湖水系。本次评价</w:t>
      </w:r>
      <w:r>
        <w:rPr>
          <w:rFonts w:hint="eastAsia" w:ascii="Times New Roman" w:hAnsi="Times New Roman" w:cs="Times New Roman"/>
          <w:color w:val="auto"/>
        </w:rPr>
        <w:t>结合南淝河及巢湖的生态敏感性，确定了调查范围、调查对象、地形地貌和实际情况选择合适的调查方法。开展了样线、样方调查，样线、样方的数量、长度或面积，涵盖调查范围内不同的植被类型及生境类型。</w:t>
      </w:r>
    </w:p>
    <w:p>
      <w:pPr>
        <w:ind w:firstLine="480"/>
        <w:rPr>
          <w:rFonts w:ascii="Times New Roman" w:hAnsi="Times New Roman" w:cs="Times New Roman"/>
          <w:color w:val="auto"/>
        </w:rPr>
      </w:pPr>
      <w:r>
        <w:rPr>
          <w:rFonts w:hint="eastAsia" w:ascii="Times New Roman" w:hAnsi="Times New Roman" w:cs="Times New Roman"/>
          <w:color w:val="auto"/>
        </w:rPr>
        <w:t>本次评价首先调查</w:t>
      </w:r>
      <w:r>
        <w:rPr>
          <w:rFonts w:ascii="Times New Roman" w:hAnsi="Times New Roman" w:cs="Times New Roman"/>
          <w:color w:val="auto"/>
        </w:rPr>
        <w:t>引用</w:t>
      </w:r>
      <w:r>
        <w:rPr>
          <w:rFonts w:hint="eastAsia" w:ascii="Times New Roman" w:hAnsi="Times New Roman" w:cs="Times New Roman"/>
          <w:color w:val="auto"/>
        </w:rPr>
        <w:t>了《安徽省生态保护红线》、</w:t>
      </w:r>
      <w:r>
        <w:rPr>
          <w:rFonts w:ascii="Times New Roman" w:hAnsi="Times New Roman" w:cs="Times New Roman"/>
          <w:color w:val="auto"/>
        </w:rPr>
        <w:t>《引江济淮工程环境影响报告书》、《合肥港总体规划 （2016-2040 年）环境影响报告书》、《店埠河(合裕公路桥～三汊河口段)航道升级工程环境影响评价报告书》、《合裕线航道工程环境影响报告书》、《中国物流合肥基地店埠河水陆联运综合码头工程项目环境影响报告书》、《巢湖渔业生态保护区简介》中相关内容进行评价中店埠河及巢湖流域生态环境调查数据。</w:t>
      </w:r>
    </w:p>
    <w:p>
      <w:pPr>
        <w:ind w:firstLine="480"/>
        <w:rPr>
          <w:rFonts w:ascii="Times New Roman" w:hAnsi="Times New Roman" w:cs="Times New Roman"/>
        </w:rPr>
      </w:pPr>
      <w:r>
        <w:rPr>
          <w:rFonts w:ascii="Times New Roman" w:hAnsi="Times New Roman" w:cs="Times New Roman"/>
        </w:rPr>
        <w:t>巢湖流域总面积13486km</w:t>
      </w:r>
      <w:r>
        <w:rPr>
          <w:rFonts w:ascii="Times New Roman" w:hAnsi="Times New Roman" w:cs="Times New Roman"/>
          <w:vertAlign w:val="superscript"/>
        </w:rPr>
        <w:t>2</w:t>
      </w:r>
      <w:r>
        <w:rPr>
          <w:rFonts w:ascii="Times New Roman" w:hAnsi="Times New Roman" w:cs="Times New Roman"/>
        </w:rPr>
        <w:t>，其中巢湖闸以上流域面积9153km</w:t>
      </w:r>
      <w:r>
        <w:rPr>
          <w:rFonts w:ascii="Times New Roman" w:hAnsi="Times New Roman" w:cs="Times New Roman"/>
          <w:vertAlign w:val="superscript"/>
        </w:rPr>
        <w:t>2</w:t>
      </w:r>
      <w:r>
        <w:rPr>
          <w:rFonts w:ascii="Times New Roman" w:hAnsi="Times New Roman" w:cs="Times New Roman"/>
        </w:rPr>
        <w:t>，主要支流有丰乐河、杭埠河、南淝河、派河、白石天河、柘皋河和兆河等呈放射状注入巢湖，巢湖闸下裕溪河水系流域面积3929km</w:t>
      </w:r>
      <w:r>
        <w:rPr>
          <w:rFonts w:ascii="Times New Roman" w:hAnsi="Times New Roman" w:cs="Times New Roman"/>
          <w:vertAlign w:val="superscript"/>
        </w:rPr>
        <w:t>2</w:t>
      </w:r>
      <w:r>
        <w:rPr>
          <w:rFonts w:ascii="Times New Roman" w:hAnsi="Times New Roman" w:cs="Times New Roman"/>
        </w:rPr>
        <w:t>，主要支流有清溪河、西河等。巢湖水深较浅，是典型的易富营养化湖泊，属于蓝藻型温带平地湖。</w:t>
      </w:r>
    </w:p>
    <w:p>
      <w:pPr>
        <w:pStyle w:val="5"/>
        <w:numPr>
          <w:ilvl w:val="0"/>
          <w:numId w:val="0"/>
        </w:numPr>
        <w:tabs>
          <w:tab w:val="left" w:pos="2268"/>
          <w:tab w:val="clear" w:pos="921"/>
          <w:tab w:val="clear" w:pos="2241"/>
        </w:tabs>
        <w:spacing w:after="0" w:line="360" w:lineRule="auto"/>
        <w:rPr>
          <w:rStyle w:val="1121"/>
          <w:rFonts w:eastAsia="黑体"/>
          <w:b w:val="0"/>
          <w:color w:val="auto"/>
          <w:sz w:val="24"/>
          <w:szCs w:val="24"/>
        </w:rPr>
      </w:pPr>
      <w:r>
        <w:rPr>
          <w:rStyle w:val="1121"/>
          <w:rFonts w:eastAsia="黑体"/>
          <w:b w:val="0"/>
          <w:color w:val="auto"/>
          <w:sz w:val="24"/>
          <w:szCs w:val="24"/>
        </w:rPr>
        <w:t>4.8.2.1区域植物生态现状调查</w:t>
      </w:r>
    </w:p>
    <w:p>
      <w:pPr>
        <w:ind w:firstLine="482"/>
        <w:rPr>
          <w:rFonts w:ascii="Times New Roman" w:hAnsi="Times New Roman" w:cs="Times New Roman"/>
          <w:b/>
          <w:bCs/>
        </w:rPr>
      </w:pPr>
      <w:r>
        <w:rPr>
          <w:rFonts w:ascii="Times New Roman" w:hAnsi="Times New Roman" w:cs="Times New Roman"/>
          <w:b/>
          <w:bCs/>
        </w:rPr>
        <w:t xml:space="preserve">（1）巢湖流域植被分布现状 </w:t>
      </w:r>
    </w:p>
    <w:p>
      <w:pPr>
        <w:pStyle w:val="25"/>
        <w:spacing w:line="360" w:lineRule="auto"/>
        <w:ind w:firstLine="480"/>
      </w:pPr>
      <w:r>
        <w:rPr>
          <w:rFonts w:hint="eastAsia"/>
        </w:rPr>
        <w:t>根据</w:t>
      </w:r>
      <w:r>
        <w:rPr>
          <w:rFonts w:hint="eastAsia" w:ascii="Times New Roman" w:hAnsi="Times New Roman" w:cs="Times New Roman"/>
          <w:color w:val="auto"/>
        </w:rPr>
        <w:t>《安徽省生态保护红线》，项目区为</w:t>
      </w:r>
      <w:r>
        <w:rPr>
          <w:rFonts w:hint="eastAsia"/>
        </w:rPr>
        <w:t>北亚热带落叶、常绿阔叶混交林带；湖泊湿地类型为主。区域代表性植物有：栓皮栎、麻栎、槲树、黄檀、化香、黄连木、三角枫、狭叶山胡椒、刺槐、酸枣、白檀、牛鼻栓、小叶女贞、华中灰栒子、胡颓子。</w:t>
      </w:r>
    </w:p>
    <w:p>
      <w:pPr>
        <w:ind w:firstLine="480"/>
        <w:rPr>
          <w:rFonts w:ascii="Times New Roman" w:hAnsi="Times New Roman" w:cs="Times New Roman"/>
        </w:rPr>
      </w:pPr>
      <w:r>
        <w:rPr>
          <w:rFonts w:ascii="Times New Roman" w:hAnsi="Times New Roman" w:cs="Times New Roman"/>
        </w:rPr>
        <w:t>评价区域内的典型植被为常绿阔叶林、常绿、落叶阔叶混交林、针叶林和竹林等。植物区系成份主要有壳斗科、樟科、木兰科、山茶科、金缕海科、杜英科、冬青科、山矾科、竹亚科和亚热带柏松类等植物。由于区域垦殖历史久、人类活动频繁，低山丘陵的原生植物基本被开发殆尽，现状植物主要是马尾松林、杉木林、油茶林和灌草丛。农作物主要有水稻、小麦、玉米以及豆类、油类、薯类等作物。</w:t>
      </w:r>
    </w:p>
    <w:p>
      <w:pPr>
        <w:ind w:firstLine="480"/>
        <w:rPr>
          <w:rFonts w:ascii="Times New Roman" w:hAnsi="Times New Roman" w:cs="Times New Roman"/>
        </w:rPr>
      </w:pPr>
      <w:r>
        <w:rPr>
          <w:rFonts w:hint="eastAsia" w:ascii="宋体" w:hAnsi="宋体" w:cs="宋体"/>
        </w:rPr>
        <w:t>①</w:t>
      </w:r>
      <w:r>
        <w:rPr>
          <w:rFonts w:ascii="Times New Roman" w:hAnsi="Times New Roman" w:cs="Times New Roman"/>
        </w:rPr>
        <w:t xml:space="preserve"> 湿陆生植物带：分布于枯水期陆滩，无积水，但土壤潮湿，汛期水深0.5m以内的河沿湖沿、江堤脚吃水线以内区域，面积较小。木本湿地植被在河流两侧的堤岸、河漫滩上均有分布。如旱柳林、池杉林，意杨林广泛分布在堤岸上；水杉林分布在河漫滩本体靠近堤岸处。由于生境变化，植物种类组成复杂，既适于水环境又耐陆生，或生活周期中某阶段适于水环境而另一阶段则适于陆生的交递规律。因此，植物形态具多样性，如须根发达具匍匐茎、具肉质根或多不定根等。常见种为唐松草、丁香蓼、空心莲子草、蓼子草、虾蚶菜、喜旱莲子草、齿果酸模、稗属、看麦娘、半边莲、异型莎草等。</w:t>
      </w:r>
    </w:p>
    <w:p>
      <w:pPr>
        <w:ind w:firstLine="480"/>
        <w:rPr>
          <w:rFonts w:ascii="Times New Roman" w:hAnsi="Times New Roman" w:cs="Times New Roman"/>
        </w:rPr>
      </w:pPr>
      <w:r>
        <w:rPr>
          <w:rFonts w:hint="eastAsia" w:ascii="宋体" w:hAnsi="宋体" w:cs="宋体"/>
        </w:rPr>
        <w:t>②</w:t>
      </w:r>
      <w:r>
        <w:rPr>
          <w:rFonts w:ascii="Times New Roman" w:hAnsi="Times New Roman" w:cs="Times New Roman"/>
        </w:rPr>
        <w:t xml:space="preserve"> 湿生植物带：分布于枯水期仍积水的滩地，汛期水深0.5～1m之间的河沿、滩地低凹处等区域，呈片斑状。带内出现的种子植物可在浅水环境中生长发育，花、果枝挺出水面，植株花序或花序梗发达或具较长的小花梗。如益母草、白茅、狗牙根、牛鞭草、冈草、慈菇属、合萌、双穗雀稗、李氏禾、旱苗蓼、荭草、江南荸荠、荆三棱、苔属、石龙芮、风花菜、水芹、水苦荬、鳢肠、萎蒿、飘拂草属、水蜈蚣、灯芯草属、水车前、水蕨、萍属等。</w:t>
      </w:r>
    </w:p>
    <w:p>
      <w:pPr>
        <w:ind w:firstLine="480"/>
        <w:rPr>
          <w:rFonts w:ascii="Times New Roman" w:hAnsi="Times New Roman" w:cs="Times New Roman"/>
        </w:rPr>
      </w:pPr>
      <w:r>
        <w:rPr>
          <w:rFonts w:hint="eastAsia" w:ascii="宋体" w:hAnsi="宋体" w:cs="宋体"/>
        </w:rPr>
        <w:t>③</w:t>
      </w:r>
      <w:r>
        <w:rPr>
          <w:rFonts w:ascii="Times New Roman" w:hAnsi="Times New Roman" w:cs="Times New Roman"/>
        </w:rPr>
        <w:t xml:space="preserve"> 挺水植物带：分布于汛期水深1～1.5m的河边等水域。从水下看，该植物带多分布于湖盆向湖岸延伸的倾斜坡面或河流的吃水坡岸。带内淤泥深厚、肥沃。植株多为高禾类，根状茎发达，不定根易发生。主要有菰群丛，莲群丛，芦苇群丛，旱苗蓼群丛。下层有浮叶植物和浮水植物散生，稀疏处有沉水植物。</w:t>
      </w:r>
    </w:p>
    <w:p>
      <w:pPr>
        <w:ind w:firstLine="480"/>
        <w:rPr>
          <w:rFonts w:ascii="Times New Roman" w:hAnsi="Times New Roman" w:cs="Times New Roman"/>
        </w:rPr>
      </w:pPr>
      <w:r>
        <w:rPr>
          <w:rFonts w:hint="eastAsia" w:ascii="宋体" w:hAnsi="宋体" w:cs="宋体"/>
        </w:rPr>
        <w:t>④</w:t>
      </w:r>
      <w:r>
        <w:rPr>
          <w:rFonts w:ascii="Times New Roman" w:hAnsi="Times New Roman" w:cs="Times New Roman"/>
        </w:rPr>
        <w:t xml:space="preserve"> 浮叶植物带：分布于水深1.5～2m的水域。浮叶植物有杏菜、芡、菱属、水鳖、莼菜等，叶浮于水面，根系和茎沉于水体，花露出水面开放，果于水下生长发育。上层有挺水植物，如莲，下层有沉水植物，如苦草、聚草、黑藻等。</w:t>
      </w:r>
    </w:p>
    <w:p>
      <w:pPr>
        <w:ind w:firstLine="480"/>
        <w:rPr>
          <w:rFonts w:ascii="Times New Roman" w:hAnsi="Times New Roman" w:cs="Times New Roman"/>
        </w:rPr>
      </w:pPr>
      <w:r>
        <w:rPr>
          <w:rFonts w:hint="eastAsia" w:ascii="宋体" w:hAnsi="宋体" w:cs="宋体"/>
        </w:rPr>
        <w:t>⑤</w:t>
      </w:r>
      <w:r>
        <w:rPr>
          <w:rFonts w:ascii="Times New Roman" w:hAnsi="Times New Roman" w:cs="Times New Roman"/>
        </w:rPr>
        <w:t xml:space="preserve"> 浮水植物带：呈板块状飘浮，往往有较大面积集生，无论深、浅水域均有分布，通常在河湾等下风港集中。浮水植物个体较小，易随水体飘移，但不适应于湍急水流。主要种类有狸藻属、大薸、紫萍、浮萍、凤眼莲、满江红、槐叶萍等。带间疏生挺水及沉水植物，未发现珍稀动植物。</w:t>
      </w:r>
    </w:p>
    <w:p>
      <w:pPr>
        <w:ind w:firstLine="480"/>
        <w:rPr>
          <w:rFonts w:ascii="Times New Roman" w:hAnsi="Times New Roman" w:cs="Times New Roman"/>
        </w:rPr>
      </w:pPr>
      <w:r>
        <w:rPr>
          <w:rFonts w:ascii="Times New Roman" w:hAnsi="Times New Roman" w:cs="Times New Roman"/>
        </w:rPr>
        <w:t>在调查资料，项目区未发现国家和地方重点保护野生植物。</w:t>
      </w:r>
    </w:p>
    <w:p>
      <w:pPr>
        <w:pStyle w:val="25"/>
        <w:ind w:leftChars="-59" w:hanging="141" w:hangingChars="59"/>
        <w:rPr>
          <w:rFonts w:ascii="Times New Roman" w:hAnsi="Times New Roman" w:cs="Times New Roman"/>
        </w:rPr>
      </w:pPr>
      <w:r>
        <w:rPr>
          <w:rFonts w:ascii="Times New Roman" w:hAnsi="Times New Roman" w:cs="Times New Roman"/>
        </w:rPr>
        <w:drawing>
          <wp:inline distT="0" distB="0" distL="0" distR="0">
            <wp:extent cx="5730875" cy="4391025"/>
            <wp:effectExtent l="0" t="0" r="0" b="0"/>
            <wp:docPr id="78" name="图片 7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true" noChangeArrowheads="true"/>
                    </pic:cNvPicPr>
                  </pic:nvPicPr>
                  <pic:blipFill>
                    <a:blip r:embed="rId134"/>
                    <a:srcRect/>
                    <a:stretch>
                      <a:fillRect/>
                    </a:stretch>
                  </pic:blipFill>
                  <pic:spPr>
                    <a:xfrm>
                      <a:off x="0" y="0"/>
                      <a:ext cx="5730875" cy="4391025"/>
                    </a:xfrm>
                    <a:prstGeom prst="rect">
                      <a:avLst/>
                    </a:prstGeom>
                    <a:noFill/>
                    <a:ln>
                      <a:noFill/>
                    </a:ln>
                  </pic:spPr>
                </pic:pic>
              </a:graphicData>
            </a:graphic>
          </wp:inline>
        </w:drawing>
      </w:r>
    </w:p>
    <w:p>
      <w:pPr>
        <w:pStyle w:val="98"/>
        <w:jc w:val="center"/>
        <w:rPr>
          <w:rFonts w:ascii="Times New Roman" w:hAnsi="Times New Roman" w:cs="Times New Roman"/>
          <w:b/>
          <w:bCs/>
          <w:sz w:val="22"/>
          <w:szCs w:val="22"/>
        </w:rPr>
      </w:pPr>
      <w:r>
        <w:rPr>
          <w:rFonts w:ascii="Times New Roman" w:hAnsi="Times New Roman" w:cs="Times New Roman"/>
          <w:b/>
          <w:bCs/>
          <w:sz w:val="22"/>
          <w:szCs w:val="22"/>
        </w:rPr>
        <w:t>图4.8-3  项目区域植被类型图</w:t>
      </w:r>
    </w:p>
    <w:p>
      <w:pPr>
        <w:pStyle w:val="98"/>
        <w:jc w:val="center"/>
        <w:rPr>
          <w:rFonts w:ascii="Times New Roman" w:hAnsi="Times New Roman" w:cs="Times New Roman"/>
        </w:rPr>
      </w:pPr>
      <w:r>
        <w:rPr>
          <w:rFonts w:ascii="Times New Roman" w:hAnsi="Times New Roman" w:cs="Times New Roman"/>
        </w:rPr>
        <w:drawing>
          <wp:inline distT="0" distB="0" distL="0" distR="0">
            <wp:extent cx="5741670" cy="3200400"/>
            <wp:effectExtent l="0" t="0" r="0" b="0"/>
            <wp:docPr id="79" name="图片 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true" noChangeArrowheads="true"/>
                    </pic:cNvPicPr>
                  </pic:nvPicPr>
                  <pic:blipFill>
                    <a:blip r:embed="rId135" cstate="hqprint"/>
                    <a:srcRect/>
                    <a:stretch>
                      <a:fillRect/>
                    </a:stretch>
                  </pic:blipFill>
                  <pic:spPr>
                    <a:xfrm>
                      <a:off x="0" y="0"/>
                      <a:ext cx="5741670" cy="3200400"/>
                    </a:xfrm>
                    <a:prstGeom prst="rect">
                      <a:avLst/>
                    </a:prstGeom>
                    <a:noFill/>
                    <a:ln>
                      <a:noFill/>
                    </a:ln>
                  </pic:spPr>
                </pic:pic>
              </a:graphicData>
            </a:graphic>
          </wp:inline>
        </w:drawing>
      </w:r>
    </w:p>
    <w:p>
      <w:pPr>
        <w:pStyle w:val="98"/>
        <w:jc w:val="center"/>
        <w:rPr>
          <w:rFonts w:ascii="Times New Roman" w:hAnsi="Times New Roman" w:eastAsia="等线" w:cs="Times New Roman"/>
          <w:b/>
          <w:bCs/>
          <w:sz w:val="22"/>
          <w:szCs w:val="22"/>
        </w:rPr>
      </w:pPr>
      <w:r>
        <w:rPr>
          <w:rFonts w:ascii="Times New Roman" w:hAnsi="Times New Roman" w:cs="Times New Roman"/>
          <w:b/>
          <w:bCs/>
          <w:sz w:val="22"/>
          <w:szCs w:val="22"/>
        </w:rPr>
        <w:t>图4.8-4 项目用地区域航拍图</w:t>
      </w:r>
    </w:p>
    <w:p>
      <w:pPr>
        <w:ind w:leftChars="-59" w:hanging="141" w:hangingChars="59"/>
        <w:jc w:val="center"/>
        <w:rPr>
          <w:rFonts w:ascii="Times New Roman" w:hAnsi="Times New Roman" w:cs="Times New Roman"/>
        </w:rPr>
      </w:pPr>
      <w:r>
        <w:rPr>
          <w:rFonts w:ascii="Times New Roman" w:hAnsi="Times New Roman" w:cs="Times New Roman"/>
        </w:rPr>
        <w:drawing>
          <wp:inline distT="0" distB="0" distL="0" distR="0">
            <wp:extent cx="5569585" cy="4133850"/>
            <wp:effectExtent l="0" t="0" r="0" b="0"/>
            <wp:docPr id="80" name="图片 8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true" noChangeArrowheads="true"/>
                    </pic:cNvPicPr>
                  </pic:nvPicPr>
                  <pic:blipFill>
                    <a:blip r:embed="rId136"/>
                    <a:srcRect/>
                    <a:stretch>
                      <a:fillRect/>
                    </a:stretch>
                  </pic:blipFill>
                  <pic:spPr>
                    <a:xfrm>
                      <a:off x="0" y="0"/>
                      <a:ext cx="5572780" cy="4136067"/>
                    </a:xfrm>
                    <a:prstGeom prst="rect">
                      <a:avLst/>
                    </a:prstGeom>
                    <a:noFill/>
                    <a:ln>
                      <a:noFill/>
                    </a:ln>
                  </pic:spPr>
                </pic:pic>
              </a:graphicData>
            </a:graphic>
          </wp:inline>
        </w:drawing>
      </w:r>
      <w:r>
        <w:rPr>
          <w:rFonts w:ascii="Times New Roman" w:hAnsi="Times New Roman" w:cs="Times New Roman"/>
        </w:rPr>
        <w:drawing>
          <wp:inline distT="0" distB="0" distL="0" distR="0">
            <wp:extent cx="5543550" cy="4137025"/>
            <wp:effectExtent l="0" t="0" r="0" b="0"/>
            <wp:docPr id="81" name="图片 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true" noChangeArrowheads="true"/>
                    </pic:cNvPicPr>
                  </pic:nvPicPr>
                  <pic:blipFill>
                    <a:blip r:embed="rId137"/>
                    <a:srcRect/>
                    <a:stretch>
                      <a:fillRect/>
                    </a:stretch>
                  </pic:blipFill>
                  <pic:spPr>
                    <a:xfrm>
                      <a:off x="0" y="0"/>
                      <a:ext cx="5546440" cy="4139281"/>
                    </a:xfrm>
                    <a:prstGeom prst="rect">
                      <a:avLst/>
                    </a:prstGeom>
                    <a:noFill/>
                    <a:ln>
                      <a:noFill/>
                    </a:ln>
                  </pic:spPr>
                </pic:pic>
              </a:graphicData>
            </a:graphic>
          </wp:inline>
        </w:drawing>
      </w:r>
    </w:p>
    <w:p>
      <w:pPr>
        <w:ind w:left="-11" w:leftChars="-59" w:hanging="130" w:hangingChars="59"/>
        <w:jc w:val="center"/>
        <w:rPr>
          <w:rFonts w:ascii="Times New Roman" w:hAnsi="Times New Roman" w:cs="Times New Roman"/>
          <w:b/>
          <w:bCs/>
          <w:sz w:val="22"/>
        </w:rPr>
      </w:pPr>
      <w:r>
        <w:rPr>
          <w:rFonts w:ascii="Times New Roman" w:hAnsi="Times New Roman" w:cs="Times New Roman"/>
          <w:b/>
          <w:bCs/>
          <w:sz w:val="22"/>
        </w:rPr>
        <w:t>图4.8-5   项目用地区现场照片</w:t>
      </w:r>
    </w:p>
    <w:p>
      <w:pPr>
        <w:ind w:leftChars="-59" w:hanging="142" w:hangingChars="59"/>
        <w:rPr>
          <w:rFonts w:ascii="Times New Roman" w:hAnsi="Times New Roman" w:cs="Times New Roman"/>
          <w:snapToGrid w:val="0"/>
          <w:color w:val="auto"/>
          <w:szCs w:val="20"/>
          <w:lang w:val="zh-CN"/>
        </w:rPr>
      </w:pPr>
      <w:r>
        <w:rPr>
          <w:rFonts w:ascii="Times New Roman" w:hAnsi="Times New Roman" w:cs="Times New Roman"/>
          <w:b/>
          <w:snapToGrid w:val="0"/>
          <w:color w:val="auto"/>
          <w:szCs w:val="20"/>
          <w:lang w:val="zh-CN"/>
        </w:rPr>
        <w:t>（2）巢湖流域浮游植物现状调查</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浮游植物是水生态系统的初级生产者，分布广泛，适应性强。同时是鱼类及其他水生动物的天然饵料。</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根据中科院水生所现场调查（合裕线航道工程）有关调查资料，巢湖湖区共发现浮游植物5门39属84种，其中绿藻门（Chlorophyta）最多，为43种，占浮游植物种类的67.2%；蓝藻门（Cyanophyta）次之，为11种，占17.2%；硅藻门（ Bacillariophyta ）6种，占 9.4% ； 另外隐藻门（Cryptophyta）3种，裸藻门（Euglenophyta）1 种。蓝藻在巢湖浮游植物中所占的比重最高，年平均值占总藻类生物量的45.43%。其次是绿藻（占27.1%）和硅藻（占20.6%）。蓝藻在夏季和秋季生物量较高，6 月达到峰值，其它季节相对较小。</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根据华中农业大学（引江济淮工程）现场调查有关调查资料，巢湖共检出浮游植物7门 56 属112 种。其中绿藻门23属49种，占全部种数的43.8%；硅藻门14 属33种，占29.5%；蓝藻门6属9种，占8.0%；裸藻门3属8种，占7.1%；甲藻门4 属 7 种，占6.2%；隐藻门 2 属 3 种，占2.7%；黄藻门2 属3种，占2.7%。调查区域的浮游植物优势种有：蓝藻门的微囊藻、卷曲鱼腥藻、水华束丝藻，硅藻门的短小舟形藻等。</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在店埠河(合裕公路桥～三汊河口段)航道升级工程项目生态调查中，共发现浮游植物7门21种，其中硅藻门8种，占浮游植物种类数的38%，绿藻门、金藻门、隐藻门分别有3种，分别占浮游植物种类数的14%，裸藻门2种，占浮游植物种类数的 10%，甲藻门和蓝藻门分别有1种，分别占浮游植物种类数的5%。店埠河浮游植物以蓝藻、硅藻为优势类群。</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南淝河浮游植物主要以硅藻门、绿藻门和蓝藻门为主，种类最多的是绿藻门，共44属101种，其次是蓝藻，共18属46种，再次是硅藻，共13属28种。</w:t>
      </w:r>
    </w:p>
    <w:p>
      <w:pPr>
        <w:ind w:firstLine="482"/>
        <w:rPr>
          <w:rFonts w:ascii="Times New Roman" w:hAnsi="Times New Roman" w:cs="Times New Roman"/>
          <w:snapToGrid w:val="0"/>
        </w:rPr>
      </w:pPr>
      <w:r>
        <w:rPr>
          <w:rFonts w:ascii="Times New Roman" w:hAnsi="Times New Roman" w:cs="Times New Roman"/>
          <w:b/>
          <w:snapToGrid w:val="0"/>
          <w:color w:val="auto"/>
          <w:szCs w:val="20"/>
          <w:lang w:val="zh-CN"/>
        </w:rPr>
        <w:t>（3）巢湖流域</w:t>
      </w:r>
      <w:r>
        <w:rPr>
          <w:rFonts w:ascii="Times New Roman" w:hAnsi="Times New Roman" w:cs="Times New Roman"/>
          <w:b/>
          <w:bCs/>
          <w:snapToGrid w:val="0"/>
        </w:rPr>
        <w:t>水生维管束植物</w:t>
      </w:r>
      <w:r>
        <w:rPr>
          <w:rFonts w:ascii="Times New Roman" w:hAnsi="Times New Roman" w:cs="Times New Roman"/>
          <w:b/>
          <w:snapToGrid w:val="0"/>
          <w:color w:val="auto"/>
          <w:szCs w:val="20"/>
          <w:lang w:val="zh-CN"/>
        </w:rPr>
        <w:t>调查</w:t>
      </w:r>
    </w:p>
    <w:p>
      <w:pPr>
        <w:ind w:firstLine="480"/>
        <w:rPr>
          <w:rFonts w:ascii="Times New Roman" w:hAnsi="Times New Roman" w:cs="Times New Roman"/>
          <w:snapToGrid w:val="0"/>
          <w:color w:val="auto"/>
          <w:szCs w:val="20"/>
          <w:shd w:val="clear" w:color="auto" w:fill="FFFFFF"/>
        </w:rPr>
      </w:pPr>
      <w:r>
        <w:rPr>
          <w:rFonts w:ascii="Times New Roman" w:hAnsi="Times New Roman" w:cs="Times New Roman"/>
          <w:snapToGrid w:val="0"/>
          <w:color w:val="auto"/>
          <w:szCs w:val="20"/>
          <w:shd w:val="clear" w:color="auto" w:fill="FFFFFF"/>
        </w:rPr>
        <w:t>巢湖蓄水位多在6.1～6.6m之间。冬春季控制水位的抬升使原有滩地被淹没，同时限制了水生植物的萌发与生长，湖岸侵蚀景观和湖面的“湖靛”景观取代了水生高等植物景观，宽阔的湖面基本呈现明水状态。环巢湖河流总体表现为缓流性河流。水生植物主要包括沉水植物、浮叶植物、漂浮植物、挺水和湿生植物，主要有芦苇、香 蒲、马来眼子菜、狐尾藻、空心莲子草等。</w:t>
      </w:r>
    </w:p>
    <w:p>
      <w:pPr>
        <w:ind w:firstLine="480"/>
        <w:rPr>
          <w:rFonts w:ascii="Times New Roman" w:hAnsi="Times New Roman" w:cs="Times New Roman"/>
          <w:snapToGrid w:val="0"/>
          <w:color w:val="auto"/>
          <w:szCs w:val="20"/>
          <w:shd w:val="clear" w:color="auto" w:fill="FFFFFF"/>
        </w:rPr>
      </w:pPr>
      <w:r>
        <w:rPr>
          <w:rFonts w:ascii="Times New Roman" w:hAnsi="Times New Roman" w:cs="Times New Roman"/>
          <w:snapToGrid w:val="0"/>
          <w:color w:val="auto"/>
          <w:szCs w:val="20"/>
          <w:shd w:val="clear" w:color="auto" w:fill="FFFFFF"/>
        </w:rPr>
        <w:t>经</w:t>
      </w:r>
      <w:r>
        <w:rPr>
          <w:rFonts w:ascii="Times New Roman" w:hAnsi="Times New Roman" w:cs="Times New Roman"/>
          <w:snapToGrid w:val="0"/>
          <w:color w:val="auto"/>
          <w:szCs w:val="20"/>
          <w:lang w:val="zh-CN"/>
        </w:rPr>
        <w:t>引江济淮工程环评</w:t>
      </w:r>
      <w:r>
        <w:rPr>
          <w:rFonts w:ascii="Times New Roman" w:hAnsi="Times New Roman" w:cs="Times New Roman"/>
          <w:snapToGrid w:val="0"/>
          <w:color w:val="auto"/>
          <w:szCs w:val="20"/>
          <w:shd w:val="clear" w:color="auto" w:fill="FFFFFF"/>
        </w:rPr>
        <w:t>调查巢湖水生维管束植物种类有54种，隶属于29科44属。双子叶植物34种，约占总数的57%；其次是单子叶植物16种，约占总数的35%；</w:t>
      </w:r>
      <w:r>
        <w:rPr>
          <w:rFonts w:ascii="Times New Roman" w:hAnsi="Times New Roman" w:cs="Times New Roman"/>
          <w:snapToGrid w:val="0"/>
          <w:color w:val="auto"/>
          <w:szCs w:val="20"/>
        </w:rPr>
        <w:t>蕨类植物仅4种，约占总数8%。</w:t>
      </w:r>
      <w:r>
        <w:rPr>
          <w:rFonts w:ascii="Times New Roman" w:hAnsi="Times New Roman" w:cs="Times New Roman"/>
          <w:snapToGrid w:val="0"/>
          <w:color w:val="auto"/>
          <w:szCs w:val="20"/>
          <w:shd w:val="clear" w:color="auto" w:fill="FFFFFF"/>
        </w:rPr>
        <w:t>该湖中54种植物中，面积大、数量多者是禾本科、眼子菜科的植物，水鳖科、龙胆科、小二仙科次之。芦苇分布在湖的周围，沿湖岸的内缘，呈长短不一的带状，形成明显的芦苇带。荻、盒子草、槐叶苹、满江红、等伴生在芦苇丛中，其次是竹叶眼子菜、黑藻、荇菜、苦草等植物，多分布在入湖河口与湖湾处。</w:t>
      </w:r>
    </w:p>
    <w:p>
      <w:pPr>
        <w:ind w:firstLine="482"/>
        <w:rPr>
          <w:rFonts w:ascii="Times New Roman" w:hAnsi="Times New Roman" w:cs="Times New Roman"/>
          <w:b/>
          <w:bCs/>
        </w:rPr>
      </w:pPr>
      <w:r>
        <w:rPr>
          <w:rFonts w:ascii="Times New Roman" w:hAnsi="Times New Roman" w:cs="Times New Roman"/>
          <w:b/>
          <w:bCs/>
        </w:rPr>
        <w:t>（4）项目区陆生植被分布现状</w:t>
      </w:r>
    </w:p>
    <w:p>
      <w:pPr>
        <w:ind w:firstLine="480"/>
        <w:rPr>
          <w:rFonts w:ascii="Times New Roman" w:hAnsi="Times New Roman" w:cs="Times New Roman"/>
        </w:rPr>
      </w:pPr>
      <w:r>
        <w:rPr>
          <w:rFonts w:ascii="Times New Roman" w:hAnsi="Times New Roman" w:cs="Times New Roman"/>
        </w:rPr>
        <w:t>根据现状资料及实际调查，项目区及周边植被生境类型主要有农田、村庄人工林、草地撂荒地以及灌木植被。</w:t>
      </w:r>
      <w:r>
        <w:rPr>
          <w:rFonts w:hint="eastAsia" w:ascii="宋体" w:hAnsi="宋体" w:cs="宋体"/>
        </w:rPr>
        <w:t>①</w:t>
      </w:r>
      <w:r>
        <w:rPr>
          <w:rFonts w:ascii="Times New Roman" w:hAnsi="Times New Roman" w:cs="Times New Roman"/>
        </w:rPr>
        <w:t xml:space="preserve">农田生境：主要为种植作物，如水稻、蚕豆等，夹杂少量的萝卜、甘蓝、油菜等，农田基本沿两岸分布。 </w:t>
      </w:r>
      <w:r>
        <w:rPr>
          <w:rFonts w:hint="eastAsia" w:ascii="宋体" w:hAnsi="宋体" w:cs="宋体"/>
        </w:rPr>
        <w:t>②</w:t>
      </w:r>
      <w:r>
        <w:rPr>
          <w:rFonts w:ascii="Times New Roman" w:hAnsi="Times New Roman" w:cs="Times New Roman"/>
        </w:rPr>
        <w:t>人工林生境：主要乔木树种是小叶杨，全部为栽培的人工林，林下无灌木层，有少量的草本植物分布，种类十分单一；主要分布在店埠河沿河大堤的两侧以及附近的村庄内。</w:t>
      </w:r>
      <w:r>
        <w:rPr>
          <w:rFonts w:hint="eastAsia" w:ascii="宋体" w:hAnsi="宋体" w:cs="宋体"/>
        </w:rPr>
        <w:t>③</w:t>
      </w:r>
      <w:r>
        <w:rPr>
          <w:rFonts w:ascii="Times New Roman" w:hAnsi="Times New Roman" w:cs="Times New Roman"/>
        </w:rPr>
        <w:t>草地、撂荒地：主要有白茅、结缕草、猪殃殃、苍耳、野艾蒿等，分布在店埠河沿河大堤斜坡、河岸边、人工林林下层以及少量的农田撂荒地。</w:t>
      </w:r>
      <w:r>
        <w:rPr>
          <w:rFonts w:hint="eastAsia" w:ascii="宋体" w:hAnsi="宋体" w:cs="宋体"/>
        </w:rPr>
        <w:t>④</w:t>
      </w:r>
      <w:r>
        <w:rPr>
          <w:rFonts w:ascii="Times New Roman" w:hAnsi="Times New Roman" w:cs="Times New Roman"/>
        </w:rPr>
        <w:t xml:space="preserve">灌木植被：主要为小叶杨，分布在沿河大堤斜坡、河岸边、人工林边缘。 </w:t>
      </w:r>
    </w:p>
    <w:p>
      <w:pPr>
        <w:ind w:firstLine="480"/>
        <w:rPr>
          <w:rFonts w:ascii="Times New Roman" w:hAnsi="Times New Roman" w:cs="Times New Roman"/>
        </w:rPr>
      </w:pPr>
      <w:r>
        <w:rPr>
          <w:rFonts w:ascii="Times New Roman" w:hAnsi="Times New Roman" w:cs="Times New Roman"/>
        </w:rPr>
        <w:t>根据资料调查，店埠河湿地草本主要以禾本科、莎草科、蓼科等科的种子植物和少量蕨类植物为主。店埠河沿岸湿地挺水植物以芦苇，菰等为主，其中，芦苇群落主要小丛聚生；浮叶植物以萍科和菱科植物为主，包括菱、萍等；漂浮植物主要紫萍群落，分布在店埠河、南淝河交汇处；沉水植物主要有眼子菜科、水鳖科、小二仙草科和金鱼藻科植物。湿生植物：主要分布在河店埠河交汇处湿地，河道水边，以及其它潮湿之处。店埠河湿地乔木的组成主要为分布在沿河大堤两侧人工栽种的小叶杨。小叶杨平均高度在10-17m，胸径在19-35cm之间不等，群落郁闭度均在20%至35%之间。虽然栽种时间和植株大小有差异，由于栽种较为均匀，样方密度在900-1300株ha</w:t>
      </w:r>
      <w:r>
        <w:rPr>
          <w:rFonts w:ascii="Times New Roman" w:hAnsi="Times New Roman" w:cs="Times New Roman"/>
          <w:vertAlign w:val="superscript"/>
        </w:rPr>
        <w:t>-1</w:t>
      </w:r>
      <w:r>
        <w:rPr>
          <w:rFonts w:ascii="Times New Roman" w:hAnsi="Times New Roman" w:cs="Times New Roman"/>
        </w:rPr>
        <w:t>，样方生物量220.2kg·m</w:t>
      </w:r>
      <w:r>
        <w:rPr>
          <w:rFonts w:ascii="Times New Roman" w:hAnsi="Times New Roman" w:cs="Times New Roman"/>
          <w:vertAlign w:val="superscript"/>
        </w:rPr>
        <w:t>-2</w:t>
      </w:r>
      <w:r>
        <w:rPr>
          <w:rFonts w:ascii="Times New Roman" w:hAnsi="Times New Roman" w:cs="Times New Roman"/>
        </w:rPr>
        <w:t>至 155.0kg·m</w:t>
      </w:r>
      <w:r>
        <w:rPr>
          <w:rFonts w:ascii="Times New Roman" w:hAnsi="Times New Roman" w:cs="Times New Roman"/>
          <w:vertAlign w:val="superscript"/>
        </w:rPr>
        <w:t>-2</w:t>
      </w:r>
      <w:r>
        <w:rPr>
          <w:rFonts w:ascii="Times New Roman" w:hAnsi="Times New Roman" w:cs="Times New Roman"/>
        </w:rPr>
        <w:t>。</w:t>
      </w:r>
    </w:p>
    <w:p>
      <w:pPr>
        <w:pStyle w:val="5"/>
        <w:numPr>
          <w:ilvl w:val="0"/>
          <w:numId w:val="0"/>
        </w:numPr>
        <w:tabs>
          <w:tab w:val="left" w:pos="2268"/>
          <w:tab w:val="clear" w:pos="921"/>
          <w:tab w:val="clear" w:pos="2241"/>
        </w:tabs>
        <w:spacing w:after="0" w:line="360" w:lineRule="auto"/>
        <w:rPr>
          <w:rStyle w:val="1121"/>
          <w:rFonts w:eastAsia="黑体"/>
          <w:b w:val="0"/>
          <w:color w:val="auto"/>
          <w:sz w:val="24"/>
          <w:szCs w:val="24"/>
        </w:rPr>
      </w:pPr>
      <w:r>
        <w:rPr>
          <w:rStyle w:val="1121"/>
          <w:rFonts w:eastAsia="黑体"/>
          <w:b w:val="0"/>
          <w:color w:val="auto"/>
          <w:sz w:val="24"/>
          <w:szCs w:val="24"/>
        </w:rPr>
        <w:t>4.8.2.2区域动物现状调查</w:t>
      </w:r>
    </w:p>
    <w:p>
      <w:pPr>
        <w:ind w:firstLine="482"/>
        <w:rPr>
          <w:rFonts w:ascii="Times New Roman" w:hAnsi="Times New Roman" w:cs="Times New Roman"/>
          <w:b/>
          <w:bCs/>
        </w:rPr>
      </w:pPr>
      <w:r>
        <w:rPr>
          <w:rFonts w:ascii="Times New Roman" w:hAnsi="Times New Roman" w:cs="Times New Roman"/>
          <w:b/>
          <w:bCs/>
        </w:rPr>
        <w:t xml:space="preserve">（1）陆生动物分布 </w:t>
      </w:r>
    </w:p>
    <w:p>
      <w:pPr>
        <w:ind w:firstLine="480"/>
        <w:rPr>
          <w:rFonts w:ascii="Times New Roman" w:hAnsi="Times New Roman" w:cs="Times New Roman"/>
        </w:rPr>
      </w:pPr>
      <w:r>
        <w:rPr>
          <w:rFonts w:ascii="Times New Roman" w:hAnsi="Times New Roman" w:cs="Times New Roman"/>
        </w:rPr>
        <w:t>两栖类：中华蟾蜍、花背蟾蜍、黑斑蛙、金钱蛙、泽路蛙、凹耳蛙、北方狭口蛙、雨蛙、沼水蛙。</w:t>
      </w:r>
    </w:p>
    <w:p>
      <w:pPr>
        <w:ind w:firstLine="480"/>
        <w:rPr>
          <w:rFonts w:ascii="Times New Roman" w:hAnsi="Times New Roman" w:cs="Times New Roman"/>
        </w:rPr>
      </w:pPr>
      <w:r>
        <w:rPr>
          <w:rFonts w:ascii="Times New Roman" w:hAnsi="Times New Roman" w:cs="Times New Roman"/>
        </w:rPr>
        <w:t>爬行类：乌龟、黄头闭壳龟、黄缘闭壳龟、鳖、山地麻蜥、多疣壁虎、北白条草蜥、棕黑蛇、白条绵蛇、王锦蛇、乌梢蛇、红点绵、赤链蛇、蝮蛇。</w:t>
      </w:r>
    </w:p>
    <w:p>
      <w:pPr>
        <w:ind w:firstLine="480"/>
        <w:rPr>
          <w:rFonts w:ascii="Times New Roman" w:hAnsi="Times New Roman" w:cs="Times New Roman"/>
        </w:rPr>
      </w:pPr>
      <w:r>
        <w:rPr>
          <w:rFonts w:ascii="Times New Roman" w:hAnsi="Times New Roman" w:cs="Times New Roman"/>
        </w:rPr>
        <w:t>鸟类：黑枕黄鹂、灰喜鹊、喜鹊、大山雀、大杜鹃、小杜鹃、四声杜鹃、大斑啄木鸟、绿啄木鸟、斑鸠、麻雀、云雀、八哥、灰椋鸟、画眉、乌鸦、松鸦、大嘴乌鸦、红嘴蓝鹊、三道眉、雉、环颈雉、绿头野鸭、斑嘴野鸭、绿翅野鸭、鸬鹚、鹈鹕、白鹭、牛背鹭、池鹭、鸿雁、豆雁、白尾鹞、家燕、湖燕、细腰剪尾燕。</w:t>
      </w:r>
    </w:p>
    <w:p>
      <w:pPr>
        <w:ind w:firstLine="480"/>
        <w:rPr>
          <w:rFonts w:ascii="Times New Roman" w:hAnsi="Times New Roman" w:cs="Times New Roman"/>
        </w:rPr>
      </w:pPr>
      <w:r>
        <w:rPr>
          <w:rFonts w:ascii="Times New Roman" w:hAnsi="Times New Roman" w:cs="Times New Roman"/>
        </w:rPr>
        <w:t>兽类：</w:t>
      </w:r>
      <w:r>
        <w:rPr>
          <w:rFonts w:hint="eastAsia"/>
        </w:rPr>
        <w:t>黑线姬鼠、黑线仓鼠、社鼠、草兔、黄鼬为广布种；少量分布有小灵猫、豹猫、红狐、狗獾、貉</w:t>
      </w:r>
      <w:r>
        <w:rPr>
          <w:rFonts w:ascii="Times New Roman" w:hAnsi="Times New Roman" w:cs="Times New Roman"/>
        </w:rPr>
        <w:t>。</w:t>
      </w:r>
    </w:p>
    <w:p>
      <w:pPr>
        <w:ind w:firstLine="480"/>
        <w:rPr>
          <w:rFonts w:ascii="Times New Roman" w:hAnsi="Times New Roman" w:cs="Times New Roman"/>
        </w:rPr>
      </w:pPr>
      <w:r>
        <w:rPr>
          <w:rFonts w:ascii="Times New Roman" w:hAnsi="Times New Roman" w:cs="Times New Roman"/>
        </w:rPr>
        <w:t>以上种类中，有国家Ⅱ级保护动物1种：白尾鹞。白尾鹞栖息于平原和低山丘陵地带，尤其是平原上的湖泊、沼泽、河谷、荒野以及低山、林间沼泽和草地、农田耕地和芦苇塘等开阔地区，冬季有时也到村屯附近的水田、草坡和疏林地带活动。安徽省重点保护动物26种：中华蟾蜍、花背蟾蜍、黑斑蛙、金钱蛙、乌龟、黄头闭壳龟、黄缘闭壳龟、王锦蛇、乌梢蛇、蝮蛇、灰喜鹊、四声杜鹃、画眉、绿头野鸭、斑嘴野鸭、绿翅野鸭、鸬鹚、鸿雁、豆雁、家燕、湖燕、细腰剪尾燕、獾、鼬獾、狗獾、白鹭。</w:t>
      </w:r>
    </w:p>
    <w:p>
      <w:pPr>
        <w:ind w:firstLine="480"/>
        <w:rPr>
          <w:rFonts w:ascii="Times New Roman" w:hAnsi="Times New Roman" w:cs="Times New Roman"/>
        </w:rPr>
      </w:pPr>
      <w:r>
        <w:rPr>
          <w:rFonts w:ascii="Times New Roman" w:hAnsi="Times New Roman" w:cs="Times New Roman"/>
        </w:rPr>
        <w:t>项目区及周围影响区域，陆生动物主要以人工养殖的家畜、家禽为主，野生动物的活动踪迹较少，无珍稀濒危野生保护动物分布，主要野生动物均是平常易见的种类如：田鼠、蛇、蛙、鸟类。根据调查资料，项目区未发现珍稀野生动物，未发现国家重点保护水禽。</w:t>
      </w:r>
    </w:p>
    <w:p>
      <w:pPr>
        <w:ind w:firstLine="482"/>
        <w:rPr>
          <w:rFonts w:ascii="Times New Roman" w:hAnsi="Times New Roman" w:cs="Times New Roman"/>
          <w:snapToGrid w:val="0"/>
          <w:color w:val="auto"/>
          <w:szCs w:val="20"/>
          <w:lang w:val="zh-CN"/>
        </w:rPr>
      </w:pPr>
      <w:r>
        <w:rPr>
          <w:rFonts w:ascii="Times New Roman" w:hAnsi="Times New Roman" w:cs="Times New Roman"/>
          <w:b/>
          <w:snapToGrid w:val="0"/>
          <w:color w:val="auto"/>
          <w:szCs w:val="20"/>
          <w:lang w:val="zh-CN"/>
        </w:rPr>
        <w:t>（2）浮游动物：</w:t>
      </w:r>
      <w:r>
        <w:rPr>
          <w:rFonts w:ascii="Times New Roman" w:hAnsi="Times New Roman" w:cs="Times New Roman"/>
          <w:snapToGrid w:val="0"/>
          <w:color w:val="auto"/>
          <w:szCs w:val="20"/>
          <w:lang w:val="zh-CN"/>
        </w:rPr>
        <w:t>巢湖各水生生物采样点共检出浮游动物4门48种，其中原生动物13种，占全部种数的27.1%；枝角类8种，占16.7%；桡足类3种，占6.25%；轮虫24种，占50%。调查区域5月和9月的常见优势种有：角突臂尾轮虫、裂痕龟纹轮虫、长肢秀体溞、简弧象鼻溞、无节幼体、剑水蚤。</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在店埠河(合裕公路桥～三汊河口段)航道升级工程项目生态调查中，店埠河共发现浮游动物12种，原生动物2种，轮虫9种，桡足类1种。原生动物和桡足类种类较少，轮虫种类较为丰富，未发现枝角类，主要优势种是壶状臂尾轮虫、真翅多肢轮虫、萼花臂尾轮虫等。</w:t>
      </w:r>
    </w:p>
    <w:p>
      <w:pPr>
        <w:ind w:firstLine="482"/>
        <w:rPr>
          <w:rFonts w:ascii="Times New Roman" w:hAnsi="Times New Roman" w:cs="Times New Roman"/>
          <w:color w:val="auto"/>
          <w:szCs w:val="24"/>
        </w:rPr>
      </w:pPr>
      <w:r>
        <w:rPr>
          <w:rFonts w:ascii="Times New Roman" w:hAnsi="Times New Roman" w:cs="Times New Roman"/>
          <w:b/>
          <w:snapToGrid w:val="0"/>
          <w:color w:val="auto"/>
          <w:szCs w:val="20"/>
          <w:lang w:val="zh-CN"/>
        </w:rPr>
        <w:t>（3）</w:t>
      </w:r>
      <w:r>
        <w:rPr>
          <w:rFonts w:ascii="Times New Roman" w:hAnsi="Times New Roman" w:cs="Times New Roman"/>
          <w:b/>
          <w:color w:val="auto"/>
          <w:szCs w:val="24"/>
        </w:rPr>
        <w:t>底栖动物现状：</w:t>
      </w:r>
      <w:r>
        <w:rPr>
          <w:rFonts w:ascii="Times New Roman" w:hAnsi="Times New Roman" w:cs="Times New Roman"/>
          <w:color w:val="auto"/>
          <w:szCs w:val="24"/>
        </w:rPr>
        <w:t>根据中科院水生所调查巢湖湖区调查共采集到底栖动物42种，多数为长江流域湖泊中的普生种，其中东湖区有23种，西湖区有31种。以软体动物为优势类群。调查区域内底栖动物平均数量 90.1ind.m</w:t>
      </w:r>
      <w:r>
        <w:rPr>
          <w:rFonts w:ascii="Times New Roman" w:hAnsi="Times New Roman" w:cs="Times New Roman"/>
          <w:color w:val="auto"/>
          <w:szCs w:val="24"/>
          <w:vertAlign w:val="superscript"/>
        </w:rPr>
        <w:t>-2</w:t>
      </w:r>
      <w:r>
        <w:rPr>
          <w:rFonts w:ascii="Times New Roman" w:hAnsi="Times New Roman" w:cs="Times New Roman"/>
          <w:color w:val="auto"/>
          <w:szCs w:val="24"/>
        </w:rPr>
        <w:t>。</w:t>
      </w:r>
    </w:p>
    <w:p>
      <w:pPr>
        <w:ind w:firstLine="480"/>
        <w:rPr>
          <w:rFonts w:ascii="Times New Roman" w:hAnsi="Times New Roman" w:cs="Times New Roman"/>
          <w:color w:val="auto"/>
          <w:szCs w:val="24"/>
        </w:rPr>
      </w:pPr>
      <w:r>
        <w:rPr>
          <w:rFonts w:ascii="Times New Roman" w:hAnsi="Times New Roman" w:cs="Times New Roman"/>
          <w:color w:val="auto"/>
          <w:szCs w:val="24"/>
        </w:rPr>
        <w:t>根据华中农业大学2015年现场调查巢湖共采集到底栖动物7科16属23种，其中环节动物6种，占26.1%；节肢动物8种，占34.8%；软体动物9种，占39.1%。总体来看，巢湖东半湖区底栖动物丰度高于西半湖区，西半湖区种类组成多以寡毛类和摇蚊等耐污种为主。</w:t>
      </w:r>
    </w:p>
    <w:p>
      <w:pPr>
        <w:ind w:firstLine="480"/>
        <w:rPr>
          <w:rFonts w:ascii="Times New Roman" w:hAnsi="Times New Roman" w:cs="Times New Roman"/>
          <w:color w:val="auto"/>
          <w:szCs w:val="24"/>
        </w:rPr>
      </w:pPr>
      <w:r>
        <w:rPr>
          <w:rFonts w:ascii="Times New Roman" w:hAnsi="Times New Roman" w:cs="Times New Roman"/>
          <w:kern w:val="0"/>
          <w:szCs w:val="24"/>
        </w:rPr>
        <w:t>调查店埠河共采集到底栖动物31种，平均密度为39</w:t>
      </w:r>
      <w:r>
        <w:rPr>
          <w:rFonts w:ascii="Times New Roman" w:hAnsi="Times New Roman" w:cs="Times New Roman"/>
          <w:color w:val="auto"/>
          <w:szCs w:val="24"/>
        </w:rPr>
        <w:t>ind.m</w:t>
      </w:r>
      <w:r>
        <w:rPr>
          <w:rFonts w:ascii="Times New Roman" w:hAnsi="Times New Roman" w:cs="Times New Roman"/>
          <w:color w:val="auto"/>
          <w:szCs w:val="24"/>
          <w:vertAlign w:val="superscript"/>
        </w:rPr>
        <w:t>-2</w:t>
      </w:r>
      <w:r>
        <w:rPr>
          <w:rFonts w:ascii="Times New Roman" w:hAnsi="Times New Roman" w:cs="Times New Roman"/>
          <w:kern w:val="0"/>
          <w:szCs w:val="24"/>
        </w:rPr>
        <w:t>，而节肢动物数量较小，仅为9.2</w:t>
      </w:r>
      <w:r>
        <w:rPr>
          <w:rFonts w:ascii="Times New Roman" w:hAnsi="Times New Roman" w:cs="Times New Roman"/>
          <w:color w:val="auto"/>
          <w:szCs w:val="24"/>
        </w:rPr>
        <w:t>ind.m</w:t>
      </w:r>
      <w:r>
        <w:rPr>
          <w:rFonts w:ascii="Times New Roman" w:hAnsi="Times New Roman" w:cs="Times New Roman"/>
          <w:color w:val="auto"/>
          <w:szCs w:val="24"/>
          <w:vertAlign w:val="superscript"/>
        </w:rPr>
        <w:t>-2</w:t>
      </w:r>
      <w:r>
        <w:rPr>
          <w:rFonts w:ascii="Times New Roman" w:hAnsi="Times New Roman" w:cs="Times New Roman"/>
          <w:kern w:val="0"/>
          <w:szCs w:val="24"/>
        </w:rPr>
        <w:t>。节肢动物、环节动物、软体动物在店埠河底栖动物总个体数中所占比例分别为 45.2%、31.1%、23.7%。调查区域底栖动物平均生物量为16.1g·</w:t>
      </w:r>
      <w:r>
        <w:rPr>
          <w:rFonts w:ascii="Times New Roman" w:hAnsi="Times New Roman" w:cs="Times New Roman"/>
          <w:color w:val="auto"/>
          <w:szCs w:val="24"/>
        </w:rPr>
        <w:t>m</w:t>
      </w:r>
      <w:r>
        <w:rPr>
          <w:rFonts w:ascii="Times New Roman" w:hAnsi="Times New Roman" w:cs="Times New Roman"/>
          <w:color w:val="auto"/>
          <w:szCs w:val="24"/>
          <w:vertAlign w:val="superscript"/>
        </w:rPr>
        <w:t>-2</w:t>
      </w:r>
      <w:r>
        <w:rPr>
          <w:rFonts w:ascii="Times New Roman" w:hAnsi="Times New Roman" w:cs="Times New Roman"/>
          <w:kern w:val="0"/>
          <w:szCs w:val="24"/>
        </w:rPr>
        <w:t>。店埠河软体动物、环节动物、节肢动物平均生物量分别为14.8g·</w:t>
      </w:r>
      <w:r>
        <w:rPr>
          <w:rFonts w:ascii="Times New Roman" w:hAnsi="Times New Roman" w:cs="Times New Roman"/>
          <w:color w:val="auto"/>
          <w:szCs w:val="24"/>
        </w:rPr>
        <w:t>m</w:t>
      </w:r>
      <w:r>
        <w:rPr>
          <w:rFonts w:ascii="Times New Roman" w:hAnsi="Times New Roman" w:cs="Times New Roman"/>
          <w:color w:val="auto"/>
          <w:szCs w:val="24"/>
          <w:vertAlign w:val="superscript"/>
        </w:rPr>
        <w:t>-2</w:t>
      </w:r>
      <w:r>
        <w:rPr>
          <w:rFonts w:ascii="Times New Roman" w:hAnsi="Times New Roman" w:cs="Times New Roman"/>
          <w:kern w:val="0"/>
          <w:szCs w:val="24"/>
        </w:rPr>
        <w:t>，0.7g·</w:t>
      </w:r>
      <w:r>
        <w:rPr>
          <w:rFonts w:ascii="Times New Roman" w:hAnsi="Times New Roman" w:cs="Times New Roman"/>
          <w:color w:val="auto"/>
          <w:szCs w:val="24"/>
        </w:rPr>
        <w:t>m</w:t>
      </w:r>
      <w:r>
        <w:rPr>
          <w:rFonts w:ascii="Times New Roman" w:hAnsi="Times New Roman" w:cs="Times New Roman"/>
          <w:color w:val="auto"/>
          <w:szCs w:val="24"/>
          <w:vertAlign w:val="superscript"/>
        </w:rPr>
        <w:t>-2</w:t>
      </w:r>
      <w:r>
        <w:rPr>
          <w:rFonts w:ascii="Times New Roman" w:hAnsi="Times New Roman" w:cs="Times New Roman"/>
          <w:kern w:val="0"/>
          <w:szCs w:val="24"/>
        </w:rPr>
        <w:t>，0.6g·</w:t>
      </w:r>
      <w:r>
        <w:rPr>
          <w:rFonts w:ascii="Times New Roman" w:hAnsi="Times New Roman" w:cs="Times New Roman"/>
          <w:color w:val="auto"/>
          <w:szCs w:val="24"/>
        </w:rPr>
        <w:t>m</w:t>
      </w:r>
      <w:r>
        <w:rPr>
          <w:rFonts w:ascii="Times New Roman" w:hAnsi="Times New Roman" w:cs="Times New Roman"/>
          <w:color w:val="auto"/>
          <w:szCs w:val="24"/>
          <w:vertAlign w:val="superscript"/>
        </w:rPr>
        <w:t>-2</w:t>
      </w:r>
      <w:r>
        <w:rPr>
          <w:rFonts w:ascii="Times New Roman" w:hAnsi="Times New Roman" w:cs="Times New Roman"/>
          <w:kern w:val="0"/>
          <w:szCs w:val="24"/>
        </w:rPr>
        <w:t>。软体动物生物量占底栖动物生物量的92.0%，而环节动物为4.3%，节肢动物比例为3.7%。因此，软体动物占据了生物量的绝大部分</w:t>
      </w:r>
      <w:r>
        <w:rPr>
          <w:rFonts w:ascii="Times New Roman" w:hAnsi="Times New Roman" w:cs="Times New Roman"/>
          <w:color w:val="auto"/>
          <w:szCs w:val="24"/>
        </w:rPr>
        <w:t>。</w:t>
      </w:r>
    </w:p>
    <w:p>
      <w:pPr>
        <w:ind w:firstLine="482"/>
        <w:rPr>
          <w:rFonts w:ascii="Times New Roman" w:hAnsi="Times New Roman" w:cs="Times New Roman"/>
          <w:b/>
          <w:bCs/>
          <w:color w:val="auto"/>
        </w:rPr>
      </w:pPr>
      <w:r>
        <w:rPr>
          <w:rFonts w:ascii="Times New Roman" w:hAnsi="Times New Roman" w:cs="Times New Roman"/>
          <w:b/>
          <w:snapToGrid w:val="0"/>
          <w:color w:val="auto"/>
          <w:szCs w:val="20"/>
          <w:lang w:val="zh-CN"/>
        </w:rPr>
        <w:t>（4）</w:t>
      </w:r>
      <w:r>
        <w:rPr>
          <w:rFonts w:ascii="Times New Roman" w:hAnsi="Times New Roman" w:cs="Times New Roman"/>
          <w:b/>
          <w:bCs/>
          <w:color w:val="auto"/>
        </w:rPr>
        <w:t>鱼类：</w:t>
      </w:r>
    </w:p>
    <w:p>
      <w:pPr>
        <w:ind w:firstLine="480"/>
        <w:rPr>
          <w:rFonts w:ascii="Times New Roman" w:hAnsi="Times New Roman" w:cs="Times New Roman"/>
          <w:color w:val="auto"/>
        </w:rPr>
      </w:pPr>
      <w:r>
        <w:rPr>
          <w:rFonts w:ascii="Times New Roman" w:hAnsi="Times New Roman" w:cs="Times New Roman"/>
          <w:color w:val="auto"/>
        </w:rPr>
        <w:t>巢湖是淡水鱼类的重要种质资源库，种类组成丰富。巢湖闸建闸前，巢湖直通长江，湖泊中除大多数种类属定居型外，曾有白鲟、中华鲟、鲥鱼、鳗鲡等洄游性鱼类。建闸后，由于巢湖闸和裕溪河闸的阻隔和整个生态环境的变化，在巢湖未见白鲟、中华鲟、鲥鱼洄游鱼类的野生种类。巢湖目前已记录共有鱼类11目20科94种，其区系组成为江河平原复合体42种、古代上第三纪复合体17种、印度平原复合体19种、北方平原复合体1种、海水复合体15种。建闸后，巢湖与长江的直接联系被隔断，鱼类的种类组成也发生了一定的变化。</w:t>
      </w:r>
    </w:p>
    <w:p>
      <w:pPr>
        <w:pStyle w:val="25"/>
        <w:spacing w:line="360" w:lineRule="auto"/>
        <w:ind w:firstLine="480"/>
      </w:pPr>
      <w:r>
        <w:rPr>
          <w:rFonts w:hint="eastAsia"/>
        </w:rPr>
        <w:t>根据《安徽省生态保护红线》，项目区代表鱼类有巢湖银鱼、翘嘴鲌。常见鱼类为青鱼、草鱼、鲢、鳙四大家鱼和翘嘴鲌、赤眼鳟、刀鲚、鳜、团头鲂、鳊、乌鳢等。</w:t>
      </w:r>
    </w:p>
    <w:p>
      <w:pPr>
        <w:ind w:firstLine="480"/>
        <w:rPr>
          <w:rFonts w:ascii="Times New Roman" w:hAnsi="Times New Roman" w:cs="Times New Roman"/>
          <w:color w:val="auto"/>
        </w:rPr>
      </w:pPr>
      <w:r>
        <w:rPr>
          <w:rFonts w:ascii="Times New Roman" w:hAnsi="Times New Roman" w:cs="Times New Roman"/>
          <w:color w:val="auto"/>
        </w:rPr>
        <w:t>根据中科院水生所对巢湖的渔业资源调查，共收集到沿线区域鱼类资源52种，分属8目14科。总体来看，巢湖鱼类主要以鲤科鱼类为主，种类数减少。洄游性鱼类急剧减少甚至消失，湖泊定居性鱼类趋于稳定，而以小型鱼类占据了绝对优势。常见的并且有一定产量和价值的品种主要为四大家鱼、鲤、鲫、鲌类、刀鲚和太湖新银鱼等。鲢鳙等家鱼主要靠人工投放。</w:t>
      </w:r>
    </w:p>
    <w:p>
      <w:pPr>
        <w:ind w:firstLine="480"/>
        <w:rPr>
          <w:rFonts w:ascii="Times New Roman" w:hAnsi="Times New Roman" w:cs="Times New Roman"/>
          <w:color w:val="auto"/>
        </w:rPr>
      </w:pPr>
      <w:r>
        <w:rPr>
          <w:rFonts w:ascii="Times New Roman" w:hAnsi="Times New Roman" w:cs="Times New Roman"/>
          <w:snapToGrid w:val="0"/>
          <w:color w:val="auto"/>
          <w:szCs w:val="20"/>
          <w:lang w:val="zh-CN"/>
        </w:rPr>
        <w:t>在店埠河(合裕公路桥～三汊河口段)航道升级工程项目生态调查中</w:t>
      </w:r>
      <w:r>
        <w:rPr>
          <w:rFonts w:ascii="Times New Roman" w:hAnsi="Times New Roman" w:cs="Times New Roman"/>
          <w:color w:val="auto"/>
        </w:rPr>
        <w:t>，店埠河共有鱼类资源7目14科45种。鲤形目含鲤科、鳅科两科，共26种（鲤科24种，鳅科2种）；鲇形目包括2科3种，分别为：鲇科（1种），鲿科（2种）；鲈形目6科9种，分别为：鮨科（3种），塘鳢科（1种），鰕虎鱼科（1种），斗鱼科（1种），鱧科（1种），刺鳅科（1种）；鲱形目1科：鲱科（2种）；鲑形目1科（银鱼科3种）；颌鳃鱼目、鳗鲡目各包含1科1种，分别为颌鳃科、鳗鲡科。鲤科鱼类为该区域优势资源。</w:t>
      </w:r>
    </w:p>
    <w:p>
      <w:pPr>
        <w:ind w:firstLine="480"/>
        <w:rPr>
          <w:rFonts w:ascii="Times New Roman" w:hAnsi="Times New Roman" w:cs="Times New Roman"/>
          <w:color w:val="auto"/>
        </w:rPr>
      </w:pPr>
      <w:r>
        <w:rPr>
          <w:rFonts w:ascii="Times New Roman" w:hAnsi="Times New Roman" w:cs="Times New Roman"/>
          <w:color w:val="auto"/>
        </w:rPr>
        <w:t>根据中国科学院水生生物研究生所东湖湖泊生态系统试验站2002~2004年对巢湖渔业资源调查结果显示，巢湖鱼类有9目16科54种，其中鲤科鱼类35种，占64.8%。</w:t>
      </w:r>
    </w:p>
    <w:p>
      <w:pPr>
        <w:ind w:firstLine="480"/>
        <w:rPr>
          <w:rFonts w:ascii="Times New Roman" w:hAnsi="Times New Roman" w:cs="Times New Roman"/>
          <w:color w:val="auto"/>
        </w:rPr>
      </w:pPr>
      <w:r>
        <w:rPr>
          <w:rFonts w:ascii="Times New Roman" w:hAnsi="Times New Roman" w:cs="Times New Roman"/>
          <w:color w:val="auto"/>
        </w:rPr>
        <w:t>2015年5月至9月调查共采集鱼类8目14科41种，其中鲤科鱼类25种，占70%。与2004年相比，种类数有所下降，鲤科等定居性湖泊鱼类数量的比例上升，而洄游性鱼类已很少见。总体上看，巢湖鱼类种类主要以鲤科鱼类为主，种类数量减少。湖泊定居性鱼类趋于稳定，以湖鲚等小型鱼类占绝对优势。常见种类主要有四大家鱼、鲤、鲫、鲌类、湖鲚和太湖新银鱼等。鲢、鳙等主要靠人工投放。黄</w:t>
      </w:r>
      <w:r>
        <w:rPr>
          <w:rFonts w:hint="eastAsia" w:ascii="Times New Roman" w:hAnsi="Times New Roman" w:cs="Times New Roman"/>
          <w:color w:val="auto"/>
        </w:rPr>
        <w:t>颡</w:t>
      </w:r>
      <w:r>
        <w:rPr>
          <w:rFonts w:ascii="Times New Roman" w:hAnsi="Times New Roman" w:cs="Times New Roman"/>
          <w:color w:val="auto"/>
        </w:rPr>
        <w:t>鱼，子陵</w:t>
      </w:r>
      <w:r>
        <w:rPr>
          <w:rFonts w:hint="eastAsia" w:ascii="Times New Roman" w:hAnsi="Times New Roman" w:cs="Times New Roman"/>
          <w:color w:val="auto"/>
        </w:rPr>
        <w:t>吻虾</w:t>
      </w:r>
      <w:r>
        <w:rPr>
          <w:rFonts w:ascii="Times New Roman" w:hAnsi="Times New Roman" w:cs="Times New Roman"/>
          <w:color w:val="auto"/>
        </w:rPr>
        <w:t>虎鱼，</w:t>
      </w:r>
      <w:r>
        <w:rPr>
          <w:rFonts w:hint="eastAsia" w:ascii="Times New Roman" w:hAnsi="Times New Roman" w:cs="Times New Roman"/>
          <w:color w:val="auto"/>
        </w:rPr>
        <w:t>鲤科</w:t>
      </w:r>
      <w:r>
        <w:rPr>
          <w:rFonts w:ascii="Times New Roman" w:hAnsi="Times New Roman" w:cs="Times New Roman"/>
          <w:color w:val="auto"/>
        </w:rPr>
        <w:t>鮈亚科等种类较为常见。</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2015年5月巢湖鱼类资源调查到的渔获物中，占渔获物重量的10%以上的种类为鲢12.8%、鲌类12.1%和湖鲚31.9%，占尾数前三位的则为小型种，分别为湖鲚43.1%、太湖新银鱼10.2%、黄颡鱼5.7%、鲫5.7%（表</w:t>
      </w:r>
      <w:r>
        <w:rPr>
          <w:rFonts w:ascii="Times New Roman" w:hAnsi="Times New Roman" w:cs="Times New Roman"/>
          <w:snapToGrid w:val="0"/>
          <w:color w:val="auto"/>
          <w:szCs w:val="20"/>
          <w:lang w:val="zh-CN" w:bidi="en-US"/>
        </w:rPr>
        <w:t>3.3.2-13</w:t>
      </w:r>
      <w:r>
        <w:rPr>
          <w:rFonts w:ascii="Times New Roman" w:hAnsi="Times New Roman" w:cs="Times New Roman"/>
          <w:snapToGrid w:val="0"/>
          <w:color w:val="auto"/>
          <w:szCs w:val="20"/>
          <w:lang w:val="zh-CN"/>
        </w:rPr>
        <w:t>）。渔获物中小型鱼类较多，鱼类个体普遍偏小。平均超过700g的种类仅有鳗鲡、翘嘴鲌及鲢3种。</w:t>
      </w:r>
    </w:p>
    <w:p>
      <w:pPr>
        <w:ind w:firstLine="422"/>
        <w:jc w:val="center"/>
        <w:rPr>
          <w:rFonts w:ascii="Times New Roman" w:hAnsi="Times New Roman" w:cs="Times New Roman"/>
          <w:b/>
          <w:color w:val="auto"/>
          <w:kern w:val="0"/>
          <w:sz w:val="21"/>
          <w:szCs w:val="21"/>
        </w:rPr>
      </w:pPr>
      <w:r>
        <w:rPr>
          <w:rFonts w:ascii="Times New Roman" w:hAnsi="Times New Roman" w:cs="Times New Roman"/>
          <w:b/>
          <w:color w:val="auto"/>
          <w:kern w:val="0"/>
          <w:sz w:val="21"/>
          <w:szCs w:val="21"/>
        </w:rPr>
        <w:t>表4.8-1         巢湖主要渔获物种类组成</w:t>
      </w:r>
    </w:p>
    <w:tbl>
      <w:tblPr>
        <w:tblStyle w:val="62"/>
        <w:tblW w:w="85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96"/>
        <w:gridCol w:w="1681"/>
        <w:gridCol w:w="944"/>
        <w:gridCol w:w="1692"/>
        <w:gridCol w:w="1041"/>
        <w:gridCol w:w="966"/>
        <w:gridCol w:w="9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blHeader/>
          <w:jc w:val="center"/>
        </w:trPr>
        <w:tc>
          <w:tcPr>
            <w:tcW w:w="1296" w:type="dxa"/>
            <w:vMerge w:val="restart"/>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种类</w:t>
            </w:r>
          </w:p>
        </w:tc>
        <w:tc>
          <w:tcPr>
            <w:tcW w:w="2625" w:type="dxa"/>
            <w:gridSpan w:val="2"/>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体长（cm）</w:t>
            </w:r>
          </w:p>
        </w:tc>
        <w:tc>
          <w:tcPr>
            <w:tcW w:w="2733" w:type="dxa"/>
            <w:gridSpan w:val="2"/>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体重（g）</w:t>
            </w:r>
          </w:p>
        </w:tc>
        <w:tc>
          <w:tcPr>
            <w:tcW w:w="1932" w:type="dxa"/>
            <w:gridSpan w:val="2"/>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比例（%）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0" w:hRule="atLeast"/>
          <w:tblHeader/>
          <w:jc w:val="center"/>
        </w:trPr>
        <w:tc>
          <w:tcPr>
            <w:tcW w:w="1296" w:type="dxa"/>
            <w:vMerge w:val="continue"/>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范围</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平均</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范围</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平均</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尾数</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重量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鲤</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20.2～37.3</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29.1</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180.3～1150</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507</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4.1</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翘嘴鲌</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38.0～43.3</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40.5</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646.5～986.4</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778</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2.2</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拟尖头红鲌</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18.7～23.2</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20.7</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95.6～185.3</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127.2</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2.9</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鳊</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29.5～38.8</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34.6</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347.0～788.6</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563.5</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光泽黄颡鱼</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21.4～24.2</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22.3</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179.0～246.3</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206.7</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4.3</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鲫</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14.7～16.9</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15.6</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83.4～133.9</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100.7</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5.6</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蒙古鲌</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27.7～42.4</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32.6</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378.3～1100</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455</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鲢</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33.9～39.7</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36.8</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568.9～935.8</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767.6</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4.1</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鲇</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26.7～36.8</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30.2</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195.5～537.5</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287.6</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2.4</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团头鲂</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17.5～23.1</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19.3</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105.5～197.8</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131.4</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3.0</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乌鳢</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23.4～33.5</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27.2</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188.7～550.0</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289.6</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马口鱼</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12.7～14.8</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13.9</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43.4～70.0</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57.1</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黄颡鱼</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12.7～16.9</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14.4</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38.8～72.6</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49.2</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5.7</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太湖新银鱼</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2.9～8.5</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5.7</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2.8～10.5</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7.1</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10.2</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蛇鮈</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11.5～13.8</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12.4</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13.9～27.2</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17.7</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湖鲚</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13.2～33.3</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22.1</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110.5～231.4</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180.3</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43.1</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似鳊</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10.7～13.5</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11.9</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26.2～53.1</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32.6</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贝氏䱗</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10.5～13.3</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12.1</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33.5～65.2</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49.4</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3.2</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暗色沙塘鳢</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8.5～9.6</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9.1</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15.5～23.4</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19.7</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0.6</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jc w:val="center"/>
        </w:trPr>
        <w:tc>
          <w:tcPr>
            <w:tcW w:w="12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鳗鲡</w:t>
            </w:r>
          </w:p>
        </w:tc>
        <w:tc>
          <w:tcPr>
            <w:tcW w:w="16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65.4~90.1</w:t>
            </w:r>
          </w:p>
        </w:tc>
        <w:tc>
          <w:tcPr>
            <w:tcW w:w="9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76.2</w:t>
            </w:r>
          </w:p>
        </w:tc>
        <w:tc>
          <w:tcPr>
            <w:tcW w:w="169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731.0~1102.5</w:t>
            </w:r>
          </w:p>
        </w:tc>
        <w:tc>
          <w:tcPr>
            <w:tcW w:w="104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895.4</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0.6</w:t>
            </w:r>
          </w:p>
        </w:tc>
        <w:tc>
          <w:tcPr>
            <w:tcW w:w="96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w:t>
            </w:r>
          </w:p>
        </w:tc>
      </w:tr>
    </w:tbl>
    <w:p>
      <w:pPr>
        <w:ind w:firstLine="422"/>
        <w:jc w:val="center"/>
        <w:rPr>
          <w:rFonts w:ascii="Times New Roman" w:hAnsi="Times New Roman" w:cs="Times New Roman"/>
          <w:b/>
          <w:color w:val="auto"/>
          <w:kern w:val="0"/>
          <w:sz w:val="21"/>
          <w:szCs w:val="21"/>
        </w:rPr>
      </w:pPr>
      <w:bookmarkStart w:id="336" w:name="_Toc424800898"/>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根据收集的巢湖及巢湖流域历年来生态调查的资料，巢湖及巢湖流域鱼类种类汇总见表4</w:t>
      </w:r>
      <w:r>
        <w:rPr>
          <w:rFonts w:ascii="Times New Roman" w:hAnsi="Times New Roman" w:cs="Times New Roman"/>
          <w:snapToGrid w:val="0"/>
          <w:color w:val="auto"/>
          <w:szCs w:val="20"/>
          <w:lang w:val="zh-CN"/>
        </w:rPr>
        <w:t>.8-2</w:t>
      </w:r>
      <w:r>
        <w:rPr>
          <w:rFonts w:hint="eastAsia" w:ascii="Times New Roman" w:hAnsi="Times New Roman" w:cs="Times New Roman"/>
          <w:snapToGrid w:val="0"/>
          <w:color w:val="auto"/>
          <w:szCs w:val="20"/>
          <w:lang w:val="zh-CN"/>
        </w:rPr>
        <w:t>。</w:t>
      </w: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p>
    <w:p>
      <w:pPr>
        <w:ind w:firstLine="422"/>
        <w:jc w:val="center"/>
        <w:rPr>
          <w:rFonts w:ascii="Times New Roman" w:hAnsi="Times New Roman" w:cs="Times New Roman"/>
          <w:b/>
          <w:color w:val="auto"/>
          <w:kern w:val="0"/>
          <w:sz w:val="21"/>
          <w:szCs w:val="21"/>
        </w:rPr>
      </w:pPr>
      <w:r>
        <w:rPr>
          <w:rFonts w:ascii="Times New Roman" w:hAnsi="Times New Roman" w:cs="Times New Roman"/>
          <w:b/>
          <w:color w:val="auto"/>
          <w:kern w:val="0"/>
          <w:sz w:val="21"/>
          <w:szCs w:val="21"/>
        </w:rPr>
        <w:t>表4.8-2      巢湖</w:t>
      </w:r>
      <w:r>
        <w:rPr>
          <w:rFonts w:hint="eastAsia" w:ascii="Times New Roman" w:hAnsi="Times New Roman" w:cs="Times New Roman"/>
          <w:b/>
          <w:color w:val="auto"/>
          <w:kern w:val="0"/>
          <w:sz w:val="21"/>
          <w:szCs w:val="21"/>
        </w:rPr>
        <w:t>及巢湖流域鱼类物种一览表</w:t>
      </w:r>
    </w:p>
    <w:p>
      <w:pPr>
        <w:ind w:firstLine="0" w:firstLineChars="0"/>
        <w:rPr>
          <w:rFonts w:ascii="Times New Roman" w:hAnsi="Times New Roman" w:cs="Times New Roman"/>
          <w:szCs w:val="24"/>
        </w:rPr>
      </w:pPr>
      <w:r>
        <w:drawing>
          <wp:inline distT="0" distB="0" distL="0" distR="0">
            <wp:extent cx="5760720" cy="7908925"/>
            <wp:effectExtent l="0" t="0" r="0" b="0"/>
            <wp:docPr id="1972" name="图片 19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72" name="图片 1972"/>
                    <pic:cNvPicPr>
                      <a:picLocks noChangeAspect="true" noChangeArrowheads="true"/>
                    </pic:cNvPicPr>
                  </pic:nvPicPr>
                  <pic:blipFill>
                    <a:blip r:embed="rId138">
                      <a:extLst>
                        <a:ext uri="{28A0092B-C50C-407E-A947-70E740481C1C}">
                          <a14:useLocalDpi xmlns:a14="http://schemas.microsoft.com/office/drawing/2010/main" val="false"/>
                        </a:ext>
                      </a:extLst>
                    </a:blip>
                    <a:srcRect/>
                    <a:stretch>
                      <a:fillRect/>
                    </a:stretch>
                  </pic:blipFill>
                  <pic:spPr>
                    <a:xfrm>
                      <a:off x="0" y="0"/>
                      <a:ext cx="5760720" cy="7908925"/>
                    </a:xfrm>
                    <a:prstGeom prst="rect">
                      <a:avLst/>
                    </a:prstGeom>
                    <a:noFill/>
                    <a:ln>
                      <a:noFill/>
                    </a:ln>
                  </pic:spPr>
                </pic:pic>
              </a:graphicData>
            </a:graphic>
          </wp:inline>
        </w:drawing>
      </w:r>
    </w:p>
    <w:p>
      <w:pPr>
        <w:ind w:firstLine="0" w:firstLineChars="0"/>
        <w:rPr>
          <w:rFonts w:ascii="Times New Roman" w:hAnsi="Times New Roman" w:cs="Times New Roman"/>
        </w:rPr>
      </w:pPr>
      <w:r>
        <w:drawing>
          <wp:inline distT="0" distB="0" distL="0" distR="0">
            <wp:extent cx="5755640" cy="5997575"/>
            <wp:effectExtent l="0" t="0" r="0" b="3175"/>
            <wp:docPr id="1969" name="图片 196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69" name="图片 1969"/>
                    <pic:cNvPicPr>
                      <a:picLocks noChangeAspect="true" noChangeArrowheads="true"/>
                    </pic:cNvPicPr>
                  </pic:nvPicPr>
                  <pic:blipFill>
                    <a:blip r:embed="rId139">
                      <a:extLst>
                        <a:ext uri="{28A0092B-C50C-407E-A947-70E740481C1C}">
                          <a14:useLocalDpi xmlns:a14="http://schemas.microsoft.com/office/drawing/2010/main" val="false"/>
                        </a:ext>
                      </a:extLst>
                    </a:blip>
                    <a:srcRect/>
                    <a:stretch>
                      <a:fillRect/>
                    </a:stretch>
                  </pic:blipFill>
                  <pic:spPr>
                    <a:xfrm>
                      <a:off x="0" y="0"/>
                      <a:ext cx="5755640" cy="5997575"/>
                    </a:xfrm>
                    <a:prstGeom prst="rect">
                      <a:avLst/>
                    </a:prstGeom>
                    <a:noFill/>
                    <a:ln>
                      <a:noFill/>
                    </a:ln>
                  </pic:spPr>
                </pic:pic>
              </a:graphicData>
            </a:graphic>
          </wp:inline>
        </w:drawing>
      </w:r>
      <w:r>
        <w:rPr>
          <w:rFonts w:ascii="Times New Roman" w:hAnsi="Times New Roman" w:cs="Times New Roman"/>
        </w:rPr>
        <w:t xml:space="preserve"> </w:t>
      </w:r>
    </w:p>
    <w:p>
      <w:pPr>
        <w:ind w:firstLine="482"/>
        <w:rPr>
          <w:rFonts w:ascii="Times New Roman" w:hAnsi="Times New Roman" w:cs="Times New Roman"/>
          <w:b/>
          <w:bCs/>
          <w:color w:val="auto"/>
          <w:szCs w:val="24"/>
          <w:lang w:val="zh-CN"/>
        </w:rPr>
      </w:pPr>
      <w:r>
        <w:rPr>
          <w:rFonts w:ascii="Times New Roman" w:hAnsi="Times New Roman" w:cs="Times New Roman"/>
          <w:b/>
          <w:bCs/>
          <w:color w:val="auto"/>
          <w:szCs w:val="24"/>
          <w:lang w:val="zh-CN"/>
        </w:rPr>
        <w:t>（5）巢湖</w:t>
      </w:r>
      <w:bookmarkEnd w:id="336"/>
      <w:r>
        <w:rPr>
          <w:rFonts w:ascii="Times New Roman" w:hAnsi="Times New Roman" w:cs="Times New Roman"/>
          <w:b/>
          <w:bCs/>
          <w:color w:val="auto"/>
          <w:szCs w:val="24"/>
          <w:lang w:val="zh-CN"/>
        </w:rPr>
        <w:t>湿地生态现状</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1）巢湖湿地演变</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巢湖流域总面积13486km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，其中巢湖闸以上来水面积9153km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，主要支流有杭埠河、丰乐河、派河、南淝河、柘皋河、白石天河、兆河等呈放射状注入巢湖，湖区洪水大部分经裕溪河入江。巢湖湖底高程一般3.1～4.1m，蓄水位6.1m时，水面面积755km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，库容约17亿m</w:t>
      </w:r>
      <w:r>
        <w:rPr>
          <w:rFonts w:ascii="Times New Roman" w:hAnsi="Times New Roman" w:cs="Times New Roman"/>
          <w:snapToGrid w:val="0"/>
          <w:color w:val="auto"/>
          <w:szCs w:val="20"/>
          <w:vertAlign w:val="superscript"/>
          <w:lang w:val="zh-CN"/>
        </w:rPr>
        <w:t>3</w:t>
      </w:r>
      <w:r>
        <w:rPr>
          <w:rFonts w:ascii="Times New Roman" w:hAnsi="Times New Roman" w:cs="Times New Roman"/>
          <w:snapToGrid w:val="0"/>
          <w:color w:val="auto"/>
          <w:szCs w:val="20"/>
          <w:lang w:val="zh-CN"/>
        </w:rPr>
        <w:t>，为典型的浅水湖泊，承担着蓄洪、供水、水产等功能。</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自建巢湖闸（1963年）和下游入江河道裕溪闸后，巢湖水位涨落除受流域自身来水影响外，还取决于长江水位和巢湖闸、裕溪闸的控制运用。新建巢湖闸使得长江倒灌水量大为减少，影响了鱼类资源的自然增殖。建闸后人工调控水位使得鱼类种群结构发生了变化，鱼群特征趋向小型化、低龄化、生产力低下。</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巢湖沿岸浅滩与敞水区之间存在明显的植物群系的地带性分布，并且沿漂浮植物—沉水植物—浮叶植物—挺水植物的演替趋势发展。1955～1979年，巢湖杭埠河口三角洲围垦区的总面积约有62 km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湖区其它地段的沿岸也有不同程度的围垦。1991年以来，随着巢湖流域凤凰颈站等引水工程的建成以及水资源短缺的问题日益突出，巢湖蓄水位多在6.1～6.6m之间。冬春季控制水位的抬升使原有滩地被淹没，同时限制了水生植物的萌发与生长，湖岸侵蚀景观和湖面的“湖靛”景观取代了水生高等植物景观，宽阔的湖面基本呈现明水状态。</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2）巢湖湿地类型与分布</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以巢湖重要湿地为界，并以巢湖全年最枯月1月多年平均水位6.27m作为湿地出露现状进行分析，巢湖湿地类型包括：水域、泥滩、草本沼泽、水稻田。其中，水域面积77973.6hm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，泥滩面积685.9hm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，草本沼泽面积72.1hm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，水稻田面积2242.4 hm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3）湿地植物</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由于环湖堤坝修建，巢湖挺水植物分布稀少，分布有芦苇、菰、水蓼、荻，浮叶植物也仅在一些小湖湾内出现，沉水植物是巢湖主要植被类型，以马来眼子菜为优势种，伴生有竹叶眼子菜、菹草、金鱼藻、黑藻、穗花狐尾藻、槐叶苹。巢湖沉水植物的面积极小，约为全湖面积的1.54%。巢湖东、西半湖的沉水植物分布存在较大差异，东半湖是沉水植被的主要分布区，但此湖区的沉水植被也仅限于沿岸带（水深约0~1.5m）。</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根据现场调查，派河河口与兆河河口滩涂面积、湿地植被面积均较大，派河口的湿地植被主要有芦苇、荻、虉草、狗牙根、陌上菅等，植被类型较丰富，而兆河河口两岸主要为芦苇沼泽和人工旱柳林，植被类型相对单一。白石天河河口两岸有居民区分布，河口经常有渔船停靠，滩涂湿地面积较小。</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4）湿地动物</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根据现场调查、咨询走访并参考相关文献资料，巢湖分布有鸟类15目33科103种，两栖类6种，爬行类13种，哺乳类11种。属于国家Ⅱ级重点保护的4种，为虎纹蛙、白尾鹞、黑鸢和小鸦鹃，安徽省地方重点保护种类共43种，其中鸟类33种。优势种为黑水鸡、红嘴鸥、凤头麦鸡、白头鹎、珠颈斑鸠、灰椋鸟等，工程涉及的三个河口中，派河河口分布鸟类的种类及种群数量最大，兆河河口次之，而白石天河口因区域内人为活动较大，湿地鸟类种类及种群数量在三个河口中最低。</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巢湖分布的鸟类中，非雀形目鸟类47种，占45.6%；雀形目鸟类56种，占 54.4%。其中鹭科、鸫科鸟类种类最多，分别为10种和8种。巢湖湿地内还分布有黑斑侧褶蛙、中华蟾蜍、虎斑颈槽蛇、红点锦蛇、褐家鼠、黄胸鼠等两栖类、爬行类以及哺乳类。</w:t>
      </w:r>
    </w:p>
    <w:p>
      <w:pPr>
        <w:keepNext/>
        <w:keepLines/>
        <w:ind w:firstLine="0" w:firstLineChars="0"/>
        <w:outlineLvl w:val="1"/>
        <w:rPr>
          <w:rFonts w:ascii="Times New Roman" w:hAnsi="Times New Roman" w:eastAsia="黑体" w:cs="Times New Roman"/>
          <w:bCs/>
          <w:sz w:val="28"/>
          <w:szCs w:val="28"/>
        </w:rPr>
      </w:pPr>
      <w:r>
        <w:rPr>
          <w:rFonts w:ascii="Times New Roman" w:hAnsi="Times New Roman" w:eastAsia="黑体" w:cs="Times New Roman"/>
          <w:bCs/>
          <w:sz w:val="28"/>
          <w:szCs w:val="28"/>
        </w:rPr>
        <w:t>4.9生态调查</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本次评价生态调查内容分为陆生和水生两个方面，调查范围为南淝河沿线及巢湖重要生态敏感区；</w:t>
      </w:r>
      <w:r>
        <w:rPr>
          <w:rFonts w:hint="eastAsia" w:ascii="Times New Roman" w:hAnsi="Times New Roman" w:cs="Times New Roman"/>
          <w:snapToGrid w:val="0"/>
          <w:color w:val="auto"/>
          <w:szCs w:val="20"/>
        </w:rPr>
        <w:t>以肥东临河湿地公园和巢湖湿地为主</w:t>
      </w:r>
      <w:r>
        <w:rPr>
          <w:rFonts w:hint="eastAsia" w:ascii="Times New Roman" w:hAnsi="Times New Roman" w:cs="Times New Roman"/>
          <w:snapToGrid w:val="0"/>
          <w:color w:val="auto"/>
          <w:szCs w:val="20"/>
          <w:lang w:val="zh-CN"/>
        </w:rPr>
        <w:t>；陆地调查项目包括陆生植被、鸟类、两栖爬行类、哺乳动物，调查并记录陆生植被的类型、优势种、群落盖度、高度、物种数，记录哺乳动物、鸟类、两栖爬行类动物的种类、数量。水生调查项目为大型水生植物、鱼类、底栖生物、浮游植物、浮游动物，记录他们的的种类和分布状况以及生物量和密度等。</w:t>
      </w:r>
    </w:p>
    <w:p>
      <w:pPr>
        <w:pStyle w:val="5"/>
        <w:numPr>
          <w:ilvl w:val="0"/>
          <w:numId w:val="0"/>
        </w:numPr>
        <w:tabs>
          <w:tab w:val="left" w:pos="2268"/>
          <w:tab w:val="clear" w:pos="921"/>
          <w:tab w:val="clear" w:pos="2241"/>
        </w:tabs>
        <w:spacing w:after="0" w:line="360" w:lineRule="auto"/>
        <w:rPr>
          <w:rStyle w:val="1121"/>
          <w:rFonts w:eastAsia="黑体"/>
          <w:b w:val="0"/>
          <w:color w:val="auto"/>
          <w:sz w:val="24"/>
          <w:szCs w:val="24"/>
        </w:rPr>
      </w:pPr>
      <w:r>
        <w:rPr>
          <w:rStyle w:val="1121"/>
          <w:rFonts w:eastAsia="黑体"/>
          <w:b w:val="0"/>
          <w:color w:val="auto"/>
          <w:sz w:val="24"/>
          <w:szCs w:val="24"/>
        </w:rPr>
        <w:t>4.9.1</w:t>
      </w:r>
      <w:r>
        <w:rPr>
          <w:rStyle w:val="1121"/>
          <w:rFonts w:hint="eastAsia" w:eastAsia="黑体"/>
          <w:b w:val="0"/>
          <w:color w:val="auto"/>
          <w:sz w:val="24"/>
          <w:szCs w:val="24"/>
        </w:rPr>
        <w:t>陆生生物调查</w:t>
      </w:r>
    </w:p>
    <w:p>
      <w:pPr>
        <w:pStyle w:val="5"/>
        <w:numPr>
          <w:ilvl w:val="0"/>
          <w:numId w:val="0"/>
        </w:numPr>
        <w:tabs>
          <w:tab w:val="left" w:pos="2268"/>
          <w:tab w:val="clear" w:pos="921"/>
          <w:tab w:val="clear" w:pos="2241"/>
        </w:tabs>
        <w:spacing w:after="0" w:line="360" w:lineRule="auto"/>
        <w:rPr>
          <w:rStyle w:val="1121"/>
          <w:rFonts w:eastAsia="黑体"/>
          <w:b w:val="0"/>
          <w:color w:val="auto"/>
          <w:sz w:val="24"/>
          <w:szCs w:val="24"/>
        </w:rPr>
      </w:pPr>
      <w:r>
        <w:rPr>
          <w:rStyle w:val="1121"/>
          <w:rFonts w:eastAsia="黑体"/>
          <w:b w:val="0"/>
          <w:color w:val="auto"/>
          <w:sz w:val="24"/>
          <w:szCs w:val="24"/>
        </w:rPr>
        <w:t>4.9.1.1</w:t>
      </w:r>
      <w:r>
        <w:rPr>
          <w:rStyle w:val="1121"/>
          <w:rFonts w:hint="eastAsia" w:eastAsia="黑体"/>
          <w:b w:val="0"/>
          <w:color w:val="auto"/>
          <w:sz w:val="24"/>
          <w:szCs w:val="24"/>
        </w:rPr>
        <w:t>陆生植被调查</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1、调查方法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根据不同生境类型，开展陆生乔木、灌木、草本调查，调查指标主要包括物种种类、优势种、覆盖度、数量、分布特征等。</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参照《生物多样性观测技术导则：陆生维管植物（HJ 710.1-2014）》，根据陆地维管束植物的生物学、生态学特征和调查目标，在调查区域内的所选样地应涵盖陆生维管束植物的主要栖息地类型和生态系统类型，采取以下方法进行调查：</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1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①</w:t>
      </w:r>
      <w:r>
        <w:rPr>
          <w:rFonts w:ascii="Times New Roman" w:hAnsi="Times New Roman" w:cs="Times New Roman"/>
          <w:snapToGrid w:val="0"/>
          <w:color w:val="auto"/>
          <w:szCs w:val="20"/>
          <w:lang w:val="zh-CN"/>
        </w:rPr>
        <w:fldChar w:fldCharType="end"/>
      </w:r>
      <w:r>
        <w:rPr>
          <w:rFonts w:hint="eastAsia" w:ascii="Times New Roman" w:hAnsi="Times New Roman" w:cs="Times New Roman"/>
          <w:snapToGrid w:val="0"/>
          <w:color w:val="auto"/>
          <w:szCs w:val="20"/>
          <w:lang w:val="zh-CN"/>
        </w:rPr>
        <w:t>样线踏查法：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在评价区设计穿越不同植物群落的调查线路3条，每条样线长度1km，全面调查路线两侧2m范围内的植物。调查其它生态系统类型时，也应设一定数量的调查样线，尽可能全面地记录不同生境、不同群落中的植物。</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②样方法：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此次调查根据调查范围内的地形、地貌、生境以及道路状况来设置调查样方。调查点位的设置应当遵循科学性、代表性原则，既能覆盖区域不同生态系统类型,重要物种分布区,又尽量能以较低的抽样密度发现相对丰富的物种信息。</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乔木调查选择生境样地大小为</w:t>
      </w:r>
      <w:r>
        <w:rPr>
          <w:rFonts w:ascii="Times New Roman" w:hAnsi="Times New Roman" w:cs="Times New Roman"/>
          <w:snapToGrid w:val="0"/>
          <w:color w:val="auto"/>
          <w:szCs w:val="20"/>
          <w:lang w:val="zh-CN"/>
        </w:rPr>
        <w:t>100</w:t>
      </w:r>
      <w:r>
        <w:rPr>
          <w:rFonts w:hint="eastAsia" w:ascii="Times New Roman" w:hAnsi="Times New Roman" w:cs="Times New Roman"/>
          <w:snapToGrid w:val="0"/>
          <w:color w:val="auto"/>
          <w:szCs w:val="20"/>
          <w:lang w:val="zh-CN"/>
        </w:rPr>
        <w:t>m×</w:t>
      </w:r>
      <w:r>
        <w:rPr>
          <w:rFonts w:ascii="Times New Roman" w:hAnsi="Times New Roman" w:cs="Times New Roman"/>
          <w:snapToGrid w:val="0"/>
          <w:color w:val="auto"/>
          <w:szCs w:val="20"/>
          <w:lang w:val="zh-CN"/>
        </w:rPr>
        <w:t>100</w:t>
      </w:r>
      <w:r>
        <w:rPr>
          <w:rFonts w:hint="eastAsia" w:ascii="Times New Roman" w:hAnsi="Times New Roman" w:cs="Times New Roman"/>
          <w:snapToGrid w:val="0"/>
          <w:color w:val="auto"/>
          <w:szCs w:val="20"/>
          <w:lang w:val="zh-CN"/>
        </w:rPr>
        <w:t>m。</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灌木调查的样方面积大小为</w:t>
      </w:r>
      <w:r>
        <w:rPr>
          <w:rFonts w:ascii="Times New Roman" w:hAnsi="Times New Roman" w:cs="Times New Roman"/>
          <w:snapToGrid w:val="0"/>
          <w:color w:val="auto"/>
          <w:szCs w:val="20"/>
          <w:lang w:val="zh-CN"/>
        </w:rPr>
        <w:t>10</w:t>
      </w:r>
      <w:r>
        <w:rPr>
          <w:rFonts w:hint="eastAsia" w:ascii="Times New Roman" w:hAnsi="Times New Roman" w:cs="Times New Roman"/>
          <w:snapToGrid w:val="0"/>
          <w:color w:val="auto"/>
          <w:szCs w:val="20"/>
          <w:lang w:val="zh-CN"/>
        </w:rPr>
        <w:t>m×</w:t>
      </w:r>
      <w:r>
        <w:rPr>
          <w:rFonts w:ascii="Times New Roman" w:hAnsi="Times New Roman" w:cs="Times New Roman"/>
          <w:snapToGrid w:val="0"/>
          <w:color w:val="auto"/>
          <w:szCs w:val="20"/>
          <w:lang w:val="zh-CN"/>
        </w:rPr>
        <w:t>10</w:t>
      </w:r>
      <w:r>
        <w:rPr>
          <w:rFonts w:hint="eastAsia" w:ascii="Times New Roman" w:hAnsi="Times New Roman" w:cs="Times New Roman"/>
          <w:snapToGrid w:val="0"/>
          <w:color w:val="auto"/>
          <w:szCs w:val="20"/>
          <w:lang w:val="zh-CN"/>
        </w:rPr>
        <w:t>m，对大型或稀疏的灌丛，样方面积也可扩大至</w:t>
      </w: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0m×</w:t>
      </w: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0m。</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草本调查的样方面积大小为1m×1m，样方之间间隔不小于250m。若观测区域草地群落分布呈斑块状、较为稀疏或草本植物高大，应将样方扩大至2m×2m。</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在评级区里</w:t>
      </w:r>
      <w:r>
        <w:rPr>
          <w:rFonts w:ascii="Times New Roman" w:hAnsi="Times New Roman" w:cs="Times New Roman"/>
          <w:snapToGrid w:val="0"/>
          <w:color w:val="auto"/>
          <w:szCs w:val="20"/>
          <w:lang w:val="zh-CN"/>
        </w:rPr>
        <w:t>，按照不同的植被特点采用取样法设置样方。</w:t>
      </w:r>
      <w:r>
        <w:rPr>
          <w:rFonts w:hint="eastAsia" w:ascii="Times New Roman" w:hAnsi="Times New Roman" w:cs="Times New Roman"/>
          <w:snapToGrid w:val="0"/>
          <w:color w:val="auto"/>
          <w:szCs w:val="20"/>
          <w:lang w:val="zh-CN"/>
        </w:rPr>
        <w:t>此次</w:t>
      </w:r>
      <w:r>
        <w:rPr>
          <w:rFonts w:ascii="Times New Roman" w:hAnsi="Times New Roman" w:cs="Times New Roman"/>
          <w:snapToGrid w:val="0"/>
          <w:color w:val="auto"/>
          <w:szCs w:val="20"/>
          <w:lang w:val="zh-CN"/>
        </w:rPr>
        <w:t>共设置12个样方，其中，草本样方6个，采用1m×1m规格；</w:t>
      </w:r>
      <w:r>
        <w:rPr>
          <w:rFonts w:hint="eastAsia" w:ascii="Times New Roman" w:hAnsi="Times New Roman" w:cs="Times New Roman"/>
          <w:snapToGrid w:val="0"/>
          <w:color w:val="auto"/>
          <w:szCs w:val="20"/>
          <w:lang w:val="zh-CN"/>
        </w:rPr>
        <w:t>灌木样方</w:t>
      </w:r>
      <w:r>
        <w:rPr>
          <w:rFonts w:ascii="Times New Roman" w:hAnsi="Times New Roman" w:cs="Times New Roman"/>
          <w:snapToGrid w:val="0"/>
          <w:color w:val="auto"/>
          <w:szCs w:val="20"/>
          <w:lang w:val="zh-CN"/>
        </w:rPr>
        <w:t>3</w:t>
      </w:r>
      <w:r>
        <w:rPr>
          <w:rFonts w:hint="eastAsia" w:ascii="Times New Roman" w:hAnsi="Times New Roman" w:cs="Times New Roman"/>
          <w:snapToGrid w:val="0"/>
          <w:color w:val="auto"/>
          <w:szCs w:val="20"/>
          <w:lang w:val="zh-CN"/>
        </w:rPr>
        <w:t>个，</w:t>
      </w:r>
      <w:r>
        <w:rPr>
          <w:rFonts w:ascii="Times New Roman" w:hAnsi="Times New Roman" w:cs="Times New Roman"/>
          <w:snapToGrid w:val="0"/>
          <w:color w:val="auto"/>
          <w:szCs w:val="20"/>
          <w:lang w:val="zh-CN"/>
        </w:rPr>
        <w:t>采用10m×10m规格</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乔木样方3个，</w:t>
      </w:r>
      <w:bookmarkStart w:id="337" w:name="_Hlk71267996"/>
      <w:r>
        <w:rPr>
          <w:rFonts w:ascii="Times New Roman" w:hAnsi="Times New Roman" w:cs="Times New Roman"/>
          <w:snapToGrid w:val="0"/>
          <w:color w:val="auto"/>
          <w:szCs w:val="20"/>
          <w:lang w:val="zh-CN"/>
        </w:rPr>
        <w:t>采用100m×100m规格</w:t>
      </w:r>
      <w:bookmarkEnd w:id="337"/>
      <w:r>
        <w:rPr>
          <w:rFonts w:hint="eastAsia" w:ascii="Times New Roman" w:hAnsi="Times New Roman" w:cs="Times New Roman"/>
          <w:snapToGrid w:val="0"/>
          <w:color w:val="auto"/>
          <w:szCs w:val="20"/>
          <w:lang w:val="zh-CN"/>
        </w:rPr>
        <w:t>。</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3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③</w:t>
      </w:r>
      <w:r>
        <w:rPr>
          <w:rFonts w:ascii="Times New Roman" w:hAnsi="Times New Roman" w:cs="Times New Roman"/>
          <w:snapToGrid w:val="0"/>
          <w:color w:val="auto"/>
          <w:szCs w:val="20"/>
          <w:lang w:val="zh-CN"/>
        </w:rPr>
        <w:fldChar w:fldCharType="end"/>
      </w:r>
      <w:r>
        <w:rPr>
          <w:rFonts w:hint="eastAsia" w:ascii="Times New Roman" w:hAnsi="Times New Roman" w:cs="Times New Roman"/>
          <w:snapToGrid w:val="0"/>
          <w:color w:val="auto"/>
          <w:szCs w:val="20"/>
          <w:lang w:val="zh-CN"/>
        </w:rPr>
        <w:t>时间及频次</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为了全面、准确地获得</w:t>
      </w:r>
      <w:r>
        <w:rPr>
          <w:rFonts w:hint="eastAsia" w:ascii="Times New Roman" w:hAnsi="Times New Roman" w:cs="Times New Roman"/>
          <w:snapToGrid w:val="0"/>
          <w:color w:val="auto"/>
          <w:szCs w:val="20"/>
          <w:lang w:val="zh-CN"/>
        </w:rPr>
        <w:t>当地陆地维管束</w:t>
      </w:r>
      <w:r>
        <w:rPr>
          <w:rFonts w:ascii="Times New Roman" w:hAnsi="Times New Roman" w:cs="Times New Roman"/>
          <w:snapToGrid w:val="0"/>
          <w:color w:val="auto"/>
          <w:szCs w:val="20"/>
          <w:lang w:val="zh-CN"/>
        </w:rPr>
        <w:t>植物多样性数据，根据</w:t>
      </w:r>
      <w:r>
        <w:rPr>
          <w:rFonts w:hint="eastAsia" w:ascii="Times New Roman" w:hAnsi="Times New Roman" w:cs="Times New Roman"/>
          <w:snapToGrid w:val="0"/>
          <w:color w:val="auto"/>
          <w:szCs w:val="20"/>
          <w:lang w:val="zh-CN"/>
        </w:rPr>
        <w:t>当地</w:t>
      </w:r>
      <w:r>
        <w:rPr>
          <w:rFonts w:ascii="Times New Roman" w:hAnsi="Times New Roman" w:cs="Times New Roman"/>
          <w:snapToGrid w:val="0"/>
          <w:color w:val="auto"/>
          <w:szCs w:val="20"/>
          <w:lang w:val="zh-CN"/>
        </w:rPr>
        <w:t>的自然地理条件及区域植被特点，</w:t>
      </w:r>
      <w:r>
        <w:rPr>
          <w:rFonts w:hint="eastAsia" w:ascii="Times New Roman" w:hAnsi="Times New Roman" w:cs="Times New Roman"/>
          <w:snapToGrid w:val="0"/>
          <w:color w:val="auto"/>
          <w:szCs w:val="20"/>
          <w:lang w:val="zh-CN"/>
        </w:rPr>
        <w:t>调查频次为2次</w:t>
      </w:r>
      <w:r>
        <w:rPr>
          <w:rFonts w:ascii="Times New Roman" w:hAnsi="Times New Roman" w:cs="Times New Roman"/>
          <w:snapToGrid w:val="0"/>
          <w:color w:val="auto"/>
          <w:szCs w:val="20"/>
          <w:lang w:val="zh-CN"/>
        </w:rPr>
        <w:t>/</w:t>
      </w:r>
      <w:r>
        <w:rPr>
          <w:rFonts w:hint="eastAsia" w:ascii="Times New Roman" w:hAnsi="Times New Roman" w:cs="Times New Roman"/>
          <w:snapToGrid w:val="0"/>
          <w:color w:val="auto"/>
          <w:szCs w:val="20"/>
          <w:lang w:val="zh-CN"/>
        </w:rPr>
        <w:t>年，春夏季（3-6月）和秋冬季（9-12月）各一次。</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4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④</w:t>
      </w:r>
      <w:r>
        <w:rPr>
          <w:rFonts w:ascii="Times New Roman" w:hAnsi="Times New Roman" w:cs="Times New Roman"/>
          <w:snapToGrid w:val="0"/>
          <w:color w:val="auto"/>
          <w:szCs w:val="20"/>
          <w:lang w:val="zh-CN"/>
        </w:rPr>
        <w:fldChar w:fldCharType="end"/>
      </w:r>
      <w:r>
        <w:rPr>
          <w:rFonts w:ascii="Times New Roman" w:hAnsi="Times New Roman" w:cs="Times New Roman"/>
          <w:snapToGrid w:val="0"/>
          <w:color w:val="auto"/>
          <w:szCs w:val="20"/>
          <w:lang w:val="zh-CN"/>
        </w:rPr>
        <w:t>主要参考依据</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植物物种的鉴定依据为《安徽植物志》（钱啸虎，1986-1992）和《中国植物志》，植被划分依据为《中国植被》（吴征镒，1980）和《安徽植被》（吴诚和，1981）的定义。</w:t>
      </w:r>
    </w:p>
    <w:p>
      <w:pPr>
        <w:ind w:firstLine="422"/>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4.9-1   </w:t>
      </w:r>
      <w:r>
        <w:rPr>
          <w:rFonts w:hint="eastAsia" w:ascii="Times New Roman" w:hAnsi="Times New Roman" w:cs="Times New Roman"/>
          <w:b/>
          <w:color w:val="auto"/>
          <w:kern w:val="0"/>
          <w:sz w:val="21"/>
          <w:szCs w:val="21"/>
        </w:rPr>
        <w:t xml:space="preserve"> 各样方调查现场工作照</w:t>
      </w:r>
    </w:p>
    <w:tbl>
      <w:tblPr>
        <w:tblStyle w:val="62"/>
        <w:tblW w:w="8989" w:type="dxa"/>
        <w:tblInd w:w="0" w:type="dxa"/>
        <w:tblLayout w:type="fixed"/>
        <w:tblCellMar>
          <w:top w:w="0" w:type="dxa"/>
          <w:left w:w="108" w:type="dxa"/>
          <w:bottom w:w="0" w:type="dxa"/>
          <w:right w:w="108" w:type="dxa"/>
        </w:tblCellMar>
      </w:tblPr>
      <w:tblGrid>
        <w:gridCol w:w="4423"/>
        <w:gridCol w:w="4566"/>
      </w:tblGrid>
      <w:tr>
        <w:tblPrEx>
          <w:tblCellMar>
            <w:top w:w="0" w:type="dxa"/>
            <w:left w:w="108" w:type="dxa"/>
            <w:bottom w:w="0" w:type="dxa"/>
            <w:right w:w="108" w:type="dxa"/>
          </w:tblCellMar>
        </w:tblPrEx>
        <w:tc>
          <w:tcPr>
            <w:tcW w:w="4423" w:type="dxa"/>
          </w:tcPr>
          <w:p>
            <w:pPr>
              <w:autoSpaceDE w:val="0"/>
              <w:autoSpaceDN w:val="0"/>
              <w:snapToGrid/>
              <w:ind w:firstLine="0" w:firstLineChars="0"/>
              <w:rPr>
                <w:rFonts w:ascii="宋体" w:hAnsi="宋体" w:cs="Times New Roman"/>
                <w:color w:val="auto"/>
                <w:kern w:val="0"/>
                <w:sz w:val="28"/>
                <w:szCs w:val="28"/>
              </w:rPr>
            </w:pPr>
            <w:r>
              <w:rPr>
                <w:rFonts w:cs="Times New Roman"/>
                <w:color w:val="auto"/>
                <w:kern w:val="0"/>
                <w:sz w:val="20"/>
                <w:szCs w:val="20"/>
              </w:rPr>
              <w:drawing>
                <wp:inline distT="0" distB="0" distL="0" distR="0">
                  <wp:extent cx="2552700" cy="1661160"/>
                  <wp:effectExtent l="0" t="0" r="0" b="0"/>
                  <wp:docPr id="2944" name="图片 29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44" name="图片 2944"/>
                          <pic:cNvPicPr>
                            <a:picLocks noChangeAspect="true" noChangeArrowheads="true"/>
                          </pic:cNvPicPr>
                        </pic:nvPicPr>
                        <pic:blipFill>
                          <a:blip r:embed="rId140" cstate="print">
                            <a:extLst>
                              <a:ext uri="{28A0092B-C50C-407E-A947-70E740481C1C}">
                                <a14:useLocalDpi xmlns:a14="http://schemas.microsoft.com/office/drawing/2010/main" val="false"/>
                              </a:ext>
                            </a:extLst>
                          </a:blip>
                          <a:srcRect/>
                          <a:stretch>
                            <a:fillRect/>
                          </a:stretch>
                        </pic:blipFill>
                        <pic:spPr>
                          <a:xfrm>
                            <a:off x="0" y="0"/>
                            <a:ext cx="2558164" cy="1665143"/>
                          </a:xfrm>
                          <a:prstGeom prst="rect">
                            <a:avLst/>
                          </a:prstGeom>
                          <a:noFill/>
                          <a:ln>
                            <a:noFill/>
                          </a:ln>
                        </pic:spPr>
                      </pic:pic>
                    </a:graphicData>
                  </a:graphic>
                </wp:inline>
              </w:drawing>
            </w:r>
          </w:p>
        </w:tc>
        <w:tc>
          <w:tcPr>
            <w:tcW w:w="4566" w:type="dxa"/>
          </w:tcPr>
          <w:p>
            <w:pPr>
              <w:autoSpaceDE w:val="0"/>
              <w:autoSpaceDN w:val="0"/>
              <w:snapToGrid/>
              <w:ind w:firstLine="0" w:firstLineChars="0"/>
              <w:rPr>
                <w:rFonts w:ascii="宋体" w:hAnsi="宋体" w:cs="Times New Roman"/>
                <w:color w:val="auto"/>
                <w:kern w:val="0"/>
                <w:sz w:val="28"/>
                <w:szCs w:val="28"/>
              </w:rPr>
            </w:pPr>
            <w:r>
              <w:rPr>
                <w:rFonts w:cs="Times New Roman"/>
                <w:color w:val="auto"/>
                <w:kern w:val="0"/>
                <w:sz w:val="20"/>
                <w:szCs w:val="20"/>
              </w:rPr>
              <w:drawing>
                <wp:inline distT="0" distB="0" distL="0" distR="0">
                  <wp:extent cx="2623820" cy="1628140"/>
                  <wp:effectExtent l="0" t="0" r="5080" b="0"/>
                  <wp:docPr id="2945" name="图片 29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45" name="图片 2945"/>
                          <pic:cNvPicPr>
                            <a:picLocks noChangeAspect="true" noChangeArrowheads="true"/>
                          </pic:cNvPicPr>
                        </pic:nvPicPr>
                        <pic:blipFill>
                          <a:blip r:embed="rId141" cstate="print">
                            <a:extLst>
                              <a:ext uri="{28A0092B-C50C-407E-A947-70E740481C1C}">
                                <a14:useLocalDpi xmlns:a14="http://schemas.microsoft.com/office/drawing/2010/main" val="false"/>
                              </a:ext>
                            </a:extLst>
                          </a:blip>
                          <a:srcRect/>
                          <a:stretch>
                            <a:fillRect/>
                          </a:stretch>
                        </pic:blipFill>
                        <pic:spPr>
                          <a:xfrm>
                            <a:off x="0" y="0"/>
                            <a:ext cx="2639508" cy="1637677"/>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4423" w:type="dxa"/>
          </w:tcPr>
          <w:p>
            <w:pPr>
              <w:autoSpaceDE w:val="0"/>
              <w:autoSpaceDN w:val="0"/>
              <w:snapToGrid/>
              <w:ind w:firstLine="0" w:firstLineChars="0"/>
              <w:jc w:val="center"/>
              <w:rPr>
                <w:rFonts w:ascii="宋体" w:hAnsi="宋体" w:cs="Times New Roman"/>
                <w:color w:val="auto"/>
                <w:kern w:val="0"/>
                <w:szCs w:val="24"/>
              </w:rPr>
            </w:pPr>
            <w:r>
              <w:rPr>
                <w:rFonts w:hint="eastAsia" w:ascii="宋体" w:hAnsi="宋体" w:cs="Times New Roman"/>
                <w:color w:val="auto"/>
                <w:kern w:val="0"/>
                <w:szCs w:val="24"/>
              </w:rPr>
              <w:t>草本样方调查</w:t>
            </w:r>
          </w:p>
        </w:tc>
        <w:tc>
          <w:tcPr>
            <w:tcW w:w="4566" w:type="dxa"/>
          </w:tcPr>
          <w:p>
            <w:pPr>
              <w:autoSpaceDE w:val="0"/>
              <w:autoSpaceDN w:val="0"/>
              <w:snapToGrid/>
              <w:ind w:firstLine="0" w:firstLineChars="0"/>
              <w:jc w:val="center"/>
              <w:rPr>
                <w:rFonts w:ascii="宋体" w:hAnsi="宋体" w:cs="Times New Roman"/>
                <w:color w:val="auto"/>
                <w:kern w:val="0"/>
                <w:szCs w:val="24"/>
              </w:rPr>
            </w:pPr>
            <w:r>
              <w:rPr>
                <w:rFonts w:hint="eastAsia" w:ascii="宋体" w:hAnsi="宋体" w:cs="Times New Roman"/>
                <w:color w:val="auto"/>
                <w:kern w:val="0"/>
                <w:szCs w:val="24"/>
              </w:rPr>
              <w:t>草本样方调查</w:t>
            </w:r>
          </w:p>
        </w:tc>
      </w:tr>
      <w:tr>
        <w:tblPrEx>
          <w:tblCellMar>
            <w:top w:w="0" w:type="dxa"/>
            <w:left w:w="108" w:type="dxa"/>
            <w:bottom w:w="0" w:type="dxa"/>
            <w:right w:w="108" w:type="dxa"/>
          </w:tblCellMar>
        </w:tblPrEx>
        <w:tc>
          <w:tcPr>
            <w:tcW w:w="4423" w:type="dxa"/>
          </w:tcPr>
          <w:p>
            <w:pPr>
              <w:autoSpaceDE w:val="0"/>
              <w:autoSpaceDN w:val="0"/>
              <w:snapToGrid/>
              <w:ind w:firstLine="0" w:firstLineChars="0"/>
              <w:rPr>
                <w:rFonts w:ascii="宋体" w:hAnsi="宋体" w:cs="Times New Roman"/>
                <w:color w:val="auto"/>
                <w:kern w:val="0"/>
                <w:sz w:val="28"/>
                <w:szCs w:val="28"/>
              </w:rPr>
            </w:pPr>
            <w:r>
              <w:rPr>
                <w:rFonts w:cs="Times New Roman"/>
                <w:color w:val="auto"/>
                <w:kern w:val="0"/>
                <w:sz w:val="20"/>
                <w:szCs w:val="20"/>
              </w:rPr>
              <w:drawing>
                <wp:anchor distT="0" distB="0" distL="114300" distR="114300" simplePos="0" relativeHeight="251723776" behindDoc="0" locked="0" layoutInCell="1" allowOverlap="1">
                  <wp:simplePos x="0" y="0"/>
                  <wp:positionH relativeFrom="column">
                    <wp:posOffset>-66675</wp:posOffset>
                  </wp:positionH>
                  <wp:positionV relativeFrom="page">
                    <wp:posOffset>396875</wp:posOffset>
                  </wp:positionV>
                  <wp:extent cx="2671445" cy="1914525"/>
                  <wp:effectExtent l="0" t="0" r="0" b="9525"/>
                  <wp:wrapSquare wrapText="bothSides"/>
                  <wp:docPr id="2946" name="图片 29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46" name="图片 2946"/>
                          <pic:cNvPicPr>
                            <a:picLocks noChangeAspect="true" noChangeArrowheads="true"/>
                          </pic:cNvPicPr>
                        </pic:nvPicPr>
                        <pic:blipFill>
                          <a:blip r:embed="rId142" cstate="print">
                            <a:extLst>
                              <a:ext uri="{28A0092B-C50C-407E-A947-70E740481C1C}">
                                <a14:useLocalDpi xmlns:a14="http://schemas.microsoft.com/office/drawing/2010/main" val="false"/>
                              </a:ext>
                            </a:extLst>
                          </a:blip>
                          <a:stretch>
                            <a:fillRect/>
                          </a:stretch>
                        </pic:blipFill>
                        <pic:spPr>
                          <a:xfrm>
                            <a:off x="0" y="0"/>
                            <a:ext cx="2671445" cy="1914525"/>
                          </a:xfrm>
                          <a:prstGeom prst="rect">
                            <a:avLst/>
                          </a:prstGeom>
                          <a:noFill/>
                          <a:ln>
                            <a:noFill/>
                          </a:ln>
                        </pic:spPr>
                      </pic:pic>
                    </a:graphicData>
                  </a:graphic>
                </wp:anchor>
              </w:drawing>
            </w:r>
          </w:p>
        </w:tc>
        <w:tc>
          <w:tcPr>
            <w:tcW w:w="4566" w:type="dxa"/>
          </w:tcPr>
          <w:p>
            <w:pPr>
              <w:autoSpaceDE w:val="0"/>
              <w:autoSpaceDN w:val="0"/>
              <w:snapToGrid/>
              <w:ind w:firstLine="0" w:firstLineChars="0"/>
              <w:rPr>
                <w:rFonts w:ascii="宋体" w:hAnsi="宋体" w:cs="Times New Roman"/>
                <w:color w:val="auto"/>
                <w:kern w:val="0"/>
                <w:sz w:val="28"/>
                <w:szCs w:val="28"/>
              </w:rPr>
            </w:pPr>
            <w:r>
              <w:rPr>
                <w:rFonts w:cs="Times New Roman"/>
                <w:color w:val="auto"/>
                <w:kern w:val="0"/>
                <w:sz w:val="20"/>
                <w:szCs w:val="20"/>
              </w:rPr>
              <w:drawing>
                <wp:anchor distT="0" distB="0" distL="114300" distR="114300" simplePos="0" relativeHeight="251724800" behindDoc="0" locked="0" layoutInCell="1" allowOverlap="1">
                  <wp:simplePos x="0" y="0"/>
                  <wp:positionH relativeFrom="column">
                    <wp:posOffset>-67310</wp:posOffset>
                  </wp:positionH>
                  <wp:positionV relativeFrom="page">
                    <wp:posOffset>396875</wp:posOffset>
                  </wp:positionV>
                  <wp:extent cx="2757170" cy="1924050"/>
                  <wp:effectExtent l="0" t="0" r="5080" b="0"/>
                  <wp:wrapSquare wrapText="bothSides"/>
                  <wp:docPr id="2947" name="图片 29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47" name="图片 2947"/>
                          <pic:cNvPicPr>
                            <a:picLocks noChangeAspect="true" noChangeArrowheads="true"/>
                          </pic:cNvPicPr>
                        </pic:nvPicPr>
                        <pic:blipFill>
                          <a:blip r:embed="rId143" cstate="print">
                            <a:extLst>
                              <a:ext uri="{28A0092B-C50C-407E-A947-70E740481C1C}">
                                <a14:useLocalDpi xmlns:a14="http://schemas.microsoft.com/office/drawing/2010/main" val="false"/>
                              </a:ext>
                            </a:extLst>
                          </a:blip>
                          <a:stretch>
                            <a:fillRect/>
                          </a:stretch>
                        </pic:blipFill>
                        <pic:spPr>
                          <a:xfrm>
                            <a:off x="0" y="0"/>
                            <a:ext cx="2757170" cy="1924050"/>
                          </a:xfrm>
                          <a:prstGeom prst="rect">
                            <a:avLst/>
                          </a:prstGeom>
                          <a:noFill/>
                          <a:ln>
                            <a:noFill/>
                          </a:ln>
                        </pic:spPr>
                      </pic:pic>
                    </a:graphicData>
                  </a:graphic>
                </wp:anchor>
              </w:drawing>
            </w:r>
          </w:p>
        </w:tc>
      </w:tr>
      <w:tr>
        <w:tc>
          <w:tcPr>
            <w:tcW w:w="4423" w:type="dxa"/>
          </w:tcPr>
          <w:p>
            <w:pPr>
              <w:autoSpaceDE w:val="0"/>
              <w:autoSpaceDN w:val="0"/>
              <w:snapToGrid/>
              <w:ind w:firstLine="0" w:firstLineChars="0"/>
              <w:jc w:val="center"/>
              <w:rPr>
                <w:rFonts w:ascii="宋体" w:hAnsi="宋体" w:cs="Times New Roman"/>
                <w:color w:val="auto"/>
                <w:kern w:val="0"/>
                <w:szCs w:val="24"/>
              </w:rPr>
            </w:pPr>
            <w:r>
              <w:rPr>
                <w:rFonts w:hint="eastAsia" w:ascii="宋体" w:hAnsi="宋体" w:cs="Times New Roman"/>
                <w:color w:val="auto"/>
                <w:kern w:val="0"/>
                <w:szCs w:val="24"/>
              </w:rPr>
              <w:t>灌木样方调查</w:t>
            </w:r>
          </w:p>
        </w:tc>
        <w:tc>
          <w:tcPr>
            <w:tcW w:w="4566" w:type="dxa"/>
          </w:tcPr>
          <w:p>
            <w:pPr>
              <w:autoSpaceDE w:val="0"/>
              <w:autoSpaceDN w:val="0"/>
              <w:snapToGrid/>
              <w:ind w:firstLine="0" w:firstLineChars="0"/>
              <w:jc w:val="center"/>
              <w:rPr>
                <w:rFonts w:ascii="宋体" w:hAnsi="宋体" w:cs="Times New Roman"/>
                <w:color w:val="auto"/>
                <w:kern w:val="0"/>
                <w:szCs w:val="24"/>
              </w:rPr>
            </w:pPr>
            <w:r>
              <w:rPr>
                <w:rFonts w:hint="eastAsia" w:ascii="宋体" w:hAnsi="宋体" w:cs="Times New Roman"/>
                <w:color w:val="auto"/>
                <w:kern w:val="0"/>
                <w:szCs w:val="24"/>
              </w:rPr>
              <w:t>乔木样方调查</w:t>
            </w:r>
          </w:p>
        </w:tc>
      </w:tr>
    </w:tbl>
    <w:p>
      <w:pPr>
        <w:ind w:firstLine="480"/>
        <w:rPr>
          <w:rFonts w:ascii="Times New Roman" w:hAnsi="Times New Roman" w:cs="Times New Roman"/>
          <w:snapToGrid w:val="0"/>
          <w:color w:val="auto"/>
          <w:szCs w:val="20"/>
          <w:lang w:val="zh-CN"/>
        </w:rPr>
      </w:pPr>
      <w:bookmarkStart w:id="338" w:name="_Toc89816127"/>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、区系分析及物种组成</w:t>
      </w:r>
      <w:bookmarkEnd w:id="338"/>
    </w:p>
    <w:p>
      <w:pPr>
        <w:ind w:firstLine="480"/>
        <w:rPr>
          <w:rFonts w:ascii="Times New Roman" w:hAnsi="Times New Roman" w:cs="Times New Roman"/>
          <w:color w:val="auto"/>
          <w:sz w:val="28"/>
          <w:szCs w:val="28"/>
          <w:lang w:val="en-GB"/>
        </w:rPr>
      </w:pPr>
      <w:r>
        <w:rPr>
          <w:rFonts w:hint="eastAsia" w:ascii="Times New Roman" w:hAnsi="Times New Roman" w:cs="Times New Roman"/>
          <w:snapToGrid w:val="0"/>
          <w:color w:val="auto"/>
          <w:szCs w:val="20"/>
          <w:lang w:val="zh-CN"/>
        </w:rPr>
        <w:t>根据《中国种子植物区系地理》（吴征镒，</w:t>
      </w:r>
      <w:r>
        <w:rPr>
          <w:rFonts w:ascii="Times New Roman" w:hAnsi="Times New Roman" w:cs="Times New Roman"/>
          <w:snapToGrid w:val="0"/>
          <w:color w:val="auto"/>
          <w:szCs w:val="20"/>
          <w:lang w:val="zh-CN"/>
        </w:rPr>
        <w:t>2011），</w:t>
      </w:r>
      <w:r>
        <w:rPr>
          <w:rFonts w:hint="eastAsia" w:ascii="Times New Roman" w:hAnsi="Times New Roman" w:cs="Times New Roman"/>
          <w:snapToGrid w:val="0"/>
          <w:color w:val="auto"/>
          <w:szCs w:val="20"/>
          <w:lang w:val="zh-CN"/>
        </w:rPr>
        <w:t>本次植物调查区域</w:t>
      </w:r>
      <w:r>
        <w:rPr>
          <w:rFonts w:ascii="Times New Roman" w:hAnsi="Times New Roman" w:cs="Times New Roman"/>
          <w:snapToGrid w:val="0"/>
          <w:color w:val="auto"/>
          <w:szCs w:val="20"/>
          <w:lang w:val="zh-CN"/>
        </w:rPr>
        <w:t>属于东亚植物区—中国-日本森林植物亚区—华东地区—黄淮平原亚地区。本亚地区包括安徽、江苏大部分地区，淮河、长江两大水系</w:t>
      </w:r>
      <w:r>
        <w:rPr>
          <w:rFonts w:hint="eastAsia" w:ascii="Times New Roman" w:hAnsi="Times New Roman" w:cs="Times New Roman"/>
          <w:snapToGrid w:val="0"/>
          <w:color w:val="auto"/>
          <w:szCs w:val="20"/>
          <w:lang w:val="zh-CN"/>
        </w:rPr>
        <w:t>以及巢湖湖泊湿地</w:t>
      </w:r>
      <w:r>
        <w:rPr>
          <w:rFonts w:ascii="Times New Roman" w:hAnsi="Times New Roman" w:cs="Times New Roman"/>
          <w:snapToGrid w:val="0"/>
          <w:color w:val="auto"/>
          <w:szCs w:val="20"/>
          <w:lang w:val="zh-CN"/>
        </w:rPr>
        <w:t>纵横交错，地势平坦，海拔一般仅100-200m</w:t>
      </w:r>
      <w:r>
        <w:rPr>
          <w:rFonts w:hint="eastAsia" w:ascii="Times New Roman" w:hAnsi="Times New Roman" w:cs="Times New Roman"/>
          <w:snapToGrid w:val="0"/>
          <w:color w:val="auto"/>
          <w:szCs w:val="20"/>
          <w:lang w:val="zh-CN"/>
        </w:rPr>
        <w:t>。</w:t>
      </w:r>
      <w:r>
        <w:rPr>
          <w:rFonts w:hint="eastAsia" w:ascii="Times New Roman" w:hAnsi="Times New Roman" w:cs="Times New Roman"/>
          <w:color w:val="auto"/>
          <w:sz w:val="28"/>
          <w:szCs w:val="28"/>
          <w:lang w:val="en-GB"/>
        </w:rPr>
        <w:t xml:space="preserve"> </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现场调查共记录到调查范围内陆生植物共计</w:t>
      </w:r>
      <w:r>
        <w:rPr>
          <w:rFonts w:ascii="Times New Roman" w:hAnsi="Times New Roman" w:cs="Times New Roman"/>
          <w:snapToGrid w:val="0"/>
          <w:color w:val="auto"/>
          <w:szCs w:val="20"/>
          <w:lang w:val="zh-CN"/>
        </w:rPr>
        <w:t>58</w:t>
      </w:r>
      <w:r>
        <w:rPr>
          <w:rFonts w:hint="eastAsia" w:ascii="Times New Roman" w:hAnsi="Times New Roman" w:cs="Times New Roman"/>
          <w:snapToGrid w:val="0"/>
          <w:color w:val="auto"/>
          <w:szCs w:val="20"/>
          <w:lang w:val="zh-CN"/>
        </w:rPr>
        <w:t>科</w:t>
      </w:r>
      <w:r>
        <w:rPr>
          <w:rFonts w:ascii="Times New Roman" w:hAnsi="Times New Roman" w:cs="Times New Roman"/>
          <w:snapToGrid w:val="0"/>
          <w:color w:val="auto"/>
          <w:szCs w:val="20"/>
          <w:lang w:val="zh-CN"/>
        </w:rPr>
        <w:t>205</w:t>
      </w:r>
      <w:r>
        <w:rPr>
          <w:rFonts w:hint="eastAsia" w:ascii="Times New Roman" w:hAnsi="Times New Roman" w:cs="Times New Roman"/>
          <w:snapToGrid w:val="0"/>
          <w:color w:val="auto"/>
          <w:szCs w:val="20"/>
          <w:lang w:val="zh-CN"/>
        </w:rPr>
        <w:t>种。其中，裸子</w:t>
      </w:r>
      <w:r>
        <w:rPr>
          <w:rFonts w:ascii="Times New Roman" w:hAnsi="Times New Roman" w:cs="Times New Roman"/>
          <w:snapToGrid w:val="0"/>
          <w:color w:val="auto"/>
          <w:szCs w:val="20"/>
          <w:lang w:val="zh-CN"/>
        </w:rPr>
        <w:t>3</w:t>
      </w:r>
      <w:r>
        <w:rPr>
          <w:rFonts w:hint="eastAsia" w:ascii="Times New Roman" w:hAnsi="Times New Roman" w:cs="Times New Roman"/>
          <w:snapToGrid w:val="0"/>
          <w:color w:val="auto"/>
          <w:szCs w:val="20"/>
          <w:lang w:val="zh-CN"/>
        </w:rPr>
        <w:t>科</w:t>
      </w:r>
      <w:r>
        <w:rPr>
          <w:rFonts w:ascii="Times New Roman" w:hAnsi="Times New Roman" w:cs="Times New Roman"/>
          <w:snapToGrid w:val="0"/>
          <w:color w:val="auto"/>
          <w:szCs w:val="20"/>
          <w:lang w:val="zh-CN"/>
        </w:rPr>
        <w:t>4</w:t>
      </w:r>
      <w:r>
        <w:rPr>
          <w:rFonts w:hint="eastAsia" w:ascii="Times New Roman" w:hAnsi="Times New Roman" w:cs="Times New Roman"/>
          <w:snapToGrid w:val="0"/>
          <w:color w:val="auto"/>
          <w:szCs w:val="20"/>
          <w:lang w:val="zh-CN"/>
        </w:rPr>
        <w:t>种，被子植物（单子叶</w:t>
      </w:r>
      <w:r>
        <w:rPr>
          <w:rFonts w:ascii="Times New Roman" w:hAnsi="Times New Roman" w:cs="Times New Roman"/>
          <w:snapToGrid w:val="0"/>
          <w:color w:val="auto"/>
          <w:szCs w:val="20"/>
          <w:lang w:val="zh-CN"/>
        </w:rPr>
        <w:t>4</w:t>
      </w:r>
      <w:r>
        <w:rPr>
          <w:rFonts w:hint="eastAsia" w:ascii="Times New Roman" w:hAnsi="Times New Roman" w:cs="Times New Roman"/>
          <w:snapToGrid w:val="0"/>
          <w:color w:val="auto"/>
          <w:szCs w:val="20"/>
          <w:lang w:val="zh-CN"/>
        </w:rPr>
        <w:t>科</w:t>
      </w:r>
      <w:r>
        <w:rPr>
          <w:rFonts w:ascii="Times New Roman" w:hAnsi="Times New Roman" w:cs="Times New Roman"/>
          <w:snapToGrid w:val="0"/>
          <w:color w:val="auto"/>
          <w:szCs w:val="20"/>
          <w:lang w:val="zh-CN"/>
        </w:rPr>
        <w:t>17</w:t>
      </w:r>
      <w:r>
        <w:rPr>
          <w:rFonts w:hint="eastAsia" w:ascii="Times New Roman" w:hAnsi="Times New Roman" w:cs="Times New Roman"/>
          <w:snapToGrid w:val="0"/>
          <w:color w:val="auto"/>
          <w:szCs w:val="20"/>
          <w:lang w:val="zh-CN"/>
        </w:rPr>
        <w:t>种，双子叶</w:t>
      </w:r>
      <w:r>
        <w:rPr>
          <w:rFonts w:ascii="Times New Roman" w:hAnsi="Times New Roman" w:cs="Times New Roman"/>
          <w:snapToGrid w:val="0"/>
          <w:color w:val="auto"/>
          <w:szCs w:val="20"/>
          <w:lang w:val="zh-CN"/>
        </w:rPr>
        <w:t>51</w:t>
      </w:r>
      <w:r>
        <w:rPr>
          <w:rFonts w:hint="eastAsia" w:ascii="Times New Roman" w:hAnsi="Times New Roman" w:cs="Times New Roman"/>
          <w:snapToGrid w:val="0"/>
          <w:color w:val="auto"/>
          <w:szCs w:val="20"/>
          <w:lang w:val="zh-CN"/>
        </w:rPr>
        <w:t>科</w:t>
      </w:r>
      <w:r>
        <w:rPr>
          <w:rFonts w:ascii="Times New Roman" w:hAnsi="Times New Roman" w:cs="Times New Roman"/>
          <w:snapToGrid w:val="0"/>
          <w:color w:val="auto"/>
          <w:szCs w:val="20"/>
          <w:lang w:val="zh-CN"/>
        </w:rPr>
        <w:t>184</w:t>
      </w:r>
      <w:r>
        <w:rPr>
          <w:rFonts w:hint="eastAsia" w:ascii="Times New Roman" w:hAnsi="Times New Roman" w:cs="Times New Roman"/>
          <w:snapToGrid w:val="0"/>
          <w:color w:val="auto"/>
          <w:szCs w:val="20"/>
          <w:lang w:val="zh-CN"/>
        </w:rPr>
        <w:t>种）。分布在1</w:t>
      </w:r>
      <w:r>
        <w:rPr>
          <w:rFonts w:ascii="Times New Roman" w:hAnsi="Times New Roman" w:cs="Times New Roman"/>
          <w:snapToGrid w:val="0"/>
          <w:color w:val="auto"/>
          <w:szCs w:val="20"/>
          <w:lang w:val="zh-CN"/>
        </w:rPr>
        <w:t>0</w:t>
      </w:r>
      <w:r>
        <w:rPr>
          <w:rFonts w:hint="eastAsia" w:ascii="Times New Roman" w:hAnsi="Times New Roman" w:cs="Times New Roman"/>
          <w:snapToGrid w:val="0"/>
          <w:color w:val="auto"/>
          <w:szCs w:val="20"/>
          <w:lang w:val="zh-CN"/>
        </w:rPr>
        <w:t>种以上的科有蔷薇科1</w:t>
      </w:r>
      <w:r>
        <w:rPr>
          <w:rFonts w:ascii="Times New Roman" w:hAnsi="Times New Roman" w:cs="Times New Roman"/>
          <w:snapToGrid w:val="0"/>
          <w:color w:val="auto"/>
          <w:szCs w:val="20"/>
          <w:lang w:val="zh-CN"/>
        </w:rPr>
        <w:t>4</w:t>
      </w:r>
      <w:r>
        <w:rPr>
          <w:rFonts w:hint="eastAsia" w:ascii="Times New Roman" w:hAnsi="Times New Roman" w:cs="Times New Roman"/>
          <w:snapToGrid w:val="0"/>
          <w:color w:val="auto"/>
          <w:szCs w:val="20"/>
          <w:lang w:val="zh-CN"/>
        </w:rPr>
        <w:t>种、豆科1</w:t>
      </w:r>
      <w:r>
        <w:rPr>
          <w:rFonts w:ascii="Times New Roman" w:hAnsi="Times New Roman" w:cs="Times New Roman"/>
          <w:snapToGrid w:val="0"/>
          <w:color w:val="auto"/>
          <w:szCs w:val="20"/>
          <w:lang w:val="zh-CN"/>
        </w:rPr>
        <w:t>9</w:t>
      </w:r>
      <w:r>
        <w:rPr>
          <w:rFonts w:hint="eastAsia" w:ascii="Times New Roman" w:hAnsi="Times New Roman" w:cs="Times New Roman"/>
          <w:snapToGrid w:val="0"/>
          <w:color w:val="auto"/>
          <w:szCs w:val="20"/>
          <w:lang w:val="zh-CN"/>
        </w:rPr>
        <w:t>种、菊科2</w:t>
      </w:r>
      <w:r>
        <w:rPr>
          <w:rFonts w:ascii="Times New Roman" w:hAnsi="Times New Roman" w:cs="Times New Roman"/>
          <w:snapToGrid w:val="0"/>
          <w:color w:val="auto"/>
          <w:szCs w:val="20"/>
          <w:lang w:val="zh-CN"/>
        </w:rPr>
        <w:t>6</w:t>
      </w:r>
      <w:r>
        <w:rPr>
          <w:rFonts w:hint="eastAsia" w:ascii="Times New Roman" w:hAnsi="Times New Roman" w:cs="Times New Roman"/>
          <w:snapToGrid w:val="0"/>
          <w:color w:val="auto"/>
          <w:szCs w:val="20"/>
          <w:lang w:val="zh-CN"/>
        </w:rPr>
        <w:t>种、禾本科1</w:t>
      </w: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种。这4科植物也是最常见的广布种，是陆生植物中的优势种本次调查植物名录见附录</w:t>
      </w: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。未发现国家保护野生植物。</w:t>
      </w:r>
    </w:p>
    <w:p>
      <w:pPr>
        <w:ind w:firstLine="480"/>
        <w:rPr>
          <w:rFonts w:ascii="Times New Roman" w:hAnsi="Times New Roman" w:cs="Times New Roman"/>
          <w:snapToGrid w:val="0"/>
          <w:color w:val="auto"/>
          <w:szCs w:val="20"/>
          <w:lang w:val="zh-CN"/>
        </w:rPr>
      </w:pPr>
      <w:bookmarkStart w:id="339" w:name="_Toc89816129"/>
      <w:r>
        <w:rPr>
          <w:rFonts w:ascii="Times New Roman" w:hAnsi="Times New Roman" w:cs="Times New Roman"/>
          <w:snapToGrid w:val="0"/>
          <w:color w:val="auto"/>
          <w:szCs w:val="20"/>
          <w:lang w:val="zh-CN"/>
        </w:rPr>
        <w:t>3</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植物群落分布特征</w:t>
      </w:r>
      <w:bookmarkEnd w:id="339"/>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植被分布特征</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草</w:t>
      </w:r>
      <w:r>
        <w:rPr>
          <w:rFonts w:hint="eastAsia" w:ascii="Times New Roman" w:hAnsi="Times New Roman" w:cs="Times New Roman"/>
          <w:snapToGrid w:val="0"/>
          <w:color w:val="auto"/>
          <w:szCs w:val="20"/>
          <w:lang w:val="zh-CN"/>
        </w:rPr>
        <w:t>本植物</w:t>
      </w:r>
      <w:r>
        <w:rPr>
          <w:rFonts w:ascii="Times New Roman" w:hAnsi="Times New Roman" w:cs="Times New Roman"/>
          <w:snapToGrid w:val="0"/>
          <w:color w:val="auto"/>
          <w:szCs w:val="20"/>
          <w:lang w:val="zh-CN"/>
        </w:rPr>
        <w:t>：</w:t>
      </w:r>
      <w:r>
        <w:rPr>
          <w:rFonts w:hint="eastAsia" w:ascii="Times New Roman" w:hAnsi="Times New Roman" w:cs="Times New Roman"/>
          <w:snapToGrid w:val="0"/>
          <w:color w:val="auto"/>
          <w:szCs w:val="20"/>
          <w:lang w:val="zh-CN"/>
        </w:rPr>
        <w:t>主要分布在农田田埂和水塘边上，</w:t>
      </w:r>
      <w:r>
        <w:rPr>
          <w:rFonts w:ascii="Times New Roman" w:hAnsi="Times New Roman" w:cs="Times New Roman"/>
          <w:snapToGrid w:val="0"/>
          <w:color w:val="auto"/>
          <w:szCs w:val="20"/>
          <w:lang w:val="zh-CN"/>
        </w:rPr>
        <w:t>主要</w:t>
      </w:r>
      <w:r>
        <w:rPr>
          <w:rFonts w:hint="eastAsia" w:ascii="Times New Roman" w:hAnsi="Times New Roman" w:cs="Times New Roman"/>
          <w:snapToGrid w:val="0"/>
          <w:color w:val="auto"/>
          <w:szCs w:val="20"/>
          <w:lang w:val="zh-CN"/>
        </w:rPr>
        <w:t>菊科植物蒲公英、台湾翅果菊、黄鹌菜，十字花科植物雪里蕻等在圩区田埂上大量分布。此外还有阿拉伯</w:t>
      </w:r>
      <w:r>
        <w:rPr>
          <w:rFonts w:ascii="Times New Roman" w:hAnsi="Times New Roman" w:cs="Times New Roman"/>
          <w:snapToGrid w:val="0"/>
          <w:color w:val="auto"/>
          <w:szCs w:val="20"/>
          <w:lang w:val="zh-CN"/>
        </w:rPr>
        <w:t>婆婆纳、白茅、紫堇、狗尾草、</w:t>
      </w:r>
      <w:r>
        <w:rPr>
          <w:rFonts w:hint="eastAsia" w:ascii="Times New Roman" w:hAnsi="Times New Roman" w:cs="Times New Roman"/>
          <w:snapToGrid w:val="0"/>
          <w:color w:val="auto"/>
          <w:szCs w:val="20"/>
          <w:lang w:val="zh-CN"/>
        </w:rPr>
        <w:t>朝天</w:t>
      </w:r>
      <w:r>
        <w:rPr>
          <w:rFonts w:ascii="Times New Roman" w:hAnsi="Times New Roman" w:cs="Times New Roman"/>
          <w:snapToGrid w:val="0"/>
          <w:color w:val="auto"/>
          <w:szCs w:val="20"/>
          <w:lang w:val="zh-CN"/>
        </w:rPr>
        <w:t>萎陵菜、野艾蒿等</w:t>
      </w:r>
      <w:r>
        <w:rPr>
          <w:rFonts w:hint="eastAsia" w:ascii="Times New Roman" w:hAnsi="Times New Roman" w:cs="Times New Roman"/>
          <w:snapToGrid w:val="0"/>
          <w:color w:val="auto"/>
          <w:szCs w:val="20"/>
          <w:lang w:val="zh-CN"/>
        </w:rPr>
        <w:t>广泛分布，</w:t>
      </w:r>
      <w:r>
        <w:rPr>
          <w:rFonts w:ascii="Times New Roman" w:hAnsi="Times New Roman" w:cs="Times New Roman"/>
          <w:snapToGrid w:val="0"/>
          <w:color w:val="auto"/>
          <w:szCs w:val="20"/>
          <w:lang w:val="zh-CN"/>
        </w:rPr>
        <w:t>婆婆纳、紫堇</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三叶萎陵菜等低矮草丛主要分布在洼地、水体沿岸和林地边缘荒地。</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灌木植被：</w:t>
      </w:r>
      <w:r>
        <w:rPr>
          <w:rFonts w:hint="eastAsia" w:ascii="Times New Roman" w:hAnsi="Times New Roman" w:cs="Times New Roman"/>
          <w:snapToGrid w:val="0"/>
          <w:color w:val="auto"/>
          <w:szCs w:val="20"/>
          <w:lang w:val="zh-CN"/>
        </w:rPr>
        <w:t>圩区灌木植被缺乏，</w:t>
      </w:r>
      <w:r>
        <w:rPr>
          <w:rFonts w:ascii="Times New Roman" w:hAnsi="Times New Roman" w:cs="Times New Roman"/>
          <w:snapToGrid w:val="0"/>
          <w:color w:val="auto"/>
          <w:szCs w:val="20"/>
          <w:lang w:val="zh-CN"/>
        </w:rPr>
        <w:t>主要</w:t>
      </w:r>
      <w:r>
        <w:rPr>
          <w:rFonts w:hint="eastAsia" w:ascii="Times New Roman" w:hAnsi="Times New Roman" w:cs="Times New Roman"/>
          <w:snapToGrid w:val="0"/>
          <w:color w:val="auto"/>
          <w:szCs w:val="20"/>
          <w:lang w:val="zh-CN"/>
        </w:rPr>
        <w:t>人工栽培植物木槿、桂花以及构树等。构树为主要的灌木植被，</w:t>
      </w:r>
      <w:r>
        <w:rPr>
          <w:rFonts w:ascii="Times New Roman" w:hAnsi="Times New Roman" w:cs="Times New Roman"/>
          <w:snapToGrid w:val="0"/>
          <w:color w:val="auto"/>
          <w:szCs w:val="20"/>
          <w:lang w:val="zh-CN"/>
        </w:rPr>
        <w:t>构树具有速生、适应性强、分布广、易繁殖、热量高、轮伐期短的特点。其根系浅，侧根分布很广，生长快，萌芽力和分蘖力强，耐修剪。抗污染性强</w:t>
      </w:r>
      <w:r>
        <w:rPr>
          <w:rFonts w:hint="eastAsia" w:ascii="Times New Roman" w:hAnsi="Times New Roman" w:cs="Times New Roman"/>
          <w:snapToGrid w:val="0"/>
          <w:color w:val="auto"/>
          <w:szCs w:val="20"/>
          <w:lang w:val="zh-CN"/>
        </w:rPr>
        <w:t>，生命力顽强，在潮湿地带也可以很好的生长，也是农村里常见的灌木品种。</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乔木林生境：</w:t>
      </w:r>
      <w:r>
        <w:rPr>
          <w:rFonts w:hint="eastAsia" w:ascii="Times New Roman" w:hAnsi="Times New Roman" w:cs="Times New Roman"/>
          <w:snapToGrid w:val="0"/>
          <w:color w:val="auto"/>
          <w:szCs w:val="20"/>
          <w:lang w:val="zh-CN"/>
        </w:rPr>
        <w:t>圩区</w:t>
      </w:r>
      <w:r>
        <w:rPr>
          <w:rFonts w:ascii="Times New Roman" w:hAnsi="Times New Roman" w:cs="Times New Roman"/>
          <w:snapToGrid w:val="0"/>
          <w:color w:val="auto"/>
          <w:szCs w:val="20"/>
          <w:lang w:val="zh-CN"/>
        </w:rPr>
        <w:t>乔木主要为水杉、</w:t>
      </w:r>
      <w:r>
        <w:rPr>
          <w:rFonts w:hint="eastAsia" w:ascii="Times New Roman" w:hAnsi="Times New Roman" w:cs="Times New Roman"/>
          <w:snapToGrid w:val="0"/>
          <w:color w:val="auto"/>
          <w:szCs w:val="20"/>
          <w:lang w:val="zh-CN"/>
        </w:rPr>
        <w:t>加拿大杨、湿地松、旱柳、垂柳、</w:t>
      </w:r>
      <w:r>
        <w:rPr>
          <w:rFonts w:ascii="Times New Roman" w:hAnsi="Times New Roman" w:cs="Times New Roman"/>
          <w:snapToGrid w:val="0"/>
          <w:color w:val="auto"/>
          <w:szCs w:val="20"/>
          <w:lang w:val="zh-CN"/>
        </w:rPr>
        <w:t>樟树等</w:t>
      </w:r>
      <w:r>
        <w:rPr>
          <w:rFonts w:hint="eastAsia" w:ascii="Times New Roman" w:hAnsi="Times New Roman" w:cs="Times New Roman"/>
          <w:snapToGrid w:val="0"/>
          <w:color w:val="auto"/>
          <w:szCs w:val="20"/>
          <w:lang w:val="zh-CN"/>
        </w:rPr>
        <w:t>。评价区乔木分布主要表现为湿地的防护林以及村庄附近的人工林。垂柳、旱柳和湿地松都是</w:t>
      </w:r>
      <w:r>
        <w:rPr>
          <w:rFonts w:ascii="Times New Roman" w:hAnsi="Times New Roman" w:cs="Times New Roman"/>
          <w:snapToGrid w:val="0"/>
          <w:color w:val="auto"/>
          <w:szCs w:val="20"/>
          <w:lang w:val="zh-CN"/>
        </w:rPr>
        <w:t>较耐寒，耐水湿，萌芽力强，根系发达，生长迅速</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是</w:t>
      </w:r>
      <w:r>
        <w:rPr>
          <w:rFonts w:hint="eastAsia" w:ascii="Times New Roman" w:hAnsi="Times New Roman" w:cs="Times New Roman"/>
          <w:snapToGrid w:val="0"/>
          <w:color w:val="auto"/>
          <w:szCs w:val="20"/>
          <w:lang w:val="zh-CN"/>
        </w:rPr>
        <w:t>湿地</w:t>
      </w:r>
      <w:r>
        <w:rPr>
          <w:rFonts w:ascii="Times New Roman" w:hAnsi="Times New Roman" w:cs="Times New Roman"/>
          <w:snapToGrid w:val="0"/>
          <w:color w:val="auto"/>
          <w:szCs w:val="20"/>
          <w:lang w:val="zh-CN"/>
        </w:rPr>
        <w:t>固堤护岸的重要树种。</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植物群落分布特征</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根据调查范围内植被分布特点，在推荐样方地点设置不同的植被类型调查样方，包括草本、灌木、乔木，不同植被类型样方调查结果如下：</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1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①</w:t>
      </w:r>
      <w:r>
        <w:rPr>
          <w:rFonts w:ascii="Times New Roman" w:hAnsi="Times New Roman" w:cs="Times New Roman"/>
          <w:snapToGrid w:val="0"/>
          <w:color w:val="auto"/>
          <w:szCs w:val="20"/>
          <w:lang w:val="zh-CN"/>
        </w:rPr>
        <w:fldChar w:fldCharType="end"/>
      </w:r>
      <w:r>
        <w:rPr>
          <w:rFonts w:ascii="Times New Roman" w:hAnsi="Times New Roman" w:cs="Times New Roman"/>
          <w:snapToGrid w:val="0"/>
          <w:color w:val="auto"/>
          <w:szCs w:val="20"/>
          <w:lang w:val="zh-CN"/>
        </w:rPr>
        <w:t xml:space="preserve"> 草本植被型</w:t>
      </w:r>
    </w:p>
    <w:p>
      <w:pPr>
        <w:spacing w:line="240" w:lineRule="auto"/>
        <w:ind w:firstLine="422"/>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4.9-2</w:t>
      </w:r>
      <w:r>
        <w:rPr>
          <w:rFonts w:hint="eastAsia" w:ascii="Times New Roman" w:hAnsi="Times New Roman" w:cs="Times New Roman"/>
          <w:b/>
          <w:color w:val="auto"/>
          <w:kern w:val="0"/>
          <w:sz w:val="21"/>
          <w:szCs w:val="21"/>
        </w:rPr>
        <w:t xml:space="preserve"> </w:t>
      </w:r>
      <w:r>
        <w:rPr>
          <w:rFonts w:ascii="Times New Roman" w:hAnsi="Times New Roman" w:cs="Times New Roman"/>
          <w:b/>
          <w:color w:val="auto"/>
          <w:kern w:val="0"/>
          <w:sz w:val="21"/>
          <w:szCs w:val="21"/>
        </w:rPr>
        <w:t xml:space="preserve">    </w:t>
      </w:r>
      <w:r>
        <w:rPr>
          <w:rFonts w:hint="eastAsia" w:ascii="Times New Roman" w:hAnsi="Times New Roman" w:cs="Times New Roman"/>
          <w:b/>
          <w:color w:val="auto"/>
          <w:kern w:val="0"/>
          <w:sz w:val="21"/>
          <w:szCs w:val="21"/>
        </w:rPr>
        <w:t>草本调查样方S01</w:t>
      </w:r>
    </w:p>
    <w:tbl>
      <w:tblPr>
        <w:tblStyle w:val="62"/>
        <w:tblpPr w:leftFromText="181" w:rightFromText="181" w:vertAnchor="text" w:horzAnchor="margin" w:tblpXSpec="center" w:tblpY="158"/>
        <w:tblOverlap w:val="never"/>
        <w:tblW w:w="897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59"/>
        <w:gridCol w:w="1839"/>
        <w:gridCol w:w="771"/>
        <w:gridCol w:w="1009"/>
        <w:gridCol w:w="887"/>
        <w:gridCol w:w="744"/>
        <w:gridCol w:w="587"/>
        <w:gridCol w:w="890"/>
        <w:gridCol w:w="8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7" w:hRule="atLeast"/>
        </w:trPr>
        <w:tc>
          <w:tcPr>
            <w:tcW w:w="1359"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植被类型</w:t>
            </w:r>
          </w:p>
        </w:tc>
        <w:tc>
          <w:tcPr>
            <w:tcW w:w="1839" w:type="dxa"/>
            <w:vAlign w:val="center"/>
          </w:tcPr>
          <w:p>
            <w:pPr>
              <w:widowControl/>
              <w:adjustRightInd/>
              <w:spacing w:line="240" w:lineRule="auto"/>
              <w:ind w:firstLine="420" w:firstLineChars="0"/>
              <w:jc w:val="center"/>
              <w:rPr>
                <w:rFonts w:ascii="Times New Roman" w:hAnsi="Times New Roman" w:cs="Times New Roman"/>
                <w:kern w:val="0"/>
                <w:sz w:val="18"/>
                <w:szCs w:val="18"/>
              </w:rPr>
            </w:pPr>
            <w:r>
              <w:rPr>
                <w:rFonts w:ascii="Times New Roman" w:hAnsi="Times New Roman" w:cs="Times New Roman"/>
                <w:kern w:val="0"/>
                <w:sz w:val="18"/>
                <w:szCs w:val="18"/>
              </w:rPr>
              <w:t>草地</w:t>
            </w:r>
          </w:p>
        </w:tc>
        <w:tc>
          <w:tcPr>
            <w:tcW w:w="5779" w:type="dxa"/>
            <w:gridSpan w:val="7"/>
            <w:vAlign w:val="center"/>
          </w:tcPr>
          <w:p>
            <w:pPr>
              <w:widowControl/>
              <w:adjustRightInd/>
              <w:spacing w:line="240" w:lineRule="auto"/>
              <w:ind w:firstLine="420" w:firstLineChars="0"/>
              <w:jc w:val="center"/>
              <w:rPr>
                <w:rFonts w:ascii="Times New Roman" w:hAnsi="Times New Roman" w:cs="Times New Roman"/>
                <w:kern w:val="0"/>
                <w:sz w:val="18"/>
                <w:szCs w:val="18"/>
              </w:rPr>
            </w:pPr>
            <w:r>
              <w:rPr>
                <w:rFonts w:ascii="Times New Roman" w:hAnsi="Times New Roman" w:cs="Times New Roman"/>
                <w:kern w:val="0"/>
                <w:sz w:val="18"/>
                <w:szCs w:val="18"/>
              </w:rPr>
              <w:t>环境特征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7" w:hRule="atLeast"/>
        </w:trPr>
        <w:tc>
          <w:tcPr>
            <w:tcW w:w="1359" w:type="dxa"/>
            <w:vMerge w:val="restart"/>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地点</w:t>
            </w:r>
          </w:p>
        </w:tc>
        <w:tc>
          <w:tcPr>
            <w:tcW w:w="1839" w:type="dxa"/>
            <w:vMerge w:val="restart"/>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S01</w:t>
            </w:r>
          </w:p>
        </w:tc>
        <w:tc>
          <w:tcPr>
            <w:tcW w:w="77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地形</w:t>
            </w:r>
          </w:p>
        </w:tc>
        <w:tc>
          <w:tcPr>
            <w:tcW w:w="1009"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海拔标高（m）</w:t>
            </w:r>
          </w:p>
        </w:tc>
        <w:tc>
          <w:tcPr>
            <w:tcW w:w="88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相对高度(m)</w:t>
            </w:r>
          </w:p>
        </w:tc>
        <w:tc>
          <w:tcPr>
            <w:tcW w:w="74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坡位</w:t>
            </w:r>
          </w:p>
        </w:tc>
        <w:tc>
          <w:tcPr>
            <w:tcW w:w="58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坡向</w:t>
            </w:r>
          </w:p>
        </w:tc>
        <w:tc>
          <w:tcPr>
            <w:tcW w:w="890"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坡度(°)</w:t>
            </w:r>
          </w:p>
        </w:tc>
        <w:tc>
          <w:tcPr>
            <w:tcW w:w="89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土壤</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7" w:hRule="atLeast"/>
        </w:trPr>
        <w:tc>
          <w:tcPr>
            <w:tcW w:w="1359" w:type="dxa"/>
            <w:vMerge w:val="continue"/>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839" w:type="dxa"/>
            <w:vMerge w:val="continue"/>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77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平地</w:t>
            </w:r>
          </w:p>
        </w:tc>
        <w:tc>
          <w:tcPr>
            <w:tcW w:w="1009" w:type="dxa"/>
            <w:vAlign w:val="center"/>
          </w:tcPr>
          <w:p>
            <w:pPr>
              <w:widowControl/>
              <w:adjustRightInd/>
              <w:spacing w:line="240" w:lineRule="auto"/>
              <w:ind w:firstLine="171" w:firstLineChars="95"/>
              <w:rPr>
                <w:rFonts w:ascii="Times New Roman" w:hAnsi="Times New Roman" w:cs="Times New Roman"/>
                <w:kern w:val="0"/>
                <w:sz w:val="18"/>
                <w:szCs w:val="18"/>
              </w:rPr>
            </w:pPr>
            <w:r>
              <w:rPr>
                <w:rFonts w:hint="eastAsia" w:ascii="Times New Roman" w:hAnsi="Times New Roman" w:cs="Times New Roman"/>
                <w:kern w:val="0"/>
                <w:sz w:val="18"/>
                <w:szCs w:val="18"/>
              </w:rPr>
              <w:t>11</w:t>
            </w:r>
          </w:p>
        </w:tc>
        <w:tc>
          <w:tcPr>
            <w:tcW w:w="887" w:type="dxa"/>
            <w:vAlign w:val="center"/>
          </w:tcPr>
          <w:p>
            <w:pPr>
              <w:widowControl/>
              <w:adjustRightInd/>
              <w:spacing w:line="240" w:lineRule="auto"/>
              <w:ind w:firstLine="171" w:firstLineChars="95"/>
              <w:rPr>
                <w:rFonts w:ascii="Times New Roman" w:hAnsi="Times New Roman" w:cs="Times New Roman"/>
                <w:kern w:val="0"/>
                <w:sz w:val="18"/>
                <w:szCs w:val="18"/>
              </w:rPr>
            </w:pPr>
          </w:p>
        </w:tc>
        <w:tc>
          <w:tcPr>
            <w:tcW w:w="744"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58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890" w:type="dxa"/>
            <w:vAlign w:val="center"/>
          </w:tcPr>
          <w:p>
            <w:pPr>
              <w:widowControl/>
              <w:adjustRightInd/>
              <w:spacing w:line="240" w:lineRule="auto"/>
              <w:ind w:firstLine="171" w:firstLineChars="95"/>
              <w:rPr>
                <w:rFonts w:ascii="Times New Roman" w:hAnsi="Times New Roman" w:cs="Times New Roman"/>
                <w:kern w:val="0"/>
                <w:sz w:val="18"/>
                <w:szCs w:val="18"/>
              </w:rPr>
            </w:pPr>
            <w:r>
              <w:rPr>
                <w:rFonts w:ascii="Times New Roman" w:hAnsi="Times New Roman" w:cs="Times New Roman"/>
                <w:kern w:val="0"/>
                <w:sz w:val="18"/>
                <w:szCs w:val="18"/>
              </w:rPr>
              <w:t>0</w:t>
            </w:r>
          </w:p>
        </w:tc>
        <w:tc>
          <w:tcPr>
            <w:tcW w:w="891" w:type="dxa"/>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黄棕壤</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37" w:hRule="atLeast"/>
        </w:trPr>
        <w:tc>
          <w:tcPr>
            <w:tcW w:w="1359"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层次</w:t>
            </w:r>
          </w:p>
        </w:tc>
        <w:tc>
          <w:tcPr>
            <w:tcW w:w="1839"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特征</w:t>
            </w:r>
          </w:p>
        </w:tc>
        <w:tc>
          <w:tcPr>
            <w:tcW w:w="5779" w:type="dxa"/>
            <w:gridSpan w:val="7"/>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种类组成及生长情况（种类、生物量）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7" w:hRule="atLeast"/>
        </w:trPr>
        <w:tc>
          <w:tcPr>
            <w:tcW w:w="1359"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草本层</w:t>
            </w:r>
          </w:p>
        </w:tc>
        <w:tc>
          <w:tcPr>
            <w:tcW w:w="1839"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优势种：</w:t>
            </w:r>
            <w:r>
              <w:rPr>
                <w:rFonts w:hint="eastAsia" w:ascii="Times New Roman" w:hAnsi="Times New Roman" w:cs="Times New Roman"/>
                <w:kern w:val="0"/>
                <w:sz w:val="18"/>
                <w:szCs w:val="18"/>
              </w:rPr>
              <w:t>广布野豌豆；</w:t>
            </w:r>
            <w:r>
              <w:rPr>
                <w:rFonts w:ascii="Times New Roman" w:hAnsi="Times New Roman" w:cs="Times New Roman"/>
                <w:kern w:val="0"/>
                <w:sz w:val="18"/>
                <w:szCs w:val="18"/>
              </w:rPr>
              <w:t>总盖度9</w:t>
            </w:r>
            <w:r>
              <w:rPr>
                <w:rFonts w:hint="eastAsia" w:ascii="Times New Roman" w:hAnsi="Times New Roman" w:cs="Times New Roman"/>
                <w:kern w:val="0"/>
                <w:sz w:val="18"/>
                <w:szCs w:val="18"/>
              </w:rPr>
              <w:t>5</w:t>
            </w:r>
            <w:r>
              <w:rPr>
                <w:rFonts w:ascii="Times New Roman" w:hAnsi="Times New Roman" w:cs="Times New Roman"/>
                <w:kern w:val="0"/>
                <w:sz w:val="18"/>
                <w:szCs w:val="18"/>
              </w:rPr>
              <w:t>%</w:t>
            </w:r>
          </w:p>
        </w:tc>
        <w:tc>
          <w:tcPr>
            <w:tcW w:w="5779" w:type="dxa"/>
            <w:gridSpan w:val="7"/>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泥胡菜</w:t>
            </w:r>
            <w:bookmarkStart w:id="340" w:name="_Hlk71057964"/>
            <w:r>
              <w:rPr>
                <w:rFonts w:hint="eastAsia" w:ascii="Times New Roman" w:hAnsi="Times New Roman" w:cs="Times New Roman"/>
                <w:kern w:val="0"/>
                <w:sz w:val="18"/>
                <w:szCs w:val="18"/>
              </w:rPr>
              <w:t>、</w:t>
            </w:r>
            <w:bookmarkEnd w:id="340"/>
            <w:r>
              <w:rPr>
                <w:rFonts w:hint="eastAsia" w:ascii="Times New Roman" w:hAnsi="Times New Roman" w:cs="Times New Roman"/>
                <w:kern w:val="0"/>
                <w:sz w:val="18"/>
                <w:szCs w:val="18"/>
              </w:rPr>
              <w:t>南苜蓿、蛇床、艾蒿、羊蹄、广布野豌豆、朝天委陵菜</w:t>
            </w:r>
          </w:p>
          <w:p>
            <w:pPr>
              <w:widowControl/>
              <w:adjustRightInd/>
              <w:spacing w:line="240" w:lineRule="auto"/>
              <w:ind w:firstLine="420" w:firstLineChars="0"/>
              <w:jc w:val="center"/>
              <w:rPr>
                <w:rFonts w:ascii="Times New Roman" w:hAnsi="Times New Roman" w:cs="Times New Roman"/>
                <w:kern w:val="0"/>
                <w:sz w:val="18"/>
                <w:szCs w:val="18"/>
              </w:rPr>
            </w:pPr>
            <w:r>
              <w:rPr>
                <w:rFonts w:ascii="Times New Roman" w:hAnsi="Times New Roman" w:cs="Times New Roman"/>
                <w:kern w:val="0"/>
                <w:sz w:val="18"/>
                <w:szCs w:val="18"/>
              </w:rPr>
              <w:t xml:space="preserve">生物量： </w:t>
            </w:r>
            <w:r>
              <w:rPr>
                <w:rFonts w:hint="eastAsia" w:ascii="Times New Roman" w:hAnsi="Times New Roman" w:cs="Times New Roman"/>
                <w:kern w:val="0"/>
                <w:sz w:val="18"/>
                <w:szCs w:val="18"/>
              </w:rPr>
              <w:t>450</w:t>
            </w:r>
            <w:r>
              <w:rPr>
                <w:rFonts w:ascii="Times New Roman" w:hAnsi="Times New Roman" w:cs="Times New Roman"/>
                <w:kern w:val="0"/>
                <w:sz w:val="18"/>
                <w:szCs w:val="18"/>
              </w:rPr>
              <w:t>g.m</w:t>
            </w:r>
            <w:r>
              <w:rPr>
                <w:rFonts w:ascii="Times New Roman" w:hAnsi="Times New Roman" w:cs="Times New Roman"/>
                <w:kern w:val="0"/>
                <w:sz w:val="18"/>
                <w:szCs w:val="18"/>
                <w:vertAlign w:val="superscript"/>
              </w:rPr>
              <w:t>-2</w:t>
            </w:r>
          </w:p>
        </w:tc>
      </w:tr>
    </w:tbl>
    <w:p>
      <w:pPr>
        <w:spacing w:line="240" w:lineRule="auto"/>
        <w:ind w:firstLine="422"/>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4.9-3   </w:t>
      </w:r>
      <w:r>
        <w:rPr>
          <w:rFonts w:hint="eastAsia" w:ascii="Times New Roman" w:hAnsi="Times New Roman" w:cs="Times New Roman"/>
          <w:b/>
          <w:color w:val="auto"/>
          <w:kern w:val="0"/>
          <w:sz w:val="21"/>
          <w:szCs w:val="21"/>
        </w:rPr>
        <w:t xml:space="preserve">  各草本样方植物调查结果（1m×1m）</w:t>
      </w:r>
    </w:p>
    <w:tbl>
      <w:tblPr>
        <w:tblStyle w:val="62"/>
        <w:tblW w:w="908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06"/>
        <w:gridCol w:w="4401"/>
        <w:gridCol w:w="1501"/>
        <w:gridCol w:w="751"/>
        <w:gridCol w:w="11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jc w:val="center"/>
        </w:trPr>
        <w:tc>
          <w:tcPr>
            <w:tcW w:w="1306" w:type="dxa"/>
            <w:tcBorders>
              <w:tl2br w:val="single" w:color="auto" w:sz="12"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特征</w:t>
            </w:r>
          </w:p>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样方号</w:t>
            </w:r>
          </w:p>
        </w:tc>
        <w:tc>
          <w:tcPr>
            <w:tcW w:w="440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种类</w:t>
            </w:r>
          </w:p>
        </w:tc>
        <w:tc>
          <w:tcPr>
            <w:tcW w:w="150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优势种</w:t>
            </w:r>
          </w:p>
        </w:tc>
        <w:tc>
          <w:tcPr>
            <w:tcW w:w="75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盖度（%)</w:t>
            </w:r>
          </w:p>
        </w:tc>
        <w:tc>
          <w:tcPr>
            <w:tcW w:w="11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生物量（g.m</w:t>
            </w:r>
            <w:r>
              <w:rPr>
                <w:rFonts w:ascii="Times New Roman" w:hAnsi="Times New Roman" w:cs="Times New Roman"/>
                <w:kern w:val="0"/>
                <w:sz w:val="18"/>
                <w:szCs w:val="18"/>
                <w:vertAlign w:val="superscript"/>
              </w:rPr>
              <w:t>-2</w:t>
            </w:r>
            <w:r>
              <w:rPr>
                <w:rFonts w:ascii="Times New Roman" w:hAnsi="Times New Roman" w:cs="Times New Roman"/>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7" w:hRule="atLeast"/>
          <w:jc w:val="center"/>
        </w:trPr>
        <w:tc>
          <w:tcPr>
            <w:tcW w:w="1306"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S01</w:t>
            </w:r>
          </w:p>
        </w:tc>
        <w:tc>
          <w:tcPr>
            <w:tcW w:w="4401"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泥胡菜、南苜蓿、蛇床、艾蒿、酸模、羊蹄广布野豌豆、朝天委陵菜</w:t>
            </w:r>
          </w:p>
        </w:tc>
        <w:tc>
          <w:tcPr>
            <w:tcW w:w="150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广布野豌豆</w:t>
            </w:r>
          </w:p>
        </w:tc>
        <w:tc>
          <w:tcPr>
            <w:tcW w:w="75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90</w:t>
            </w:r>
          </w:p>
        </w:tc>
        <w:tc>
          <w:tcPr>
            <w:tcW w:w="1123" w:type="dxa"/>
            <w:shd w:val="clear" w:color="auto" w:fill="auto"/>
            <w:vAlign w:val="center"/>
          </w:tcPr>
          <w:p>
            <w:pPr>
              <w:widowControl/>
              <w:adjustRightInd/>
              <w:spacing w:line="240" w:lineRule="auto"/>
              <w:ind w:firstLine="171" w:firstLineChars="95"/>
              <w:jc w:val="center"/>
              <w:rPr>
                <w:rFonts w:ascii="Times New Roman" w:hAnsi="Times New Roman" w:cs="Times New Roman"/>
                <w:kern w:val="0"/>
                <w:sz w:val="18"/>
                <w:szCs w:val="18"/>
              </w:rPr>
            </w:pPr>
            <w:r>
              <w:rPr>
                <w:rFonts w:hint="eastAsia" w:ascii="Times New Roman" w:hAnsi="Times New Roman" w:cs="Times New Roman"/>
                <w:kern w:val="0"/>
                <w:sz w:val="18"/>
                <w:szCs w:val="18"/>
              </w:rPr>
              <w:t>450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1306"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S02</w:t>
            </w:r>
          </w:p>
        </w:tc>
        <w:tc>
          <w:tcPr>
            <w:tcW w:w="440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南苜蓿、柔弱斑种草、小巢菜、棒头草</w:t>
            </w:r>
          </w:p>
        </w:tc>
        <w:tc>
          <w:tcPr>
            <w:tcW w:w="150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棒头草</w:t>
            </w:r>
          </w:p>
        </w:tc>
        <w:tc>
          <w:tcPr>
            <w:tcW w:w="75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75</w:t>
            </w:r>
          </w:p>
        </w:tc>
        <w:tc>
          <w:tcPr>
            <w:tcW w:w="1123" w:type="dxa"/>
            <w:shd w:val="clear" w:color="auto" w:fill="auto"/>
            <w:vAlign w:val="center"/>
          </w:tcPr>
          <w:p>
            <w:pPr>
              <w:widowControl/>
              <w:adjustRightInd/>
              <w:spacing w:line="240" w:lineRule="auto"/>
              <w:ind w:firstLine="171" w:firstLineChars="95"/>
              <w:jc w:val="center"/>
              <w:rPr>
                <w:rFonts w:ascii="Times New Roman" w:hAnsi="Times New Roman" w:cs="Times New Roman"/>
                <w:kern w:val="0"/>
                <w:sz w:val="18"/>
                <w:szCs w:val="18"/>
              </w:rPr>
            </w:pPr>
            <w:r>
              <w:rPr>
                <w:rFonts w:hint="eastAsia" w:ascii="Times New Roman" w:hAnsi="Times New Roman" w:cs="Times New Roman"/>
                <w:kern w:val="0"/>
                <w:sz w:val="18"/>
                <w:szCs w:val="18"/>
              </w:rPr>
              <w:t>300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7" w:hRule="atLeast"/>
          <w:jc w:val="center"/>
        </w:trPr>
        <w:tc>
          <w:tcPr>
            <w:tcW w:w="1306"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S03</w:t>
            </w:r>
          </w:p>
        </w:tc>
        <w:tc>
          <w:tcPr>
            <w:tcW w:w="440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刺儿菜、蒲公英、荠菜</w:t>
            </w:r>
          </w:p>
        </w:tc>
        <w:tc>
          <w:tcPr>
            <w:tcW w:w="150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刺儿菜</w:t>
            </w:r>
          </w:p>
        </w:tc>
        <w:tc>
          <w:tcPr>
            <w:tcW w:w="75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70</w:t>
            </w:r>
          </w:p>
        </w:tc>
        <w:tc>
          <w:tcPr>
            <w:tcW w:w="1123" w:type="dxa"/>
            <w:shd w:val="clear" w:color="auto" w:fill="auto"/>
            <w:vAlign w:val="center"/>
          </w:tcPr>
          <w:p>
            <w:pPr>
              <w:widowControl/>
              <w:adjustRightInd/>
              <w:spacing w:line="240" w:lineRule="auto"/>
              <w:ind w:firstLine="171" w:firstLineChars="95"/>
              <w:jc w:val="center"/>
              <w:rPr>
                <w:rFonts w:ascii="Times New Roman" w:hAnsi="Times New Roman" w:cs="Times New Roman"/>
                <w:kern w:val="0"/>
                <w:sz w:val="18"/>
                <w:szCs w:val="18"/>
              </w:rPr>
            </w:pPr>
            <w:r>
              <w:rPr>
                <w:rFonts w:hint="eastAsia" w:ascii="Times New Roman" w:hAnsi="Times New Roman" w:cs="Times New Roman"/>
                <w:kern w:val="0"/>
                <w:sz w:val="18"/>
                <w:szCs w:val="18"/>
              </w:rPr>
              <w:t>240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1306"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S04</w:t>
            </w:r>
          </w:p>
        </w:tc>
        <w:tc>
          <w:tcPr>
            <w:tcW w:w="440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羊蹄、蛇床、朝天委陵菜、鹅肠草、台湾翅果菊</w:t>
            </w:r>
          </w:p>
        </w:tc>
        <w:tc>
          <w:tcPr>
            <w:tcW w:w="150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台湾翅果菊</w:t>
            </w:r>
          </w:p>
        </w:tc>
        <w:tc>
          <w:tcPr>
            <w:tcW w:w="75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85</w:t>
            </w:r>
          </w:p>
        </w:tc>
        <w:tc>
          <w:tcPr>
            <w:tcW w:w="1123" w:type="dxa"/>
            <w:shd w:val="clear" w:color="auto" w:fill="auto"/>
            <w:vAlign w:val="center"/>
          </w:tcPr>
          <w:p>
            <w:pPr>
              <w:widowControl/>
              <w:adjustRightInd/>
              <w:spacing w:line="240" w:lineRule="auto"/>
              <w:ind w:firstLine="171" w:firstLineChars="95"/>
              <w:jc w:val="center"/>
              <w:rPr>
                <w:rFonts w:ascii="Times New Roman" w:hAnsi="Times New Roman" w:cs="Times New Roman"/>
                <w:kern w:val="0"/>
                <w:sz w:val="18"/>
                <w:szCs w:val="18"/>
              </w:rPr>
            </w:pPr>
            <w:r>
              <w:rPr>
                <w:rFonts w:hint="eastAsia" w:ascii="Times New Roman" w:hAnsi="Times New Roman" w:cs="Times New Roman"/>
                <w:kern w:val="0"/>
                <w:sz w:val="18"/>
                <w:szCs w:val="18"/>
              </w:rPr>
              <w:t>320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7" w:hRule="atLeast"/>
          <w:jc w:val="center"/>
        </w:trPr>
        <w:tc>
          <w:tcPr>
            <w:tcW w:w="1306"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S05</w:t>
            </w:r>
          </w:p>
        </w:tc>
        <w:tc>
          <w:tcPr>
            <w:tcW w:w="440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葎草、猪殃殃、救荒野豌豆、朝天委陵菜</w:t>
            </w:r>
          </w:p>
        </w:tc>
        <w:tc>
          <w:tcPr>
            <w:tcW w:w="150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葎草</w:t>
            </w:r>
          </w:p>
        </w:tc>
        <w:tc>
          <w:tcPr>
            <w:tcW w:w="75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85</w:t>
            </w:r>
          </w:p>
        </w:tc>
        <w:tc>
          <w:tcPr>
            <w:tcW w:w="1123" w:type="dxa"/>
            <w:shd w:val="clear" w:color="auto" w:fill="auto"/>
            <w:vAlign w:val="center"/>
          </w:tcPr>
          <w:p>
            <w:pPr>
              <w:widowControl/>
              <w:adjustRightInd/>
              <w:spacing w:line="240" w:lineRule="auto"/>
              <w:ind w:firstLine="171" w:firstLineChars="95"/>
              <w:jc w:val="center"/>
              <w:rPr>
                <w:rFonts w:ascii="Times New Roman" w:hAnsi="Times New Roman" w:cs="Times New Roman"/>
                <w:kern w:val="0"/>
                <w:sz w:val="18"/>
                <w:szCs w:val="18"/>
              </w:rPr>
            </w:pPr>
            <w:r>
              <w:rPr>
                <w:rFonts w:hint="eastAsia" w:ascii="Times New Roman" w:hAnsi="Times New Roman" w:cs="Times New Roman"/>
                <w:kern w:val="0"/>
                <w:sz w:val="18"/>
                <w:szCs w:val="18"/>
              </w:rPr>
              <w:t>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1306"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S06</w:t>
            </w:r>
          </w:p>
        </w:tc>
        <w:tc>
          <w:tcPr>
            <w:tcW w:w="440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窃衣、水芹、酸模、蛇床</w:t>
            </w:r>
          </w:p>
        </w:tc>
        <w:tc>
          <w:tcPr>
            <w:tcW w:w="150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窃衣</w:t>
            </w:r>
          </w:p>
        </w:tc>
        <w:tc>
          <w:tcPr>
            <w:tcW w:w="75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80</w:t>
            </w:r>
          </w:p>
        </w:tc>
        <w:tc>
          <w:tcPr>
            <w:tcW w:w="1123" w:type="dxa"/>
            <w:shd w:val="clear" w:color="auto" w:fill="auto"/>
            <w:vAlign w:val="center"/>
          </w:tcPr>
          <w:p>
            <w:pPr>
              <w:widowControl/>
              <w:adjustRightInd/>
              <w:spacing w:line="240" w:lineRule="auto"/>
              <w:ind w:firstLine="171" w:firstLineChars="95"/>
              <w:jc w:val="center"/>
              <w:rPr>
                <w:rFonts w:ascii="Times New Roman" w:hAnsi="Times New Roman" w:cs="Times New Roman"/>
                <w:kern w:val="0"/>
                <w:sz w:val="18"/>
                <w:szCs w:val="18"/>
              </w:rPr>
            </w:pPr>
            <w:r>
              <w:rPr>
                <w:rFonts w:hint="eastAsia" w:ascii="Times New Roman" w:hAnsi="Times New Roman" w:cs="Times New Roman"/>
                <w:kern w:val="0"/>
                <w:sz w:val="18"/>
                <w:szCs w:val="18"/>
              </w:rPr>
              <w:t>480</w:t>
            </w:r>
          </w:p>
        </w:tc>
      </w:tr>
    </w:tbl>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由此可见，在不同的地点各草本样方的植物种类、盖度、生物量有所差异，植物种类以禾本科和菊科的植物为主，为调查区域内的优势种，生物量以S05样方最大，以S03样方最低。</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2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②</w:t>
      </w:r>
      <w:r>
        <w:rPr>
          <w:rFonts w:ascii="Times New Roman" w:hAnsi="Times New Roman" w:cs="Times New Roman"/>
          <w:snapToGrid w:val="0"/>
          <w:color w:val="auto"/>
          <w:szCs w:val="20"/>
          <w:lang w:val="zh-CN"/>
        </w:rPr>
        <w:fldChar w:fldCharType="end"/>
      </w:r>
      <w:r>
        <w:rPr>
          <w:rFonts w:ascii="Times New Roman" w:hAnsi="Times New Roman" w:cs="Times New Roman"/>
          <w:snapToGrid w:val="0"/>
          <w:color w:val="auto"/>
          <w:szCs w:val="20"/>
          <w:lang w:val="zh-CN"/>
        </w:rPr>
        <w:t xml:space="preserve"> 灌木植被型</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灌木多属次生植被类型，</w:t>
      </w:r>
      <w:r>
        <w:rPr>
          <w:rFonts w:hint="eastAsia" w:ascii="Times New Roman" w:hAnsi="Times New Roman" w:cs="Times New Roman"/>
          <w:snapToGrid w:val="0"/>
          <w:color w:val="auto"/>
          <w:szCs w:val="20"/>
          <w:lang w:val="zh-CN"/>
        </w:rPr>
        <w:t>在圩区分布较少，</w:t>
      </w:r>
      <w:r>
        <w:rPr>
          <w:rFonts w:ascii="Times New Roman" w:hAnsi="Times New Roman" w:cs="Times New Roman"/>
          <w:snapToGrid w:val="0"/>
          <w:color w:val="auto"/>
          <w:szCs w:val="20"/>
          <w:lang w:val="zh-CN"/>
        </w:rPr>
        <w:t>主要组成种类有</w:t>
      </w:r>
      <w:r>
        <w:rPr>
          <w:rFonts w:hint="eastAsia" w:ascii="Times New Roman" w:hAnsi="Times New Roman" w:cs="Times New Roman"/>
          <w:snapToGrid w:val="0"/>
          <w:color w:val="auto"/>
          <w:szCs w:val="20"/>
          <w:lang w:val="zh-CN"/>
        </w:rPr>
        <w:t>构树和垂柳幼树</w:t>
      </w:r>
      <w:r>
        <w:rPr>
          <w:rFonts w:ascii="Times New Roman" w:hAnsi="Times New Roman" w:cs="Times New Roman"/>
          <w:snapToGrid w:val="0"/>
          <w:color w:val="auto"/>
          <w:szCs w:val="20"/>
          <w:lang w:val="zh-CN"/>
        </w:rPr>
        <w:t>、</w:t>
      </w:r>
      <w:r>
        <w:rPr>
          <w:rFonts w:hint="eastAsia" w:ascii="Times New Roman" w:hAnsi="Times New Roman" w:cs="Times New Roman"/>
          <w:snapToGrid w:val="0"/>
          <w:color w:val="auto"/>
          <w:szCs w:val="20"/>
          <w:lang w:val="zh-CN"/>
        </w:rPr>
        <w:t>以及人工种植的木槿、桂花等，其盖度和组成均比较贫乏。</w:t>
      </w:r>
    </w:p>
    <w:p>
      <w:pPr>
        <w:spacing w:line="240" w:lineRule="auto"/>
        <w:ind w:firstLine="422"/>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4.9-4    </w:t>
      </w:r>
      <w:r>
        <w:rPr>
          <w:rFonts w:hint="eastAsia" w:ascii="Times New Roman" w:hAnsi="Times New Roman" w:cs="Times New Roman"/>
          <w:b/>
          <w:color w:val="auto"/>
          <w:kern w:val="0"/>
          <w:sz w:val="21"/>
          <w:szCs w:val="21"/>
        </w:rPr>
        <w:t xml:space="preserve"> 灌木样方调查表S07</w:t>
      </w:r>
    </w:p>
    <w:tbl>
      <w:tblPr>
        <w:tblStyle w:val="62"/>
        <w:tblpPr w:leftFromText="181" w:rightFromText="181" w:vertAnchor="text" w:horzAnchor="margin" w:tblpXSpec="center" w:tblpY="1"/>
        <w:tblOverlap w:val="never"/>
        <w:tblW w:w="9025"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35"/>
        <w:gridCol w:w="1896"/>
        <w:gridCol w:w="843"/>
        <w:gridCol w:w="860"/>
        <w:gridCol w:w="857"/>
        <w:gridCol w:w="856"/>
        <w:gridCol w:w="858"/>
        <w:gridCol w:w="748"/>
        <w:gridCol w:w="97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113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植被类型</w:t>
            </w:r>
          </w:p>
        </w:tc>
        <w:tc>
          <w:tcPr>
            <w:tcW w:w="18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灌木林</w:t>
            </w:r>
          </w:p>
        </w:tc>
        <w:tc>
          <w:tcPr>
            <w:tcW w:w="5994" w:type="dxa"/>
            <w:gridSpan w:val="7"/>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环境特征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1135" w:type="dxa"/>
            <w:vMerge w:val="restart"/>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地点</w:t>
            </w:r>
          </w:p>
        </w:tc>
        <w:tc>
          <w:tcPr>
            <w:tcW w:w="1896" w:type="dxa"/>
            <w:vMerge w:val="restart"/>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w:t>
            </w:r>
            <w:r>
              <w:rPr>
                <w:rFonts w:hint="eastAsia" w:ascii="Times New Roman" w:hAnsi="Times New Roman" w:cs="Times New Roman"/>
                <w:kern w:val="0"/>
                <w:sz w:val="18"/>
                <w:szCs w:val="18"/>
              </w:rPr>
              <w:t>07</w:t>
            </w:r>
          </w:p>
        </w:tc>
        <w:tc>
          <w:tcPr>
            <w:tcW w:w="84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地形</w:t>
            </w:r>
          </w:p>
        </w:tc>
        <w:tc>
          <w:tcPr>
            <w:tcW w:w="860"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海拔标高</w:t>
            </w:r>
          </w:p>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w:t>
            </w:r>
          </w:p>
        </w:tc>
        <w:tc>
          <w:tcPr>
            <w:tcW w:w="85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相对高度</w:t>
            </w:r>
          </w:p>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w:t>
            </w:r>
          </w:p>
        </w:tc>
        <w:tc>
          <w:tcPr>
            <w:tcW w:w="856"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坡位</w:t>
            </w:r>
          </w:p>
        </w:tc>
        <w:tc>
          <w:tcPr>
            <w:tcW w:w="85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坡向</w:t>
            </w:r>
          </w:p>
        </w:tc>
        <w:tc>
          <w:tcPr>
            <w:tcW w:w="74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坡度</w:t>
            </w:r>
          </w:p>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w:t>
            </w:r>
          </w:p>
        </w:tc>
        <w:tc>
          <w:tcPr>
            <w:tcW w:w="972"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土壤</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1135" w:type="dxa"/>
            <w:vMerge w:val="continue"/>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896" w:type="dxa"/>
            <w:vMerge w:val="continue"/>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84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平地</w:t>
            </w:r>
          </w:p>
        </w:tc>
        <w:tc>
          <w:tcPr>
            <w:tcW w:w="860"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w:t>
            </w:r>
          </w:p>
        </w:tc>
        <w:tc>
          <w:tcPr>
            <w:tcW w:w="85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85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858"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748"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7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黄棕壤</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113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层次</w:t>
            </w:r>
          </w:p>
        </w:tc>
        <w:tc>
          <w:tcPr>
            <w:tcW w:w="18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特征</w:t>
            </w:r>
          </w:p>
        </w:tc>
        <w:tc>
          <w:tcPr>
            <w:tcW w:w="5994" w:type="dxa"/>
            <w:gridSpan w:val="7"/>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种类组成及生长情况（种类、生物量）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113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灌木层</w:t>
            </w:r>
          </w:p>
        </w:tc>
        <w:tc>
          <w:tcPr>
            <w:tcW w:w="18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优势种：</w:t>
            </w:r>
            <w:r>
              <w:rPr>
                <w:rFonts w:hint="eastAsia" w:ascii="Times New Roman" w:hAnsi="Times New Roman" w:cs="Times New Roman"/>
                <w:kern w:val="0"/>
                <w:sz w:val="18"/>
                <w:szCs w:val="18"/>
              </w:rPr>
              <w:t>构树</w:t>
            </w:r>
            <w:r>
              <w:rPr>
                <w:rFonts w:ascii="Times New Roman" w:hAnsi="Times New Roman" w:cs="Times New Roman"/>
                <w:kern w:val="0"/>
                <w:sz w:val="18"/>
                <w:szCs w:val="18"/>
              </w:rPr>
              <w:t>；郁闭度</w:t>
            </w:r>
            <w:r>
              <w:rPr>
                <w:rFonts w:hint="eastAsia" w:ascii="Times New Roman" w:hAnsi="Times New Roman" w:cs="Times New Roman"/>
                <w:kern w:val="0"/>
                <w:sz w:val="18"/>
                <w:szCs w:val="18"/>
              </w:rPr>
              <w:t>45</w:t>
            </w:r>
            <w:r>
              <w:rPr>
                <w:rFonts w:ascii="Times New Roman" w:hAnsi="Times New Roman" w:cs="Times New Roman"/>
                <w:kern w:val="0"/>
                <w:sz w:val="18"/>
                <w:szCs w:val="18"/>
              </w:rPr>
              <w:t>%</w:t>
            </w:r>
          </w:p>
        </w:tc>
        <w:tc>
          <w:tcPr>
            <w:tcW w:w="5994" w:type="dxa"/>
            <w:gridSpan w:val="7"/>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构树、红叶石楠、野蔷薇</w:t>
            </w:r>
          </w:p>
          <w:p>
            <w:pPr>
              <w:widowControl/>
              <w:adjustRightInd/>
              <w:spacing w:line="240" w:lineRule="auto"/>
              <w:ind w:firstLine="171" w:firstLineChars="95"/>
              <w:jc w:val="center"/>
              <w:rPr>
                <w:rFonts w:ascii="Times New Roman" w:hAnsi="Times New Roman" w:cs="Times New Roman"/>
                <w:kern w:val="0"/>
                <w:sz w:val="18"/>
                <w:szCs w:val="18"/>
              </w:rPr>
            </w:pPr>
            <w:r>
              <w:rPr>
                <w:rFonts w:ascii="Times New Roman" w:hAnsi="Times New Roman" w:cs="Times New Roman"/>
                <w:kern w:val="0"/>
                <w:sz w:val="18"/>
                <w:szCs w:val="18"/>
              </w:rPr>
              <w:t>平均高度：2.2m,   生物量：</w:t>
            </w:r>
            <w:r>
              <w:rPr>
                <w:rFonts w:hint="eastAsia" w:ascii="Times New Roman" w:hAnsi="Times New Roman" w:cs="Times New Roman"/>
                <w:kern w:val="0"/>
                <w:sz w:val="18"/>
                <w:szCs w:val="18"/>
              </w:rPr>
              <w:t>5</w:t>
            </w:r>
            <w:r>
              <w:rPr>
                <w:rFonts w:ascii="Times New Roman" w:hAnsi="Times New Roman" w:cs="Times New Roman"/>
                <w:kern w:val="0"/>
                <w:sz w:val="18"/>
                <w:szCs w:val="18"/>
              </w:rPr>
              <w:t>.0kg.m</w:t>
            </w:r>
            <w:r>
              <w:rPr>
                <w:rFonts w:ascii="Times New Roman" w:hAnsi="Times New Roman" w:cs="Times New Roman"/>
                <w:kern w:val="0"/>
                <w:sz w:val="18"/>
                <w:szCs w:val="18"/>
                <w:vertAlign w:val="superscript"/>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113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更新层</w:t>
            </w:r>
          </w:p>
        </w:tc>
        <w:tc>
          <w:tcPr>
            <w:tcW w:w="18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无灌木幼苗</w:t>
            </w:r>
          </w:p>
        </w:tc>
        <w:tc>
          <w:tcPr>
            <w:tcW w:w="5994" w:type="dxa"/>
            <w:gridSpan w:val="7"/>
            <w:vAlign w:val="center"/>
          </w:tcPr>
          <w:p>
            <w:pPr>
              <w:widowControl/>
              <w:adjustRightInd/>
              <w:spacing w:line="240" w:lineRule="auto"/>
              <w:ind w:firstLine="42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垂柳幼树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trPr>
        <w:tc>
          <w:tcPr>
            <w:tcW w:w="113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草本层</w:t>
            </w:r>
          </w:p>
        </w:tc>
        <w:tc>
          <w:tcPr>
            <w:tcW w:w="189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盖度：</w:t>
            </w:r>
            <w:r>
              <w:rPr>
                <w:rFonts w:hint="eastAsia" w:ascii="Times New Roman" w:hAnsi="Times New Roman" w:cs="Times New Roman"/>
                <w:kern w:val="0"/>
                <w:sz w:val="18"/>
                <w:szCs w:val="18"/>
              </w:rPr>
              <w:t>20</w:t>
            </w:r>
            <w:r>
              <w:rPr>
                <w:rFonts w:ascii="Times New Roman" w:hAnsi="Times New Roman" w:cs="Times New Roman"/>
                <w:kern w:val="0"/>
                <w:sz w:val="18"/>
                <w:szCs w:val="18"/>
              </w:rPr>
              <w:t>%</w:t>
            </w:r>
          </w:p>
        </w:tc>
        <w:tc>
          <w:tcPr>
            <w:tcW w:w="5994" w:type="dxa"/>
            <w:gridSpan w:val="7"/>
            <w:vAlign w:val="center"/>
          </w:tcPr>
          <w:p>
            <w:pPr>
              <w:widowControl/>
              <w:adjustRightInd/>
              <w:spacing w:line="240" w:lineRule="auto"/>
              <w:ind w:firstLine="171" w:firstLineChars="95"/>
              <w:jc w:val="center"/>
              <w:rPr>
                <w:rFonts w:ascii="Times New Roman" w:hAnsi="Times New Roman" w:cs="Times New Roman"/>
                <w:kern w:val="0"/>
                <w:sz w:val="18"/>
                <w:szCs w:val="18"/>
              </w:rPr>
            </w:pPr>
            <w:r>
              <w:rPr>
                <w:rFonts w:ascii="Times New Roman" w:hAnsi="Times New Roman" w:cs="Times New Roman"/>
                <w:kern w:val="0"/>
                <w:sz w:val="18"/>
                <w:szCs w:val="18"/>
              </w:rPr>
              <w:t>泥胡菜、野老鹳草、婆婆纳</w:t>
            </w:r>
            <w:r>
              <w:rPr>
                <w:rFonts w:hint="eastAsia" w:ascii="Times New Roman" w:hAnsi="Times New Roman" w:cs="Times New Roman"/>
                <w:kern w:val="0"/>
                <w:sz w:val="18"/>
                <w:szCs w:val="18"/>
              </w:rPr>
              <w:t>、荠菜、葎草</w:t>
            </w:r>
          </w:p>
        </w:tc>
      </w:tr>
    </w:tbl>
    <w:p>
      <w:pPr>
        <w:spacing w:line="240" w:lineRule="auto"/>
        <w:ind w:firstLine="422"/>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4.9-5   </w:t>
      </w:r>
      <w:r>
        <w:rPr>
          <w:rFonts w:hint="eastAsia" w:ascii="Times New Roman" w:hAnsi="Times New Roman" w:cs="Times New Roman"/>
          <w:b/>
          <w:color w:val="auto"/>
          <w:kern w:val="0"/>
          <w:sz w:val="21"/>
          <w:szCs w:val="21"/>
        </w:rPr>
        <w:t>各灌木样方植物调查结果（5m×5m）</w:t>
      </w:r>
    </w:p>
    <w:tbl>
      <w:tblPr>
        <w:tblStyle w:val="62"/>
        <w:tblW w:w="90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39"/>
        <w:gridCol w:w="2678"/>
        <w:gridCol w:w="1486"/>
        <w:gridCol w:w="1077"/>
        <w:gridCol w:w="969"/>
        <w:gridCol w:w="15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6" w:hRule="atLeast"/>
          <w:jc w:val="center"/>
        </w:trPr>
        <w:tc>
          <w:tcPr>
            <w:tcW w:w="1339" w:type="dxa"/>
            <w:shd w:val="clear" w:color="auto" w:fill="auto"/>
            <w:vAlign w:val="center"/>
          </w:tcPr>
          <w:p>
            <w:pPr>
              <w:widowControl/>
              <w:adjustRightInd/>
              <w:spacing w:line="240" w:lineRule="auto"/>
              <w:ind w:firstLine="0" w:firstLineChars="0"/>
              <w:jc w:val="right"/>
              <w:rPr>
                <w:rFonts w:ascii="Times New Roman" w:hAnsi="Times New Roman" w:cs="Times New Roman"/>
                <w:kern w:val="0"/>
                <w:sz w:val="18"/>
                <w:szCs w:val="18"/>
              </w:rPr>
            </w:pPr>
            <w:r>
              <w:rPr>
                <w:rFonts w:ascii="Times New Roman" w:hAnsi="Times New Roman" w:cs="Times New Roman"/>
                <w:kern w:val="0"/>
                <w:sz w:val="18"/>
                <w:szCs w:val="18"/>
              </w:rPr>
              <mc:AlternateContent>
                <mc:Choice Requires="wps">
                  <w:drawing>
                    <wp:anchor distT="0" distB="0" distL="114300" distR="114300" simplePos="0" relativeHeight="251722752" behindDoc="0" locked="0" layoutInCell="1" allowOverlap="1">
                      <wp:simplePos x="0" y="0"/>
                      <wp:positionH relativeFrom="column">
                        <wp:posOffset>-67945</wp:posOffset>
                      </wp:positionH>
                      <wp:positionV relativeFrom="paragraph">
                        <wp:posOffset>12065</wp:posOffset>
                      </wp:positionV>
                      <wp:extent cx="804545" cy="304800"/>
                      <wp:effectExtent l="0" t="0" r="14605" b="19050"/>
                      <wp:wrapNone/>
                      <wp:docPr id="1983" name="直接箭头连接符 1983"/>
                      <wp:cNvGraphicFramePr/>
                      <a:graphic xmlns:a="http://schemas.openxmlformats.org/drawingml/2006/main">
                        <a:graphicData uri="http://schemas.microsoft.com/office/word/2010/wordprocessingShape">
                          <wps:wsp>
                            <wps:cNvCnPr/>
                            <wps:spPr>
                              <a:xfrm flipH="true" flipV="true">
                                <a:off x="0" y="0"/>
                                <a:ext cx="804545" cy="304800"/>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flip:x y;margin-left:-5.35pt;margin-top:0.95pt;height:24pt;width:63.35pt;z-index:251722752;mso-width-relative:page;mso-height-relative:page;" filled="f" stroked="t" coordsize="21600,21600" o:gfxdata="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BYAAABkcnMvUEsBAhQAFAAAAAgAh07iQHyKmDbXAAAACAEAAA8AAAAA&#10;AAAAAQAgAAAAOAAAAGRycy9kb3ducmV2LnhtbFBLAQIUABQAAAAIAIdO4kD0/ztD/wEAANADAAAO&#10;AAAAAAAAAAEAIAAAADwBAABkcnMvZTJvRG9jLnhtbFBLBQYAAAAABgAGAFkBAACtBQAAAAA=&#10;">
                      <v:fill on="f" focussize="0,0"/>
                      <v:stroke color="#000000" joinstyle="round"/>
                      <v:imagedata o:title=""/>
                      <o:lock v:ext="edit" aspectratio="f"/>
                    </v:shape>
                  </w:pict>
                </mc:Fallback>
              </mc:AlternateContent>
            </w:r>
            <w:r>
              <w:rPr>
                <w:rFonts w:ascii="Times New Roman" w:hAnsi="Times New Roman" w:cs="Times New Roman"/>
                <w:kern w:val="0"/>
                <w:sz w:val="18"/>
                <w:szCs w:val="18"/>
              </w:rPr>
              <w:t>特征</w:t>
            </w:r>
          </w:p>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样方号</w:t>
            </w:r>
          </w:p>
        </w:tc>
        <w:tc>
          <w:tcPr>
            <w:tcW w:w="267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种类</w:t>
            </w:r>
          </w:p>
        </w:tc>
        <w:tc>
          <w:tcPr>
            <w:tcW w:w="1486"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优势种</w:t>
            </w:r>
          </w:p>
        </w:tc>
        <w:tc>
          <w:tcPr>
            <w:tcW w:w="10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总盖度</w:t>
            </w:r>
          </w:p>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w:t>
            </w:r>
          </w:p>
        </w:tc>
        <w:tc>
          <w:tcPr>
            <w:tcW w:w="96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平均高度（m）</w:t>
            </w:r>
          </w:p>
        </w:tc>
        <w:tc>
          <w:tcPr>
            <w:tcW w:w="15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生物量</w:t>
            </w:r>
          </w:p>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（kg.m</w:t>
            </w:r>
            <w:r>
              <w:rPr>
                <w:rFonts w:ascii="Times New Roman" w:hAnsi="Times New Roman" w:cs="Times New Roman"/>
                <w:kern w:val="0"/>
                <w:sz w:val="18"/>
                <w:szCs w:val="18"/>
                <w:vertAlign w:val="superscript"/>
              </w:rPr>
              <w:t>-2</w:t>
            </w:r>
            <w:r>
              <w:rPr>
                <w:rFonts w:ascii="Times New Roman" w:hAnsi="Times New Roman" w:cs="Times New Roman"/>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7" w:hRule="atLeast"/>
          <w:jc w:val="center"/>
        </w:trPr>
        <w:tc>
          <w:tcPr>
            <w:tcW w:w="133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w:t>
            </w:r>
            <w:r>
              <w:rPr>
                <w:rFonts w:hint="eastAsia" w:ascii="Times New Roman" w:hAnsi="Times New Roman" w:cs="Times New Roman"/>
                <w:kern w:val="0"/>
                <w:sz w:val="18"/>
                <w:szCs w:val="18"/>
              </w:rPr>
              <w:t>07</w:t>
            </w:r>
          </w:p>
        </w:tc>
        <w:tc>
          <w:tcPr>
            <w:tcW w:w="267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构树、石楠</w:t>
            </w:r>
          </w:p>
        </w:tc>
        <w:tc>
          <w:tcPr>
            <w:tcW w:w="1486"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构树</w:t>
            </w:r>
          </w:p>
        </w:tc>
        <w:tc>
          <w:tcPr>
            <w:tcW w:w="10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45</w:t>
            </w:r>
          </w:p>
        </w:tc>
        <w:tc>
          <w:tcPr>
            <w:tcW w:w="96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2.2</w:t>
            </w:r>
          </w:p>
        </w:tc>
        <w:tc>
          <w:tcPr>
            <w:tcW w:w="15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8</w:t>
            </w:r>
            <w:r>
              <w:rPr>
                <w:rFonts w:ascii="Times New Roman" w:hAnsi="Times New Roman" w:cs="Times New Roman"/>
                <w:kern w:val="0"/>
                <w:sz w:val="18"/>
                <w:szCs w:val="18"/>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9" w:hRule="atLeast"/>
          <w:jc w:val="center"/>
        </w:trPr>
        <w:tc>
          <w:tcPr>
            <w:tcW w:w="133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w:t>
            </w:r>
            <w:r>
              <w:rPr>
                <w:rFonts w:hint="eastAsia" w:ascii="Times New Roman" w:hAnsi="Times New Roman" w:cs="Times New Roman"/>
                <w:kern w:val="0"/>
                <w:sz w:val="18"/>
                <w:szCs w:val="18"/>
              </w:rPr>
              <w:t>08</w:t>
            </w:r>
          </w:p>
        </w:tc>
        <w:tc>
          <w:tcPr>
            <w:tcW w:w="267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构树、垂柳幼树、木槿</w:t>
            </w:r>
          </w:p>
        </w:tc>
        <w:tc>
          <w:tcPr>
            <w:tcW w:w="1486"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垂柳幼树</w:t>
            </w:r>
          </w:p>
        </w:tc>
        <w:tc>
          <w:tcPr>
            <w:tcW w:w="10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55</w:t>
            </w:r>
          </w:p>
        </w:tc>
        <w:tc>
          <w:tcPr>
            <w:tcW w:w="96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1.5</w:t>
            </w:r>
          </w:p>
        </w:tc>
        <w:tc>
          <w:tcPr>
            <w:tcW w:w="15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7" w:hRule="atLeast"/>
          <w:jc w:val="center"/>
        </w:trPr>
        <w:tc>
          <w:tcPr>
            <w:tcW w:w="133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S</w:t>
            </w:r>
            <w:r>
              <w:rPr>
                <w:rFonts w:ascii="Times New Roman" w:hAnsi="Times New Roman" w:cs="Times New Roman"/>
                <w:kern w:val="0"/>
                <w:sz w:val="18"/>
                <w:szCs w:val="18"/>
              </w:rPr>
              <w:t>09</w:t>
            </w:r>
          </w:p>
        </w:tc>
        <w:tc>
          <w:tcPr>
            <w:tcW w:w="267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桂花、木槿</w:t>
            </w:r>
          </w:p>
        </w:tc>
        <w:tc>
          <w:tcPr>
            <w:tcW w:w="1486"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桂花</w:t>
            </w:r>
          </w:p>
        </w:tc>
        <w:tc>
          <w:tcPr>
            <w:tcW w:w="10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50</w:t>
            </w:r>
          </w:p>
        </w:tc>
        <w:tc>
          <w:tcPr>
            <w:tcW w:w="96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r>
              <w:rPr>
                <w:rFonts w:ascii="Times New Roman" w:hAnsi="Times New Roman" w:cs="Times New Roman"/>
                <w:kern w:val="0"/>
                <w:sz w:val="18"/>
                <w:szCs w:val="18"/>
              </w:rPr>
              <w:t>.2</w:t>
            </w:r>
          </w:p>
        </w:tc>
        <w:tc>
          <w:tcPr>
            <w:tcW w:w="15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r>
              <w:rPr>
                <w:rFonts w:ascii="Times New Roman" w:hAnsi="Times New Roman" w:cs="Times New Roman"/>
                <w:kern w:val="0"/>
                <w:sz w:val="18"/>
                <w:szCs w:val="18"/>
              </w:rPr>
              <w:t>.2</w:t>
            </w:r>
          </w:p>
        </w:tc>
      </w:tr>
    </w:tbl>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（3）乔木植被型</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乔木样方调查根据不同地点植被特征，</w:t>
      </w:r>
      <w:r>
        <w:rPr>
          <w:rFonts w:hint="eastAsia" w:ascii="Times New Roman" w:hAnsi="Times New Roman" w:cs="Times New Roman"/>
          <w:snapToGrid w:val="0"/>
          <w:color w:val="auto"/>
          <w:szCs w:val="20"/>
          <w:lang w:val="zh-CN"/>
        </w:rPr>
        <w:t>主要是人工种植的乔木，其种类和分布较稀疏，主要组成为、湿地松、垂柳、旱柳、加拿大杨和樟树、水杉、池杉等常见乔木种类。</w:t>
      </w:r>
    </w:p>
    <w:p>
      <w:pPr>
        <w:spacing w:line="240" w:lineRule="auto"/>
        <w:ind w:firstLine="0" w:firstLineChars="0"/>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4.9-6      </w:t>
      </w:r>
      <w:r>
        <w:rPr>
          <w:rFonts w:hint="eastAsia" w:ascii="Times New Roman" w:hAnsi="Times New Roman" w:cs="Times New Roman"/>
          <w:b/>
          <w:color w:val="auto"/>
          <w:kern w:val="0"/>
          <w:sz w:val="21"/>
          <w:szCs w:val="21"/>
        </w:rPr>
        <w:t xml:space="preserve"> 乔木样方调查表</w:t>
      </w:r>
    </w:p>
    <w:tbl>
      <w:tblPr>
        <w:tblStyle w:val="62"/>
        <w:tblpPr w:leftFromText="181" w:rightFromText="181" w:vertAnchor="text" w:horzAnchor="margin" w:tblpXSpec="center" w:tblpY="1"/>
        <w:tblOverlap w:val="never"/>
        <w:tblW w:w="929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247"/>
        <w:gridCol w:w="2007"/>
        <w:gridCol w:w="808"/>
        <w:gridCol w:w="921"/>
        <w:gridCol w:w="924"/>
        <w:gridCol w:w="601"/>
        <w:gridCol w:w="620"/>
        <w:gridCol w:w="1084"/>
        <w:gridCol w:w="108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7" w:hRule="atLeast"/>
        </w:trPr>
        <w:tc>
          <w:tcPr>
            <w:tcW w:w="124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植被类型</w:t>
            </w:r>
          </w:p>
        </w:tc>
        <w:tc>
          <w:tcPr>
            <w:tcW w:w="2007" w:type="dxa"/>
            <w:vAlign w:val="center"/>
          </w:tcPr>
          <w:p>
            <w:pPr>
              <w:widowControl/>
              <w:adjustRightInd/>
              <w:spacing w:line="240" w:lineRule="auto"/>
              <w:ind w:firstLine="420" w:firstLineChars="0"/>
              <w:jc w:val="center"/>
              <w:rPr>
                <w:rFonts w:ascii="Times New Roman" w:hAnsi="Times New Roman" w:cs="Times New Roman"/>
                <w:kern w:val="0"/>
                <w:sz w:val="18"/>
                <w:szCs w:val="18"/>
              </w:rPr>
            </w:pPr>
            <w:r>
              <w:rPr>
                <w:rFonts w:ascii="Times New Roman" w:hAnsi="Times New Roman" w:cs="Times New Roman"/>
                <w:kern w:val="0"/>
                <w:sz w:val="18"/>
                <w:szCs w:val="18"/>
              </w:rPr>
              <w:t>落叶阔叶林</w:t>
            </w:r>
          </w:p>
        </w:tc>
        <w:tc>
          <w:tcPr>
            <w:tcW w:w="6045" w:type="dxa"/>
            <w:gridSpan w:val="7"/>
            <w:vAlign w:val="center"/>
          </w:tcPr>
          <w:p>
            <w:pPr>
              <w:widowControl/>
              <w:adjustRightInd/>
              <w:spacing w:line="240" w:lineRule="auto"/>
              <w:ind w:firstLine="420" w:firstLineChars="0"/>
              <w:jc w:val="center"/>
              <w:rPr>
                <w:rFonts w:ascii="Times New Roman" w:hAnsi="Times New Roman" w:cs="Times New Roman"/>
                <w:kern w:val="0"/>
                <w:sz w:val="18"/>
                <w:szCs w:val="18"/>
              </w:rPr>
            </w:pPr>
            <w:r>
              <w:rPr>
                <w:rFonts w:ascii="Times New Roman" w:hAnsi="Times New Roman" w:cs="Times New Roman"/>
                <w:kern w:val="0"/>
                <w:sz w:val="18"/>
                <w:szCs w:val="18"/>
              </w:rPr>
              <w:t>环境特征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7" w:hRule="atLeast"/>
        </w:trPr>
        <w:tc>
          <w:tcPr>
            <w:tcW w:w="1247" w:type="dxa"/>
            <w:vMerge w:val="restart"/>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地点</w:t>
            </w:r>
          </w:p>
        </w:tc>
        <w:tc>
          <w:tcPr>
            <w:tcW w:w="2007" w:type="dxa"/>
            <w:vMerge w:val="restart"/>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w:t>
            </w:r>
            <w:r>
              <w:rPr>
                <w:rFonts w:hint="eastAsia" w:ascii="Times New Roman" w:hAnsi="Times New Roman" w:cs="Times New Roman"/>
                <w:kern w:val="0"/>
                <w:sz w:val="18"/>
                <w:szCs w:val="18"/>
              </w:rPr>
              <w:t>1</w:t>
            </w:r>
            <w:r>
              <w:rPr>
                <w:rFonts w:ascii="Times New Roman" w:hAnsi="Times New Roman" w:cs="Times New Roman"/>
                <w:kern w:val="0"/>
                <w:sz w:val="18"/>
                <w:szCs w:val="18"/>
              </w:rPr>
              <w:t>0</w:t>
            </w:r>
          </w:p>
        </w:tc>
        <w:tc>
          <w:tcPr>
            <w:tcW w:w="808"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地形</w:t>
            </w:r>
          </w:p>
        </w:tc>
        <w:tc>
          <w:tcPr>
            <w:tcW w:w="92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海拔标高（m）</w:t>
            </w:r>
          </w:p>
        </w:tc>
        <w:tc>
          <w:tcPr>
            <w:tcW w:w="92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相对高度(m)</w:t>
            </w:r>
          </w:p>
        </w:tc>
        <w:tc>
          <w:tcPr>
            <w:tcW w:w="6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坡位</w:t>
            </w:r>
          </w:p>
        </w:tc>
        <w:tc>
          <w:tcPr>
            <w:tcW w:w="620"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坡向</w:t>
            </w:r>
          </w:p>
        </w:tc>
        <w:tc>
          <w:tcPr>
            <w:tcW w:w="1084"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坡度(°)</w:t>
            </w:r>
          </w:p>
        </w:tc>
        <w:tc>
          <w:tcPr>
            <w:tcW w:w="108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土壤</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7" w:hRule="atLeast"/>
        </w:trPr>
        <w:tc>
          <w:tcPr>
            <w:tcW w:w="1247" w:type="dxa"/>
            <w:vMerge w:val="continue"/>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07" w:type="dxa"/>
            <w:vMerge w:val="continue"/>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808"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平原</w:t>
            </w:r>
          </w:p>
        </w:tc>
        <w:tc>
          <w:tcPr>
            <w:tcW w:w="92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w:t>
            </w:r>
          </w:p>
        </w:tc>
        <w:tc>
          <w:tcPr>
            <w:tcW w:w="924"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601"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620"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084"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08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黄棕</w:t>
            </w:r>
            <w:r>
              <w:rPr>
                <w:rFonts w:ascii="Times New Roman" w:hAnsi="Times New Roman" w:cs="Times New Roman"/>
                <w:kern w:val="0"/>
                <w:sz w:val="18"/>
                <w:szCs w:val="18"/>
              </w:rPr>
              <w:t>壤</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7" w:hRule="atLeast"/>
        </w:trPr>
        <w:tc>
          <w:tcPr>
            <w:tcW w:w="124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层次</w:t>
            </w:r>
          </w:p>
        </w:tc>
        <w:tc>
          <w:tcPr>
            <w:tcW w:w="200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特征</w:t>
            </w:r>
          </w:p>
        </w:tc>
        <w:tc>
          <w:tcPr>
            <w:tcW w:w="6045" w:type="dxa"/>
            <w:gridSpan w:val="7"/>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种类组成及生长情况（种类、平均高度、平均胸径、生物量）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7" w:hRule="atLeast"/>
        </w:trPr>
        <w:tc>
          <w:tcPr>
            <w:tcW w:w="124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乔木层</w:t>
            </w:r>
          </w:p>
        </w:tc>
        <w:tc>
          <w:tcPr>
            <w:tcW w:w="200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优势种：</w:t>
            </w:r>
            <w:r>
              <w:rPr>
                <w:rFonts w:hint="eastAsia" w:ascii="Times New Roman" w:hAnsi="Times New Roman" w:cs="Times New Roman"/>
                <w:kern w:val="0"/>
                <w:sz w:val="18"/>
                <w:szCs w:val="18"/>
              </w:rPr>
              <w:t>加拿大杨</w:t>
            </w:r>
          </w:p>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总密度：</w:t>
            </w:r>
            <w:r>
              <w:rPr>
                <w:rFonts w:hint="eastAsia" w:ascii="Times New Roman" w:hAnsi="Times New Roman" w:cs="Times New Roman"/>
                <w:kern w:val="0"/>
                <w:sz w:val="18"/>
                <w:szCs w:val="18"/>
              </w:rPr>
              <w:t>1</w:t>
            </w:r>
            <w:r>
              <w:rPr>
                <w:rFonts w:ascii="Times New Roman" w:hAnsi="Times New Roman" w:cs="Times New Roman"/>
                <w:kern w:val="0"/>
                <w:sz w:val="18"/>
                <w:szCs w:val="18"/>
              </w:rPr>
              <w:t>00株·ha</w:t>
            </w:r>
            <w:r>
              <w:rPr>
                <w:rFonts w:ascii="Times New Roman" w:hAnsi="Times New Roman" w:cs="Times New Roman"/>
                <w:kern w:val="0"/>
                <w:sz w:val="18"/>
                <w:szCs w:val="18"/>
                <w:vertAlign w:val="superscript"/>
              </w:rPr>
              <w:t>-1</w:t>
            </w:r>
            <w:r>
              <w:rPr>
                <w:rFonts w:ascii="Times New Roman" w:hAnsi="Times New Roman" w:cs="Times New Roman"/>
                <w:kern w:val="0"/>
                <w:sz w:val="18"/>
                <w:szCs w:val="18"/>
              </w:rPr>
              <w:t>，</w:t>
            </w:r>
          </w:p>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郁闭度：</w:t>
            </w:r>
            <w:r>
              <w:rPr>
                <w:rFonts w:hint="eastAsia" w:ascii="Times New Roman" w:hAnsi="Times New Roman" w:cs="Times New Roman"/>
                <w:kern w:val="0"/>
                <w:sz w:val="18"/>
                <w:szCs w:val="18"/>
              </w:rPr>
              <w:t>6</w:t>
            </w:r>
            <w:r>
              <w:rPr>
                <w:rFonts w:ascii="Times New Roman" w:hAnsi="Times New Roman" w:cs="Times New Roman"/>
                <w:kern w:val="0"/>
                <w:sz w:val="18"/>
                <w:szCs w:val="18"/>
              </w:rPr>
              <w:t>0%</w:t>
            </w:r>
          </w:p>
        </w:tc>
        <w:tc>
          <w:tcPr>
            <w:tcW w:w="6045" w:type="dxa"/>
            <w:gridSpan w:val="7"/>
            <w:vAlign w:val="center"/>
          </w:tcPr>
          <w:p>
            <w:pPr>
              <w:widowControl/>
              <w:tabs>
                <w:tab w:val="left" w:pos="1612"/>
              </w:tabs>
              <w:adjustRightInd/>
              <w:spacing w:line="240" w:lineRule="auto"/>
              <w:ind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加拿大杨</w:t>
            </w:r>
            <w:r>
              <w:rPr>
                <w:rFonts w:ascii="Times New Roman" w:hAnsi="Times New Roman" w:cs="Times New Roman"/>
                <w:kern w:val="0"/>
                <w:sz w:val="18"/>
                <w:szCs w:val="18"/>
              </w:rPr>
              <w:t>；平均高度：</w:t>
            </w:r>
            <w:r>
              <w:rPr>
                <w:rFonts w:hint="eastAsia" w:ascii="Times New Roman" w:hAnsi="Times New Roman" w:cs="Times New Roman"/>
                <w:kern w:val="0"/>
                <w:sz w:val="18"/>
                <w:szCs w:val="18"/>
              </w:rPr>
              <w:t>25</w:t>
            </w:r>
            <w:r>
              <w:rPr>
                <w:rFonts w:ascii="Times New Roman" w:hAnsi="Times New Roman" w:cs="Times New Roman"/>
                <w:kern w:val="0"/>
                <w:sz w:val="18"/>
                <w:szCs w:val="18"/>
              </w:rPr>
              <w:t>m，平均胸径：</w:t>
            </w:r>
            <w:r>
              <w:rPr>
                <w:rFonts w:hint="eastAsia" w:ascii="Times New Roman" w:hAnsi="Times New Roman" w:cs="Times New Roman"/>
                <w:kern w:val="0"/>
                <w:sz w:val="18"/>
                <w:szCs w:val="18"/>
              </w:rPr>
              <w:t>38</w:t>
            </w:r>
            <w:r>
              <w:rPr>
                <w:rFonts w:ascii="Times New Roman" w:hAnsi="Times New Roman" w:cs="Times New Roman"/>
                <w:kern w:val="0"/>
                <w:sz w:val="18"/>
                <w:szCs w:val="18"/>
              </w:rPr>
              <w:t xml:space="preserve"> cm，生物量：</w:t>
            </w:r>
            <w:r>
              <w:rPr>
                <w:rFonts w:hint="eastAsia" w:ascii="Times New Roman" w:hAnsi="Times New Roman" w:cs="Times New Roman"/>
                <w:kern w:val="0"/>
                <w:sz w:val="18"/>
                <w:szCs w:val="18"/>
              </w:rPr>
              <w:t>15</w:t>
            </w:r>
            <w:r>
              <w:rPr>
                <w:rFonts w:ascii="Times New Roman" w:hAnsi="Times New Roman" w:cs="Times New Roman"/>
                <w:kern w:val="0"/>
                <w:sz w:val="18"/>
                <w:szCs w:val="18"/>
              </w:rPr>
              <w:t>*102kg·m</w:t>
            </w:r>
            <w:r>
              <w:rPr>
                <w:rFonts w:ascii="Times New Roman" w:hAnsi="Times New Roman" w:cs="Times New Roman"/>
                <w:kern w:val="0"/>
                <w:sz w:val="18"/>
                <w:szCs w:val="18"/>
                <w:vertAlign w:val="superscript"/>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7" w:hRule="atLeast"/>
        </w:trPr>
        <w:tc>
          <w:tcPr>
            <w:tcW w:w="124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灌木层</w:t>
            </w:r>
          </w:p>
        </w:tc>
        <w:tc>
          <w:tcPr>
            <w:tcW w:w="200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盖度：12%</w:t>
            </w:r>
          </w:p>
        </w:tc>
        <w:tc>
          <w:tcPr>
            <w:tcW w:w="6045" w:type="dxa"/>
            <w:gridSpan w:val="7"/>
            <w:vAlign w:val="center"/>
          </w:tcPr>
          <w:p>
            <w:pPr>
              <w:widowControl/>
              <w:adjustRightInd/>
              <w:spacing w:line="240" w:lineRule="auto"/>
              <w:ind w:firstLine="42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构树、垂柳幼树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7" w:hRule="atLeast"/>
        </w:trPr>
        <w:tc>
          <w:tcPr>
            <w:tcW w:w="124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草本层</w:t>
            </w:r>
          </w:p>
        </w:tc>
        <w:tc>
          <w:tcPr>
            <w:tcW w:w="200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盖度：</w:t>
            </w:r>
            <w:r>
              <w:rPr>
                <w:rFonts w:hint="eastAsia" w:ascii="Times New Roman" w:hAnsi="Times New Roman" w:cs="Times New Roman"/>
                <w:kern w:val="0"/>
                <w:sz w:val="18"/>
                <w:szCs w:val="18"/>
              </w:rPr>
              <w:t>45</w:t>
            </w:r>
            <w:r>
              <w:rPr>
                <w:rFonts w:ascii="Times New Roman" w:hAnsi="Times New Roman" w:cs="Times New Roman"/>
                <w:kern w:val="0"/>
                <w:sz w:val="18"/>
                <w:szCs w:val="18"/>
              </w:rPr>
              <w:t>%</w:t>
            </w:r>
          </w:p>
        </w:tc>
        <w:tc>
          <w:tcPr>
            <w:tcW w:w="6045" w:type="dxa"/>
            <w:gridSpan w:val="7"/>
            <w:vAlign w:val="center"/>
          </w:tcPr>
          <w:p>
            <w:pPr>
              <w:widowControl/>
              <w:adjustRightInd/>
              <w:spacing w:line="240" w:lineRule="auto"/>
              <w:ind w:firstLine="42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蛇床、窃衣、黄鹌菜</w:t>
            </w:r>
          </w:p>
        </w:tc>
      </w:tr>
    </w:tbl>
    <w:p>
      <w:pPr>
        <w:spacing w:line="240" w:lineRule="auto"/>
        <w:ind w:firstLine="422"/>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4.9-7      </w:t>
      </w:r>
      <w:r>
        <w:rPr>
          <w:rFonts w:hint="eastAsia" w:ascii="Times New Roman" w:hAnsi="Times New Roman" w:cs="Times New Roman"/>
          <w:b/>
          <w:color w:val="auto"/>
          <w:kern w:val="0"/>
          <w:sz w:val="21"/>
          <w:szCs w:val="21"/>
        </w:rPr>
        <w:t>各乔木样方植物调查结果</w:t>
      </w:r>
    </w:p>
    <w:tbl>
      <w:tblPr>
        <w:tblStyle w:val="62"/>
        <w:tblW w:w="935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07"/>
        <w:gridCol w:w="1565"/>
        <w:gridCol w:w="972"/>
        <w:gridCol w:w="1016"/>
        <w:gridCol w:w="1029"/>
        <w:gridCol w:w="995"/>
        <w:gridCol w:w="1323"/>
        <w:gridCol w:w="144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14" w:hRule="atLeast"/>
          <w:jc w:val="center"/>
        </w:trPr>
        <w:tc>
          <w:tcPr>
            <w:tcW w:w="1007" w:type="dxa"/>
            <w:tcBorders>
              <w:tl2br w:val="single" w:color="auto" w:sz="12" w:space="0"/>
            </w:tcBorders>
            <w:shd w:val="clear" w:color="auto" w:fill="auto"/>
            <w:vAlign w:val="center"/>
          </w:tcPr>
          <w:p>
            <w:pPr>
              <w:widowControl/>
              <w:adjustRightInd/>
              <w:spacing w:line="240" w:lineRule="auto"/>
              <w:ind w:firstLine="0" w:firstLineChars="0"/>
              <w:jc w:val="right"/>
              <w:rPr>
                <w:rFonts w:ascii="Times New Roman" w:hAnsi="Times New Roman" w:cs="Times New Roman"/>
                <w:kern w:val="0"/>
                <w:sz w:val="18"/>
                <w:szCs w:val="18"/>
              </w:rPr>
            </w:pPr>
            <w:r>
              <w:rPr>
                <w:rFonts w:ascii="Times New Roman" w:hAnsi="Times New Roman" w:cs="Times New Roman"/>
                <w:kern w:val="0"/>
                <w:sz w:val="18"/>
                <w:szCs w:val="18"/>
              </w:rPr>
              <w:t>特征</w:t>
            </w:r>
          </w:p>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样方号</w:t>
            </w:r>
          </w:p>
        </w:tc>
        <w:tc>
          <w:tcPr>
            <w:tcW w:w="1565"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种类</w:t>
            </w:r>
          </w:p>
        </w:tc>
        <w:tc>
          <w:tcPr>
            <w:tcW w:w="972"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优势种</w:t>
            </w:r>
          </w:p>
        </w:tc>
        <w:tc>
          <w:tcPr>
            <w:tcW w:w="1016" w:type="dxa"/>
            <w:shd w:val="clear" w:color="auto" w:fill="auto"/>
            <w:tcMar>
              <w:left w:w="0" w:type="dxa"/>
              <w:right w:w="0" w:type="dxa"/>
            </w:tcMar>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总密度（株·ha</w:t>
            </w:r>
            <w:r>
              <w:rPr>
                <w:rFonts w:ascii="Times New Roman" w:hAnsi="Times New Roman" w:cs="Times New Roman"/>
                <w:kern w:val="0"/>
                <w:sz w:val="18"/>
                <w:szCs w:val="18"/>
                <w:vertAlign w:val="superscript"/>
              </w:rPr>
              <w:t>-1</w:t>
            </w:r>
            <w:r>
              <w:rPr>
                <w:rFonts w:ascii="Times New Roman" w:hAnsi="Times New Roman" w:cs="Times New Roman"/>
                <w:kern w:val="0"/>
                <w:sz w:val="18"/>
                <w:szCs w:val="18"/>
              </w:rPr>
              <w:t>)</w:t>
            </w:r>
          </w:p>
        </w:tc>
        <w:tc>
          <w:tcPr>
            <w:tcW w:w="102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平均高度（m）</w:t>
            </w:r>
          </w:p>
        </w:tc>
        <w:tc>
          <w:tcPr>
            <w:tcW w:w="995"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平均胸径（cm）</w:t>
            </w:r>
          </w:p>
        </w:tc>
        <w:tc>
          <w:tcPr>
            <w:tcW w:w="1323"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郁闭度（%)</w:t>
            </w:r>
          </w:p>
        </w:tc>
        <w:tc>
          <w:tcPr>
            <w:tcW w:w="1449"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生物（kg.m</w:t>
            </w:r>
            <w:r>
              <w:rPr>
                <w:rFonts w:ascii="Times New Roman" w:hAnsi="Times New Roman" w:cs="Times New Roman"/>
                <w:kern w:val="0"/>
                <w:sz w:val="18"/>
                <w:szCs w:val="18"/>
                <w:vertAlign w:val="superscript"/>
              </w:rPr>
              <w:t>-2</w:t>
            </w:r>
            <w:r>
              <w:rPr>
                <w:rFonts w:ascii="Times New Roman" w:hAnsi="Times New Roman" w:cs="Times New Roman"/>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6" w:hRule="atLeast"/>
          <w:jc w:val="center"/>
        </w:trPr>
        <w:tc>
          <w:tcPr>
            <w:tcW w:w="100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w:t>
            </w:r>
            <w:r>
              <w:rPr>
                <w:rFonts w:hint="eastAsia" w:ascii="Times New Roman" w:hAnsi="Times New Roman" w:cs="Times New Roman"/>
                <w:kern w:val="0"/>
                <w:sz w:val="18"/>
                <w:szCs w:val="18"/>
              </w:rPr>
              <w:t>1</w:t>
            </w:r>
            <w:r>
              <w:rPr>
                <w:rFonts w:ascii="Times New Roman" w:hAnsi="Times New Roman" w:cs="Times New Roman"/>
                <w:kern w:val="0"/>
                <w:sz w:val="18"/>
                <w:szCs w:val="18"/>
              </w:rPr>
              <w:t>0</w:t>
            </w:r>
          </w:p>
        </w:tc>
        <w:tc>
          <w:tcPr>
            <w:tcW w:w="1565"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加拿大杨、垂柳</w:t>
            </w:r>
          </w:p>
        </w:tc>
        <w:tc>
          <w:tcPr>
            <w:tcW w:w="972"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加拿大杨</w:t>
            </w:r>
          </w:p>
        </w:tc>
        <w:tc>
          <w:tcPr>
            <w:tcW w:w="1016" w:type="dxa"/>
            <w:shd w:val="clear" w:color="auto" w:fill="auto"/>
            <w:tcMar>
              <w:left w:w="0" w:type="dxa"/>
              <w:right w:w="0" w:type="dxa"/>
            </w:tcMar>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00</w:t>
            </w:r>
          </w:p>
        </w:tc>
        <w:tc>
          <w:tcPr>
            <w:tcW w:w="102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25</w:t>
            </w:r>
          </w:p>
        </w:tc>
        <w:tc>
          <w:tcPr>
            <w:tcW w:w="995"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38</w:t>
            </w:r>
          </w:p>
        </w:tc>
        <w:tc>
          <w:tcPr>
            <w:tcW w:w="13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60</w:t>
            </w:r>
          </w:p>
        </w:tc>
        <w:tc>
          <w:tcPr>
            <w:tcW w:w="144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15</w:t>
            </w:r>
            <w:r>
              <w:rPr>
                <w:rFonts w:ascii="Times New Roman" w:hAnsi="Times New Roman" w:cs="Times New Roman"/>
                <w:kern w:val="0"/>
                <w:sz w:val="18"/>
                <w:szCs w:val="18"/>
              </w:rPr>
              <w:t>*102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6" w:hRule="atLeast"/>
          <w:jc w:val="center"/>
        </w:trPr>
        <w:tc>
          <w:tcPr>
            <w:tcW w:w="100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w:t>
            </w:r>
            <w:r>
              <w:rPr>
                <w:rFonts w:hint="eastAsia" w:ascii="Times New Roman" w:hAnsi="Times New Roman" w:cs="Times New Roman"/>
                <w:kern w:val="0"/>
                <w:sz w:val="18"/>
                <w:szCs w:val="18"/>
              </w:rPr>
              <w:t>1</w:t>
            </w:r>
            <w:r>
              <w:rPr>
                <w:rFonts w:ascii="Times New Roman" w:hAnsi="Times New Roman" w:cs="Times New Roman"/>
                <w:kern w:val="0"/>
                <w:sz w:val="18"/>
                <w:szCs w:val="18"/>
              </w:rPr>
              <w:t>1</w:t>
            </w:r>
          </w:p>
        </w:tc>
        <w:tc>
          <w:tcPr>
            <w:tcW w:w="1565"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垂柳、构树</w:t>
            </w:r>
          </w:p>
        </w:tc>
        <w:tc>
          <w:tcPr>
            <w:tcW w:w="972"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垂柳</w:t>
            </w:r>
          </w:p>
        </w:tc>
        <w:tc>
          <w:tcPr>
            <w:tcW w:w="1016" w:type="dxa"/>
            <w:shd w:val="clear" w:color="auto" w:fill="auto"/>
            <w:tcMar>
              <w:left w:w="0" w:type="dxa"/>
              <w:right w:w="0" w:type="dxa"/>
            </w:tcMar>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50</w:t>
            </w:r>
          </w:p>
        </w:tc>
        <w:tc>
          <w:tcPr>
            <w:tcW w:w="102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18</w:t>
            </w:r>
          </w:p>
        </w:tc>
        <w:tc>
          <w:tcPr>
            <w:tcW w:w="995"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18</w:t>
            </w:r>
          </w:p>
        </w:tc>
        <w:tc>
          <w:tcPr>
            <w:tcW w:w="13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50</w:t>
            </w:r>
          </w:p>
        </w:tc>
        <w:tc>
          <w:tcPr>
            <w:tcW w:w="144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r>
              <w:rPr>
                <w:rFonts w:ascii="Times New Roman" w:hAnsi="Times New Roman" w:cs="Times New Roman"/>
                <w:kern w:val="0"/>
                <w:sz w:val="18"/>
                <w:szCs w:val="18"/>
              </w:rPr>
              <w:t>*102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6" w:hRule="atLeast"/>
          <w:jc w:val="center"/>
        </w:trPr>
        <w:tc>
          <w:tcPr>
            <w:tcW w:w="100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w:t>
            </w:r>
            <w:r>
              <w:rPr>
                <w:rFonts w:hint="eastAsia" w:ascii="Times New Roman" w:hAnsi="Times New Roman" w:cs="Times New Roman"/>
                <w:kern w:val="0"/>
                <w:sz w:val="18"/>
                <w:szCs w:val="18"/>
              </w:rPr>
              <w:t>1</w:t>
            </w:r>
            <w:r>
              <w:rPr>
                <w:rFonts w:ascii="Times New Roman" w:hAnsi="Times New Roman" w:cs="Times New Roman"/>
                <w:kern w:val="0"/>
                <w:sz w:val="18"/>
                <w:szCs w:val="18"/>
              </w:rPr>
              <w:t>2</w:t>
            </w:r>
          </w:p>
        </w:tc>
        <w:tc>
          <w:tcPr>
            <w:tcW w:w="1565"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水杉、樟树</w:t>
            </w:r>
          </w:p>
        </w:tc>
        <w:tc>
          <w:tcPr>
            <w:tcW w:w="972"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水杉</w:t>
            </w:r>
          </w:p>
        </w:tc>
        <w:tc>
          <w:tcPr>
            <w:tcW w:w="1016" w:type="dxa"/>
            <w:shd w:val="clear" w:color="auto" w:fill="auto"/>
            <w:tcMar>
              <w:left w:w="0" w:type="dxa"/>
              <w:right w:w="0" w:type="dxa"/>
            </w:tcMar>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60</w:t>
            </w:r>
          </w:p>
        </w:tc>
        <w:tc>
          <w:tcPr>
            <w:tcW w:w="102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20</w:t>
            </w:r>
          </w:p>
        </w:tc>
        <w:tc>
          <w:tcPr>
            <w:tcW w:w="995"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30</w:t>
            </w:r>
          </w:p>
        </w:tc>
        <w:tc>
          <w:tcPr>
            <w:tcW w:w="13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45</w:t>
            </w:r>
          </w:p>
        </w:tc>
        <w:tc>
          <w:tcPr>
            <w:tcW w:w="1449"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5.5</w:t>
            </w:r>
            <w:r>
              <w:rPr>
                <w:rFonts w:ascii="Times New Roman" w:hAnsi="Times New Roman" w:cs="Times New Roman"/>
                <w:kern w:val="0"/>
                <w:sz w:val="18"/>
                <w:szCs w:val="18"/>
              </w:rPr>
              <w:t>*102</w:t>
            </w:r>
          </w:p>
        </w:tc>
      </w:tr>
    </w:tbl>
    <w:p>
      <w:pPr>
        <w:ind w:firstLine="480"/>
        <w:rPr>
          <w:rFonts w:ascii="Times New Roman" w:hAnsi="Times New Roman" w:cs="Times New Roman"/>
          <w:snapToGrid w:val="0"/>
          <w:color w:val="auto"/>
          <w:szCs w:val="20"/>
          <w:lang w:val="zh-CN"/>
        </w:rPr>
      </w:pPr>
      <w:bookmarkStart w:id="341" w:name="_Toc89816131"/>
      <w:r>
        <w:rPr>
          <w:rFonts w:ascii="Times New Roman" w:hAnsi="Times New Roman" w:cs="Times New Roman"/>
          <w:snapToGrid w:val="0"/>
          <w:color w:val="auto"/>
          <w:szCs w:val="20"/>
          <w:lang w:val="zh-CN"/>
        </w:rPr>
        <w:t>4</w:t>
      </w:r>
      <w:r>
        <w:rPr>
          <w:rFonts w:hint="eastAsia" w:ascii="Times New Roman" w:hAnsi="Times New Roman" w:cs="Times New Roman"/>
          <w:snapToGrid w:val="0"/>
          <w:color w:val="auto"/>
          <w:szCs w:val="20"/>
          <w:lang w:val="zh-CN"/>
        </w:rPr>
        <w:t>、外来入侵植物</w:t>
      </w:r>
      <w:bookmarkEnd w:id="341"/>
      <w:r>
        <w:rPr>
          <w:rFonts w:ascii="Times New Roman" w:hAnsi="Times New Roman" w:cs="Times New Roman"/>
          <w:snapToGrid w:val="0"/>
          <w:color w:val="auto"/>
          <w:szCs w:val="20"/>
          <w:lang w:val="zh-CN"/>
        </w:rPr>
        <w:t xml:space="preserve"> </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根据《中国外来入侵种名单（第一批）》（2003）、《中国外来入侵种名单（第二批）》（2010）、《中国外来入侵种名单（第三批）》（2014）、《中国外来入侵种名单（第四批）》（2016），</w:t>
      </w:r>
      <w:r>
        <w:rPr>
          <w:rFonts w:hint="eastAsia" w:ascii="Times New Roman" w:hAnsi="Times New Roman" w:cs="Times New Roman"/>
          <w:snapToGrid w:val="0"/>
          <w:color w:val="auto"/>
          <w:szCs w:val="20"/>
          <w:lang w:val="zh-CN"/>
        </w:rPr>
        <w:t>本次调查范围</w:t>
      </w:r>
      <w:r>
        <w:rPr>
          <w:rFonts w:ascii="Times New Roman" w:hAnsi="Times New Roman" w:cs="Times New Roman"/>
          <w:snapToGrid w:val="0"/>
          <w:color w:val="auto"/>
          <w:szCs w:val="20"/>
          <w:lang w:val="zh-CN"/>
        </w:rPr>
        <w:t>外来入侵种有加拿大一枝黄花、莲子草、小</w:t>
      </w:r>
      <w:r>
        <w:rPr>
          <w:rFonts w:hint="eastAsia" w:ascii="Times New Roman" w:hAnsi="Times New Roman" w:cs="Times New Roman"/>
          <w:snapToGrid w:val="0"/>
          <w:color w:val="auto"/>
          <w:szCs w:val="20"/>
          <w:lang w:val="zh-CN"/>
        </w:rPr>
        <w:t>飞蓬</w:t>
      </w:r>
      <w:r>
        <w:rPr>
          <w:rFonts w:ascii="Times New Roman" w:hAnsi="Times New Roman" w:cs="Times New Roman"/>
          <w:snapToGrid w:val="0"/>
          <w:color w:val="auto"/>
          <w:szCs w:val="20"/>
          <w:lang w:val="zh-CN"/>
        </w:rPr>
        <w:t>、一年蓬</w:t>
      </w:r>
      <w:r>
        <w:rPr>
          <w:rFonts w:hint="eastAsia" w:ascii="Times New Roman" w:hAnsi="Times New Roman" w:cs="Times New Roman"/>
          <w:snapToGrid w:val="0"/>
          <w:color w:val="auto"/>
          <w:szCs w:val="20"/>
          <w:lang w:val="zh-CN"/>
        </w:rPr>
        <w:t>、美洲商陆5</w:t>
      </w:r>
      <w:r>
        <w:rPr>
          <w:rFonts w:ascii="Times New Roman" w:hAnsi="Times New Roman" w:cs="Times New Roman"/>
          <w:snapToGrid w:val="0"/>
          <w:color w:val="auto"/>
          <w:szCs w:val="20"/>
          <w:lang w:val="zh-CN"/>
        </w:rPr>
        <w:t>种。</w:t>
      </w:r>
      <w:r>
        <w:rPr>
          <w:rFonts w:hint="eastAsia" w:ascii="Times New Roman" w:hAnsi="Times New Roman" w:cs="Times New Roman"/>
          <w:snapToGrid w:val="0"/>
          <w:color w:val="auto"/>
          <w:szCs w:val="20"/>
          <w:lang w:val="zh-CN"/>
        </w:rPr>
        <w:t>其中</w:t>
      </w:r>
      <w:r>
        <w:rPr>
          <w:rFonts w:ascii="Times New Roman" w:hAnsi="Times New Roman" w:cs="Times New Roman"/>
          <w:snapToGrid w:val="0"/>
          <w:color w:val="auto"/>
          <w:szCs w:val="20"/>
          <w:lang w:val="zh-CN"/>
        </w:rPr>
        <w:t>小</w:t>
      </w:r>
      <w:r>
        <w:rPr>
          <w:rFonts w:hint="eastAsia" w:ascii="Times New Roman" w:hAnsi="Times New Roman" w:cs="Times New Roman"/>
          <w:snapToGrid w:val="0"/>
          <w:color w:val="auto"/>
          <w:szCs w:val="20"/>
          <w:lang w:val="zh-CN"/>
        </w:rPr>
        <w:t>飞蓬</w:t>
      </w:r>
      <w:r>
        <w:rPr>
          <w:rFonts w:ascii="Times New Roman" w:hAnsi="Times New Roman" w:cs="Times New Roman"/>
          <w:snapToGrid w:val="0"/>
          <w:color w:val="auto"/>
          <w:szCs w:val="20"/>
          <w:lang w:val="zh-CN"/>
        </w:rPr>
        <w:t>、一年蓬</w:t>
      </w:r>
      <w:r>
        <w:rPr>
          <w:rFonts w:hint="eastAsia" w:ascii="Times New Roman" w:hAnsi="Times New Roman" w:cs="Times New Roman"/>
          <w:snapToGrid w:val="0"/>
          <w:color w:val="auto"/>
          <w:szCs w:val="20"/>
          <w:lang w:val="zh-CN"/>
        </w:rPr>
        <w:t>分布范围较广，美洲商陆、</w:t>
      </w:r>
      <w:r>
        <w:rPr>
          <w:rFonts w:ascii="Times New Roman" w:hAnsi="Times New Roman" w:cs="Times New Roman"/>
          <w:snapToGrid w:val="0"/>
          <w:color w:val="auto"/>
          <w:szCs w:val="20"/>
          <w:lang w:val="zh-CN"/>
        </w:rPr>
        <w:t>加拿大一枝黄花、莲子草</w:t>
      </w:r>
      <w:r>
        <w:rPr>
          <w:rFonts w:hint="eastAsia" w:ascii="Times New Roman" w:hAnsi="Times New Roman" w:cs="Times New Roman"/>
          <w:snapToGrid w:val="0"/>
          <w:color w:val="auto"/>
          <w:szCs w:val="20"/>
          <w:lang w:val="zh-CN"/>
        </w:rPr>
        <w:t>则为零星分布。</w:t>
      </w:r>
    </w:p>
    <w:p>
      <w:pPr>
        <w:pStyle w:val="25"/>
        <w:ind w:firstLine="480"/>
        <w:rPr>
          <w:rFonts w:ascii="Times New Roman" w:hAnsi="Times New Roman" w:cs="Times New Roman"/>
          <w:snapToGrid w:val="0"/>
          <w:color w:val="auto"/>
          <w:szCs w:val="20"/>
        </w:rPr>
      </w:pPr>
      <w:r>
        <w:rPr>
          <w:rFonts w:hint="eastAsia" w:ascii="Times New Roman" w:hAnsi="Times New Roman" w:cs="Times New Roman"/>
          <w:snapToGrid w:val="0"/>
          <w:color w:val="auto"/>
          <w:szCs w:val="20"/>
          <w:lang w:val="zh-CN"/>
        </w:rPr>
        <w:t>临河湿地</w:t>
      </w:r>
      <w:r>
        <w:rPr>
          <w:rFonts w:hint="eastAsia" w:ascii="Times New Roman" w:hAnsi="Times New Roman" w:cs="Times New Roman"/>
          <w:snapToGrid w:val="0"/>
          <w:color w:val="auto"/>
          <w:szCs w:val="20"/>
        </w:rPr>
        <w:t>及巢湖湿地</w:t>
      </w:r>
      <w:r>
        <w:rPr>
          <w:rFonts w:hint="eastAsia" w:ascii="Times New Roman" w:hAnsi="Times New Roman" w:cs="Times New Roman"/>
          <w:snapToGrid w:val="0"/>
          <w:color w:val="auto"/>
          <w:szCs w:val="20"/>
          <w:lang w:val="zh-CN"/>
        </w:rPr>
        <w:t>陆生植物名录</w:t>
      </w:r>
      <w:r>
        <w:rPr>
          <w:rFonts w:hint="eastAsia" w:ascii="Times New Roman" w:hAnsi="Times New Roman" w:cs="Times New Roman"/>
          <w:snapToGrid w:val="0"/>
          <w:color w:val="auto"/>
          <w:szCs w:val="20"/>
        </w:rPr>
        <w:t>见附录1。</w:t>
      </w:r>
    </w:p>
    <w:p>
      <w:pPr>
        <w:spacing w:line="240" w:lineRule="auto"/>
        <w:ind w:firstLine="422"/>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附录Ⅰ     临河湿地及巢湖湿地陆生植物名录</w:t>
      </w:r>
    </w:p>
    <w:tbl>
      <w:tblPr>
        <w:tblStyle w:val="62"/>
        <w:tblW w:w="937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1"/>
        <w:gridCol w:w="1777"/>
        <w:gridCol w:w="2311"/>
        <w:gridCol w:w="39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序号</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科名</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种名</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种拉丁名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杉科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水杉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Metasequoia glyptostroboides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池杉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Taxodium ascendens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6"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松科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湿地松</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pinus elliottii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柏科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侧柏</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Platycladus orientalis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胡桃科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枫杨</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Pterocarya stenoptera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杨柳科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加拿大杨</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Populus nigra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6"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旱柳</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Salix matsudana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垂柳</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Salix babylonica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榆科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白榆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Ulmus pumila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琅榆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Ulmus parvifolia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桑科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桑</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Morus alba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构树</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Broussonetia papyrifera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无花果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Ficus carica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葎草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Humulus scandens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蓼科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野荞麦</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Fagopyrum cymosum meisn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水蓼</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Polygonum hydropiper</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杠板归</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Polygonum perfoliatum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萹蓄</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Polygonum aviculare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酸模</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Rumex acetosa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羊蹄</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Rumex japonicus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21</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商陆科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美洲商陆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Phytolacca acinosa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22</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马齿苋科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马齿苋</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Portulaca oleracea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23</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石竹科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鹅肠菜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Malachium aquaticum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粘毛卷耳</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Cerastium glomeratum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繁缕</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Stellaria media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26</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瞿麦</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Dianthus superbus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27</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藜科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土荆芥</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Chenopodium ambrosioides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28</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灰绿藜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Chenopodium glaucum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29</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小藜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Chenopodium serotinum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30</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Chenopodium album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31</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地肤</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Kochia scoparia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32</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苋科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青葙</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Celosia argentea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33</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鸡冠花</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Celosia cristata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刺苋</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Amaranthus spinosus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苋</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Amaranthus tricolor</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皱果苋绿苋</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Amaranthus viridis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牛膝</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Achyranthes bidentata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38</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莲子草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Alternanthera sessilis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39</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木兰科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玉兰</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Magnolia denudata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40</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广玉兰</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Magnolia grandiflora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41</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香樟</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Cinnamomum camphora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42</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毛茛科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还亮草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Delphinium anthriscifolium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43</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天葵</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Semiaquilegia adoxoides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茴茴蒜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Ranunculus chinensis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毛茛</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Ranunculus japonicus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石龙芮</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Ranunculus sceleratus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47</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罂粟科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延胡索</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Corydalis yanhusuo</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48</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紫堇</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Corydalis edulis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49</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十字花科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水田碎米荠</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Cardamine lyrata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50</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二月兰</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Orychophragmus violaceus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51</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油菜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Brassica napus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52</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碎米荠</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Cardamine hirsuta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53</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臭荠</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Coronopus didymus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独行菜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Lepidium apetalum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荠</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Capsella bursa-pastoris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萝卜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Raphanus sativus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雪里蕻</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Brassica juncea var. multicep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58</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悬铃木科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法国梧桐</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Platanus hispanica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59</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金缕梅科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枫香</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Liquidambar formosana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60</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景天科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瓦松</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Orostachys fimbriatus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61</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垂盆草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Sedum sarmentosum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62</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海桐花科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海桐</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Pittosporum tobira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73"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63</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蔷薇科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火棘</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Pyracantha fortuneana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石楠</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Photinia serrulata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枇杷</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Eriobotrye japonica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月季</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Rosa chinensis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蛇莓</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Duchesnea indica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68</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朝天委陵菜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Potentilla supina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69</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三叶朝天委陵菜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Potentilla supina var. ternata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70</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桃</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Amygdalus persica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71</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梅</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Armeniaca mume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72</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杏</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Armeniaca vulgaris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73</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李</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Prunus salicina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紫叶李</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Prunuscerasifera f.atropurpurea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日本晚樱</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Cerasus serrulata varlannesiana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樱桃</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Cerasus pseudocerasus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77</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豆科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合欢</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Albizia julibrissin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78</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紫荆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Cercis chinensis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79</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槐树</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Sophora japonica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80</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南苜蓿</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Medicago hispida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81</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白车轴草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Trifolium repens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82</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大豆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Glycine max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83</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绿豆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Phaseolus radiatus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红豆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Phaseolus angularis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扁豆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Dolichos ladlad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豇豆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Vigna sinesis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蚕豆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Vicia faba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88</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救荒</w:t>
            </w:r>
            <w:r>
              <w:rPr>
                <w:rFonts w:hint="eastAsia" w:ascii="Times New Roman" w:hAnsi="Times New Roman" w:cs="Times New Roman"/>
                <w:kern w:val="0"/>
                <w:sz w:val="18"/>
                <w:szCs w:val="18"/>
              </w:rPr>
              <w:t>野豌豆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Vicia sativa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89</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小巢菜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Vicia hirsuta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90</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广布野豌豆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Vicia cracca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91</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豌豆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Pisum sativum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92</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刺槐</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Robinia pseudoacacia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93</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紫云英</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Astragalus sinicus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合萌</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Aeschynomene indica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花生</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Arachis hypogaea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96</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酢浆草科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酢浆草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Oxalis corniculata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97</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牻牛儿苗科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野老鹳草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Geranium carolinianum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98</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老鹳草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Geranium wilfordii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99</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大戟科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重阳木</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Bischofia polycarpa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100</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铁苋菜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Acalypha australis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101</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乌桕</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Sapium sebiferum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102</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大戟</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Euphorbia pekinensis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103</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泽漆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Euphorbia helioscopia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地锦草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Euphorbia humifusa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105</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斑地锦</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Euphorbia supina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106</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苦木科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臭椿</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Ailanthus altissima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107</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楝科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香椿</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Toona sinensis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108</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苦楝</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Melia azedarach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109</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无患子科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黄山栾树</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Koelreuteria paniculata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110</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凤仙花科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凤仙花</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Impatiens balsamina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111</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冬青科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构骨冬青</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Ilex cornuta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112</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卫矛科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大叶黄杨</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Euonymus japonica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113</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鼠李科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枣树</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Ziziphus jujuba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114</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葡萄科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葡萄</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Vitis vinifera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115</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乌蔹莓</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Cayratia japonica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116</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锦葵科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苘麻</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Abutilon theophrasti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蜀葵</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Althaea rosea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118</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木槿</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Hibiscus syriacus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119</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梧桐科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梧桐</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Firmiana simplex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120</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堇菜科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紫花地丁</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Viola vedoensis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121</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葫芦科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丝瓜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Luffa cylindrica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122</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南瓜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Cucurbita moschata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123</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西瓜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Citrullus lanatus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124</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葫芦</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Lagenaria siceraria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125</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伞形科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窃衣</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Torilis scabra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水芹</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Oenanthe javanica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蛇床</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Cnidium monnieri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128</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野胡萝卜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Daucus carota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129</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报春花科</w:t>
            </w:r>
          </w:p>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泽珍珠菜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Lysimachia candida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130</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点地梅</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Androsace umbellata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131</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柿树科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柿</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Diospyros kaki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132</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木犀科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桂花</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Osmanthus fragrans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133</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女贞</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Ligustrum lucidum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134</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夹竹桃科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络石</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Trachelospermum jasminoides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135</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萝藦科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萝藦</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Metaplexis japonica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136</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茜草科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鸡矢藤</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Paederia scandens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猪殃殃</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Galium aparine var. tenerum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138</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旋花科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打碗花</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Calystegia hederacea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139</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紫草科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柔弱斑种草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Bothriospermum tenellum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140</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附地菜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Trigonotis peduncularis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141</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唇形科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金疮小草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Ajuga decumbens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142</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韩信草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Scutellaria indica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143</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半枝莲</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Scutellaria barbata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夏枯草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Prunella vulgaris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益母草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Leonurus japonicus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荔枝草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Salvia plebeia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野薄荷</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Mentha haplocalyx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148</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茄科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枸杞</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Lycium chinense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149</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龙葵</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Solanum nigrum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150</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茄</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Solanum melongena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151</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西红柿</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Lycopersicon esculentum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152</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土豆</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Solanum tuberosum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153</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辣椒</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Capsicum annuum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154</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玄参科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白花泡桐</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Paulownia fortunei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通泉草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Mazus japonicus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阿拉伯婆婆纳</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Veronica persica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直立婆婆纳</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Veronica arvensis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158</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凌霄花</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Campsis grandiflora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159</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爵床科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爵床</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Rostellularia procumbens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160</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车前科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车前</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Plantago asiatica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161</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北美车前</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Plantago virginica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162</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忍冬科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忍冬</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Lonicera japonica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163</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菊科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鬼针草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Bidens pilosa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狼把草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Bidens tripartita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秋英</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Cosmos bipinnata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醴肠</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Eclipta prostrata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马兰</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Kalimeris indica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168</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加拿大一枝黄花</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Solidago canadensis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169</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小飞蓬</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Conyza canadensis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170</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一年蓬</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Erigeron annuus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171</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钻叶紫菀</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Aster subulatus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172</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三脉紫菀</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Aster ageratoides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173</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苍耳</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Xanthium sibiricum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天名精</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Carpesium abrotanoides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石胡荽</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Centipeda minima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艾蒿</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Artemisia argyi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野艾蒿</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Artemisia lavandulaefolia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178</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泥胡菜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Hemistepta lyrata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179</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刺儿菜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Cirsium setosum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180</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黄鹌菜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Youngia japonica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181</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抱茎苦荬菜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Ixeris sonchifolia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182</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苣荬菜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Sonchus brachyotus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183</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蒲公英</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Taraxacum mongolicum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稻槎菜</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Lapsana apogonoides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台湾翅果菊</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Pterocypsela formosana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莴苣</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Lactuca sativa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青蒿</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Artemisia carvifolia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188</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茼蒿</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Glebionis coronaria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189</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百合科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老鸦瓣</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Tulipa edulis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190</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麦冬</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Ophiopogon japonicus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191</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鸭跖草科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鸭跖草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Commelina communis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192</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禾本科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早熟禾</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Poa annua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193</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白茅</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Imperata cylindrica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狗尾草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Setaria viridis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195</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稻</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Oryza sativa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196</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麦</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Triticum aestivum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197</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看麦娘</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Alopecurus aequalis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198</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鹅观草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Roegneria kamoji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199</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荩草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Arthraxon hispidus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200</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棒头草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Polypogon fugax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201</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牛筋草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Eleusine indica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202</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马唐</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Digitaria sanguinalis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203</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莎草科</w:t>
            </w: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莎草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Cyperus rotundus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204</w:t>
            </w:r>
          </w:p>
        </w:tc>
        <w:tc>
          <w:tcPr>
            <w:tcW w:w="1777" w:type="dxa"/>
            <w:shd w:val="clear" w:color="auto" w:fill="auto"/>
            <w:vAlign w:val="center"/>
          </w:tcPr>
          <w:p>
            <w:pPr>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水蜈蚣</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Kyllinga brevifolia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 w:hRule="atLeast"/>
        </w:trPr>
        <w:tc>
          <w:tcPr>
            <w:tcW w:w="138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205</w:t>
            </w:r>
          </w:p>
        </w:tc>
        <w:tc>
          <w:tcPr>
            <w:tcW w:w="177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311"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亚大苔草</w:t>
            </w:r>
          </w:p>
        </w:tc>
        <w:tc>
          <w:tcPr>
            <w:tcW w:w="390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Carex brownii</w:t>
            </w:r>
          </w:p>
        </w:tc>
      </w:tr>
    </w:tbl>
    <w:p>
      <w:pPr>
        <w:pStyle w:val="5"/>
        <w:numPr>
          <w:ilvl w:val="0"/>
          <w:numId w:val="0"/>
        </w:numPr>
        <w:tabs>
          <w:tab w:val="left" w:pos="2268"/>
          <w:tab w:val="clear" w:pos="921"/>
          <w:tab w:val="clear" w:pos="2241"/>
        </w:tabs>
        <w:spacing w:before="120" w:after="0" w:line="360" w:lineRule="auto"/>
        <w:rPr>
          <w:rStyle w:val="1121"/>
          <w:rFonts w:eastAsia="黑体"/>
          <w:b w:val="0"/>
          <w:color w:val="auto"/>
          <w:sz w:val="24"/>
          <w:szCs w:val="24"/>
        </w:rPr>
      </w:pPr>
      <w:r>
        <w:rPr>
          <w:rStyle w:val="1121"/>
          <w:rFonts w:eastAsia="黑体"/>
          <w:b w:val="0"/>
          <w:color w:val="auto"/>
          <w:sz w:val="24"/>
          <w:szCs w:val="24"/>
        </w:rPr>
        <w:t>4.9.1.2</w:t>
      </w:r>
      <w:r>
        <w:rPr>
          <w:rStyle w:val="1121"/>
          <w:rFonts w:hint="eastAsia" w:eastAsia="黑体"/>
          <w:b w:val="0"/>
          <w:color w:val="auto"/>
          <w:sz w:val="24"/>
          <w:szCs w:val="24"/>
        </w:rPr>
        <w:t>鸟类调查</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、调查方法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（1）</w:t>
      </w:r>
      <w:r>
        <w:rPr>
          <w:rFonts w:ascii="Times New Roman" w:hAnsi="Times New Roman" w:cs="Times New Roman"/>
          <w:snapToGrid w:val="0"/>
          <w:color w:val="auto"/>
          <w:szCs w:val="20"/>
          <w:lang w:val="zh-CN"/>
        </w:rPr>
        <w:t>样线法</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1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①</w:t>
      </w:r>
      <w:r>
        <w:rPr>
          <w:rFonts w:ascii="Times New Roman" w:hAnsi="Times New Roman" w:cs="Times New Roman"/>
          <w:snapToGrid w:val="0"/>
          <w:color w:val="auto"/>
          <w:szCs w:val="20"/>
          <w:lang w:val="zh-CN"/>
        </w:rPr>
        <w:fldChar w:fldCharType="end"/>
      </w:r>
      <w:r>
        <w:rPr>
          <w:rFonts w:ascii="Times New Roman" w:hAnsi="Times New Roman" w:cs="Times New Roman"/>
          <w:snapToGrid w:val="0"/>
          <w:color w:val="auto"/>
          <w:szCs w:val="20"/>
          <w:lang w:val="zh-CN"/>
        </w:rPr>
        <w:t xml:space="preserve"> 样线设置及样线长度</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样线指在调查中行走的一定路线以及在该路线行走调查中所覆盖的相对应的调查范围。每条独立的样线长度一般需要1km 及以上，样线的设置需要根据具体生境类型和地形情况来确定。每种生境类型确定2-3条调查样线，各样线互不重叠、均匀分布或随机分布在调查区域内。在实际调查时可根据实地情况利用各种道路作为调查样线，如公路、小径、溪流等。</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2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②</w:t>
      </w:r>
      <w:r>
        <w:rPr>
          <w:rFonts w:ascii="Times New Roman" w:hAnsi="Times New Roman" w:cs="Times New Roman"/>
          <w:snapToGrid w:val="0"/>
          <w:color w:val="auto"/>
          <w:szCs w:val="20"/>
          <w:lang w:val="zh-CN"/>
        </w:rPr>
        <w:fldChar w:fldCharType="end"/>
      </w:r>
      <w:r>
        <w:rPr>
          <w:rFonts w:ascii="Times New Roman" w:hAnsi="Times New Roman" w:cs="Times New Roman"/>
          <w:snapToGrid w:val="0"/>
          <w:color w:val="auto"/>
          <w:szCs w:val="20"/>
          <w:lang w:val="zh-CN"/>
        </w:rPr>
        <w:t xml:space="preserve"> 行进速度</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在进行样线调查时，观察者需要有一个相对稳定的行进速度，通常规定在1.5-3km/</w:t>
      </w:r>
      <w:r>
        <w:rPr>
          <w:rFonts w:hint="eastAsia" w:ascii="Times New Roman" w:hAnsi="Times New Roman" w:cs="Times New Roman"/>
          <w:snapToGrid w:val="0"/>
          <w:color w:val="auto"/>
          <w:szCs w:val="20"/>
          <w:lang w:val="zh-CN"/>
        </w:rPr>
        <w:t>h</w:t>
      </w:r>
      <w:r>
        <w:rPr>
          <w:rFonts w:ascii="Times New Roman" w:hAnsi="Times New Roman" w:cs="Times New Roman"/>
          <w:snapToGrid w:val="0"/>
          <w:color w:val="auto"/>
          <w:szCs w:val="20"/>
          <w:lang w:val="zh-CN"/>
        </w:rPr>
        <w:t>。在茂密的丛林视野条件较差的环境下行进速度相对缓慢，以便有更多的时间来寻找隐藏在树木中的鸟类；在视野较好树林开阔的环境下可以设置较高的行进速度，以避免重复观察。</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3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③</w:t>
      </w:r>
      <w:r>
        <w:rPr>
          <w:rFonts w:ascii="Times New Roman" w:hAnsi="Times New Roman" w:cs="Times New Roman"/>
          <w:snapToGrid w:val="0"/>
          <w:color w:val="auto"/>
          <w:szCs w:val="20"/>
          <w:lang w:val="zh-CN"/>
        </w:rPr>
        <w:fldChar w:fldCharType="end"/>
      </w:r>
      <w:r>
        <w:rPr>
          <w:rFonts w:ascii="Times New Roman" w:hAnsi="Times New Roman" w:cs="Times New Roman"/>
          <w:snapToGrid w:val="0"/>
          <w:color w:val="auto"/>
          <w:szCs w:val="20"/>
          <w:lang w:val="zh-CN"/>
        </w:rPr>
        <w:t xml:space="preserve"> 调查时间和次数</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根据大多数鸟类的活动高峰期在早、晚两个时间段的活动规律，确定鸟类调查的最佳时段在早晨日出后3小时内和傍晚日落前3小时内。每条路线做一次调查是不能反映该地区鸟类的真实情况的。一般要求调查结果要达到记录调查地域所有鸟类的75%-80%以上。</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4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④</w:t>
      </w:r>
      <w:r>
        <w:rPr>
          <w:rFonts w:ascii="Times New Roman" w:hAnsi="Times New Roman" w:cs="Times New Roman"/>
          <w:snapToGrid w:val="0"/>
          <w:color w:val="auto"/>
          <w:szCs w:val="20"/>
          <w:lang w:val="zh-CN"/>
        </w:rPr>
        <w:fldChar w:fldCharType="end"/>
      </w:r>
      <w:r>
        <w:rPr>
          <w:rFonts w:ascii="Times New Roman" w:hAnsi="Times New Roman" w:cs="Times New Roman"/>
          <w:snapToGrid w:val="0"/>
          <w:color w:val="auto"/>
          <w:szCs w:val="20"/>
          <w:lang w:val="zh-CN"/>
        </w:rPr>
        <w:t xml:space="preserve"> 记录方式</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在样线行走观察记录时，观察样线两侧和前方看到和听到的种类和数量，不记录从调查者身后像前方飞行的鸟类，以免重复记数。听到的鸟类鸣叫声能确定种类的也应该记录。调查时调查者应保持匀速进行，只有在记录时才可以停下来，而且要尽快记录，然后恢复进行。</w:t>
      </w:r>
    </w:p>
    <w:p>
      <w:pPr>
        <w:ind w:firstLine="480"/>
        <w:rPr>
          <w:rFonts w:ascii="Times New Roman" w:hAnsi="Times New Roman" w:cs="Times New Roman"/>
          <w:snapToGrid w:val="0"/>
          <w:color w:val="auto"/>
          <w:szCs w:val="20"/>
          <w:lang w:val="zh-CN"/>
        </w:rPr>
      </w:pPr>
      <w:bookmarkStart w:id="342" w:name="_Toc56767313"/>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可变距离样线法</w:t>
      </w:r>
      <w:bookmarkEnd w:id="342"/>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可变距离样线法是根据鸟类的发现率，用有效面积来分别计算每种鸟类密度的数量研究方法。可变距离样线法从技术上弥补了固定距离样线法缺乏对远距离资料收集的缺点，数据更为准确。但调查时需要观察人员拥有丰富的野外距离估算经验，不然会产生较大的误差。</w:t>
      </w:r>
    </w:p>
    <w:p>
      <w:pPr>
        <w:ind w:firstLine="480"/>
        <w:rPr>
          <w:rFonts w:ascii="Times New Roman" w:hAnsi="Times New Roman" w:cs="Times New Roman"/>
          <w:snapToGrid w:val="0"/>
          <w:color w:val="auto"/>
          <w:szCs w:val="20"/>
          <w:lang w:val="zh-CN"/>
        </w:rPr>
      </w:pPr>
      <w:bookmarkStart w:id="343" w:name="_Toc56767314"/>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3</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 xml:space="preserve"> 样点调查法</w:t>
      </w:r>
      <w:bookmarkEnd w:id="343"/>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 xml:space="preserve"> 样点调查法是样线调查法的一种变形，即调查者行走速度为零的样线法，是对在复杂地形中调查的方法变通。以固定距离设置观察样点，每个样点观察一定时间，代替样线法中两相同长度路线中的观察时间。以点代替线，使得调查者在移动的过程中有了更大的灵活性，更适合在崎岖山地中使用。一般需要20个以上的样点数才能有效的估计大多数鸟类的密度。系统抽样方式确定，为了保证调查的独立性，两个样地间的距离应达到同一个个体不能被重复观察到的程度。样点之间的距离应该在100m以上，对每个样点用GPS进行标记定位和选择。通常认为5-10分钟统计时间为宜。</w:t>
      </w:r>
    </w:p>
    <w:p>
      <w:pPr>
        <w:spacing w:line="240" w:lineRule="auto"/>
        <w:ind w:firstLine="0" w:firstLineChars="0"/>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4.9-8         </w:t>
      </w:r>
      <w:r>
        <w:rPr>
          <w:rFonts w:hint="eastAsia" w:ascii="Times New Roman" w:hAnsi="Times New Roman" w:cs="Times New Roman"/>
          <w:b/>
          <w:color w:val="auto"/>
          <w:kern w:val="0"/>
          <w:sz w:val="21"/>
          <w:szCs w:val="21"/>
        </w:rPr>
        <w:t>鸟类调查现场工作照片</w:t>
      </w:r>
    </w:p>
    <w:tbl>
      <w:tblPr>
        <w:tblStyle w:val="62"/>
        <w:tblW w:w="8569" w:type="dxa"/>
        <w:jc w:val="center"/>
        <w:tblLayout w:type="fixed"/>
        <w:tblCellMar>
          <w:top w:w="0" w:type="dxa"/>
          <w:left w:w="108" w:type="dxa"/>
          <w:bottom w:w="0" w:type="dxa"/>
          <w:right w:w="108" w:type="dxa"/>
        </w:tblCellMar>
      </w:tblPr>
      <w:tblGrid>
        <w:gridCol w:w="4296"/>
        <w:gridCol w:w="4273"/>
      </w:tblGrid>
      <w:tr>
        <w:tblPrEx>
          <w:tblCellMar>
            <w:top w:w="0" w:type="dxa"/>
            <w:left w:w="108" w:type="dxa"/>
            <w:bottom w:w="0" w:type="dxa"/>
            <w:right w:w="108" w:type="dxa"/>
          </w:tblCellMar>
        </w:tblPrEx>
        <w:trPr>
          <w:jc w:val="center"/>
        </w:trPr>
        <w:tc>
          <w:tcPr>
            <w:tcW w:w="4296" w:type="dxa"/>
          </w:tcPr>
          <w:p>
            <w:pPr>
              <w:adjustRightInd/>
              <w:snapToGrid/>
              <w:spacing w:line="240" w:lineRule="auto"/>
              <w:ind w:firstLine="0" w:firstLineChars="0"/>
              <w:jc w:val="center"/>
              <w:rPr>
                <w:rFonts w:ascii="黑体" w:hAnsi="黑体" w:eastAsia="黑体" w:cs="Times New Roman"/>
                <w:color w:val="auto"/>
                <w:kern w:val="0"/>
                <w:szCs w:val="24"/>
              </w:rPr>
            </w:pPr>
            <w:bookmarkStart w:id="344" w:name="_Hlk101029558"/>
            <w:bookmarkStart w:id="345" w:name="_Toc56767315"/>
            <w:r>
              <w:rPr>
                <w:rFonts w:cs="Times New Roman"/>
                <w:kern w:val="0"/>
                <w:sz w:val="20"/>
                <w:szCs w:val="24"/>
              </w:rPr>
              <w:drawing>
                <wp:anchor distT="0" distB="0" distL="114300" distR="114300" simplePos="0" relativeHeight="251728896" behindDoc="0" locked="0" layoutInCell="1" allowOverlap="1">
                  <wp:simplePos x="0" y="0"/>
                  <wp:positionH relativeFrom="column">
                    <wp:posOffset>0</wp:posOffset>
                  </wp:positionH>
                  <wp:positionV relativeFrom="page">
                    <wp:posOffset>55245</wp:posOffset>
                  </wp:positionV>
                  <wp:extent cx="2581275" cy="2228850"/>
                  <wp:effectExtent l="0" t="0" r="9525" b="0"/>
                  <wp:wrapSquare wrapText="bothSides"/>
                  <wp:docPr id="2957" name="图片 29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57" name="图片 2957"/>
                          <pic:cNvPicPr>
                            <a:picLocks noChangeAspect="true"/>
                          </pic:cNvPicPr>
                        </pic:nvPicPr>
                        <pic:blipFill>
                          <a:blip r:embed="rId144" cstate="print">
                            <a:extLst>
                              <a:ext uri="{28A0092B-C50C-407E-A947-70E740481C1C}">
                                <a14:useLocalDpi xmlns:a14="http://schemas.microsoft.com/office/drawing/2010/main" val="false"/>
                              </a:ext>
                            </a:extLst>
                          </a:blip>
                          <a:stretch>
                            <a:fillRect/>
                          </a:stretch>
                        </pic:blipFill>
                        <pic:spPr>
                          <a:xfrm>
                            <a:off x="0" y="0"/>
                            <a:ext cx="2581275" cy="2228850"/>
                          </a:xfrm>
                          <a:prstGeom prst="rect">
                            <a:avLst/>
                          </a:prstGeom>
                        </pic:spPr>
                      </pic:pic>
                    </a:graphicData>
                  </a:graphic>
                </wp:anchor>
              </w:drawing>
            </w:r>
          </w:p>
        </w:tc>
        <w:tc>
          <w:tcPr>
            <w:tcW w:w="4273" w:type="dxa"/>
          </w:tcPr>
          <w:p>
            <w:pPr>
              <w:adjustRightInd/>
              <w:snapToGrid/>
              <w:spacing w:line="240" w:lineRule="auto"/>
              <w:ind w:firstLine="0" w:firstLineChars="0"/>
              <w:jc w:val="center"/>
              <w:rPr>
                <w:rFonts w:ascii="黑体" w:hAnsi="黑体" w:eastAsia="黑体" w:cs="Times New Roman"/>
                <w:color w:val="auto"/>
                <w:kern w:val="0"/>
                <w:szCs w:val="24"/>
              </w:rPr>
            </w:pPr>
            <w:r>
              <w:rPr>
                <w:rFonts w:cs="Times New Roman"/>
                <w:color w:val="auto"/>
                <w:kern w:val="0"/>
                <w:sz w:val="20"/>
                <w:szCs w:val="20"/>
              </w:rPr>
              <w:drawing>
                <wp:inline distT="0" distB="0" distL="0" distR="0">
                  <wp:extent cx="2576195" cy="2223770"/>
                  <wp:effectExtent l="0" t="0" r="0" b="5080"/>
                  <wp:docPr id="2958" name="图片 29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58" name="图片 2958"/>
                          <pic:cNvPicPr>
                            <a:picLocks noChangeAspect="true" noChangeArrowheads="true"/>
                          </pic:cNvPicPr>
                        </pic:nvPicPr>
                        <pic:blipFill>
                          <a:blip r:embed="rId145" cstate="print">
                            <a:extLst>
                              <a:ext uri="{28A0092B-C50C-407E-A947-70E740481C1C}">
                                <a14:useLocalDpi xmlns:a14="http://schemas.microsoft.com/office/drawing/2010/main" val="false"/>
                              </a:ext>
                            </a:extLst>
                          </a:blip>
                          <a:srcRect/>
                          <a:stretch>
                            <a:fillRect/>
                          </a:stretch>
                        </pic:blipFill>
                        <pic:spPr>
                          <a:xfrm>
                            <a:off x="0" y="0"/>
                            <a:ext cx="2596971" cy="2241427"/>
                          </a:xfrm>
                          <a:prstGeom prst="rect">
                            <a:avLst/>
                          </a:prstGeom>
                          <a:noFill/>
                          <a:ln>
                            <a:noFill/>
                          </a:ln>
                        </pic:spPr>
                      </pic:pic>
                    </a:graphicData>
                  </a:graphic>
                </wp:inline>
              </w:drawing>
            </w:r>
          </w:p>
        </w:tc>
      </w:tr>
      <w:tr>
        <w:tblPrEx>
          <w:tblCellMar>
            <w:top w:w="0" w:type="dxa"/>
            <w:left w:w="108" w:type="dxa"/>
            <w:bottom w:w="0" w:type="dxa"/>
            <w:right w:w="108" w:type="dxa"/>
          </w:tblCellMar>
        </w:tblPrEx>
        <w:trPr>
          <w:jc w:val="center"/>
        </w:trPr>
        <w:tc>
          <w:tcPr>
            <w:tcW w:w="4296" w:type="dxa"/>
          </w:tcPr>
          <w:p>
            <w:pPr>
              <w:adjustRightInd/>
              <w:snapToGrid/>
              <w:spacing w:line="240" w:lineRule="auto"/>
              <w:ind w:firstLine="0" w:firstLineChars="0"/>
              <w:jc w:val="center"/>
              <w:rPr>
                <w:rFonts w:cs="Times New Roman"/>
                <w:b/>
                <w:bCs/>
                <w:kern w:val="0"/>
                <w:sz w:val="22"/>
              </w:rPr>
            </w:pPr>
            <w:r>
              <w:rPr>
                <w:rFonts w:hint="eastAsia" w:cs="Times New Roman"/>
                <w:b/>
                <w:bCs/>
                <w:kern w:val="0"/>
                <w:sz w:val="22"/>
              </w:rPr>
              <w:t>样点法</w:t>
            </w:r>
          </w:p>
        </w:tc>
        <w:tc>
          <w:tcPr>
            <w:tcW w:w="4273" w:type="dxa"/>
          </w:tcPr>
          <w:p>
            <w:pPr>
              <w:adjustRightInd/>
              <w:snapToGrid/>
              <w:spacing w:line="240" w:lineRule="auto"/>
              <w:ind w:firstLine="0" w:firstLineChars="0"/>
              <w:jc w:val="center"/>
              <w:rPr>
                <w:rFonts w:cs="Times New Roman"/>
                <w:b/>
                <w:bCs/>
                <w:color w:val="auto"/>
                <w:kern w:val="0"/>
                <w:sz w:val="22"/>
              </w:rPr>
            </w:pPr>
            <w:r>
              <w:rPr>
                <w:rFonts w:hint="eastAsia" w:cs="Times New Roman"/>
                <w:b/>
                <w:bCs/>
                <w:color w:val="auto"/>
                <w:kern w:val="0"/>
                <w:sz w:val="22"/>
              </w:rPr>
              <w:t>样线法</w:t>
            </w:r>
          </w:p>
        </w:tc>
      </w:tr>
    </w:tbl>
    <w:p>
      <w:pPr>
        <w:adjustRightInd/>
        <w:snapToGrid/>
        <w:spacing w:line="240" w:lineRule="auto"/>
        <w:ind w:firstLine="0" w:firstLineChars="0"/>
        <w:jc w:val="center"/>
        <w:rPr>
          <w:rFonts w:ascii="黑体" w:hAnsi="黑体" w:eastAsia="黑体" w:cs="Times New Roman"/>
          <w:color w:val="auto"/>
          <w:szCs w:val="24"/>
        </w:rPr>
      </w:pPr>
    </w:p>
    <w:bookmarkEnd w:id="344"/>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4</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调查人员安排</w:t>
      </w:r>
      <w:bookmarkEnd w:id="345"/>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调查样地经过初步调研后，每个调查点位核定1条样线，每一轮调查需时0.5-1天（根据调查范围相应增加）；调查样地外周景观和农田生境核定1-2条调查样线，每一轮调查需时0.5-1天；每次调查活动观测人员3人（2人观测1人记录）。</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调查人员需要经过专业人员的专业培训和野外实践，除掌握鸟类识别知识、掌握野外距离估算标准等技术外，还需要熟练掌握调查程序、调查方法，并严格按调查规范详细认真地进行观察和记录。调查人员在调查过程中应当对天气、环境状况和调查情况等进行翔实的描述并记录，并签字确定。</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根据调查目标和调查指标在调查前设计好和做好标准的指标纪录表格，并规范各种数据记录表格的设计和印制。野外纪录时严格按照设计好的表格规范地填写和记录，原始数据记录要长期保存，不得涂改，若有错误需要改正时，则用横线联出并在旁边进行改正和并说明原因。</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、物种组成</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有调查资料显示，临河湿地、巢湖湿地全年</w:t>
      </w:r>
      <w:r>
        <w:rPr>
          <w:rFonts w:ascii="Times New Roman" w:hAnsi="Times New Roman" w:cs="Times New Roman"/>
          <w:snapToGrid w:val="0"/>
          <w:color w:val="auto"/>
          <w:szCs w:val="20"/>
          <w:lang w:val="zh-CN"/>
        </w:rPr>
        <w:t>鸟类</w:t>
      </w:r>
      <w:r>
        <w:rPr>
          <w:rFonts w:hint="eastAsia" w:ascii="Times New Roman" w:hAnsi="Times New Roman" w:cs="Times New Roman"/>
          <w:snapToGrid w:val="0"/>
          <w:color w:val="auto"/>
          <w:szCs w:val="20"/>
          <w:lang w:val="zh-CN"/>
        </w:rPr>
        <w:t>共记录到鸟类1</w:t>
      </w:r>
      <w:r>
        <w:rPr>
          <w:rFonts w:ascii="Times New Roman" w:hAnsi="Times New Roman" w:cs="Times New Roman"/>
          <w:snapToGrid w:val="0"/>
          <w:color w:val="auto"/>
          <w:szCs w:val="20"/>
          <w:lang w:val="zh-CN"/>
        </w:rPr>
        <w:t>17</w:t>
      </w:r>
      <w:r>
        <w:rPr>
          <w:rFonts w:hint="eastAsia" w:ascii="Times New Roman" w:hAnsi="Times New Roman" w:cs="Times New Roman"/>
          <w:snapToGrid w:val="0"/>
          <w:color w:val="auto"/>
          <w:szCs w:val="20"/>
          <w:lang w:val="zh-CN"/>
        </w:rPr>
        <w:t>种。主要生境为各种河道和坑塘。附近有高铁跨过，由于有距离公路较远的大批人工修复湿地，因此成为了巢湖周边候鸟停歇越冬的重要点位。其中不乏部分国家级重点保护鸟类，比如黄胸鹀、东方白鹳、小天鹅、白琵鹭等。本次鸟类调查着重在在冬季进行了3次冬候鸟调查：具体时间为2</w:t>
      </w:r>
      <w:r>
        <w:rPr>
          <w:rFonts w:ascii="Times New Roman" w:hAnsi="Times New Roman" w:cs="Times New Roman"/>
          <w:snapToGrid w:val="0"/>
          <w:color w:val="auto"/>
          <w:szCs w:val="20"/>
          <w:lang w:val="zh-CN"/>
        </w:rPr>
        <w:t>022</w:t>
      </w:r>
      <w:r>
        <w:rPr>
          <w:rFonts w:hint="eastAsia" w:ascii="Times New Roman" w:hAnsi="Times New Roman" w:cs="Times New Roman"/>
          <w:snapToGrid w:val="0"/>
          <w:color w:val="auto"/>
          <w:szCs w:val="20"/>
          <w:lang w:val="zh-CN"/>
        </w:rPr>
        <w:t>年的1月1</w:t>
      </w:r>
      <w:r>
        <w:rPr>
          <w:rFonts w:ascii="Times New Roman" w:hAnsi="Times New Roman" w:cs="Times New Roman"/>
          <w:snapToGrid w:val="0"/>
          <w:color w:val="auto"/>
          <w:szCs w:val="20"/>
          <w:lang w:val="zh-CN"/>
        </w:rPr>
        <w:t>5</w:t>
      </w:r>
      <w:r>
        <w:rPr>
          <w:rFonts w:hint="eastAsia" w:ascii="Times New Roman" w:hAnsi="Times New Roman" w:cs="Times New Roman"/>
          <w:snapToGrid w:val="0"/>
          <w:color w:val="auto"/>
          <w:szCs w:val="20"/>
          <w:lang w:val="zh-CN"/>
        </w:rPr>
        <w:t>日、2月2</w:t>
      </w:r>
      <w:r>
        <w:rPr>
          <w:rFonts w:ascii="Times New Roman" w:hAnsi="Times New Roman" w:cs="Times New Roman"/>
          <w:snapToGrid w:val="0"/>
          <w:color w:val="auto"/>
          <w:szCs w:val="20"/>
          <w:lang w:val="zh-CN"/>
        </w:rPr>
        <w:t>0</w:t>
      </w:r>
      <w:r>
        <w:rPr>
          <w:rFonts w:hint="eastAsia" w:ascii="Times New Roman" w:hAnsi="Times New Roman" w:cs="Times New Roman"/>
          <w:snapToGrid w:val="0"/>
          <w:color w:val="auto"/>
          <w:szCs w:val="20"/>
          <w:lang w:val="zh-CN"/>
        </w:rPr>
        <w:t>日和3月1</w:t>
      </w:r>
      <w:r>
        <w:rPr>
          <w:rFonts w:ascii="Times New Roman" w:hAnsi="Times New Roman" w:cs="Times New Roman"/>
          <w:snapToGrid w:val="0"/>
          <w:color w:val="auto"/>
          <w:szCs w:val="20"/>
          <w:lang w:val="zh-CN"/>
        </w:rPr>
        <w:t>8</w:t>
      </w:r>
      <w:r>
        <w:rPr>
          <w:rFonts w:hint="eastAsia" w:ascii="Times New Roman" w:hAnsi="Times New Roman" w:cs="Times New Roman"/>
          <w:snapToGrid w:val="0"/>
          <w:color w:val="auto"/>
          <w:szCs w:val="20"/>
          <w:lang w:val="zh-CN"/>
        </w:rPr>
        <w:t>日。具体调查结果如下：</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1月1</w:t>
      </w:r>
      <w:r>
        <w:rPr>
          <w:rFonts w:ascii="Times New Roman" w:hAnsi="Times New Roman" w:cs="Times New Roman"/>
          <w:snapToGrid w:val="0"/>
          <w:color w:val="auto"/>
          <w:szCs w:val="20"/>
          <w:lang w:val="zh-CN"/>
        </w:rPr>
        <w:t>5</w:t>
      </w:r>
      <w:r>
        <w:rPr>
          <w:rFonts w:hint="eastAsia" w:ascii="Times New Roman" w:hAnsi="Times New Roman" w:cs="Times New Roman"/>
          <w:snapToGrid w:val="0"/>
          <w:color w:val="auto"/>
          <w:szCs w:val="20"/>
          <w:lang w:val="zh-CN"/>
        </w:rPr>
        <w:t>日：共记录到</w:t>
      </w:r>
      <w:r>
        <w:rPr>
          <w:rFonts w:ascii="Times New Roman" w:hAnsi="Times New Roman" w:cs="Times New Roman"/>
          <w:snapToGrid w:val="0"/>
          <w:color w:val="auto"/>
          <w:szCs w:val="20"/>
          <w:lang w:val="zh-CN"/>
        </w:rPr>
        <w:t>16</w:t>
      </w:r>
      <w:r>
        <w:rPr>
          <w:rFonts w:hint="eastAsia" w:ascii="Times New Roman" w:hAnsi="Times New Roman" w:cs="Times New Roman"/>
          <w:snapToGrid w:val="0"/>
          <w:color w:val="auto"/>
          <w:szCs w:val="20"/>
          <w:lang w:val="zh-CN"/>
        </w:rPr>
        <w:t>种鸟类，共</w:t>
      </w:r>
      <w:r>
        <w:rPr>
          <w:rFonts w:ascii="Times New Roman" w:hAnsi="Times New Roman" w:cs="Times New Roman"/>
          <w:snapToGrid w:val="0"/>
          <w:color w:val="auto"/>
          <w:szCs w:val="20"/>
          <w:lang w:val="zh-CN"/>
        </w:rPr>
        <w:t>633</w:t>
      </w:r>
      <w:r>
        <w:rPr>
          <w:rFonts w:hint="eastAsia" w:ascii="Times New Roman" w:hAnsi="Times New Roman" w:cs="Times New Roman"/>
          <w:snapToGrid w:val="0"/>
          <w:color w:val="auto"/>
          <w:szCs w:val="20"/>
          <w:lang w:val="zh-CN"/>
        </w:rPr>
        <w:t>只。具体鸟类为红嘴、白鹡鸰、大白鹭、棕背伯劳、斑嘴鸭、小䴙鷉、普通鸬鹚、苍鹭、赤麻鸭、小天鹅、白琵鹭、东方白鹳、麻雀、喜鹊、普通鸬鹚、白鹡鸰、小䴙鷉、骨顶鸡、白鹭、大白鹭、棕背伯劳、赤麻鸭。1月份调查调查正处于越冬水鸟最稳定的时期，大量水鸟在此地越冬。记录到以鱼类为食的东方白鹳1</w:t>
      </w: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只、普通鸬鹚8只、苍鹭只；以沉水植物为食的小天鹅4</w:t>
      </w:r>
      <w:r>
        <w:rPr>
          <w:rFonts w:ascii="Times New Roman" w:hAnsi="Times New Roman" w:cs="Times New Roman"/>
          <w:snapToGrid w:val="0"/>
          <w:color w:val="auto"/>
          <w:szCs w:val="20"/>
          <w:lang w:val="zh-CN"/>
        </w:rPr>
        <w:t>5</w:t>
      </w:r>
      <w:r>
        <w:rPr>
          <w:rFonts w:hint="eastAsia" w:ascii="Times New Roman" w:hAnsi="Times New Roman" w:cs="Times New Roman"/>
          <w:snapToGrid w:val="0"/>
          <w:color w:val="auto"/>
          <w:szCs w:val="20"/>
          <w:lang w:val="zh-CN"/>
        </w:rPr>
        <w:t>只、赤麻鸭7</w:t>
      </w: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只、骨顶鸡7</w:t>
      </w:r>
      <w:r>
        <w:rPr>
          <w:rFonts w:ascii="Times New Roman" w:hAnsi="Times New Roman" w:cs="Times New Roman"/>
          <w:snapToGrid w:val="0"/>
          <w:color w:val="auto"/>
          <w:szCs w:val="20"/>
          <w:lang w:val="zh-CN"/>
        </w:rPr>
        <w:t>0</w:t>
      </w:r>
      <w:r>
        <w:rPr>
          <w:rFonts w:hint="eastAsia" w:ascii="Times New Roman" w:hAnsi="Times New Roman" w:cs="Times New Roman"/>
          <w:snapToGrid w:val="0"/>
          <w:color w:val="auto"/>
          <w:szCs w:val="20"/>
          <w:lang w:val="zh-CN"/>
        </w:rPr>
        <w:t>只；以底栖动物为食的白琵鹭1</w:t>
      </w:r>
      <w:r>
        <w:rPr>
          <w:rFonts w:ascii="Times New Roman" w:hAnsi="Times New Roman" w:cs="Times New Roman"/>
          <w:snapToGrid w:val="0"/>
          <w:color w:val="auto"/>
          <w:szCs w:val="20"/>
          <w:lang w:val="zh-CN"/>
        </w:rPr>
        <w:t>15</w:t>
      </w:r>
      <w:r>
        <w:rPr>
          <w:rFonts w:hint="eastAsia" w:ascii="Times New Roman" w:hAnsi="Times New Roman" w:cs="Times New Roman"/>
          <w:snapToGrid w:val="0"/>
          <w:color w:val="auto"/>
          <w:szCs w:val="20"/>
          <w:lang w:val="zh-CN"/>
        </w:rPr>
        <w:t>只、斑嘴鸭5</w:t>
      </w:r>
      <w:r>
        <w:rPr>
          <w:rFonts w:ascii="Times New Roman" w:hAnsi="Times New Roman" w:cs="Times New Roman"/>
          <w:snapToGrid w:val="0"/>
          <w:color w:val="auto"/>
          <w:szCs w:val="20"/>
          <w:lang w:val="zh-CN"/>
        </w:rPr>
        <w:t>0</w:t>
      </w:r>
      <w:r>
        <w:rPr>
          <w:rFonts w:hint="eastAsia" w:ascii="Times New Roman" w:hAnsi="Times New Roman" w:cs="Times New Roman"/>
          <w:snapToGrid w:val="0"/>
          <w:color w:val="auto"/>
          <w:szCs w:val="20"/>
          <w:lang w:val="zh-CN"/>
        </w:rPr>
        <w:t>只。</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2月2</w:t>
      </w:r>
      <w:r>
        <w:rPr>
          <w:rFonts w:ascii="Times New Roman" w:hAnsi="Times New Roman" w:cs="Times New Roman"/>
          <w:snapToGrid w:val="0"/>
          <w:color w:val="auto"/>
          <w:szCs w:val="20"/>
          <w:lang w:val="zh-CN"/>
        </w:rPr>
        <w:t>0</w:t>
      </w:r>
      <w:r>
        <w:rPr>
          <w:rFonts w:hint="eastAsia" w:ascii="Times New Roman" w:hAnsi="Times New Roman" w:cs="Times New Roman"/>
          <w:snapToGrid w:val="0"/>
          <w:color w:val="auto"/>
          <w:szCs w:val="20"/>
          <w:lang w:val="zh-CN"/>
        </w:rPr>
        <w:t>日：共记录到1</w:t>
      </w:r>
      <w:r>
        <w:rPr>
          <w:rFonts w:ascii="Times New Roman" w:hAnsi="Times New Roman" w:cs="Times New Roman"/>
          <w:snapToGrid w:val="0"/>
          <w:color w:val="auto"/>
          <w:szCs w:val="20"/>
          <w:lang w:val="zh-CN"/>
        </w:rPr>
        <w:t>9</w:t>
      </w:r>
      <w:r>
        <w:rPr>
          <w:rFonts w:hint="eastAsia" w:ascii="Times New Roman" w:hAnsi="Times New Roman" w:cs="Times New Roman"/>
          <w:snapToGrid w:val="0"/>
          <w:color w:val="auto"/>
          <w:szCs w:val="20"/>
          <w:lang w:val="zh-CN"/>
        </w:rPr>
        <w:t>种鸟，4</w:t>
      </w:r>
      <w:r>
        <w:rPr>
          <w:rFonts w:ascii="Times New Roman" w:hAnsi="Times New Roman" w:cs="Times New Roman"/>
          <w:snapToGrid w:val="0"/>
          <w:color w:val="auto"/>
          <w:szCs w:val="20"/>
          <w:lang w:val="zh-CN"/>
        </w:rPr>
        <w:t>74</w:t>
      </w:r>
      <w:r>
        <w:rPr>
          <w:rFonts w:hint="eastAsia" w:ascii="Times New Roman" w:hAnsi="Times New Roman" w:cs="Times New Roman"/>
          <w:snapToGrid w:val="0"/>
          <w:color w:val="auto"/>
          <w:szCs w:val="20"/>
          <w:lang w:val="zh-CN"/>
        </w:rPr>
        <w:t>只。具体鸟种为：白鹡鸰、白琵鹭、斑嘴鸭、苍鹭、赤麻鸭、大白鹭、骨顶鸡、黑翅鸢、红隼、红嘴鸥、灰椋鸟、灰头麦鸡、灰头鹀、麻雀、普通翠鸟、喜鹊、小䴙鷉、小天鹅、小鹀。其中小天鹅1</w:t>
      </w:r>
      <w:r>
        <w:rPr>
          <w:rFonts w:ascii="Times New Roman" w:hAnsi="Times New Roman" w:cs="Times New Roman"/>
          <w:snapToGrid w:val="0"/>
          <w:color w:val="auto"/>
          <w:szCs w:val="20"/>
          <w:lang w:val="zh-CN"/>
        </w:rPr>
        <w:t>06</w:t>
      </w:r>
      <w:r>
        <w:rPr>
          <w:rFonts w:hint="eastAsia" w:ascii="Times New Roman" w:hAnsi="Times New Roman" w:cs="Times New Roman"/>
          <w:snapToGrid w:val="0"/>
          <w:color w:val="auto"/>
          <w:szCs w:val="20"/>
          <w:lang w:val="zh-CN"/>
        </w:rPr>
        <w:t>只，白琵鹭6只，红隼2只、黑翅鸢2只、赤麻鸭6只，本次调查记录到了最早返回的夏候鸟，灰头麦鸡。</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3月1</w:t>
      </w:r>
      <w:r>
        <w:rPr>
          <w:rFonts w:ascii="Times New Roman" w:hAnsi="Times New Roman" w:cs="Times New Roman"/>
          <w:snapToGrid w:val="0"/>
          <w:color w:val="auto"/>
          <w:szCs w:val="20"/>
          <w:lang w:val="zh-CN"/>
        </w:rPr>
        <w:t>8</w:t>
      </w:r>
      <w:r>
        <w:rPr>
          <w:rFonts w:hint="eastAsia" w:ascii="Times New Roman" w:hAnsi="Times New Roman" w:cs="Times New Roman"/>
          <w:snapToGrid w:val="0"/>
          <w:color w:val="auto"/>
          <w:szCs w:val="20"/>
          <w:lang w:val="zh-CN"/>
        </w:rPr>
        <w:t>日调查：共调查到1</w:t>
      </w:r>
      <w:r>
        <w:rPr>
          <w:rFonts w:ascii="Times New Roman" w:hAnsi="Times New Roman" w:cs="Times New Roman"/>
          <w:snapToGrid w:val="0"/>
          <w:color w:val="auto"/>
          <w:szCs w:val="20"/>
          <w:lang w:val="zh-CN"/>
        </w:rPr>
        <w:t>8</w:t>
      </w:r>
      <w:r>
        <w:rPr>
          <w:rFonts w:hint="eastAsia" w:ascii="Times New Roman" w:hAnsi="Times New Roman" w:cs="Times New Roman"/>
          <w:snapToGrid w:val="0"/>
          <w:color w:val="auto"/>
          <w:szCs w:val="20"/>
          <w:lang w:val="zh-CN"/>
        </w:rPr>
        <w:t>种3</w:t>
      </w:r>
      <w:r>
        <w:rPr>
          <w:rFonts w:ascii="Times New Roman" w:hAnsi="Times New Roman" w:cs="Times New Roman"/>
          <w:snapToGrid w:val="0"/>
          <w:color w:val="auto"/>
          <w:szCs w:val="20"/>
          <w:lang w:val="zh-CN"/>
        </w:rPr>
        <w:t>6</w:t>
      </w:r>
      <w:r>
        <w:rPr>
          <w:rFonts w:hint="eastAsia" w:ascii="Times New Roman" w:hAnsi="Times New Roman" w:cs="Times New Roman"/>
          <w:snapToGrid w:val="0"/>
          <w:color w:val="auto"/>
          <w:szCs w:val="20"/>
          <w:lang w:val="zh-CN"/>
        </w:rPr>
        <w:t>只鸟类。随着东侯鸟的离开，鸟种和数量都呈现明显的下滑。具体鸟种为：八哥、白鹡鸰、白鹭、白腰草鹬、苍鹭、赤麻鸭、大白鹭、黑翅长脚鹬、黑水鸡、灰头麦鸡、绿头鸭、普通翠鸟、水鹨、田鹀、喜鹊、小䴙鷉、珠颈斑鸠、棕背伯劳。</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结合以往调查记录和现场调查，临河湿地、巢湖湿地区域共记录到鸟类4</w:t>
      </w: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科1</w:t>
      </w:r>
      <w:r>
        <w:rPr>
          <w:rFonts w:ascii="Times New Roman" w:hAnsi="Times New Roman" w:cs="Times New Roman"/>
          <w:snapToGrid w:val="0"/>
          <w:color w:val="auto"/>
          <w:szCs w:val="20"/>
          <w:lang w:val="zh-CN"/>
        </w:rPr>
        <w:t>25</w:t>
      </w:r>
      <w:r>
        <w:rPr>
          <w:rFonts w:hint="eastAsia" w:ascii="Times New Roman" w:hAnsi="Times New Roman" w:cs="Times New Roman"/>
          <w:snapToGrid w:val="0"/>
          <w:color w:val="auto"/>
          <w:szCs w:val="20"/>
          <w:lang w:val="zh-CN"/>
        </w:rPr>
        <w:t>种。其中䴙䴘目</w:t>
      </w: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科2种，鲣鸟目</w:t>
      </w: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科1种，鹈形目2科1</w:t>
      </w: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种，鹳形目1科1种，雁形目1科1</w:t>
      </w:r>
      <w:r>
        <w:rPr>
          <w:rFonts w:ascii="Times New Roman" w:hAnsi="Times New Roman" w:cs="Times New Roman"/>
          <w:snapToGrid w:val="0"/>
          <w:color w:val="auto"/>
          <w:szCs w:val="20"/>
          <w:lang w:val="zh-CN"/>
        </w:rPr>
        <w:t>0</w:t>
      </w:r>
      <w:r>
        <w:rPr>
          <w:rFonts w:hint="eastAsia" w:ascii="Times New Roman" w:hAnsi="Times New Roman" w:cs="Times New Roman"/>
          <w:snapToGrid w:val="0"/>
          <w:color w:val="auto"/>
          <w:szCs w:val="20"/>
          <w:lang w:val="zh-CN"/>
        </w:rPr>
        <w:t>种，鹤形目1科4种，鸻形目6科2</w:t>
      </w:r>
      <w:r>
        <w:rPr>
          <w:rFonts w:ascii="Times New Roman" w:hAnsi="Times New Roman" w:cs="Times New Roman"/>
          <w:snapToGrid w:val="0"/>
          <w:color w:val="auto"/>
          <w:szCs w:val="20"/>
          <w:lang w:val="zh-CN"/>
        </w:rPr>
        <w:t>0</w:t>
      </w:r>
      <w:r>
        <w:rPr>
          <w:rFonts w:hint="eastAsia" w:ascii="Times New Roman" w:hAnsi="Times New Roman" w:cs="Times New Roman"/>
          <w:snapToGrid w:val="0"/>
          <w:color w:val="auto"/>
          <w:szCs w:val="20"/>
          <w:lang w:val="zh-CN"/>
        </w:rPr>
        <w:t>种，鹰形目1科</w:t>
      </w:r>
      <w:r>
        <w:rPr>
          <w:rFonts w:ascii="Times New Roman" w:hAnsi="Times New Roman" w:cs="Times New Roman"/>
          <w:snapToGrid w:val="0"/>
          <w:color w:val="auto"/>
          <w:szCs w:val="20"/>
          <w:lang w:val="zh-CN"/>
        </w:rPr>
        <w:t>3</w:t>
      </w:r>
      <w:r>
        <w:rPr>
          <w:rFonts w:hint="eastAsia" w:ascii="Times New Roman" w:hAnsi="Times New Roman" w:cs="Times New Roman"/>
          <w:snapToGrid w:val="0"/>
          <w:color w:val="auto"/>
          <w:szCs w:val="20"/>
          <w:lang w:val="zh-CN"/>
        </w:rPr>
        <w:t>种，隼形目1科1种，鸡形目1科2种，鴷形目1科2种，戴胜目1科1种，佛法僧目1科3种，鹃形目1科4种，鸽形目1科3种，雀形目2</w:t>
      </w: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科5</w:t>
      </w:r>
      <w:r>
        <w:rPr>
          <w:rFonts w:ascii="Times New Roman" w:hAnsi="Times New Roman" w:cs="Times New Roman"/>
          <w:snapToGrid w:val="0"/>
          <w:color w:val="auto"/>
          <w:szCs w:val="20"/>
          <w:lang w:val="zh-CN"/>
        </w:rPr>
        <w:t>6</w:t>
      </w:r>
      <w:r>
        <w:rPr>
          <w:rFonts w:hint="eastAsia" w:ascii="Times New Roman" w:hAnsi="Times New Roman" w:cs="Times New Roman"/>
          <w:snapToGrid w:val="0"/>
          <w:color w:val="auto"/>
          <w:szCs w:val="20"/>
          <w:lang w:val="zh-CN"/>
        </w:rPr>
        <w:t>种。各科目所占比例见表</w:t>
      </w:r>
      <w:r>
        <w:rPr>
          <w:rFonts w:ascii="Times New Roman" w:hAnsi="Times New Roman" w:cs="Times New Roman"/>
          <w:snapToGrid w:val="0"/>
          <w:color w:val="auto"/>
          <w:szCs w:val="20"/>
          <w:lang w:val="zh-CN"/>
        </w:rPr>
        <w:t>4.9-9</w:t>
      </w:r>
      <w:r>
        <w:rPr>
          <w:rFonts w:hint="eastAsia" w:ascii="Times New Roman" w:hAnsi="Times New Roman" w:cs="Times New Roman"/>
          <w:snapToGrid w:val="0"/>
          <w:color w:val="auto"/>
          <w:szCs w:val="20"/>
          <w:lang w:val="zh-CN"/>
        </w:rPr>
        <w:t>：</w:t>
      </w:r>
    </w:p>
    <w:p>
      <w:pPr>
        <w:spacing w:line="240" w:lineRule="auto"/>
        <w:ind w:firstLine="0" w:firstLineChars="0"/>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4.9-9     </w:t>
      </w:r>
      <w:r>
        <w:rPr>
          <w:rFonts w:hint="eastAsia" w:ascii="Times New Roman" w:hAnsi="Times New Roman" w:cs="Times New Roman"/>
          <w:b/>
          <w:color w:val="auto"/>
          <w:kern w:val="0"/>
          <w:sz w:val="21"/>
          <w:szCs w:val="21"/>
        </w:rPr>
        <w:t>鸟类种类分布情况</w:t>
      </w:r>
    </w:p>
    <w:tbl>
      <w:tblPr>
        <w:tblStyle w:val="62"/>
        <w:tblW w:w="890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11"/>
        <w:gridCol w:w="1801"/>
        <w:gridCol w:w="2281"/>
        <w:gridCol w:w="24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64"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目</w:t>
            </w:r>
          </w:p>
        </w:tc>
        <w:tc>
          <w:tcPr>
            <w:tcW w:w="18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科数</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种数</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总百分比%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bookmarkStart w:id="346" w:name="_Hlk101090582"/>
            <w:r>
              <w:rPr>
                <w:rFonts w:hint="eastAsia" w:ascii="Times New Roman" w:hAnsi="Times New Roman" w:cs="Times New Roman"/>
                <w:kern w:val="0"/>
                <w:sz w:val="18"/>
                <w:szCs w:val="18"/>
              </w:rPr>
              <w:t>䴙䴘目</w:t>
            </w:r>
          </w:p>
        </w:tc>
        <w:tc>
          <w:tcPr>
            <w:tcW w:w="18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鲣鸟目</w:t>
            </w:r>
          </w:p>
        </w:tc>
        <w:tc>
          <w:tcPr>
            <w:tcW w:w="18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鹈形目</w:t>
            </w:r>
          </w:p>
        </w:tc>
        <w:tc>
          <w:tcPr>
            <w:tcW w:w="18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鹳形目</w:t>
            </w:r>
          </w:p>
        </w:tc>
        <w:tc>
          <w:tcPr>
            <w:tcW w:w="18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雁形目</w:t>
            </w:r>
          </w:p>
        </w:tc>
        <w:tc>
          <w:tcPr>
            <w:tcW w:w="18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鹤形目</w:t>
            </w:r>
          </w:p>
        </w:tc>
        <w:tc>
          <w:tcPr>
            <w:tcW w:w="18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鸻形目</w:t>
            </w:r>
          </w:p>
        </w:tc>
        <w:tc>
          <w:tcPr>
            <w:tcW w:w="18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w:t>
            </w:r>
          </w:p>
        </w:tc>
      </w:tr>
      <w:bookmarkEnd w:id="346"/>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鹰形目</w:t>
            </w:r>
          </w:p>
        </w:tc>
        <w:tc>
          <w:tcPr>
            <w:tcW w:w="18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隼形目</w:t>
            </w:r>
          </w:p>
        </w:tc>
        <w:tc>
          <w:tcPr>
            <w:tcW w:w="18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鸡形目</w:t>
            </w:r>
          </w:p>
        </w:tc>
        <w:tc>
          <w:tcPr>
            <w:tcW w:w="1801" w:type="dxa"/>
            <w:vAlign w:val="center"/>
          </w:tcPr>
          <w:p>
            <w:pPr>
              <w:widowControl/>
              <w:adjustRightInd/>
              <w:spacing w:line="240" w:lineRule="auto"/>
              <w:ind w:firstLine="0" w:firstLineChars="0"/>
              <w:jc w:val="center"/>
              <w:outlineLvl w:val="2"/>
              <w:rPr>
                <w:rFonts w:ascii="Times New Roman" w:hAnsi="Times New Roman" w:cs="Times New Roman"/>
                <w:kern w:val="0"/>
                <w:sz w:val="18"/>
                <w:szCs w:val="18"/>
              </w:rPr>
            </w:pPr>
            <w:r>
              <w:rPr>
                <w:rFonts w:ascii="Times New Roman" w:hAnsi="Times New Roman" w:cs="Times New Roman"/>
                <w:kern w:val="0"/>
                <w:sz w:val="18"/>
                <w:szCs w:val="18"/>
              </w:rPr>
              <w:t>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鴷形目</w:t>
            </w:r>
          </w:p>
        </w:tc>
        <w:tc>
          <w:tcPr>
            <w:tcW w:w="1801" w:type="dxa"/>
            <w:vAlign w:val="center"/>
          </w:tcPr>
          <w:p>
            <w:pPr>
              <w:widowControl/>
              <w:adjustRightInd/>
              <w:spacing w:line="240" w:lineRule="auto"/>
              <w:ind w:firstLine="0" w:firstLineChars="0"/>
              <w:jc w:val="center"/>
              <w:outlineLvl w:val="2"/>
              <w:rPr>
                <w:rFonts w:ascii="Times New Roman" w:hAnsi="Times New Roman" w:cs="Times New Roman"/>
                <w:kern w:val="0"/>
                <w:sz w:val="18"/>
                <w:szCs w:val="18"/>
              </w:rPr>
            </w:pPr>
            <w:r>
              <w:rPr>
                <w:rFonts w:ascii="Times New Roman" w:hAnsi="Times New Roman" w:cs="Times New Roman"/>
                <w:kern w:val="0"/>
                <w:sz w:val="18"/>
                <w:szCs w:val="18"/>
              </w:rPr>
              <w:t>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戴胜目</w:t>
            </w:r>
          </w:p>
        </w:tc>
        <w:tc>
          <w:tcPr>
            <w:tcW w:w="1801" w:type="dxa"/>
            <w:vAlign w:val="center"/>
          </w:tcPr>
          <w:p>
            <w:pPr>
              <w:widowControl/>
              <w:adjustRightInd/>
              <w:spacing w:line="240" w:lineRule="auto"/>
              <w:ind w:firstLine="0" w:firstLineChars="0"/>
              <w:jc w:val="center"/>
              <w:outlineLvl w:val="2"/>
              <w:rPr>
                <w:rFonts w:ascii="Times New Roman" w:hAnsi="Times New Roman" w:cs="Times New Roman"/>
                <w:kern w:val="0"/>
                <w:sz w:val="18"/>
                <w:szCs w:val="18"/>
              </w:rPr>
            </w:pPr>
            <w:r>
              <w:rPr>
                <w:rFonts w:ascii="Times New Roman" w:hAnsi="Times New Roman" w:cs="Times New Roman"/>
                <w:kern w:val="0"/>
                <w:sz w:val="18"/>
                <w:szCs w:val="18"/>
              </w:rPr>
              <w:t>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佛法僧目</w:t>
            </w:r>
          </w:p>
        </w:tc>
        <w:tc>
          <w:tcPr>
            <w:tcW w:w="1801" w:type="dxa"/>
            <w:vAlign w:val="center"/>
          </w:tcPr>
          <w:p>
            <w:pPr>
              <w:widowControl/>
              <w:adjustRightInd/>
              <w:spacing w:line="240" w:lineRule="auto"/>
              <w:ind w:firstLine="0" w:firstLineChars="0"/>
              <w:jc w:val="center"/>
              <w:outlineLvl w:val="2"/>
              <w:rPr>
                <w:rFonts w:ascii="Times New Roman" w:hAnsi="Times New Roman" w:cs="Times New Roman"/>
                <w:kern w:val="0"/>
                <w:sz w:val="18"/>
                <w:szCs w:val="18"/>
              </w:rPr>
            </w:pPr>
            <w:r>
              <w:rPr>
                <w:rFonts w:ascii="Times New Roman" w:hAnsi="Times New Roman" w:cs="Times New Roman"/>
                <w:kern w:val="0"/>
                <w:sz w:val="18"/>
                <w:szCs w:val="18"/>
              </w:rPr>
              <w:t>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鹃形目</w:t>
            </w:r>
          </w:p>
        </w:tc>
        <w:tc>
          <w:tcPr>
            <w:tcW w:w="1801" w:type="dxa"/>
            <w:vAlign w:val="center"/>
          </w:tcPr>
          <w:p>
            <w:pPr>
              <w:widowControl/>
              <w:adjustRightInd/>
              <w:spacing w:line="240" w:lineRule="auto"/>
              <w:ind w:firstLine="0" w:firstLineChars="0"/>
              <w:jc w:val="center"/>
              <w:outlineLvl w:val="2"/>
              <w:rPr>
                <w:rFonts w:ascii="Times New Roman" w:hAnsi="Times New Roman" w:cs="Times New Roman"/>
                <w:kern w:val="0"/>
                <w:sz w:val="18"/>
                <w:szCs w:val="18"/>
              </w:rPr>
            </w:pPr>
            <w:r>
              <w:rPr>
                <w:rFonts w:ascii="Times New Roman" w:hAnsi="Times New Roman" w:cs="Times New Roman"/>
                <w:kern w:val="0"/>
                <w:sz w:val="18"/>
                <w:szCs w:val="18"/>
              </w:rPr>
              <w:t>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鸽形目</w:t>
            </w:r>
          </w:p>
        </w:tc>
        <w:tc>
          <w:tcPr>
            <w:tcW w:w="1801" w:type="dxa"/>
            <w:vAlign w:val="center"/>
          </w:tcPr>
          <w:p>
            <w:pPr>
              <w:widowControl/>
              <w:adjustRightInd/>
              <w:spacing w:line="240" w:lineRule="auto"/>
              <w:ind w:firstLine="0" w:firstLineChars="0"/>
              <w:jc w:val="center"/>
              <w:outlineLvl w:val="2"/>
              <w:rPr>
                <w:rFonts w:ascii="Times New Roman" w:hAnsi="Times New Roman" w:cs="Times New Roman"/>
                <w:kern w:val="0"/>
                <w:sz w:val="18"/>
                <w:szCs w:val="18"/>
              </w:rPr>
            </w:pPr>
            <w:r>
              <w:rPr>
                <w:rFonts w:ascii="Times New Roman" w:hAnsi="Times New Roman" w:cs="Times New Roman"/>
                <w:kern w:val="0"/>
                <w:sz w:val="18"/>
                <w:szCs w:val="18"/>
              </w:rPr>
              <w:t>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04" w:hRule="atLeast"/>
          <w:jc w:val="center"/>
        </w:trPr>
        <w:tc>
          <w:tcPr>
            <w:tcW w:w="241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雀形目</w:t>
            </w:r>
          </w:p>
        </w:tc>
        <w:tc>
          <w:tcPr>
            <w:tcW w:w="1801" w:type="dxa"/>
            <w:vAlign w:val="center"/>
          </w:tcPr>
          <w:p>
            <w:pPr>
              <w:widowControl/>
              <w:adjustRightInd/>
              <w:spacing w:line="240" w:lineRule="auto"/>
              <w:ind w:firstLine="0" w:firstLineChars="0"/>
              <w:jc w:val="center"/>
              <w:outlineLvl w:val="2"/>
              <w:rPr>
                <w:rFonts w:ascii="Times New Roman" w:hAnsi="Times New Roman" w:cs="Times New Roman"/>
                <w:kern w:val="0"/>
                <w:sz w:val="18"/>
                <w:szCs w:val="18"/>
              </w:rPr>
            </w:pPr>
            <w:r>
              <w:rPr>
                <w:rFonts w:ascii="Times New Roman" w:hAnsi="Times New Roman" w:cs="Times New Roman"/>
                <w:kern w:val="0"/>
                <w:sz w:val="18"/>
                <w:szCs w:val="18"/>
              </w:rPr>
              <w:t>21</w:t>
            </w:r>
          </w:p>
        </w:tc>
        <w:tc>
          <w:tcPr>
            <w:tcW w:w="228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56</w:t>
            </w:r>
          </w:p>
        </w:tc>
        <w:tc>
          <w:tcPr>
            <w:tcW w:w="24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44.8</w:t>
            </w:r>
          </w:p>
        </w:tc>
      </w:tr>
    </w:tbl>
    <w:p>
      <w:pPr>
        <w:adjustRightInd/>
        <w:snapToGrid/>
        <w:spacing w:line="240" w:lineRule="auto"/>
        <w:ind w:firstLine="0" w:firstLineChars="0"/>
        <w:jc w:val="center"/>
        <w:rPr>
          <w:rFonts w:ascii="黑体" w:hAnsi="黑体" w:eastAsia="黑体" w:cs="Times New Roman"/>
          <w:color w:val="auto"/>
          <w:szCs w:val="24"/>
        </w:rPr>
      </w:pPr>
      <w:r>
        <w:rPr>
          <w:rFonts w:cs="Times New Roman"/>
          <w:color w:val="auto"/>
          <w:sz w:val="21"/>
        </w:rPr>
        <w:drawing>
          <wp:inline distT="0" distB="0" distL="0" distR="0">
            <wp:extent cx="4933950" cy="3138170"/>
            <wp:effectExtent l="0" t="0" r="0" b="5080"/>
            <wp:docPr id="17" name="图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pPr>
        <w:spacing w:line="240" w:lineRule="auto"/>
        <w:ind w:firstLine="0" w:firstLineChars="0"/>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图</w:t>
      </w:r>
      <w:r>
        <w:rPr>
          <w:rFonts w:ascii="Times New Roman" w:hAnsi="Times New Roman" w:cs="Times New Roman"/>
          <w:b/>
          <w:color w:val="auto"/>
          <w:kern w:val="0"/>
          <w:sz w:val="21"/>
          <w:szCs w:val="21"/>
        </w:rPr>
        <w:t xml:space="preserve">4.9-1        </w:t>
      </w:r>
      <w:r>
        <w:rPr>
          <w:rFonts w:hint="eastAsia" w:ascii="Times New Roman" w:hAnsi="Times New Roman" w:cs="Times New Roman"/>
          <w:b/>
          <w:color w:val="auto"/>
          <w:kern w:val="0"/>
          <w:sz w:val="21"/>
          <w:szCs w:val="21"/>
        </w:rPr>
        <w:t xml:space="preserve"> 各目鸟种数量图</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湿地生态系统为项目所在区域最具代表性的生境，也是越冬鸟类的主要栖息场所。无论是种类和数量都是鸟类分布最多的。涵盖了䴙䴘目、鲣鸟目、鹈形目、鹳形目、雁形目、鹤形目、鸻形目所有鸟种。越冬水鸟通常成群栖息于环巢湖湿地，常见的有小天鹅、白琵鹭、灰雁、赤麻鸭等。</w:t>
      </w:r>
    </w:p>
    <w:p>
      <w:pPr>
        <w:keepNext/>
        <w:keepLines/>
        <w:adjustRightInd/>
        <w:ind w:firstLine="482"/>
        <w:outlineLvl w:val="1"/>
        <w:rPr>
          <w:rFonts w:ascii="黑体" w:hAnsi="黑体" w:eastAsia="黑体" w:cs="Times New Roman"/>
          <w:b/>
          <w:bCs/>
          <w:color w:val="auto"/>
          <w:szCs w:val="24"/>
        </w:rPr>
      </w:pPr>
      <w:bookmarkStart w:id="347" w:name="_Hlk101259528"/>
      <w:r>
        <w:rPr>
          <w:rFonts w:ascii="宋体" w:hAnsi="宋体" w:cs="Times New Roman"/>
          <w:b/>
          <w:bCs/>
          <w:color w:val="auto"/>
          <w:szCs w:val="24"/>
        </w:rPr>
        <w:t>3</w:t>
      </w:r>
      <w:r>
        <w:rPr>
          <w:rFonts w:hint="eastAsia" w:ascii="宋体" w:hAnsi="宋体" w:cs="Times New Roman"/>
          <w:b/>
          <w:bCs/>
          <w:color w:val="auto"/>
          <w:szCs w:val="24"/>
        </w:rPr>
        <w:t>、居留型分析</w:t>
      </w:r>
    </w:p>
    <w:bookmarkEnd w:id="347"/>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从鸟类的居留型来看，冬候鸟最多，为44种，其次为留鸟42种，夏候鸟25种，旅鸟14种。评价区内的鸟主要冬候鸟和留鸟。冬候鸟较常见为各种越冬水鸟，比如红嘴鸥、小天鹅、灰雁、凤头麦鸡、白琵鹭、赤麻鸭、绿翅鸭、鹤鹬、青脚鹬、白腰草鹬、灰头鹀、田鹀等。留鸟较常见的有雀形目鹡鸰科的白鹡鸰，椋鸟科的八哥和丝光椋鸟，山雀科的远东山雀、雀科的麻雀、鹎科的白头鹎等、伯劳科的棕背伯劳。夏候鸟较常见的有卷尾科的黑卷尾，杜鹃科的大杜鹃、四声杜鹃、噪鹃、燕科的家燕和金腰燕。旅鸟</w:t>
      </w:r>
      <w:r>
        <w:rPr>
          <w:rFonts w:ascii="Times New Roman" w:hAnsi="Times New Roman" w:cs="Times New Roman"/>
          <w:snapToGrid w:val="0"/>
          <w:color w:val="auto"/>
          <w:szCs w:val="20"/>
          <w:lang w:val="zh-CN"/>
        </w:rPr>
        <w:t>14</w:t>
      </w:r>
      <w:r>
        <w:rPr>
          <w:rFonts w:hint="eastAsia" w:ascii="Times New Roman" w:hAnsi="Times New Roman" w:cs="Times New Roman"/>
          <w:snapToGrid w:val="0"/>
          <w:color w:val="auto"/>
          <w:szCs w:val="20"/>
          <w:lang w:val="zh-CN"/>
        </w:rPr>
        <w:t>种，较常见的为黄眉柳莺和东亚石䳭。</w:t>
      </w:r>
    </w:p>
    <w:p>
      <w:pPr>
        <w:adjustRightInd/>
        <w:snapToGrid/>
        <w:spacing w:line="240" w:lineRule="auto"/>
        <w:ind w:firstLine="242" w:firstLineChars="101"/>
        <w:jc w:val="center"/>
        <w:rPr>
          <w:rFonts w:ascii="黑体" w:hAnsi="黑体" w:eastAsia="黑体" w:cs="Times New Roman"/>
          <w:color w:val="auto"/>
          <w:szCs w:val="24"/>
        </w:rPr>
      </w:pPr>
      <w:r>
        <w:t xml:space="preserve">  </w:t>
      </w:r>
      <w:r>
        <w:drawing>
          <wp:inline distT="0" distB="0" distL="0" distR="0">
            <wp:extent cx="4809490" cy="3009265"/>
            <wp:effectExtent l="0" t="0" r="0" b="635"/>
            <wp:docPr id="2966" name="图片 29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66" name="图片 2966"/>
                    <pic:cNvPicPr>
                      <a:picLocks noChangeAspect="true"/>
                    </pic:cNvPicPr>
                  </pic:nvPicPr>
                  <pic:blipFill>
                    <a:blip r:embed="rId147"/>
                    <a:stretch>
                      <a:fillRect/>
                    </a:stretch>
                  </pic:blipFill>
                  <pic:spPr>
                    <a:xfrm>
                      <a:off x="0" y="0"/>
                      <a:ext cx="4809524" cy="3009524"/>
                    </a:xfrm>
                    <a:prstGeom prst="rect">
                      <a:avLst/>
                    </a:prstGeom>
                  </pic:spPr>
                </pic:pic>
              </a:graphicData>
            </a:graphic>
          </wp:inline>
        </w:drawing>
      </w:r>
    </w:p>
    <w:p>
      <w:pPr>
        <w:spacing w:line="240" w:lineRule="auto"/>
        <w:ind w:firstLine="0" w:firstLineChars="0"/>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图</w:t>
      </w:r>
      <w:r>
        <w:rPr>
          <w:rFonts w:ascii="Times New Roman" w:hAnsi="Times New Roman" w:cs="Times New Roman"/>
          <w:b/>
          <w:color w:val="auto"/>
          <w:kern w:val="0"/>
          <w:sz w:val="21"/>
          <w:szCs w:val="21"/>
        </w:rPr>
        <w:t xml:space="preserve">4.9-2          </w:t>
      </w:r>
      <w:r>
        <w:rPr>
          <w:rFonts w:hint="eastAsia" w:ascii="Times New Roman" w:hAnsi="Times New Roman" w:cs="Times New Roman"/>
          <w:b/>
          <w:color w:val="auto"/>
          <w:kern w:val="0"/>
          <w:sz w:val="21"/>
          <w:szCs w:val="21"/>
        </w:rPr>
        <w:t>鸟类居留型分布图</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4</w:t>
      </w:r>
      <w:r>
        <w:rPr>
          <w:rFonts w:hint="eastAsia" w:ascii="Times New Roman" w:hAnsi="Times New Roman" w:cs="Times New Roman"/>
          <w:snapToGrid w:val="0"/>
          <w:color w:val="auto"/>
          <w:szCs w:val="20"/>
          <w:lang w:val="zh-CN"/>
        </w:rPr>
        <w:t>、区系分析</w:t>
      </w:r>
    </w:p>
    <w:p>
      <w:pPr>
        <w:ind w:firstLine="480"/>
        <w:rPr>
          <w:rFonts w:ascii="宋体" w:hAnsi="宋体" w:cs="Times New Roman"/>
          <w:color w:val="auto"/>
          <w:sz w:val="28"/>
          <w:szCs w:val="28"/>
        </w:rPr>
      </w:pPr>
      <w:r>
        <w:rPr>
          <w:rFonts w:hint="eastAsia" w:ascii="Times New Roman" w:hAnsi="Times New Roman" w:cs="Times New Roman"/>
          <w:snapToGrid w:val="0"/>
          <w:color w:val="auto"/>
          <w:szCs w:val="20"/>
          <w:lang w:val="zh-CN"/>
        </w:rPr>
        <w:t>从鸟类区系分布来看，此次鸟类调查结果东洋型鸟种为</w:t>
      </w:r>
      <w:r>
        <w:rPr>
          <w:rFonts w:ascii="Times New Roman" w:hAnsi="Times New Roman" w:cs="Times New Roman"/>
          <w:snapToGrid w:val="0"/>
          <w:color w:val="auto"/>
          <w:szCs w:val="20"/>
          <w:lang w:val="zh-CN"/>
        </w:rPr>
        <w:t>31</w:t>
      </w:r>
      <w:r>
        <w:rPr>
          <w:rFonts w:hint="eastAsia" w:ascii="Times New Roman" w:hAnsi="Times New Roman" w:cs="Times New Roman"/>
          <w:snapToGrid w:val="0"/>
          <w:color w:val="auto"/>
          <w:szCs w:val="20"/>
          <w:lang w:val="zh-CN"/>
        </w:rPr>
        <w:t>种，占全部鸟种的</w:t>
      </w:r>
      <w:r>
        <w:rPr>
          <w:rFonts w:ascii="Times New Roman" w:hAnsi="Times New Roman" w:cs="Times New Roman"/>
          <w:snapToGrid w:val="0"/>
          <w:color w:val="auto"/>
          <w:szCs w:val="20"/>
          <w:lang w:val="zh-CN"/>
        </w:rPr>
        <w:t>24.8</w:t>
      </w:r>
      <w:r>
        <w:rPr>
          <w:rFonts w:hint="eastAsia" w:ascii="Times New Roman" w:hAnsi="Times New Roman" w:cs="Times New Roman"/>
          <w:snapToGrid w:val="0"/>
          <w:color w:val="auto"/>
          <w:szCs w:val="20"/>
          <w:lang w:val="zh-CN"/>
        </w:rPr>
        <w:t>%，常见的有黑水鸡、珠颈斑鸠等；古北型</w:t>
      </w:r>
      <w:r>
        <w:rPr>
          <w:rFonts w:ascii="Times New Roman" w:hAnsi="Times New Roman" w:cs="Times New Roman"/>
          <w:snapToGrid w:val="0"/>
          <w:color w:val="auto"/>
          <w:szCs w:val="20"/>
          <w:lang w:val="zh-CN"/>
        </w:rPr>
        <w:t>75</w:t>
      </w:r>
      <w:r>
        <w:rPr>
          <w:rFonts w:hint="eastAsia" w:ascii="Times New Roman" w:hAnsi="Times New Roman" w:cs="Times New Roman"/>
          <w:snapToGrid w:val="0"/>
          <w:color w:val="auto"/>
          <w:szCs w:val="20"/>
          <w:lang w:val="zh-CN"/>
        </w:rPr>
        <w:t>种，占全部鸟种的</w:t>
      </w:r>
      <w:r>
        <w:rPr>
          <w:rFonts w:ascii="Times New Roman" w:hAnsi="Times New Roman" w:cs="Times New Roman"/>
          <w:snapToGrid w:val="0"/>
          <w:color w:val="auto"/>
          <w:szCs w:val="20"/>
          <w:lang w:val="zh-CN"/>
        </w:rPr>
        <w:t>50</w:t>
      </w:r>
      <w:r>
        <w:rPr>
          <w:rFonts w:hint="eastAsia" w:ascii="Times New Roman" w:hAnsi="Times New Roman" w:cs="Times New Roman"/>
          <w:snapToGrid w:val="0"/>
          <w:color w:val="auto"/>
          <w:szCs w:val="20"/>
          <w:lang w:val="zh-CN"/>
        </w:rPr>
        <w:t>%，主要为雁形目的各种鸭科鸟种，常见的斑嘴鸭、赤麻鸭，以及凤头麦鸡等。广布型</w:t>
      </w:r>
      <w:r>
        <w:rPr>
          <w:rFonts w:ascii="Times New Roman" w:hAnsi="Times New Roman" w:cs="Times New Roman"/>
          <w:snapToGrid w:val="0"/>
          <w:color w:val="auto"/>
          <w:szCs w:val="20"/>
          <w:lang w:val="zh-CN"/>
        </w:rPr>
        <w:t>9</w:t>
      </w:r>
      <w:r>
        <w:rPr>
          <w:rFonts w:hint="eastAsia" w:ascii="Times New Roman" w:hAnsi="Times New Roman" w:cs="Times New Roman"/>
          <w:snapToGrid w:val="0"/>
          <w:color w:val="auto"/>
          <w:szCs w:val="20"/>
          <w:lang w:val="zh-CN"/>
        </w:rPr>
        <w:t>种，占全部鸟种的</w:t>
      </w:r>
      <w:r>
        <w:rPr>
          <w:rFonts w:ascii="Times New Roman" w:hAnsi="Times New Roman" w:cs="Times New Roman"/>
          <w:snapToGrid w:val="0"/>
          <w:color w:val="auto"/>
          <w:szCs w:val="20"/>
          <w:lang w:val="zh-CN"/>
        </w:rPr>
        <w:t>15.2</w:t>
      </w:r>
      <w:r>
        <w:rPr>
          <w:rFonts w:hint="eastAsia" w:ascii="Times New Roman" w:hAnsi="Times New Roman" w:cs="Times New Roman"/>
          <w:snapToGrid w:val="0"/>
          <w:color w:val="auto"/>
          <w:szCs w:val="20"/>
          <w:lang w:val="zh-CN"/>
        </w:rPr>
        <w:t>%，主要常见为麻雀、</w:t>
      </w:r>
      <w:r>
        <w:rPr>
          <w:rFonts w:ascii="Times New Roman" w:hAnsi="Times New Roman" w:cs="Times New Roman"/>
          <w:snapToGrid w:val="0"/>
          <w:color w:val="auto"/>
          <w:szCs w:val="20"/>
          <w:lang w:val="zh-CN"/>
        </w:rPr>
        <w:t>小䴙䴘</w:t>
      </w:r>
      <w:r>
        <w:rPr>
          <w:rFonts w:hint="eastAsia" w:ascii="Times New Roman" w:hAnsi="Times New Roman" w:cs="Times New Roman"/>
          <w:snapToGrid w:val="0"/>
          <w:color w:val="auto"/>
          <w:szCs w:val="20"/>
          <w:lang w:val="zh-CN"/>
        </w:rPr>
        <w:t>，苍鹭等。</w:t>
      </w:r>
    </w:p>
    <w:p>
      <w:pPr>
        <w:adjustRightInd/>
        <w:snapToGrid/>
        <w:spacing w:line="240" w:lineRule="auto"/>
        <w:ind w:firstLine="480" w:firstLineChars="0"/>
        <w:jc w:val="center"/>
        <w:rPr>
          <w:rFonts w:ascii="黑体" w:hAnsi="黑体" w:eastAsia="黑体" w:cs="Times New Roman"/>
          <w:color w:val="auto"/>
          <w:szCs w:val="24"/>
        </w:rPr>
      </w:pPr>
      <w:r>
        <w:drawing>
          <wp:inline distT="0" distB="0" distL="0" distR="0">
            <wp:extent cx="4267200" cy="2967990"/>
            <wp:effectExtent l="0" t="0" r="0" b="3810"/>
            <wp:docPr id="2967" name="图片 29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67" name="图片 2967"/>
                    <pic:cNvPicPr>
                      <a:picLocks noChangeAspect="true"/>
                    </pic:cNvPicPr>
                  </pic:nvPicPr>
                  <pic:blipFill>
                    <a:blip r:embed="rId148"/>
                    <a:stretch>
                      <a:fillRect/>
                    </a:stretch>
                  </pic:blipFill>
                  <pic:spPr>
                    <a:xfrm>
                      <a:off x="0" y="0"/>
                      <a:ext cx="4270245" cy="2970604"/>
                    </a:xfrm>
                    <a:prstGeom prst="rect">
                      <a:avLst/>
                    </a:prstGeom>
                  </pic:spPr>
                </pic:pic>
              </a:graphicData>
            </a:graphic>
          </wp:inline>
        </w:drawing>
      </w:r>
    </w:p>
    <w:p>
      <w:pPr>
        <w:spacing w:line="240" w:lineRule="auto"/>
        <w:ind w:firstLine="0" w:firstLineChars="0"/>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图</w:t>
      </w:r>
      <w:r>
        <w:rPr>
          <w:rFonts w:ascii="Times New Roman" w:hAnsi="Times New Roman" w:cs="Times New Roman"/>
          <w:b/>
          <w:color w:val="auto"/>
          <w:kern w:val="0"/>
          <w:sz w:val="21"/>
          <w:szCs w:val="21"/>
        </w:rPr>
        <w:t>4.9</w:t>
      </w:r>
      <w:r>
        <w:rPr>
          <w:rFonts w:hint="eastAsia" w:ascii="Times New Roman" w:hAnsi="Times New Roman" w:cs="Times New Roman"/>
          <w:b/>
          <w:color w:val="auto"/>
          <w:kern w:val="0"/>
          <w:sz w:val="21"/>
          <w:szCs w:val="21"/>
        </w:rPr>
        <w:t>-</w:t>
      </w:r>
      <w:r>
        <w:rPr>
          <w:rFonts w:ascii="Times New Roman" w:hAnsi="Times New Roman" w:cs="Times New Roman"/>
          <w:b/>
          <w:color w:val="auto"/>
          <w:kern w:val="0"/>
          <w:sz w:val="21"/>
          <w:szCs w:val="21"/>
        </w:rPr>
        <w:t>3</w:t>
      </w:r>
      <w:r>
        <w:rPr>
          <w:rFonts w:hint="eastAsia" w:ascii="Times New Roman" w:hAnsi="Times New Roman" w:cs="Times New Roman"/>
          <w:b/>
          <w:color w:val="auto"/>
          <w:kern w:val="0"/>
          <w:sz w:val="21"/>
          <w:szCs w:val="21"/>
        </w:rPr>
        <w:t xml:space="preserve"> </w:t>
      </w:r>
      <w:r>
        <w:rPr>
          <w:rFonts w:ascii="Times New Roman" w:hAnsi="Times New Roman" w:cs="Times New Roman"/>
          <w:b/>
          <w:color w:val="auto"/>
          <w:kern w:val="0"/>
          <w:sz w:val="21"/>
          <w:szCs w:val="21"/>
        </w:rPr>
        <w:t xml:space="preserve">            </w:t>
      </w:r>
      <w:r>
        <w:rPr>
          <w:rFonts w:hint="eastAsia" w:ascii="Times New Roman" w:hAnsi="Times New Roman" w:cs="Times New Roman"/>
          <w:b/>
          <w:color w:val="auto"/>
          <w:kern w:val="0"/>
          <w:sz w:val="21"/>
          <w:szCs w:val="21"/>
        </w:rPr>
        <w:t>鸟类区系型分布图</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5、生态型组成</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根据不同类群的鸟类生态习性，可以将</w:t>
      </w:r>
      <w:r>
        <w:rPr>
          <w:rFonts w:hint="eastAsia" w:ascii="Times New Roman" w:hAnsi="Times New Roman" w:cs="Times New Roman"/>
          <w:snapToGrid w:val="0"/>
          <w:color w:val="auto"/>
          <w:szCs w:val="20"/>
          <w:lang w:val="zh-CN"/>
        </w:rPr>
        <w:t>评价区</w:t>
      </w:r>
      <w:r>
        <w:rPr>
          <w:rFonts w:ascii="Times New Roman" w:hAnsi="Times New Roman" w:cs="Times New Roman"/>
          <w:snapToGrid w:val="0"/>
          <w:color w:val="auto"/>
          <w:szCs w:val="20"/>
          <w:lang w:val="zh-CN"/>
        </w:rPr>
        <w:t>区分布的鸟类划分为6生态型</w:t>
      </w:r>
      <w:r>
        <w:rPr>
          <w:rFonts w:hint="eastAsia" w:ascii="Times New Roman" w:hAnsi="Times New Roman" w:cs="Times New Roman"/>
          <w:snapToGrid w:val="0"/>
          <w:color w:val="auto"/>
          <w:szCs w:val="20"/>
          <w:lang w:val="zh-CN"/>
        </w:rPr>
        <w:t>，分别是游禽、涉禽、猛禽、陆禽、攀禽、鸣禽。其中鸣禽占有绝对优势，有2</w:t>
      </w: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科5</w:t>
      </w:r>
      <w:r>
        <w:rPr>
          <w:rFonts w:ascii="Times New Roman" w:hAnsi="Times New Roman" w:cs="Times New Roman"/>
          <w:snapToGrid w:val="0"/>
          <w:color w:val="auto"/>
          <w:szCs w:val="20"/>
          <w:lang w:val="zh-CN"/>
        </w:rPr>
        <w:t>6</w:t>
      </w:r>
      <w:r>
        <w:rPr>
          <w:rFonts w:hint="eastAsia" w:ascii="Times New Roman" w:hAnsi="Times New Roman" w:cs="Times New Roman"/>
          <w:snapToGrid w:val="0"/>
          <w:color w:val="auto"/>
          <w:szCs w:val="20"/>
          <w:lang w:val="zh-CN"/>
        </w:rPr>
        <w:t>种，分别占比5</w:t>
      </w:r>
      <w:r>
        <w:rPr>
          <w:rFonts w:ascii="Times New Roman" w:hAnsi="Times New Roman" w:cs="Times New Roman"/>
          <w:snapToGrid w:val="0"/>
          <w:color w:val="auto"/>
          <w:szCs w:val="20"/>
          <w:lang w:val="zh-CN"/>
        </w:rPr>
        <w:t>0%</w:t>
      </w:r>
      <w:r>
        <w:rPr>
          <w:rFonts w:hint="eastAsia" w:ascii="Times New Roman" w:hAnsi="Times New Roman" w:cs="Times New Roman"/>
          <w:snapToGrid w:val="0"/>
          <w:color w:val="auto"/>
          <w:szCs w:val="20"/>
          <w:lang w:val="zh-CN"/>
        </w:rPr>
        <w:t>和4</w:t>
      </w:r>
      <w:r>
        <w:rPr>
          <w:rFonts w:ascii="Times New Roman" w:hAnsi="Times New Roman" w:cs="Times New Roman"/>
          <w:snapToGrid w:val="0"/>
          <w:color w:val="auto"/>
          <w:szCs w:val="20"/>
          <w:lang w:val="zh-CN"/>
        </w:rPr>
        <w:t>4.8%</w:t>
      </w:r>
      <w:r>
        <w:rPr>
          <w:rFonts w:hint="eastAsia" w:ascii="Times New Roman" w:hAnsi="Times New Roman" w:cs="Times New Roman"/>
          <w:snapToGrid w:val="0"/>
          <w:color w:val="auto"/>
          <w:szCs w:val="20"/>
          <w:lang w:val="zh-CN"/>
        </w:rPr>
        <w:t>。其次为涉禽和游禽，游禽有5科1</w:t>
      </w:r>
      <w:r>
        <w:rPr>
          <w:rFonts w:ascii="Times New Roman" w:hAnsi="Times New Roman" w:cs="Times New Roman"/>
          <w:snapToGrid w:val="0"/>
          <w:color w:val="auto"/>
          <w:szCs w:val="20"/>
          <w:lang w:val="zh-CN"/>
        </w:rPr>
        <w:t>7</w:t>
      </w:r>
      <w:r>
        <w:rPr>
          <w:rFonts w:hint="eastAsia" w:ascii="Times New Roman" w:hAnsi="Times New Roman" w:cs="Times New Roman"/>
          <w:snapToGrid w:val="0"/>
          <w:color w:val="auto"/>
          <w:szCs w:val="20"/>
          <w:lang w:val="zh-CN"/>
        </w:rPr>
        <w:t>种，分别占比1</w:t>
      </w:r>
      <w:r>
        <w:rPr>
          <w:rFonts w:ascii="Times New Roman" w:hAnsi="Times New Roman" w:cs="Times New Roman"/>
          <w:snapToGrid w:val="0"/>
          <w:color w:val="auto"/>
          <w:szCs w:val="20"/>
          <w:lang w:val="zh-CN"/>
        </w:rPr>
        <w:t>1.9%</w:t>
      </w:r>
      <w:r>
        <w:rPr>
          <w:rFonts w:hint="eastAsia" w:ascii="Times New Roman" w:hAnsi="Times New Roman" w:cs="Times New Roman"/>
          <w:snapToGrid w:val="0"/>
          <w:color w:val="auto"/>
          <w:szCs w:val="20"/>
          <w:lang w:val="zh-CN"/>
        </w:rPr>
        <w:t>和1</w:t>
      </w:r>
      <w:r>
        <w:rPr>
          <w:rFonts w:ascii="Times New Roman" w:hAnsi="Times New Roman" w:cs="Times New Roman"/>
          <w:snapToGrid w:val="0"/>
          <w:color w:val="auto"/>
          <w:szCs w:val="20"/>
          <w:lang w:val="zh-CN"/>
        </w:rPr>
        <w:t>3.6%</w:t>
      </w:r>
      <w:r>
        <w:rPr>
          <w:rFonts w:hint="eastAsia" w:ascii="Times New Roman" w:hAnsi="Times New Roman" w:cs="Times New Roman"/>
          <w:snapToGrid w:val="0"/>
          <w:color w:val="auto"/>
          <w:szCs w:val="20"/>
          <w:lang w:val="zh-CN"/>
        </w:rPr>
        <w:t>；涉禽有8科3</w:t>
      </w:r>
      <w:r>
        <w:rPr>
          <w:rFonts w:ascii="Times New Roman" w:hAnsi="Times New Roman" w:cs="Times New Roman"/>
          <w:snapToGrid w:val="0"/>
          <w:color w:val="auto"/>
          <w:szCs w:val="20"/>
          <w:lang w:val="zh-CN"/>
        </w:rPr>
        <w:t>3</w:t>
      </w:r>
      <w:r>
        <w:rPr>
          <w:rFonts w:hint="eastAsia" w:ascii="Times New Roman" w:hAnsi="Times New Roman" w:cs="Times New Roman"/>
          <w:snapToGrid w:val="0"/>
          <w:color w:val="auto"/>
          <w:szCs w:val="20"/>
          <w:lang w:val="zh-CN"/>
        </w:rPr>
        <w:t>种，分别占比1</w:t>
      </w:r>
      <w:r>
        <w:rPr>
          <w:rFonts w:ascii="Times New Roman" w:hAnsi="Times New Roman" w:cs="Times New Roman"/>
          <w:snapToGrid w:val="0"/>
          <w:color w:val="auto"/>
          <w:szCs w:val="20"/>
          <w:lang w:val="zh-CN"/>
        </w:rPr>
        <w:t>9.04</w:t>
      </w:r>
      <w:r>
        <w:rPr>
          <w:rFonts w:hint="eastAsia" w:ascii="Times New Roman" w:hAnsi="Times New Roman" w:cs="Times New Roman"/>
          <w:snapToGrid w:val="0"/>
          <w:color w:val="auto"/>
          <w:szCs w:val="20"/>
          <w:lang w:val="zh-CN"/>
        </w:rPr>
        <w:t>%和2</w:t>
      </w:r>
      <w:r>
        <w:rPr>
          <w:rFonts w:ascii="Times New Roman" w:hAnsi="Times New Roman" w:cs="Times New Roman"/>
          <w:snapToGrid w:val="0"/>
          <w:color w:val="auto"/>
          <w:szCs w:val="20"/>
          <w:lang w:val="zh-CN"/>
        </w:rPr>
        <w:t>6.4%</w:t>
      </w:r>
      <w:r>
        <w:rPr>
          <w:rFonts w:hint="eastAsia" w:ascii="Times New Roman" w:hAnsi="Times New Roman" w:cs="Times New Roman"/>
          <w:snapToGrid w:val="0"/>
          <w:color w:val="auto"/>
          <w:szCs w:val="20"/>
          <w:lang w:val="zh-CN"/>
        </w:rPr>
        <w:t>。这两种水禽也是临河湿地、巢湖湿地鸟种数量的主要组成部分。</w:t>
      </w:r>
    </w:p>
    <w:p>
      <w:pPr>
        <w:spacing w:line="240" w:lineRule="auto"/>
        <w:ind w:firstLine="0" w:firstLineChars="0"/>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4.9-10      </w:t>
      </w:r>
      <w:r>
        <w:rPr>
          <w:rFonts w:hint="eastAsia" w:ascii="Times New Roman" w:hAnsi="Times New Roman" w:cs="Times New Roman"/>
          <w:b/>
          <w:color w:val="auto"/>
          <w:kern w:val="0"/>
          <w:sz w:val="21"/>
          <w:szCs w:val="21"/>
        </w:rPr>
        <w:t>评价区鸟类生态型组成</w:t>
      </w:r>
    </w:p>
    <w:tbl>
      <w:tblPr>
        <w:tblStyle w:val="62"/>
        <w:tblW w:w="890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2"/>
        <w:gridCol w:w="1782"/>
        <w:gridCol w:w="1781"/>
        <w:gridCol w:w="1781"/>
        <w:gridCol w:w="17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生态型</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科数</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占比%</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种数%</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占比%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游禽</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11.9</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7</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涉禽</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8</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19.04</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r>
              <w:rPr>
                <w:rFonts w:ascii="Times New Roman" w:hAnsi="Times New Roman" w:cs="Times New Roman"/>
                <w:kern w:val="0"/>
                <w:sz w:val="18"/>
                <w:szCs w:val="18"/>
              </w:rPr>
              <w:t>3</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4" w:hRule="atLeast"/>
          <w:jc w:val="center"/>
        </w:trPr>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猛禽</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4.77</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陆禽</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4.77</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攀禽</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9.52</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0</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鸣禽</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r>
              <w:rPr>
                <w:rFonts w:ascii="Times New Roman" w:hAnsi="Times New Roman" w:cs="Times New Roman"/>
                <w:kern w:val="0"/>
                <w:sz w:val="18"/>
                <w:szCs w:val="18"/>
              </w:rPr>
              <w:t>1</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50</w:t>
            </w:r>
          </w:p>
        </w:tc>
        <w:tc>
          <w:tcPr>
            <w:tcW w:w="1781" w:type="dxa"/>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r>
              <w:rPr>
                <w:rFonts w:ascii="Times New Roman" w:hAnsi="Times New Roman" w:cs="Times New Roman"/>
                <w:kern w:val="0"/>
                <w:sz w:val="18"/>
                <w:szCs w:val="18"/>
              </w:rPr>
              <w:t>6</w:t>
            </w:r>
          </w:p>
        </w:tc>
        <w:tc>
          <w:tcPr>
            <w:tcW w:w="1782" w:type="dxa"/>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44.8</w:t>
            </w:r>
          </w:p>
        </w:tc>
      </w:tr>
    </w:tbl>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6、</w:t>
      </w:r>
      <w:r>
        <w:rPr>
          <w:rFonts w:hint="eastAsia" w:ascii="Times New Roman" w:hAnsi="Times New Roman" w:cs="Times New Roman"/>
          <w:snapToGrid w:val="0"/>
          <w:color w:val="auto"/>
          <w:szCs w:val="20"/>
          <w:lang w:val="zh-CN"/>
        </w:rPr>
        <w:t>保护物种情况</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临河湿地、巢湖湿地共记录到国家一级保护鸟类2种，分别是东方白鹳和黄胸鹀，东方白鹳已经在巢湖有稳定越冬种群，临河湿地也是其主要的栖息地。另外调查记录显示，在2</w:t>
      </w:r>
      <w:r>
        <w:rPr>
          <w:rFonts w:ascii="Times New Roman" w:hAnsi="Times New Roman" w:cs="Times New Roman"/>
          <w:snapToGrid w:val="0"/>
          <w:color w:val="auto"/>
          <w:szCs w:val="20"/>
          <w:lang w:val="zh-CN"/>
        </w:rPr>
        <w:t>021</w:t>
      </w:r>
      <w:r>
        <w:rPr>
          <w:rFonts w:hint="eastAsia" w:ascii="Times New Roman" w:hAnsi="Times New Roman" w:cs="Times New Roman"/>
          <w:snapToGrid w:val="0"/>
          <w:color w:val="auto"/>
          <w:szCs w:val="20"/>
          <w:lang w:val="zh-CN"/>
        </w:rPr>
        <w:t>年5月份在临河湿地记录到黄兄鹀1只，为路过的旅鸟。本年度也有观鸟爱好者在临河湿地油菜田里记录到4只黄胸鹀。黄胸鹀由于人类的过量捕杀导致数量急剧下降，目前已经是全球极危物种，被列为国家一级保护动物。记录到国家二级保护鸟类1</w:t>
      </w:r>
      <w:r>
        <w:rPr>
          <w:rFonts w:ascii="Times New Roman" w:hAnsi="Times New Roman" w:cs="Times New Roman"/>
          <w:snapToGrid w:val="0"/>
          <w:color w:val="auto"/>
          <w:szCs w:val="20"/>
          <w:lang w:val="zh-CN"/>
        </w:rPr>
        <w:t>0</w:t>
      </w:r>
      <w:r>
        <w:rPr>
          <w:rFonts w:hint="eastAsia" w:ascii="Times New Roman" w:hAnsi="Times New Roman" w:cs="Times New Roman"/>
          <w:snapToGrid w:val="0"/>
          <w:color w:val="auto"/>
          <w:szCs w:val="20"/>
          <w:lang w:val="zh-CN"/>
        </w:rPr>
        <w:t>种，分别是小天鹅、白琵鹭、黑翅鸢、黑鸢、普通鵟、水雉、云雀、小鸦鹃、红隼、白胸翡翠。</w:t>
      </w:r>
    </w:p>
    <w:p>
      <w:pPr>
        <w:spacing w:line="240" w:lineRule="auto"/>
        <w:ind w:firstLine="0" w:firstLineChars="0"/>
        <w:jc w:val="center"/>
        <w:rPr>
          <w:rFonts w:ascii="Times New Roman" w:hAnsi="Times New Roman" w:cs="Times New Roman"/>
          <w:b/>
          <w:color w:val="auto"/>
          <w:kern w:val="0"/>
          <w:sz w:val="21"/>
          <w:szCs w:val="21"/>
        </w:rPr>
      </w:pPr>
      <w:bookmarkStart w:id="348" w:name="_Hlk101205117"/>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4.9-11    </w:t>
      </w:r>
      <w:r>
        <w:rPr>
          <w:rFonts w:hint="eastAsia" w:ascii="Times New Roman" w:hAnsi="Times New Roman" w:cs="Times New Roman"/>
          <w:b/>
          <w:color w:val="auto"/>
          <w:kern w:val="0"/>
          <w:sz w:val="21"/>
          <w:szCs w:val="21"/>
        </w:rPr>
        <w:t>临河湿地、巢湖湿地重要鸟种介绍</w:t>
      </w:r>
    </w:p>
    <w:tbl>
      <w:tblPr>
        <w:tblStyle w:val="62"/>
        <w:tblW w:w="8925" w:type="dxa"/>
        <w:jc w:val="center"/>
        <w:tblLayout w:type="fixed"/>
        <w:tblCellMar>
          <w:top w:w="0" w:type="dxa"/>
          <w:left w:w="108" w:type="dxa"/>
          <w:bottom w:w="0" w:type="dxa"/>
          <w:right w:w="108" w:type="dxa"/>
        </w:tblCellMar>
      </w:tblPr>
      <w:tblGrid>
        <w:gridCol w:w="4644"/>
        <w:gridCol w:w="4281"/>
      </w:tblGrid>
      <w:tr>
        <w:trPr>
          <w:jc w:val="center"/>
        </w:trPr>
        <w:tc>
          <w:tcPr>
            <w:tcW w:w="4644" w:type="dxa"/>
          </w:tcPr>
          <w:p>
            <w:pPr>
              <w:adjustRightInd/>
              <w:snapToGrid/>
              <w:spacing w:line="240" w:lineRule="auto"/>
              <w:ind w:right="11" w:firstLine="0" w:firstLineChars="0"/>
              <w:rPr>
                <w:rFonts w:cs="Times New Roman"/>
                <w:color w:val="auto"/>
                <w:kern w:val="0"/>
                <w:sz w:val="20"/>
                <w:szCs w:val="20"/>
              </w:rPr>
            </w:pPr>
            <w:r>
              <w:rPr>
                <w:rFonts w:cs="Times New Roman"/>
                <w:color w:val="auto"/>
                <w:kern w:val="0"/>
                <w:sz w:val="20"/>
                <w:szCs w:val="20"/>
              </w:rPr>
              <w:drawing>
                <wp:anchor distT="0" distB="0" distL="114300" distR="114300" simplePos="0" relativeHeight="251729920" behindDoc="0" locked="0" layoutInCell="1" allowOverlap="1">
                  <wp:simplePos x="0" y="0"/>
                  <wp:positionH relativeFrom="column">
                    <wp:posOffset>0</wp:posOffset>
                  </wp:positionH>
                  <wp:positionV relativeFrom="paragraph">
                    <wp:posOffset>48895</wp:posOffset>
                  </wp:positionV>
                  <wp:extent cx="2811780" cy="2390775"/>
                  <wp:effectExtent l="0" t="0" r="7620" b="9525"/>
                  <wp:wrapSquare wrapText="bothSides"/>
                  <wp:docPr id="2961" name="图片 296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61" name="图片 2961"/>
                          <pic:cNvPicPr>
                            <a:picLocks noChangeAspect="true" noChangeArrowheads="true"/>
                          </pic:cNvPicPr>
                        </pic:nvPicPr>
                        <pic:blipFill>
                          <a:blip r:embed="rId149" cstate="print">
                            <a:extLst>
                              <a:ext uri="{28A0092B-C50C-407E-A947-70E740481C1C}">
                                <a14:useLocalDpi xmlns:a14="http://schemas.microsoft.com/office/drawing/2010/main" val="false"/>
                              </a:ext>
                            </a:extLst>
                          </a:blip>
                          <a:srcRect/>
                          <a:stretch>
                            <a:fillRect/>
                          </a:stretch>
                        </pic:blipFill>
                        <pic:spPr>
                          <a:xfrm>
                            <a:off x="0" y="0"/>
                            <a:ext cx="2811780" cy="2390775"/>
                          </a:xfrm>
                          <a:prstGeom prst="rect">
                            <a:avLst/>
                          </a:prstGeom>
                          <a:noFill/>
                          <a:ln>
                            <a:noFill/>
                          </a:ln>
                        </pic:spPr>
                      </pic:pic>
                    </a:graphicData>
                  </a:graphic>
                </wp:anchor>
              </w:drawing>
            </w:r>
          </w:p>
        </w:tc>
        <w:tc>
          <w:tcPr>
            <w:tcW w:w="4281" w:type="dxa"/>
          </w:tcPr>
          <w:p>
            <w:pPr>
              <w:adjustRightInd/>
              <w:snapToGrid/>
              <w:spacing w:line="240" w:lineRule="auto"/>
              <w:ind w:right="11" w:firstLine="0" w:firstLineChars="0"/>
              <w:rPr>
                <w:rFonts w:cs="Times New Roman"/>
                <w:color w:val="auto"/>
                <w:kern w:val="0"/>
                <w:sz w:val="20"/>
                <w:szCs w:val="20"/>
              </w:rPr>
            </w:pPr>
          </w:p>
          <w:p>
            <w:pPr>
              <w:adjustRightInd/>
              <w:snapToGrid/>
              <w:spacing w:line="240" w:lineRule="auto"/>
              <w:ind w:right="11" w:firstLine="0" w:firstLineChars="0"/>
              <w:rPr>
                <w:rFonts w:cs="Times New Roman"/>
                <w:color w:val="auto"/>
                <w:kern w:val="0"/>
                <w:sz w:val="20"/>
                <w:szCs w:val="20"/>
              </w:rPr>
            </w:pPr>
          </w:p>
          <w:p>
            <w:pPr>
              <w:adjustRightInd/>
              <w:snapToGrid/>
              <w:spacing w:line="240" w:lineRule="auto"/>
              <w:ind w:right="11" w:firstLine="0" w:firstLineChars="0"/>
              <w:rPr>
                <w:rFonts w:cs="Times New Roman"/>
                <w:color w:val="auto"/>
                <w:kern w:val="0"/>
                <w:sz w:val="21"/>
                <w:szCs w:val="21"/>
              </w:rPr>
            </w:pPr>
            <w:r>
              <w:rPr>
                <w:rFonts w:hint="eastAsia" w:ascii="Times New Roman" w:hAnsi="Times New Roman" w:cs="Times New Roman"/>
                <w:snapToGrid w:val="0"/>
                <w:color w:val="auto"/>
                <w:sz w:val="21"/>
                <w:szCs w:val="21"/>
                <w:lang w:val="zh-CN"/>
              </w:rPr>
              <w:t>黄胸鹀：雀形目、鹀科、鹀属的鸟类。属小型鸣禽。在迁徙期间和冬季，集成数百至数千只的大群。由于过量捕杀，黄胸鹀已被列入</w:t>
            </w:r>
            <w:bookmarkStart w:id="349" w:name="_Hlk102373634"/>
            <w:r>
              <w:rPr>
                <w:rFonts w:hint="eastAsia" w:ascii="Times New Roman" w:hAnsi="Times New Roman" w:cs="Times New Roman"/>
                <w:snapToGrid w:val="0"/>
                <w:color w:val="auto"/>
                <w:sz w:val="21"/>
                <w:szCs w:val="21"/>
                <w:lang w:val="zh-CN"/>
              </w:rPr>
              <w:t>《世界自然保护联盟濒危物种红色名录》</w:t>
            </w:r>
            <w:bookmarkEnd w:id="349"/>
            <w:r>
              <w:rPr>
                <w:rFonts w:ascii="Times New Roman" w:hAnsi="Times New Roman" w:cs="Times New Roman"/>
                <w:snapToGrid w:val="0"/>
                <w:color w:val="auto"/>
                <w:sz w:val="21"/>
                <w:szCs w:val="21"/>
                <w:lang w:val="zh-CN"/>
              </w:rPr>
              <w:t>极危（CR）</w:t>
            </w:r>
            <w:r>
              <w:rPr>
                <w:rFonts w:hint="eastAsia" w:ascii="Times New Roman" w:hAnsi="Times New Roman" w:cs="Times New Roman"/>
                <w:snapToGrid w:val="0"/>
                <w:color w:val="auto"/>
                <w:sz w:val="21"/>
                <w:szCs w:val="21"/>
                <w:lang w:val="zh-CN"/>
              </w:rPr>
              <w:t>物种，目前是国家一级保护鸟类。在巢湖湿地连续2年有观察记录。</w:t>
            </w:r>
          </w:p>
        </w:tc>
      </w:tr>
      <w:bookmarkEnd w:id="348"/>
      <w:tr>
        <w:trPr>
          <w:jc w:val="center"/>
        </w:trPr>
        <w:tc>
          <w:tcPr>
            <w:tcW w:w="4644" w:type="dxa"/>
          </w:tcPr>
          <w:p>
            <w:pPr>
              <w:adjustRightInd/>
              <w:snapToGrid/>
              <w:spacing w:line="240" w:lineRule="auto"/>
              <w:ind w:right="11" w:firstLine="0" w:firstLineChars="0"/>
              <w:rPr>
                <w:rFonts w:cs="Times New Roman"/>
                <w:color w:val="auto"/>
                <w:kern w:val="0"/>
                <w:sz w:val="20"/>
                <w:szCs w:val="20"/>
              </w:rPr>
            </w:pPr>
            <w:r>
              <w:rPr>
                <w:rFonts w:cs="Times New Roman"/>
                <w:color w:val="auto"/>
                <w:kern w:val="0"/>
                <w:sz w:val="20"/>
                <w:szCs w:val="20"/>
              </w:rPr>
              <w:drawing>
                <wp:anchor distT="0" distB="0" distL="114300" distR="114300" simplePos="0" relativeHeight="251725824" behindDoc="0" locked="0" layoutInCell="1" allowOverlap="1">
                  <wp:simplePos x="0" y="0"/>
                  <wp:positionH relativeFrom="column">
                    <wp:posOffset>-38735</wp:posOffset>
                  </wp:positionH>
                  <wp:positionV relativeFrom="paragraph">
                    <wp:posOffset>137795</wp:posOffset>
                  </wp:positionV>
                  <wp:extent cx="2919095" cy="1990725"/>
                  <wp:effectExtent l="0" t="0" r="0" b="9525"/>
                  <wp:wrapSquare wrapText="bothSides"/>
                  <wp:docPr id="2962" name="图片 29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62" name="图片 2962"/>
                          <pic:cNvPicPr>
                            <a:picLocks noChangeAspect="true" noChangeArrowheads="true"/>
                          </pic:cNvPicPr>
                        </pic:nvPicPr>
                        <pic:blipFill>
                          <a:blip r:embed="rId150" cstate="print">
                            <a:extLst>
                              <a:ext uri="{28A0092B-C50C-407E-A947-70E740481C1C}">
                                <a14:useLocalDpi xmlns:a14="http://schemas.microsoft.com/office/drawing/2010/main" val="false"/>
                              </a:ext>
                            </a:extLst>
                          </a:blip>
                          <a:srcRect/>
                          <a:stretch>
                            <a:fillRect/>
                          </a:stretch>
                        </pic:blipFill>
                        <pic:spPr>
                          <a:xfrm>
                            <a:off x="0" y="0"/>
                            <a:ext cx="2919095" cy="1990725"/>
                          </a:xfrm>
                          <a:prstGeom prst="rect">
                            <a:avLst/>
                          </a:prstGeom>
                          <a:noFill/>
                          <a:ln>
                            <a:noFill/>
                          </a:ln>
                        </pic:spPr>
                      </pic:pic>
                    </a:graphicData>
                  </a:graphic>
                </wp:anchor>
              </w:drawing>
            </w:r>
          </w:p>
        </w:tc>
        <w:tc>
          <w:tcPr>
            <w:tcW w:w="4281" w:type="dxa"/>
          </w:tcPr>
          <w:p>
            <w:pPr>
              <w:adjustRightInd/>
              <w:snapToGrid/>
              <w:spacing w:line="240" w:lineRule="auto"/>
              <w:ind w:right="11" w:firstLine="0" w:firstLineChars="0"/>
              <w:rPr>
                <w:rFonts w:cs="Times New Roman"/>
                <w:color w:val="auto"/>
                <w:kern w:val="0"/>
                <w:sz w:val="20"/>
                <w:szCs w:val="20"/>
              </w:rPr>
            </w:pPr>
          </w:p>
          <w:p>
            <w:pPr>
              <w:adjustRightInd/>
              <w:snapToGrid/>
              <w:spacing w:line="240" w:lineRule="auto"/>
              <w:ind w:right="11" w:firstLine="0" w:firstLineChars="0"/>
              <w:rPr>
                <w:rFonts w:cs="Times New Roman"/>
                <w:color w:val="auto"/>
                <w:kern w:val="0"/>
                <w:sz w:val="20"/>
                <w:szCs w:val="20"/>
              </w:rPr>
            </w:pPr>
          </w:p>
          <w:p>
            <w:pPr>
              <w:adjustRightInd/>
              <w:snapToGrid/>
              <w:spacing w:line="240" w:lineRule="auto"/>
              <w:ind w:right="11" w:firstLine="0" w:firstLineChars="0"/>
              <w:rPr>
                <w:rFonts w:cs="Times New Roman"/>
                <w:color w:val="auto"/>
                <w:kern w:val="0"/>
                <w:sz w:val="20"/>
                <w:szCs w:val="20"/>
              </w:rPr>
            </w:pPr>
          </w:p>
          <w:p>
            <w:pPr>
              <w:adjustRightInd/>
              <w:snapToGrid/>
              <w:spacing w:line="240" w:lineRule="auto"/>
              <w:ind w:right="11" w:firstLine="0" w:firstLineChars="0"/>
              <w:rPr>
                <w:rFonts w:ascii="Times New Roman" w:hAnsi="Times New Roman" w:cs="Times New Roman"/>
                <w:color w:val="auto"/>
                <w:kern w:val="0"/>
                <w:sz w:val="21"/>
                <w:szCs w:val="21"/>
              </w:rPr>
            </w:pPr>
            <w:r>
              <w:rPr>
                <w:rFonts w:ascii="Times New Roman" w:hAnsi="Times New Roman" w:cs="Times New Roman"/>
                <w:color w:val="auto"/>
                <w:kern w:val="0"/>
                <w:sz w:val="21"/>
                <w:szCs w:val="21"/>
              </w:rPr>
              <w:t>东方白鹳：国家一级保护鸟类，是巢湖鸟类的旗舰物种之一。冬季集群或单独活动，迁徙时常集大群在空中盘旋，每年11月迁来次年3月迁走。在巢湖</w:t>
            </w:r>
            <w:r>
              <w:rPr>
                <w:rFonts w:hint="eastAsia" w:ascii="Times New Roman" w:hAnsi="Times New Roman" w:cs="Times New Roman"/>
                <w:color w:val="auto"/>
                <w:kern w:val="0"/>
                <w:sz w:val="21"/>
                <w:szCs w:val="21"/>
              </w:rPr>
              <w:t>湿地</w:t>
            </w:r>
            <w:r>
              <w:rPr>
                <w:rFonts w:ascii="Times New Roman" w:hAnsi="Times New Roman" w:cs="Times New Roman"/>
                <w:color w:val="auto"/>
                <w:kern w:val="0"/>
                <w:sz w:val="21"/>
                <w:szCs w:val="21"/>
              </w:rPr>
              <w:t>主要分布在三河</w:t>
            </w:r>
            <w:r>
              <w:rPr>
                <w:rFonts w:hint="eastAsia" w:ascii="Times New Roman" w:hAnsi="Times New Roman" w:cs="Times New Roman"/>
                <w:color w:val="auto"/>
                <w:kern w:val="0"/>
                <w:sz w:val="21"/>
                <w:szCs w:val="21"/>
              </w:rPr>
              <w:t>湿地</w:t>
            </w:r>
            <w:r>
              <w:rPr>
                <w:rFonts w:ascii="Times New Roman" w:hAnsi="Times New Roman" w:cs="Times New Roman"/>
                <w:color w:val="auto"/>
                <w:kern w:val="0"/>
                <w:sz w:val="21"/>
                <w:szCs w:val="21"/>
              </w:rPr>
              <w:t>、半岛</w:t>
            </w:r>
            <w:r>
              <w:rPr>
                <w:rFonts w:hint="eastAsia" w:ascii="Times New Roman" w:hAnsi="Times New Roman" w:cs="Times New Roman"/>
                <w:color w:val="auto"/>
                <w:kern w:val="0"/>
                <w:sz w:val="21"/>
                <w:szCs w:val="21"/>
              </w:rPr>
              <w:t>湿地</w:t>
            </w:r>
            <w:r>
              <w:rPr>
                <w:rFonts w:ascii="Times New Roman" w:hAnsi="Times New Roman" w:cs="Times New Roman"/>
                <w:color w:val="auto"/>
                <w:kern w:val="0"/>
                <w:sz w:val="21"/>
                <w:szCs w:val="21"/>
              </w:rPr>
              <w:t>等地。</w:t>
            </w:r>
          </w:p>
        </w:tc>
      </w:tr>
      <w:tr>
        <w:trPr>
          <w:trHeight w:val="2967" w:hRule="atLeast"/>
          <w:jc w:val="center"/>
        </w:trPr>
        <w:tc>
          <w:tcPr>
            <w:tcW w:w="4644" w:type="dxa"/>
          </w:tcPr>
          <w:p>
            <w:pPr>
              <w:adjustRightInd/>
              <w:snapToGrid/>
              <w:spacing w:line="240" w:lineRule="auto"/>
              <w:ind w:right="11" w:firstLine="0" w:firstLineChars="0"/>
              <w:rPr>
                <w:rFonts w:cs="Times New Roman"/>
                <w:color w:val="auto"/>
                <w:kern w:val="0"/>
                <w:sz w:val="20"/>
                <w:szCs w:val="20"/>
              </w:rPr>
            </w:pPr>
            <w:r>
              <w:rPr>
                <w:rFonts w:cs="Times New Roman"/>
                <w:color w:val="auto"/>
                <w:kern w:val="0"/>
                <w:sz w:val="20"/>
                <w:szCs w:val="20"/>
              </w:rPr>
              <w:drawing>
                <wp:anchor distT="0" distB="0" distL="114300" distR="114300" simplePos="0" relativeHeight="251726848" behindDoc="0" locked="0" layoutInCell="1" allowOverlap="1">
                  <wp:simplePos x="0" y="0"/>
                  <wp:positionH relativeFrom="column">
                    <wp:posOffset>9525</wp:posOffset>
                  </wp:positionH>
                  <wp:positionV relativeFrom="page">
                    <wp:posOffset>140970</wp:posOffset>
                  </wp:positionV>
                  <wp:extent cx="2757170" cy="1795145"/>
                  <wp:effectExtent l="0" t="0" r="5080" b="0"/>
                  <wp:wrapSquare wrapText="bothSides"/>
                  <wp:docPr id="2963" name="图片 29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63" name="图片 2963"/>
                          <pic:cNvPicPr>
                            <a:picLocks noChangeAspect="true" noChangeArrowheads="true"/>
                          </pic:cNvPicPr>
                        </pic:nvPicPr>
                        <pic:blipFill>
                          <a:blip r:embed="rId151" cstate="print">
                            <a:extLst>
                              <a:ext uri="{28A0092B-C50C-407E-A947-70E740481C1C}">
                                <a14:useLocalDpi xmlns:a14="http://schemas.microsoft.com/office/drawing/2010/main" val="false"/>
                              </a:ext>
                            </a:extLst>
                          </a:blip>
                          <a:srcRect/>
                          <a:stretch>
                            <a:fillRect/>
                          </a:stretch>
                        </pic:blipFill>
                        <pic:spPr>
                          <a:xfrm>
                            <a:off x="0" y="0"/>
                            <a:ext cx="2757170" cy="1795145"/>
                          </a:xfrm>
                          <a:prstGeom prst="rect">
                            <a:avLst/>
                          </a:prstGeom>
                          <a:noFill/>
                          <a:ln>
                            <a:noFill/>
                          </a:ln>
                        </pic:spPr>
                      </pic:pic>
                    </a:graphicData>
                  </a:graphic>
                </wp:anchor>
              </w:drawing>
            </w:r>
          </w:p>
        </w:tc>
        <w:tc>
          <w:tcPr>
            <w:tcW w:w="4281" w:type="dxa"/>
          </w:tcPr>
          <w:p>
            <w:pPr>
              <w:adjustRightInd/>
              <w:snapToGrid/>
              <w:spacing w:line="240" w:lineRule="auto"/>
              <w:ind w:right="11" w:firstLine="0" w:firstLineChars="0"/>
              <w:rPr>
                <w:rFonts w:cs="Times New Roman"/>
                <w:color w:val="auto"/>
                <w:kern w:val="0"/>
                <w:sz w:val="20"/>
                <w:szCs w:val="20"/>
              </w:rPr>
            </w:pPr>
          </w:p>
          <w:p>
            <w:pPr>
              <w:adjustRightInd/>
              <w:snapToGrid/>
              <w:spacing w:line="240" w:lineRule="auto"/>
              <w:ind w:right="11" w:firstLine="0" w:firstLineChars="0"/>
              <w:rPr>
                <w:rFonts w:cs="Times New Roman"/>
                <w:color w:val="auto"/>
                <w:kern w:val="0"/>
                <w:sz w:val="20"/>
                <w:szCs w:val="20"/>
              </w:rPr>
            </w:pPr>
          </w:p>
          <w:p>
            <w:pPr>
              <w:adjustRightInd/>
              <w:snapToGrid/>
              <w:spacing w:line="240" w:lineRule="auto"/>
              <w:ind w:right="11" w:firstLine="0" w:firstLineChars="0"/>
              <w:rPr>
                <w:rFonts w:cs="Times New Roman"/>
                <w:color w:val="auto"/>
                <w:kern w:val="0"/>
                <w:sz w:val="20"/>
                <w:szCs w:val="20"/>
              </w:rPr>
            </w:pPr>
            <w:r>
              <w:rPr>
                <w:rFonts w:hint="eastAsia" w:ascii="Times New Roman" w:hAnsi="Times New Roman" w:cs="Times New Roman"/>
                <w:color w:val="auto"/>
                <w:kern w:val="0"/>
                <w:sz w:val="21"/>
                <w:szCs w:val="21"/>
              </w:rPr>
              <w:t>小天鹅：国家二级保护动物，冬候鸟，以往仅在迁徙途中路过巢湖稍作停歇，今，由于对环境敏感性高，对人类干扰忍耐力弱，可以作为巢湖鸟类中的指示物种。全省广布，迁徙期在巢湖湿地各处可见，但仅在临河湿地越冬。</w:t>
            </w:r>
          </w:p>
        </w:tc>
      </w:tr>
      <w:tr>
        <w:trPr>
          <w:jc w:val="center"/>
        </w:trPr>
        <w:tc>
          <w:tcPr>
            <w:tcW w:w="4644" w:type="dxa"/>
          </w:tcPr>
          <w:p>
            <w:pPr>
              <w:adjustRightInd/>
              <w:snapToGrid/>
              <w:spacing w:line="240" w:lineRule="auto"/>
              <w:ind w:right="11" w:firstLine="0" w:firstLineChars="0"/>
              <w:rPr>
                <w:rFonts w:cs="Times New Roman"/>
                <w:color w:val="auto"/>
                <w:kern w:val="0"/>
                <w:sz w:val="20"/>
                <w:szCs w:val="20"/>
              </w:rPr>
            </w:pPr>
            <w:r>
              <w:rPr>
                <w:rFonts w:cs="Times New Roman"/>
                <w:color w:val="auto"/>
                <w:kern w:val="0"/>
                <w:sz w:val="20"/>
                <w:szCs w:val="20"/>
              </w:rPr>
              <w:drawing>
                <wp:inline distT="0" distB="0" distL="0" distR="0">
                  <wp:extent cx="2776220" cy="1699895"/>
                  <wp:effectExtent l="0" t="0" r="5080" b="0"/>
                  <wp:docPr id="2964" name="图片 296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64" name="图片 2964"/>
                          <pic:cNvPicPr>
                            <a:picLocks noChangeAspect="true" noChangeArrowheads="true"/>
                          </pic:cNvPicPr>
                        </pic:nvPicPr>
                        <pic:blipFill>
                          <a:blip r:embed="rId152" cstate="print">
                            <a:extLst>
                              <a:ext uri="{28A0092B-C50C-407E-A947-70E740481C1C}">
                                <a14:useLocalDpi xmlns:a14="http://schemas.microsoft.com/office/drawing/2010/main" val="false"/>
                              </a:ext>
                            </a:extLst>
                          </a:blip>
                          <a:srcRect/>
                          <a:stretch>
                            <a:fillRect/>
                          </a:stretch>
                        </pic:blipFill>
                        <pic:spPr>
                          <a:xfrm>
                            <a:off x="0" y="0"/>
                            <a:ext cx="2783434" cy="1704117"/>
                          </a:xfrm>
                          <a:prstGeom prst="rect">
                            <a:avLst/>
                          </a:prstGeom>
                          <a:noFill/>
                          <a:ln>
                            <a:noFill/>
                          </a:ln>
                        </pic:spPr>
                      </pic:pic>
                    </a:graphicData>
                  </a:graphic>
                </wp:inline>
              </w:drawing>
            </w:r>
          </w:p>
        </w:tc>
        <w:tc>
          <w:tcPr>
            <w:tcW w:w="4281" w:type="dxa"/>
          </w:tcPr>
          <w:p>
            <w:pPr>
              <w:adjustRightInd/>
              <w:snapToGrid/>
              <w:spacing w:line="240" w:lineRule="auto"/>
              <w:ind w:right="11" w:firstLine="0" w:firstLineChars="0"/>
              <w:rPr>
                <w:rFonts w:cs="Times New Roman"/>
                <w:color w:val="auto"/>
                <w:kern w:val="0"/>
                <w:sz w:val="20"/>
                <w:szCs w:val="20"/>
              </w:rPr>
            </w:pPr>
            <w:r>
              <w:rPr>
                <w:rFonts w:hint="eastAsia" w:ascii="Times New Roman" w:hAnsi="Times New Roman" w:cs="Times New Roman"/>
                <w:color w:val="auto"/>
                <w:kern w:val="0"/>
                <w:sz w:val="21"/>
                <w:szCs w:val="21"/>
              </w:rPr>
              <w:t>白琵鹭：国家二级保护物种，嘴巴似琵琶状。主要以虾、蟹、水生昆虫、昆虫幼虫、蠕虫、甲壳类、软体动物、蛙、蝌蚪、蜥蜴、小鱼等小型脊椎动物和无脊椎动物为食，偶尔也吃少量植物性食物。在华东地区为冬候鸟，冬季在巢湖、三河湿地等常见</w:t>
            </w:r>
          </w:p>
        </w:tc>
      </w:tr>
      <w:tr>
        <w:trPr>
          <w:jc w:val="center"/>
        </w:trPr>
        <w:tc>
          <w:tcPr>
            <w:tcW w:w="4644" w:type="dxa"/>
          </w:tcPr>
          <w:p>
            <w:pPr>
              <w:adjustRightInd/>
              <w:snapToGrid/>
              <w:spacing w:line="240" w:lineRule="auto"/>
              <w:ind w:right="11" w:firstLine="0" w:firstLineChars="0"/>
              <w:rPr>
                <w:rFonts w:cs="Times New Roman"/>
                <w:color w:val="auto"/>
                <w:kern w:val="0"/>
                <w:sz w:val="20"/>
                <w:szCs w:val="20"/>
              </w:rPr>
            </w:pPr>
            <w:r>
              <w:rPr>
                <w:rFonts w:cs="Times New Roman"/>
                <w:color w:val="auto"/>
                <w:kern w:val="0"/>
                <w:sz w:val="20"/>
                <w:szCs w:val="20"/>
              </w:rPr>
              <w:drawing>
                <wp:anchor distT="0" distB="0" distL="114300" distR="114300" simplePos="0" relativeHeight="251727872" behindDoc="0" locked="0" layoutInCell="1" allowOverlap="1">
                  <wp:simplePos x="0" y="0"/>
                  <wp:positionH relativeFrom="column">
                    <wp:posOffset>19050</wp:posOffset>
                  </wp:positionH>
                  <wp:positionV relativeFrom="paragraph">
                    <wp:posOffset>78105</wp:posOffset>
                  </wp:positionV>
                  <wp:extent cx="2776220" cy="1599565"/>
                  <wp:effectExtent l="0" t="0" r="5080" b="635"/>
                  <wp:wrapSquare wrapText="bothSides"/>
                  <wp:docPr id="2965" name="图片 296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65" name="图片 2965"/>
                          <pic:cNvPicPr>
                            <a:picLocks noChangeAspect="true" noChangeArrowheads="true"/>
                          </pic:cNvPicPr>
                        </pic:nvPicPr>
                        <pic:blipFill>
                          <a:blip r:embed="rId153">
                            <a:extLst>
                              <a:ext uri="{28A0092B-C50C-407E-A947-70E740481C1C}">
                                <a14:useLocalDpi xmlns:a14="http://schemas.microsoft.com/office/drawing/2010/main" val="false"/>
                              </a:ext>
                            </a:extLst>
                          </a:blip>
                          <a:srcRect/>
                          <a:stretch>
                            <a:fillRect/>
                          </a:stretch>
                        </pic:blipFill>
                        <pic:spPr>
                          <a:xfrm>
                            <a:off x="0" y="0"/>
                            <a:ext cx="2776220" cy="1599565"/>
                          </a:xfrm>
                          <a:prstGeom prst="rect">
                            <a:avLst/>
                          </a:prstGeom>
                          <a:noFill/>
                          <a:ln>
                            <a:noFill/>
                          </a:ln>
                        </pic:spPr>
                      </pic:pic>
                    </a:graphicData>
                  </a:graphic>
                </wp:anchor>
              </w:drawing>
            </w:r>
          </w:p>
        </w:tc>
        <w:tc>
          <w:tcPr>
            <w:tcW w:w="4281" w:type="dxa"/>
          </w:tcPr>
          <w:p>
            <w:pPr>
              <w:adjustRightInd/>
              <w:snapToGrid/>
              <w:spacing w:line="240" w:lineRule="auto"/>
              <w:ind w:right="11" w:firstLine="0" w:firstLineChars="0"/>
              <w:rPr>
                <w:rFonts w:cs="Times New Roman"/>
                <w:color w:val="auto"/>
                <w:kern w:val="0"/>
                <w:sz w:val="20"/>
                <w:szCs w:val="20"/>
              </w:rPr>
            </w:pPr>
          </w:p>
          <w:p>
            <w:pPr>
              <w:adjustRightInd/>
              <w:snapToGrid/>
              <w:spacing w:line="240" w:lineRule="auto"/>
              <w:ind w:right="11" w:firstLine="0" w:firstLineChars="0"/>
              <w:rPr>
                <w:rFonts w:ascii="Times New Roman" w:hAnsi="Times New Roman" w:cs="Times New Roman"/>
                <w:color w:val="auto"/>
                <w:kern w:val="0"/>
                <w:sz w:val="21"/>
                <w:szCs w:val="21"/>
              </w:rPr>
            </w:pPr>
            <w:r>
              <w:rPr>
                <w:rFonts w:hint="eastAsia" w:ascii="Times New Roman" w:hAnsi="Times New Roman" w:cs="Times New Roman"/>
                <w:color w:val="auto"/>
                <w:kern w:val="0"/>
                <w:sz w:val="21"/>
                <w:szCs w:val="21"/>
              </w:rPr>
              <w:t>黑翅鸢：小型猛禽，国家二级保护动物。</w:t>
            </w:r>
          </w:p>
          <w:p>
            <w:pPr>
              <w:adjustRightInd/>
              <w:snapToGrid/>
              <w:spacing w:line="240" w:lineRule="auto"/>
              <w:ind w:right="11" w:firstLine="0" w:firstLineChars="0"/>
              <w:rPr>
                <w:rFonts w:cs="Times New Roman"/>
                <w:color w:val="auto"/>
                <w:kern w:val="0"/>
                <w:sz w:val="20"/>
                <w:szCs w:val="20"/>
              </w:rPr>
            </w:pPr>
            <w:r>
              <w:rPr>
                <w:rFonts w:hint="eastAsia" w:ascii="Times New Roman" w:hAnsi="Times New Roman" w:cs="Times New Roman"/>
                <w:color w:val="auto"/>
                <w:kern w:val="0"/>
                <w:sz w:val="21"/>
                <w:szCs w:val="21"/>
              </w:rPr>
              <w:t>飞翔的高度较低，采用盘旋、翱翔等方式。主要以田间的鼠类、小鸟、野兔、昆虫和爬行动物等为食。</w:t>
            </w:r>
          </w:p>
        </w:tc>
      </w:tr>
    </w:tbl>
    <w:p>
      <w:pPr>
        <w:spacing w:line="240" w:lineRule="auto"/>
        <w:ind w:firstLine="0" w:firstLineChars="0"/>
        <w:jc w:val="center"/>
        <w:rPr>
          <w:rFonts w:ascii="Times New Roman" w:hAnsi="Times New Roman" w:cs="Times New Roman"/>
          <w:b/>
          <w:color w:val="auto"/>
          <w:kern w:val="0"/>
          <w:sz w:val="21"/>
          <w:szCs w:val="21"/>
        </w:rPr>
      </w:pPr>
      <w:bookmarkStart w:id="350" w:name="_Toc29457"/>
      <w:r>
        <w:rPr>
          <w:rFonts w:hint="eastAsia" w:ascii="Times New Roman" w:hAnsi="Times New Roman" w:cs="Times New Roman"/>
          <w:b/>
          <w:color w:val="auto"/>
          <w:kern w:val="0"/>
          <w:sz w:val="21"/>
          <w:szCs w:val="21"/>
        </w:rPr>
        <w:t>附录Ⅱ   临河湿地、巢湖湿地鸟类名录</w:t>
      </w:r>
      <w:bookmarkEnd w:id="350"/>
    </w:p>
    <w:tbl>
      <w:tblPr>
        <w:tblStyle w:val="62"/>
        <w:tblW w:w="8925" w:type="dxa"/>
        <w:tblInd w:w="216"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2160"/>
        <w:gridCol w:w="2552"/>
        <w:gridCol w:w="991"/>
        <w:gridCol w:w="991"/>
        <w:gridCol w:w="992"/>
        <w:gridCol w:w="1239"/>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12"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目、科、种</w:t>
            </w:r>
          </w:p>
        </w:tc>
        <w:tc>
          <w:tcPr>
            <w:tcW w:w="2552" w:type="dxa"/>
            <w:tcBorders>
              <w:top w:val="single" w:color="auto" w:sz="12"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学名</w:t>
            </w:r>
          </w:p>
        </w:tc>
        <w:tc>
          <w:tcPr>
            <w:tcW w:w="991" w:type="dxa"/>
            <w:tcBorders>
              <w:top w:val="single" w:color="auto" w:sz="12"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居留型</w:t>
            </w:r>
          </w:p>
        </w:tc>
        <w:tc>
          <w:tcPr>
            <w:tcW w:w="991" w:type="dxa"/>
            <w:tcBorders>
              <w:top w:val="single" w:color="auto" w:sz="12"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地理型</w:t>
            </w:r>
          </w:p>
        </w:tc>
        <w:tc>
          <w:tcPr>
            <w:tcW w:w="992" w:type="dxa"/>
            <w:tcBorders>
              <w:top w:val="single" w:color="auto" w:sz="12"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IUCN</w:t>
            </w:r>
          </w:p>
        </w:tc>
        <w:tc>
          <w:tcPr>
            <w:tcW w:w="1239" w:type="dxa"/>
            <w:tcBorders>
              <w:top w:val="single" w:color="auto" w:sz="12"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保护级别</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一、䴙䴘目</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r>
              <w:rPr>
                <w:rFonts w:hint="eastAsia" w:ascii="Times New Roman" w:hAnsi="Times New Roman" w:cs="Times New Roman"/>
                <w:kern w:val="0"/>
                <w:sz w:val="18"/>
                <w:szCs w:val="18"/>
              </w:rPr>
              <w:t>、䴙䴘科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bookmarkStart w:id="351" w:name="_Hlk101203240"/>
            <w:r>
              <w:rPr>
                <w:rFonts w:hint="eastAsia" w:ascii="Times New Roman" w:hAnsi="Times New Roman" w:cs="Times New Roman"/>
                <w:kern w:val="0"/>
                <w:sz w:val="18"/>
                <w:szCs w:val="18"/>
              </w:rPr>
              <w:t>小䴙䴘</w:t>
            </w:r>
            <w:bookmarkEnd w:id="351"/>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Tachybaptus ruficollis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w:t>
            </w:r>
            <w:r>
              <w:rPr>
                <w:rFonts w:hint="eastAsia" w:ascii="Times New Roman" w:hAnsi="Times New Roman" w:cs="Times New Roman"/>
                <w:kern w:val="0"/>
                <w:sz w:val="18"/>
                <w:szCs w:val="18"/>
              </w:rPr>
              <w:t>凤头䴙䴘</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Podiceps cristatus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二、鲣鸟目</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w:t>
            </w:r>
            <w:r>
              <w:rPr>
                <w:rFonts w:hint="eastAsia" w:ascii="Times New Roman" w:hAnsi="Times New Roman" w:cs="Times New Roman"/>
                <w:kern w:val="0"/>
                <w:sz w:val="18"/>
                <w:szCs w:val="18"/>
              </w:rPr>
              <w:t>、鸬鹚科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w:t>
            </w:r>
            <w:r>
              <w:rPr>
                <w:rFonts w:hint="eastAsia" w:ascii="Times New Roman" w:hAnsi="Times New Roman" w:cs="Times New Roman"/>
                <w:kern w:val="0"/>
                <w:sz w:val="18"/>
                <w:szCs w:val="18"/>
              </w:rPr>
              <w:t>普通鸬鹚</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Phalacrocorax carbo</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Ⅱ</w:t>
            </w:r>
            <w:r>
              <w:rPr>
                <w:rFonts w:hint="eastAsia" w:ascii="Times New Roman" w:hAnsi="Times New Roman" w:cs="Times New Roman"/>
                <w:kern w:val="0"/>
                <w:sz w:val="18"/>
                <w:szCs w:val="18"/>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三、鹈形目</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w:t>
            </w:r>
            <w:r>
              <w:rPr>
                <w:rFonts w:hint="eastAsia" w:ascii="Times New Roman" w:hAnsi="Times New Roman" w:cs="Times New Roman"/>
                <w:kern w:val="0"/>
                <w:sz w:val="18"/>
                <w:szCs w:val="18"/>
              </w:rPr>
              <w:t>、鹭科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w:t>
            </w:r>
            <w:r>
              <w:rPr>
                <w:rFonts w:hint="eastAsia" w:ascii="Times New Roman" w:hAnsi="Times New Roman" w:cs="Times New Roman"/>
                <w:kern w:val="0"/>
                <w:sz w:val="18"/>
                <w:szCs w:val="18"/>
              </w:rPr>
              <w:t>苍鹭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Ardea cinerea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w:t>
            </w:r>
            <w:r>
              <w:rPr>
                <w:rFonts w:hint="eastAsia" w:ascii="Times New Roman" w:hAnsi="Times New Roman" w:cs="Times New Roman"/>
                <w:kern w:val="0"/>
                <w:sz w:val="18"/>
                <w:szCs w:val="18"/>
              </w:rPr>
              <w:t>草鹭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Ardea purpurea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w:t>
            </w:r>
            <w:r>
              <w:rPr>
                <w:rFonts w:hint="eastAsia" w:ascii="Times New Roman" w:hAnsi="Times New Roman" w:cs="Times New Roman"/>
                <w:kern w:val="0"/>
                <w:sz w:val="18"/>
                <w:szCs w:val="18"/>
              </w:rPr>
              <w:t>大白鹭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Ardea alba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w:t>
            </w:r>
            <w:r>
              <w:rPr>
                <w:rFonts w:hint="eastAsia" w:ascii="Times New Roman" w:hAnsi="Times New Roman" w:cs="Times New Roman"/>
                <w:kern w:val="0"/>
                <w:sz w:val="18"/>
                <w:szCs w:val="18"/>
              </w:rPr>
              <w:t>中白鹭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Egretta intermedia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w:t>
            </w:r>
            <w:r>
              <w:rPr>
                <w:rFonts w:hint="eastAsia" w:ascii="Times New Roman" w:hAnsi="Times New Roman" w:cs="Times New Roman"/>
                <w:kern w:val="0"/>
                <w:sz w:val="18"/>
                <w:szCs w:val="18"/>
              </w:rPr>
              <w:t>小白鹭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Egretta garzetta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w:t>
            </w:r>
            <w:r>
              <w:rPr>
                <w:rFonts w:hint="eastAsia" w:ascii="Times New Roman" w:hAnsi="Times New Roman" w:cs="Times New Roman"/>
                <w:kern w:val="0"/>
                <w:sz w:val="18"/>
                <w:szCs w:val="18"/>
              </w:rPr>
              <w:t>牛背鹭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Bubulcus ibis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w:t>
            </w:r>
            <w:r>
              <w:rPr>
                <w:rFonts w:hint="eastAsia" w:ascii="Times New Roman" w:hAnsi="Times New Roman" w:cs="Times New Roman"/>
                <w:kern w:val="0"/>
                <w:sz w:val="18"/>
                <w:szCs w:val="18"/>
              </w:rPr>
              <w:t>池鹭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Ardeola bacchus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w:t>
            </w:r>
            <w:r>
              <w:rPr>
                <w:rFonts w:hint="eastAsia" w:ascii="Times New Roman" w:hAnsi="Times New Roman" w:cs="Times New Roman"/>
                <w:kern w:val="0"/>
                <w:sz w:val="18"/>
                <w:szCs w:val="18"/>
              </w:rPr>
              <w:t>绿鹭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utorides striatus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w:t>
            </w:r>
            <w:r>
              <w:rPr>
                <w:rFonts w:hint="eastAsia" w:ascii="Times New Roman" w:hAnsi="Times New Roman" w:cs="Times New Roman"/>
                <w:kern w:val="0"/>
                <w:sz w:val="18"/>
                <w:szCs w:val="18"/>
              </w:rPr>
              <w:t>夜鹭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Nycticorax nycticorax</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w:t>
            </w:r>
            <w:r>
              <w:rPr>
                <w:rFonts w:hint="eastAsia" w:ascii="Times New Roman" w:hAnsi="Times New Roman" w:cs="Times New Roman"/>
                <w:kern w:val="0"/>
                <w:sz w:val="18"/>
                <w:szCs w:val="18"/>
              </w:rPr>
              <w:t>黄苇鳽</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Ixobrychus sinensis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w:t>
            </w:r>
            <w:r>
              <w:rPr>
                <w:rFonts w:hint="eastAsia" w:ascii="Times New Roman" w:hAnsi="Times New Roman" w:cs="Times New Roman"/>
                <w:kern w:val="0"/>
                <w:sz w:val="18"/>
                <w:szCs w:val="18"/>
              </w:rPr>
              <w:t>栗苇鳽</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Ixobrychus cinnamomeus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w:t>
            </w:r>
            <w:r>
              <w:rPr>
                <w:rFonts w:hint="eastAsia" w:ascii="Times New Roman" w:hAnsi="Times New Roman" w:cs="Times New Roman"/>
                <w:kern w:val="0"/>
                <w:sz w:val="18"/>
                <w:szCs w:val="18"/>
              </w:rPr>
              <w:t>、鹮科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w:t>
            </w:r>
            <w:r>
              <w:rPr>
                <w:rFonts w:hint="eastAsia" w:ascii="Times New Roman" w:hAnsi="Times New Roman" w:cs="Times New Roman"/>
                <w:kern w:val="0"/>
                <w:sz w:val="18"/>
                <w:szCs w:val="18"/>
              </w:rPr>
              <w:t>白琵鹭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Platalea leucorodia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国Ⅱ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四、鹳形目</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w:t>
            </w:r>
            <w:r>
              <w:rPr>
                <w:rFonts w:hint="eastAsia" w:ascii="Times New Roman" w:hAnsi="Times New Roman" w:cs="Times New Roman"/>
                <w:kern w:val="0"/>
                <w:sz w:val="18"/>
                <w:szCs w:val="18"/>
              </w:rPr>
              <w:t>、鹳科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w:t>
            </w:r>
            <w:r>
              <w:rPr>
                <w:rFonts w:hint="eastAsia" w:ascii="Times New Roman" w:hAnsi="Times New Roman" w:cs="Times New Roman"/>
                <w:kern w:val="0"/>
                <w:sz w:val="18"/>
                <w:szCs w:val="18"/>
              </w:rPr>
              <w:t>东方白鹳</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Ciconia boyciana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EN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国</w:t>
            </w:r>
            <w:r>
              <w:rPr>
                <w:rFonts w:ascii="Times New Roman" w:hAnsi="Times New Roman" w:cs="Times New Roman"/>
                <w:kern w:val="0"/>
                <w:sz w:val="18"/>
                <w:szCs w:val="18"/>
              </w:rPr>
              <w:t>Ⅰ</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五、雁形目</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w:t>
            </w:r>
            <w:r>
              <w:rPr>
                <w:rFonts w:hint="eastAsia" w:ascii="Times New Roman" w:hAnsi="Times New Roman" w:cs="Times New Roman"/>
                <w:kern w:val="0"/>
                <w:sz w:val="18"/>
                <w:szCs w:val="18"/>
              </w:rPr>
              <w:t>、鸭科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w:t>
            </w:r>
            <w:r>
              <w:rPr>
                <w:rFonts w:hint="eastAsia" w:ascii="Times New Roman" w:hAnsi="Times New Roman" w:cs="Times New Roman"/>
                <w:kern w:val="0"/>
                <w:sz w:val="18"/>
                <w:szCs w:val="18"/>
              </w:rPr>
              <w:t>小天鹅</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Cygnus columbianus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国</w:t>
            </w:r>
            <w:r>
              <w:rPr>
                <w:rFonts w:ascii="Times New Roman" w:hAnsi="Times New Roman" w:cs="Times New Roman"/>
                <w:kern w:val="0"/>
                <w:sz w:val="18"/>
                <w:szCs w:val="18"/>
              </w:rPr>
              <w:t>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w:t>
            </w:r>
            <w:r>
              <w:rPr>
                <w:rFonts w:hint="eastAsia" w:ascii="Times New Roman" w:hAnsi="Times New Roman" w:cs="Times New Roman"/>
                <w:kern w:val="0"/>
                <w:sz w:val="18"/>
                <w:szCs w:val="18"/>
              </w:rPr>
              <w:t>灰雁</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Anser anser</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w:t>
            </w:r>
            <w:r>
              <w:rPr>
                <w:rFonts w:hint="eastAsia" w:ascii="Times New Roman" w:hAnsi="Times New Roman" w:cs="Times New Roman"/>
                <w:kern w:val="0"/>
                <w:sz w:val="18"/>
                <w:szCs w:val="18"/>
              </w:rPr>
              <w:t>赤麻鸭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Tadorna ferruginea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w:t>
            </w:r>
            <w:r>
              <w:rPr>
                <w:rFonts w:hint="eastAsia" w:ascii="Times New Roman" w:hAnsi="Times New Roman" w:cs="Times New Roman"/>
                <w:kern w:val="0"/>
                <w:sz w:val="18"/>
                <w:szCs w:val="18"/>
              </w:rPr>
              <w:t>赤颈鸭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Anas Penelope</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21.</w:t>
            </w:r>
            <w:r>
              <w:rPr>
                <w:rFonts w:hint="eastAsia" w:ascii="Times New Roman" w:hAnsi="Times New Roman" w:cs="Times New Roman"/>
                <w:kern w:val="0"/>
                <w:sz w:val="18"/>
                <w:szCs w:val="18"/>
              </w:rPr>
              <w:t>绿翅鸭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Anas crecca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22.</w:t>
            </w:r>
            <w:r>
              <w:rPr>
                <w:rFonts w:hint="eastAsia" w:ascii="Times New Roman" w:hAnsi="Times New Roman" w:cs="Times New Roman"/>
                <w:kern w:val="0"/>
                <w:sz w:val="18"/>
                <w:szCs w:val="18"/>
              </w:rPr>
              <w:t>绿头鸭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Anas platyrhynchos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23.</w:t>
            </w:r>
            <w:r>
              <w:rPr>
                <w:rFonts w:hint="eastAsia" w:ascii="Times New Roman" w:hAnsi="Times New Roman" w:cs="Times New Roman"/>
                <w:kern w:val="0"/>
                <w:sz w:val="18"/>
                <w:szCs w:val="18"/>
              </w:rPr>
              <w:t>斑嘴鸭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Anas zonorhyncha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24.</w:t>
            </w:r>
            <w:r>
              <w:rPr>
                <w:rFonts w:hint="eastAsia" w:ascii="Times New Roman" w:hAnsi="Times New Roman" w:cs="Times New Roman"/>
                <w:kern w:val="0"/>
                <w:sz w:val="18"/>
                <w:szCs w:val="18"/>
              </w:rPr>
              <w:t>针尾鸭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Anas acuta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25.</w:t>
            </w:r>
            <w:r>
              <w:rPr>
                <w:rFonts w:hint="eastAsia" w:ascii="Times New Roman" w:hAnsi="Times New Roman" w:cs="Times New Roman"/>
                <w:kern w:val="0"/>
                <w:sz w:val="18"/>
                <w:szCs w:val="18"/>
              </w:rPr>
              <w:t>白眉鸭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Anas querquedula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26.</w:t>
            </w:r>
            <w:r>
              <w:rPr>
                <w:rFonts w:hint="eastAsia" w:ascii="Times New Roman" w:hAnsi="Times New Roman" w:cs="Times New Roman"/>
                <w:kern w:val="0"/>
                <w:sz w:val="18"/>
                <w:szCs w:val="18"/>
              </w:rPr>
              <w:t>琵嘴鸭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Anas clypeata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六、鹤形目</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w:t>
            </w:r>
            <w:r>
              <w:rPr>
                <w:rFonts w:hint="eastAsia" w:ascii="Times New Roman" w:hAnsi="Times New Roman" w:cs="Times New Roman"/>
                <w:kern w:val="0"/>
                <w:sz w:val="18"/>
                <w:szCs w:val="18"/>
              </w:rPr>
              <w:t>、秧鸡科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27.</w:t>
            </w:r>
            <w:r>
              <w:rPr>
                <w:rFonts w:hint="eastAsia" w:ascii="Times New Roman" w:hAnsi="Times New Roman" w:cs="Times New Roman"/>
                <w:kern w:val="0"/>
                <w:sz w:val="18"/>
                <w:szCs w:val="18"/>
              </w:rPr>
              <w:t>红脚苦恶鸟</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Amaurornis akool</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28.</w:t>
            </w:r>
            <w:r>
              <w:rPr>
                <w:rFonts w:hint="eastAsia" w:ascii="Times New Roman" w:hAnsi="Times New Roman" w:cs="Times New Roman"/>
                <w:kern w:val="0"/>
                <w:sz w:val="18"/>
                <w:szCs w:val="18"/>
              </w:rPr>
              <w:t>白胸苦恶鸟</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Amaurornis phoenicurus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29.</w:t>
            </w:r>
            <w:r>
              <w:rPr>
                <w:rFonts w:hint="eastAsia" w:ascii="Times New Roman" w:hAnsi="Times New Roman" w:cs="Times New Roman"/>
                <w:kern w:val="0"/>
                <w:sz w:val="18"/>
                <w:szCs w:val="18"/>
              </w:rPr>
              <w:t>黑水鸡</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Gallinula chloropus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30.</w:t>
            </w:r>
            <w:r>
              <w:rPr>
                <w:rFonts w:hint="eastAsia" w:ascii="Times New Roman" w:hAnsi="Times New Roman" w:cs="Times New Roman"/>
                <w:kern w:val="0"/>
                <w:sz w:val="18"/>
                <w:szCs w:val="18"/>
              </w:rPr>
              <w:t>骨顶鸡</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Fulica atra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七、鸻形目</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w:t>
            </w:r>
            <w:r>
              <w:rPr>
                <w:rFonts w:hint="eastAsia" w:ascii="Times New Roman" w:hAnsi="Times New Roman" w:cs="Times New Roman"/>
                <w:kern w:val="0"/>
                <w:sz w:val="18"/>
                <w:szCs w:val="18"/>
              </w:rPr>
              <w:t>、水雉科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31.</w:t>
            </w:r>
            <w:r>
              <w:rPr>
                <w:rFonts w:hint="eastAsia" w:ascii="Times New Roman" w:hAnsi="Times New Roman" w:cs="Times New Roman"/>
                <w:kern w:val="0"/>
                <w:sz w:val="18"/>
                <w:szCs w:val="18"/>
              </w:rPr>
              <w:t>水雉</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Hydrophasianus chirurgus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国Ⅱ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w:t>
            </w:r>
            <w:r>
              <w:rPr>
                <w:rFonts w:hint="eastAsia" w:ascii="Times New Roman" w:hAnsi="Times New Roman" w:cs="Times New Roman"/>
                <w:kern w:val="0"/>
                <w:sz w:val="18"/>
                <w:szCs w:val="18"/>
              </w:rPr>
              <w:t>、反嘴鹬科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32.</w:t>
            </w:r>
            <w:r>
              <w:rPr>
                <w:rFonts w:hint="eastAsia" w:ascii="Times New Roman" w:hAnsi="Times New Roman" w:cs="Times New Roman"/>
                <w:kern w:val="0"/>
                <w:sz w:val="18"/>
                <w:szCs w:val="18"/>
              </w:rPr>
              <w:t>黑翅长脚鹬</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Himantopus himantopus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33.</w:t>
            </w:r>
            <w:r>
              <w:rPr>
                <w:rFonts w:hint="eastAsia" w:ascii="Times New Roman" w:hAnsi="Times New Roman" w:cs="Times New Roman"/>
                <w:kern w:val="0"/>
                <w:sz w:val="18"/>
                <w:szCs w:val="18"/>
              </w:rPr>
              <w:t>反嘴鹬</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Recurvirostra avosetta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w:t>
            </w:r>
            <w:r>
              <w:rPr>
                <w:rFonts w:hint="eastAsia" w:ascii="Times New Roman" w:hAnsi="Times New Roman" w:cs="Times New Roman"/>
                <w:kern w:val="0"/>
                <w:sz w:val="18"/>
                <w:szCs w:val="18"/>
              </w:rPr>
              <w:t>、鸻科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34.</w:t>
            </w:r>
            <w:r>
              <w:rPr>
                <w:rFonts w:hint="eastAsia" w:ascii="Times New Roman" w:hAnsi="Times New Roman" w:cs="Times New Roman"/>
                <w:kern w:val="0"/>
                <w:sz w:val="18"/>
                <w:szCs w:val="18"/>
              </w:rPr>
              <w:t>凤头麦鸡</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Vanellus vanellus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NT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35.</w:t>
            </w:r>
            <w:r>
              <w:rPr>
                <w:rFonts w:hint="eastAsia" w:ascii="Times New Roman" w:hAnsi="Times New Roman" w:cs="Times New Roman"/>
                <w:kern w:val="0"/>
                <w:sz w:val="18"/>
                <w:szCs w:val="18"/>
              </w:rPr>
              <w:t>灰头麦鸡</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Vanellus cinereus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36.</w:t>
            </w:r>
            <w:r>
              <w:rPr>
                <w:rFonts w:hint="eastAsia" w:ascii="Times New Roman" w:hAnsi="Times New Roman" w:cs="Times New Roman"/>
                <w:kern w:val="0"/>
                <w:sz w:val="18"/>
                <w:szCs w:val="18"/>
              </w:rPr>
              <w:t>金斑鸻</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Pluvialis fulva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37.</w:t>
            </w:r>
            <w:r>
              <w:rPr>
                <w:rFonts w:hint="eastAsia" w:ascii="Times New Roman" w:hAnsi="Times New Roman" w:cs="Times New Roman"/>
                <w:kern w:val="0"/>
                <w:sz w:val="18"/>
                <w:szCs w:val="18"/>
              </w:rPr>
              <w:t>长嘴剑鸻</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Charadrius placidus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38.</w:t>
            </w:r>
            <w:r>
              <w:rPr>
                <w:rFonts w:hint="eastAsia" w:ascii="Times New Roman" w:hAnsi="Times New Roman" w:cs="Times New Roman"/>
                <w:kern w:val="0"/>
                <w:sz w:val="18"/>
                <w:szCs w:val="18"/>
              </w:rPr>
              <w:t>金眶鸻</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Charadrius dubius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w:t>
            </w:r>
            <w:r>
              <w:rPr>
                <w:rFonts w:hint="eastAsia" w:ascii="Times New Roman" w:hAnsi="Times New Roman" w:cs="Times New Roman"/>
                <w:kern w:val="0"/>
                <w:sz w:val="18"/>
                <w:szCs w:val="18"/>
              </w:rPr>
              <w:t>、鹬科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39.</w:t>
            </w:r>
            <w:r>
              <w:rPr>
                <w:rFonts w:hint="eastAsia" w:ascii="Times New Roman" w:hAnsi="Times New Roman" w:cs="Times New Roman"/>
                <w:kern w:val="0"/>
                <w:sz w:val="18"/>
                <w:szCs w:val="18"/>
              </w:rPr>
              <w:t>丘鹬</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Scolopax rusticola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40.</w:t>
            </w:r>
            <w:r>
              <w:rPr>
                <w:rFonts w:hint="eastAsia" w:ascii="Times New Roman" w:hAnsi="Times New Roman" w:cs="Times New Roman"/>
                <w:kern w:val="0"/>
                <w:sz w:val="18"/>
                <w:szCs w:val="18"/>
              </w:rPr>
              <w:t>扇尾沙锥</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Gallinago gallinago</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41.</w:t>
            </w:r>
            <w:r>
              <w:rPr>
                <w:rFonts w:hint="eastAsia" w:ascii="Times New Roman" w:hAnsi="Times New Roman" w:cs="Times New Roman"/>
                <w:kern w:val="0"/>
                <w:sz w:val="18"/>
                <w:szCs w:val="18"/>
              </w:rPr>
              <w:t>鹤鹬</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Tringa erythropus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42.</w:t>
            </w:r>
            <w:r>
              <w:rPr>
                <w:rFonts w:hint="eastAsia" w:ascii="Times New Roman" w:hAnsi="Times New Roman" w:cs="Times New Roman"/>
                <w:kern w:val="0"/>
                <w:sz w:val="18"/>
                <w:szCs w:val="18"/>
              </w:rPr>
              <w:t>青脚鹬</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Tringa nebularia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43.</w:t>
            </w:r>
            <w:r>
              <w:rPr>
                <w:rFonts w:hint="eastAsia" w:ascii="Times New Roman" w:hAnsi="Times New Roman" w:cs="Times New Roman"/>
                <w:kern w:val="0"/>
                <w:sz w:val="18"/>
                <w:szCs w:val="18"/>
              </w:rPr>
              <w:t>泽鹬</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Tringa stagnatilis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44.</w:t>
            </w:r>
            <w:r>
              <w:rPr>
                <w:rFonts w:hint="eastAsia" w:ascii="Times New Roman" w:hAnsi="Times New Roman" w:cs="Times New Roman"/>
                <w:kern w:val="0"/>
                <w:sz w:val="18"/>
                <w:szCs w:val="18"/>
              </w:rPr>
              <w:t>白腰草鹬</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Tringa ochropus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45.</w:t>
            </w:r>
            <w:r>
              <w:rPr>
                <w:rFonts w:hint="eastAsia" w:ascii="Times New Roman" w:hAnsi="Times New Roman" w:cs="Times New Roman"/>
                <w:kern w:val="0"/>
                <w:sz w:val="18"/>
                <w:szCs w:val="18"/>
              </w:rPr>
              <w:t>林鹬</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Tringa glareola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46.</w:t>
            </w:r>
            <w:r>
              <w:rPr>
                <w:rFonts w:hint="eastAsia" w:ascii="Times New Roman" w:hAnsi="Times New Roman" w:cs="Times New Roman"/>
                <w:kern w:val="0"/>
                <w:sz w:val="18"/>
                <w:szCs w:val="18"/>
              </w:rPr>
              <w:t>矶鹬</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Actitis hypoleucos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w:t>
            </w:r>
            <w:r>
              <w:rPr>
                <w:rFonts w:hint="eastAsia" w:ascii="Times New Roman" w:hAnsi="Times New Roman" w:cs="Times New Roman"/>
                <w:kern w:val="0"/>
                <w:sz w:val="18"/>
                <w:szCs w:val="18"/>
              </w:rPr>
              <w:t>、鸥科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47.</w:t>
            </w:r>
            <w:r>
              <w:rPr>
                <w:rFonts w:hint="eastAsia" w:ascii="Times New Roman" w:hAnsi="Times New Roman" w:cs="Times New Roman"/>
                <w:kern w:val="0"/>
                <w:sz w:val="18"/>
                <w:szCs w:val="18"/>
              </w:rPr>
              <w:t>西伯利亚银鸥</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Larus vegae</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48.</w:t>
            </w:r>
            <w:r>
              <w:rPr>
                <w:rFonts w:hint="eastAsia" w:ascii="Times New Roman" w:hAnsi="Times New Roman" w:cs="Times New Roman"/>
                <w:kern w:val="0"/>
                <w:sz w:val="18"/>
                <w:szCs w:val="18"/>
              </w:rPr>
              <w:t>红嘴鸥</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Larus ridibundus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w:t>
            </w:r>
            <w:r>
              <w:rPr>
                <w:rFonts w:hint="eastAsia" w:ascii="Times New Roman" w:hAnsi="Times New Roman" w:cs="Times New Roman"/>
                <w:kern w:val="0"/>
                <w:sz w:val="18"/>
                <w:szCs w:val="18"/>
              </w:rPr>
              <w:t>、燕鸥科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49.</w:t>
            </w:r>
            <w:r>
              <w:rPr>
                <w:rFonts w:hint="eastAsia" w:ascii="Times New Roman" w:hAnsi="Times New Roman" w:cs="Times New Roman"/>
                <w:kern w:val="0"/>
                <w:sz w:val="18"/>
                <w:szCs w:val="18"/>
              </w:rPr>
              <w:t>普通燕鸥</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Sterna hirundo</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50.</w:t>
            </w:r>
            <w:r>
              <w:rPr>
                <w:rFonts w:hint="eastAsia" w:ascii="Times New Roman" w:hAnsi="Times New Roman" w:cs="Times New Roman"/>
                <w:kern w:val="0"/>
                <w:sz w:val="18"/>
                <w:szCs w:val="18"/>
              </w:rPr>
              <w:t>灰翅浮鸥</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Chlidonias hybrida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712" w:type="dxa"/>
            <w:gridSpan w:val="2"/>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八、鹰形目</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w:t>
            </w:r>
            <w:r>
              <w:rPr>
                <w:rFonts w:hint="eastAsia" w:ascii="Times New Roman" w:hAnsi="Times New Roman" w:cs="Times New Roman"/>
                <w:kern w:val="0"/>
                <w:sz w:val="18"/>
                <w:szCs w:val="18"/>
              </w:rPr>
              <w:t>、鹰科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51.</w:t>
            </w:r>
            <w:r>
              <w:rPr>
                <w:rFonts w:hint="eastAsia" w:ascii="Times New Roman" w:hAnsi="Times New Roman" w:cs="Times New Roman"/>
                <w:kern w:val="0"/>
                <w:sz w:val="18"/>
                <w:szCs w:val="18"/>
              </w:rPr>
              <w:t>黑翅鸢</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Elanus caeruleus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国</w:t>
            </w:r>
            <w:r>
              <w:rPr>
                <w:rFonts w:ascii="Times New Roman" w:hAnsi="Times New Roman" w:cs="Times New Roman"/>
                <w:kern w:val="0"/>
                <w:sz w:val="18"/>
                <w:szCs w:val="18"/>
              </w:rPr>
              <w:t>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52.</w:t>
            </w:r>
            <w:r>
              <w:rPr>
                <w:rFonts w:hint="eastAsia" w:ascii="Times New Roman" w:hAnsi="Times New Roman" w:cs="Times New Roman"/>
                <w:kern w:val="0"/>
                <w:sz w:val="18"/>
                <w:szCs w:val="18"/>
              </w:rPr>
              <w:t>黑鸢</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Milvus migrans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国</w:t>
            </w:r>
            <w:r>
              <w:rPr>
                <w:rFonts w:ascii="Times New Roman" w:hAnsi="Times New Roman" w:cs="Times New Roman"/>
                <w:kern w:val="0"/>
                <w:sz w:val="18"/>
                <w:szCs w:val="18"/>
              </w:rPr>
              <w:t>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53.</w:t>
            </w:r>
            <w:r>
              <w:rPr>
                <w:rFonts w:hint="eastAsia" w:ascii="Times New Roman" w:hAnsi="Times New Roman" w:cs="Times New Roman"/>
                <w:kern w:val="0"/>
                <w:sz w:val="18"/>
                <w:szCs w:val="18"/>
              </w:rPr>
              <w:t>普通鵟</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Buteo japonicus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国</w:t>
            </w:r>
            <w:r>
              <w:rPr>
                <w:rFonts w:ascii="Times New Roman" w:hAnsi="Times New Roman" w:cs="Times New Roman"/>
                <w:kern w:val="0"/>
                <w:sz w:val="18"/>
                <w:szCs w:val="18"/>
              </w:rPr>
              <w:t>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九、隼形目</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w:t>
            </w:r>
            <w:r>
              <w:rPr>
                <w:rFonts w:hint="eastAsia" w:ascii="Times New Roman" w:hAnsi="Times New Roman" w:cs="Times New Roman"/>
                <w:kern w:val="0"/>
                <w:sz w:val="18"/>
                <w:szCs w:val="18"/>
              </w:rPr>
              <w:t>、隼科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54.</w:t>
            </w:r>
            <w:r>
              <w:rPr>
                <w:rFonts w:hint="eastAsia" w:ascii="Times New Roman" w:hAnsi="Times New Roman" w:cs="Times New Roman"/>
                <w:kern w:val="0"/>
                <w:sz w:val="18"/>
                <w:szCs w:val="18"/>
              </w:rPr>
              <w:t>红隼</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Falco tinnunculus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国</w:t>
            </w:r>
            <w:r>
              <w:rPr>
                <w:rFonts w:ascii="Times New Roman" w:hAnsi="Times New Roman" w:cs="Times New Roman"/>
                <w:kern w:val="0"/>
                <w:sz w:val="18"/>
                <w:szCs w:val="18"/>
              </w:rPr>
              <w:t>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十、鸡形目</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w:t>
            </w:r>
            <w:r>
              <w:rPr>
                <w:rFonts w:hint="eastAsia" w:ascii="Times New Roman" w:hAnsi="Times New Roman" w:cs="Times New Roman"/>
                <w:kern w:val="0"/>
                <w:sz w:val="18"/>
                <w:szCs w:val="18"/>
              </w:rPr>
              <w:t>、雉科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55.</w:t>
            </w:r>
            <w:r>
              <w:rPr>
                <w:rFonts w:hint="eastAsia" w:ascii="Times New Roman" w:hAnsi="Times New Roman" w:cs="Times New Roman"/>
                <w:kern w:val="0"/>
                <w:sz w:val="18"/>
                <w:szCs w:val="18"/>
              </w:rPr>
              <w:t>日本鹌鹑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Coturnix japonica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NT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Ⅱ</w:t>
            </w:r>
            <w:r>
              <w:rPr>
                <w:rFonts w:hint="eastAsia" w:ascii="Times New Roman" w:hAnsi="Times New Roman" w:cs="Times New Roman"/>
                <w:kern w:val="0"/>
                <w:sz w:val="18"/>
                <w:szCs w:val="18"/>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56.</w:t>
            </w:r>
            <w:r>
              <w:rPr>
                <w:rFonts w:hint="eastAsia" w:ascii="Times New Roman" w:hAnsi="Times New Roman" w:cs="Times New Roman"/>
                <w:kern w:val="0"/>
                <w:sz w:val="18"/>
                <w:szCs w:val="18"/>
              </w:rPr>
              <w:t>雉鸡</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Phasianus colchicus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Ⅱ</w:t>
            </w:r>
            <w:r>
              <w:rPr>
                <w:rFonts w:hint="eastAsia" w:ascii="Times New Roman" w:hAnsi="Times New Roman" w:cs="Times New Roman"/>
                <w:kern w:val="0"/>
                <w:sz w:val="18"/>
                <w:szCs w:val="18"/>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十一、鴷形目</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w:t>
            </w:r>
            <w:r>
              <w:rPr>
                <w:rFonts w:hint="eastAsia" w:ascii="Times New Roman" w:hAnsi="Times New Roman" w:cs="Times New Roman"/>
                <w:kern w:val="0"/>
                <w:sz w:val="18"/>
                <w:szCs w:val="18"/>
              </w:rPr>
              <w:t>、啄木鸟科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57.</w:t>
            </w:r>
            <w:r>
              <w:rPr>
                <w:rFonts w:hint="eastAsia" w:ascii="Times New Roman" w:hAnsi="Times New Roman" w:cs="Times New Roman"/>
                <w:kern w:val="0"/>
                <w:sz w:val="18"/>
                <w:szCs w:val="18"/>
              </w:rPr>
              <w:t>星头啄木鸟</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Dendrocopos canicapillus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Ⅰ</w:t>
            </w:r>
            <w:r>
              <w:rPr>
                <w:rFonts w:hint="eastAsia" w:ascii="Times New Roman" w:hAnsi="Times New Roman" w:cs="Times New Roman"/>
                <w:kern w:val="0"/>
                <w:sz w:val="18"/>
                <w:szCs w:val="18"/>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58.</w:t>
            </w:r>
            <w:r>
              <w:rPr>
                <w:rFonts w:hint="eastAsia" w:ascii="Times New Roman" w:hAnsi="Times New Roman" w:cs="Times New Roman"/>
                <w:kern w:val="0"/>
                <w:sz w:val="18"/>
                <w:szCs w:val="18"/>
              </w:rPr>
              <w:t>大斑啄木鸟</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Dendrocopos major</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Ⅰ</w:t>
            </w:r>
            <w:r>
              <w:rPr>
                <w:rFonts w:hint="eastAsia" w:ascii="Times New Roman" w:hAnsi="Times New Roman" w:cs="Times New Roman"/>
                <w:kern w:val="0"/>
                <w:sz w:val="18"/>
                <w:szCs w:val="18"/>
              </w:rPr>
              <w:t>、</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712" w:type="dxa"/>
            <w:gridSpan w:val="2"/>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十二、戴胜目</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w:t>
            </w:r>
            <w:r>
              <w:rPr>
                <w:rFonts w:hint="eastAsia" w:ascii="Times New Roman" w:hAnsi="Times New Roman" w:cs="Times New Roman"/>
                <w:kern w:val="0"/>
                <w:sz w:val="18"/>
                <w:szCs w:val="18"/>
              </w:rPr>
              <w:t>、戴胜科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59.</w:t>
            </w:r>
            <w:r>
              <w:rPr>
                <w:rFonts w:hint="eastAsia" w:ascii="Times New Roman" w:hAnsi="Times New Roman" w:cs="Times New Roman"/>
                <w:kern w:val="0"/>
                <w:sz w:val="18"/>
                <w:szCs w:val="18"/>
              </w:rPr>
              <w:t>戴胜</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Upupa epops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712" w:type="dxa"/>
            <w:gridSpan w:val="2"/>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十三、佛法僧目</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w:t>
            </w:r>
            <w:r>
              <w:rPr>
                <w:rFonts w:hint="eastAsia" w:ascii="Times New Roman" w:hAnsi="Times New Roman" w:cs="Times New Roman"/>
                <w:kern w:val="0"/>
                <w:sz w:val="18"/>
                <w:szCs w:val="18"/>
              </w:rPr>
              <w:t>、翠鸟科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60.</w:t>
            </w:r>
            <w:r>
              <w:rPr>
                <w:rFonts w:hint="eastAsia" w:ascii="Times New Roman" w:hAnsi="Times New Roman" w:cs="Times New Roman"/>
                <w:kern w:val="0"/>
                <w:sz w:val="18"/>
                <w:szCs w:val="18"/>
              </w:rPr>
              <w:t>普通翠鸟</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Alcedo atthis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61.</w:t>
            </w:r>
            <w:r>
              <w:rPr>
                <w:rFonts w:hint="eastAsia" w:ascii="Times New Roman" w:hAnsi="Times New Roman" w:cs="Times New Roman"/>
                <w:kern w:val="0"/>
                <w:sz w:val="18"/>
                <w:szCs w:val="18"/>
              </w:rPr>
              <w:t>白胸翡翠</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Halcyon smyrnensis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国Ⅱ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62.</w:t>
            </w:r>
            <w:r>
              <w:rPr>
                <w:rFonts w:hint="eastAsia" w:ascii="Times New Roman" w:hAnsi="Times New Roman" w:cs="Times New Roman"/>
                <w:kern w:val="0"/>
                <w:sz w:val="18"/>
                <w:szCs w:val="18"/>
              </w:rPr>
              <w:t>斑鱼狗</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Ceryle rudis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十四、鹃形目</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w:t>
            </w:r>
            <w:r>
              <w:rPr>
                <w:rFonts w:hint="eastAsia" w:ascii="Times New Roman" w:hAnsi="Times New Roman" w:cs="Times New Roman"/>
                <w:kern w:val="0"/>
                <w:sz w:val="18"/>
                <w:szCs w:val="18"/>
              </w:rPr>
              <w:t>、杜鹃科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63.</w:t>
            </w:r>
            <w:r>
              <w:rPr>
                <w:rFonts w:hint="eastAsia" w:ascii="Times New Roman" w:hAnsi="Times New Roman" w:cs="Times New Roman"/>
                <w:kern w:val="0"/>
                <w:sz w:val="18"/>
                <w:szCs w:val="18"/>
              </w:rPr>
              <w:t>四声杜鹃</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Cuculus micropterus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Ⅰ</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64.</w:t>
            </w:r>
            <w:r>
              <w:rPr>
                <w:rFonts w:hint="eastAsia" w:ascii="Times New Roman" w:hAnsi="Times New Roman" w:cs="Times New Roman"/>
                <w:kern w:val="0"/>
                <w:sz w:val="18"/>
                <w:szCs w:val="18"/>
              </w:rPr>
              <w:t>大杜鹃</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Cuculus canorus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Ⅰ</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65.</w:t>
            </w:r>
            <w:r>
              <w:rPr>
                <w:rFonts w:hint="eastAsia" w:ascii="Times New Roman" w:hAnsi="Times New Roman" w:cs="Times New Roman"/>
                <w:kern w:val="0"/>
                <w:sz w:val="18"/>
                <w:szCs w:val="18"/>
              </w:rPr>
              <w:t>噪鹃</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Eudynamys scolopacea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Ⅰ</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66.</w:t>
            </w:r>
            <w:r>
              <w:rPr>
                <w:rFonts w:hint="eastAsia" w:ascii="Times New Roman" w:hAnsi="Times New Roman" w:cs="Times New Roman"/>
                <w:kern w:val="0"/>
                <w:sz w:val="18"/>
                <w:szCs w:val="18"/>
              </w:rPr>
              <w:t>小鸦鹃</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Centropus bengalensis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国Ⅱ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712" w:type="dxa"/>
            <w:gridSpan w:val="2"/>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十五、鸽形目</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21</w:t>
            </w:r>
            <w:r>
              <w:rPr>
                <w:rFonts w:hint="eastAsia" w:ascii="Times New Roman" w:hAnsi="Times New Roman" w:cs="Times New Roman"/>
                <w:kern w:val="0"/>
                <w:sz w:val="18"/>
                <w:szCs w:val="18"/>
              </w:rPr>
              <w:t>、鸠鸽科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67.</w:t>
            </w:r>
            <w:r>
              <w:rPr>
                <w:rFonts w:hint="eastAsia" w:ascii="Times New Roman" w:hAnsi="Times New Roman" w:cs="Times New Roman"/>
                <w:kern w:val="0"/>
                <w:sz w:val="18"/>
                <w:szCs w:val="18"/>
              </w:rPr>
              <w:t>珠颈斑鸠</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Streptopelia chinensis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68.</w:t>
            </w:r>
            <w:r>
              <w:rPr>
                <w:rFonts w:hint="eastAsia" w:ascii="Times New Roman" w:hAnsi="Times New Roman" w:cs="Times New Roman"/>
                <w:kern w:val="0"/>
                <w:sz w:val="18"/>
                <w:szCs w:val="18"/>
              </w:rPr>
              <w:t>山斑鸠</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Streptopelia orientalis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69.</w:t>
            </w:r>
            <w:r>
              <w:rPr>
                <w:rFonts w:hint="eastAsia" w:ascii="Times New Roman" w:hAnsi="Times New Roman" w:cs="Times New Roman"/>
                <w:kern w:val="0"/>
                <w:sz w:val="18"/>
                <w:szCs w:val="18"/>
              </w:rPr>
              <w:t>火斑鸠</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Streptopelia tranquebarica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712" w:type="dxa"/>
            <w:gridSpan w:val="2"/>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十六、雀形目</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22</w:t>
            </w:r>
            <w:r>
              <w:rPr>
                <w:rFonts w:hint="eastAsia" w:ascii="Times New Roman" w:hAnsi="Times New Roman" w:cs="Times New Roman"/>
                <w:kern w:val="0"/>
                <w:sz w:val="18"/>
                <w:szCs w:val="18"/>
              </w:rPr>
              <w:t>、百灵科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70.</w:t>
            </w:r>
            <w:r>
              <w:rPr>
                <w:rFonts w:hint="eastAsia" w:ascii="Times New Roman" w:hAnsi="Times New Roman" w:cs="Times New Roman"/>
                <w:kern w:val="0"/>
                <w:sz w:val="18"/>
                <w:szCs w:val="18"/>
              </w:rPr>
              <w:t>云雀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Alauda arvensis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国Ⅱ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71.</w:t>
            </w:r>
            <w:r>
              <w:rPr>
                <w:rFonts w:hint="eastAsia" w:ascii="Times New Roman" w:hAnsi="Times New Roman" w:cs="Times New Roman"/>
                <w:kern w:val="0"/>
                <w:sz w:val="18"/>
                <w:szCs w:val="18"/>
              </w:rPr>
              <w:t>小云雀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Alauda gulgula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23</w:t>
            </w:r>
            <w:r>
              <w:rPr>
                <w:rFonts w:hint="eastAsia" w:ascii="Times New Roman" w:hAnsi="Times New Roman" w:cs="Times New Roman"/>
                <w:kern w:val="0"/>
                <w:sz w:val="18"/>
                <w:szCs w:val="18"/>
              </w:rPr>
              <w:t>、燕科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72.</w:t>
            </w:r>
            <w:r>
              <w:rPr>
                <w:rFonts w:hint="eastAsia" w:ascii="Times New Roman" w:hAnsi="Times New Roman" w:cs="Times New Roman"/>
                <w:kern w:val="0"/>
                <w:sz w:val="18"/>
                <w:szCs w:val="18"/>
              </w:rPr>
              <w:t>家燕</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Hirundo rustica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Ⅰ</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73.</w:t>
            </w:r>
            <w:r>
              <w:rPr>
                <w:rFonts w:hint="eastAsia" w:ascii="Times New Roman" w:hAnsi="Times New Roman" w:cs="Times New Roman"/>
                <w:kern w:val="0"/>
                <w:sz w:val="18"/>
                <w:szCs w:val="18"/>
              </w:rPr>
              <w:t>金腰燕</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Cecropis daurica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Ⅰ</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24</w:t>
            </w:r>
            <w:r>
              <w:rPr>
                <w:rFonts w:hint="eastAsia" w:ascii="Times New Roman" w:hAnsi="Times New Roman" w:cs="Times New Roman"/>
                <w:kern w:val="0"/>
                <w:sz w:val="18"/>
                <w:szCs w:val="18"/>
              </w:rPr>
              <w:t>、鹡鸰科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74.</w:t>
            </w:r>
            <w:r>
              <w:rPr>
                <w:rFonts w:hint="eastAsia" w:ascii="Times New Roman" w:hAnsi="Times New Roman" w:cs="Times New Roman"/>
                <w:kern w:val="0"/>
                <w:sz w:val="18"/>
                <w:szCs w:val="18"/>
              </w:rPr>
              <w:t>白鹡鸰</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Motacilla alba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75.</w:t>
            </w:r>
            <w:r>
              <w:rPr>
                <w:rFonts w:hint="eastAsia" w:ascii="Times New Roman" w:hAnsi="Times New Roman" w:cs="Times New Roman"/>
                <w:kern w:val="0"/>
                <w:sz w:val="18"/>
                <w:szCs w:val="18"/>
              </w:rPr>
              <w:t>灰鹡鸰</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Motacilla cinerea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76.</w:t>
            </w:r>
            <w:r>
              <w:rPr>
                <w:rFonts w:hint="eastAsia" w:ascii="Times New Roman" w:hAnsi="Times New Roman" w:cs="Times New Roman"/>
                <w:kern w:val="0"/>
                <w:sz w:val="18"/>
                <w:szCs w:val="18"/>
              </w:rPr>
              <w:t>树鹨</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Anthus hodgsoni</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77.</w:t>
            </w:r>
            <w:r>
              <w:rPr>
                <w:rFonts w:hint="eastAsia" w:ascii="Times New Roman" w:hAnsi="Times New Roman" w:cs="Times New Roman"/>
                <w:kern w:val="0"/>
                <w:sz w:val="18"/>
                <w:szCs w:val="18"/>
              </w:rPr>
              <w:t>水鹨</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Anthus spinoletta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78.</w:t>
            </w:r>
            <w:r>
              <w:rPr>
                <w:rFonts w:hint="eastAsia" w:ascii="Times New Roman" w:hAnsi="Times New Roman" w:cs="Times New Roman"/>
                <w:kern w:val="0"/>
                <w:sz w:val="18"/>
                <w:szCs w:val="18"/>
              </w:rPr>
              <w:t>北鹨</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Anthus gustavi</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25</w:t>
            </w:r>
            <w:r>
              <w:rPr>
                <w:rFonts w:hint="eastAsia" w:ascii="Times New Roman" w:hAnsi="Times New Roman" w:cs="Times New Roman"/>
                <w:kern w:val="0"/>
                <w:sz w:val="18"/>
                <w:szCs w:val="18"/>
              </w:rPr>
              <w:t>、鹎科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79.</w:t>
            </w:r>
            <w:r>
              <w:rPr>
                <w:rFonts w:hint="eastAsia" w:ascii="Times New Roman" w:hAnsi="Times New Roman" w:cs="Times New Roman"/>
                <w:kern w:val="0"/>
                <w:sz w:val="18"/>
                <w:szCs w:val="18"/>
              </w:rPr>
              <w:t>领雀嘴鹎</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Spizixos semitorques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80.</w:t>
            </w:r>
            <w:r>
              <w:rPr>
                <w:rFonts w:hint="eastAsia" w:ascii="Times New Roman" w:hAnsi="Times New Roman" w:cs="Times New Roman"/>
                <w:kern w:val="0"/>
                <w:sz w:val="18"/>
                <w:szCs w:val="18"/>
              </w:rPr>
              <w:t>白头鹎</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Pycnonotus sinensis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26</w:t>
            </w:r>
            <w:r>
              <w:rPr>
                <w:rFonts w:hint="eastAsia" w:ascii="Times New Roman" w:hAnsi="Times New Roman" w:cs="Times New Roman"/>
                <w:kern w:val="0"/>
                <w:sz w:val="18"/>
                <w:szCs w:val="18"/>
              </w:rPr>
              <w:t>、伯劳科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81.</w:t>
            </w:r>
            <w:r>
              <w:rPr>
                <w:rFonts w:hint="eastAsia" w:ascii="Times New Roman" w:hAnsi="Times New Roman" w:cs="Times New Roman"/>
                <w:kern w:val="0"/>
                <w:sz w:val="18"/>
                <w:szCs w:val="18"/>
              </w:rPr>
              <w:t>红尾伯劳</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Lanius cristatus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82.</w:t>
            </w:r>
            <w:r>
              <w:rPr>
                <w:rFonts w:hint="eastAsia" w:ascii="Times New Roman" w:hAnsi="Times New Roman" w:cs="Times New Roman"/>
                <w:kern w:val="0"/>
                <w:sz w:val="18"/>
                <w:szCs w:val="18"/>
              </w:rPr>
              <w:t>棕背伯劳</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Lanius schach</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27</w:t>
            </w:r>
            <w:r>
              <w:rPr>
                <w:rFonts w:hint="eastAsia" w:ascii="Times New Roman" w:hAnsi="Times New Roman" w:cs="Times New Roman"/>
                <w:kern w:val="0"/>
                <w:sz w:val="18"/>
                <w:szCs w:val="18"/>
              </w:rPr>
              <w:t>、卷尾科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83.</w:t>
            </w:r>
            <w:r>
              <w:rPr>
                <w:rFonts w:hint="eastAsia" w:ascii="Times New Roman" w:hAnsi="Times New Roman" w:cs="Times New Roman"/>
                <w:kern w:val="0"/>
                <w:sz w:val="18"/>
                <w:szCs w:val="18"/>
              </w:rPr>
              <w:t>黑卷尾</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Dicrurus macrocercus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28</w:t>
            </w:r>
            <w:r>
              <w:rPr>
                <w:rFonts w:hint="eastAsia" w:ascii="Times New Roman" w:hAnsi="Times New Roman" w:cs="Times New Roman"/>
                <w:kern w:val="0"/>
                <w:sz w:val="18"/>
                <w:szCs w:val="18"/>
              </w:rPr>
              <w:t>、椋鸟科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84.</w:t>
            </w:r>
            <w:r>
              <w:rPr>
                <w:rFonts w:hint="eastAsia" w:ascii="Times New Roman" w:hAnsi="Times New Roman" w:cs="Times New Roman"/>
                <w:kern w:val="0"/>
                <w:sz w:val="18"/>
                <w:szCs w:val="18"/>
              </w:rPr>
              <w:t>八哥</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Acridotherescristatellus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85.</w:t>
            </w:r>
            <w:r>
              <w:rPr>
                <w:rFonts w:hint="eastAsia" w:ascii="Times New Roman" w:hAnsi="Times New Roman" w:cs="Times New Roman"/>
                <w:kern w:val="0"/>
                <w:sz w:val="18"/>
                <w:szCs w:val="18"/>
              </w:rPr>
              <w:t>丝光椋鸟</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Sturnus sericeus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86.</w:t>
            </w:r>
            <w:r>
              <w:rPr>
                <w:rFonts w:hint="eastAsia" w:ascii="Times New Roman" w:hAnsi="Times New Roman" w:cs="Times New Roman"/>
                <w:kern w:val="0"/>
                <w:sz w:val="18"/>
                <w:szCs w:val="18"/>
              </w:rPr>
              <w:t>灰椋鸟</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Sturnus cineraceus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29</w:t>
            </w:r>
            <w:r>
              <w:rPr>
                <w:rFonts w:hint="eastAsia" w:ascii="Times New Roman" w:hAnsi="Times New Roman" w:cs="Times New Roman"/>
                <w:kern w:val="0"/>
                <w:sz w:val="18"/>
                <w:szCs w:val="18"/>
              </w:rPr>
              <w:t>、鸦科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87.</w:t>
            </w:r>
            <w:r>
              <w:rPr>
                <w:rFonts w:hint="eastAsia" w:ascii="Times New Roman" w:hAnsi="Times New Roman" w:cs="Times New Roman"/>
                <w:kern w:val="0"/>
                <w:sz w:val="18"/>
                <w:szCs w:val="18"/>
              </w:rPr>
              <w:t>灰喜鹊</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Cyanopica cyanus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Ⅰ</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88.</w:t>
            </w:r>
            <w:r>
              <w:rPr>
                <w:rFonts w:hint="eastAsia" w:ascii="Times New Roman" w:hAnsi="Times New Roman" w:cs="Times New Roman"/>
                <w:kern w:val="0"/>
                <w:sz w:val="18"/>
                <w:szCs w:val="18"/>
              </w:rPr>
              <w:t>喜鹊</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Pica pica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89.</w:t>
            </w:r>
            <w:r>
              <w:rPr>
                <w:rFonts w:hint="eastAsia" w:ascii="Times New Roman" w:hAnsi="Times New Roman" w:cs="Times New Roman"/>
                <w:kern w:val="0"/>
                <w:sz w:val="18"/>
                <w:szCs w:val="18"/>
              </w:rPr>
              <w:t>秃鼻乌鸦</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Corvus frugilegus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30</w:t>
            </w:r>
            <w:r>
              <w:rPr>
                <w:rFonts w:hint="eastAsia" w:ascii="Times New Roman" w:hAnsi="Times New Roman" w:cs="Times New Roman"/>
                <w:kern w:val="0"/>
                <w:sz w:val="18"/>
                <w:szCs w:val="18"/>
              </w:rPr>
              <w:t>、鸫科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90.</w:t>
            </w:r>
            <w:r>
              <w:rPr>
                <w:rFonts w:hint="eastAsia" w:ascii="Times New Roman" w:hAnsi="Times New Roman" w:cs="Times New Roman"/>
                <w:kern w:val="0"/>
                <w:sz w:val="18"/>
                <w:szCs w:val="18"/>
              </w:rPr>
              <w:t>乌鸫</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Turdus merula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91.</w:t>
            </w:r>
            <w:r>
              <w:rPr>
                <w:rFonts w:hint="eastAsia" w:ascii="Times New Roman" w:hAnsi="Times New Roman" w:cs="Times New Roman"/>
                <w:kern w:val="0"/>
                <w:sz w:val="18"/>
                <w:szCs w:val="18"/>
              </w:rPr>
              <w:t>斑鸫</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Turdus eunomus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92.</w:t>
            </w:r>
            <w:r>
              <w:rPr>
                <w:rFonts w:hint="eastAsia" w:ascii="Times New Roman" w:hAnsi="Times New Roman" w:cs="Times New Roman"/>
                <w:kern w:val="0"/>
                <w:sz w:val="18"/>
                <w:szCs w:val="18"/>
              </w:rPr>
              <w:t>红尾鸫</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Turdus naumanni</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31</w:t>
            </w:r>
            <w:r>
              <w:rPr>
                <w:rFonts w:hint="eastAsia" w:ascii="Times New Roman" w:hAnsi="Times New Roman" w:cs="Times New Roman"/>
                <w:kern w:val="0"/>
                <w:sz w:val="18"/>
                <w:szCs w:val="18"/>
              </w:rPr>
              <w:t>、鹟科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93.</w:t>
            </w:r>
            <w:r>
              <w:rPr>
                <w:rFonts w:hint="eastAsia" w:ascii="Times New Roman" w:hAnsi="Times New Roman" w:cs="Times New Roman"/>
                <w:kern w:val="0"/>
                <w:sz w:val="18"/>
                <w:szCs w:val="18"/>
              </w:rPr>
              <w:t>红胁蓝尾鸲</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Tarsiger cyanurus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94.</w:t>
            </w:r>
            <w:r>
              <w:rPr>
                <w:rFonts w:hint="eastAsia" w:ascii="Times New Roman" w:hAnsi="Times New Roman" w:cs="Times New Roman"/>
                <w:kern w:val="0"/>
                <w:sz w:val="18"/>
                <w:szCs w:val="18"/>
              </w:rPr>
              <w:t>北红尾鸲</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Phoenicurus auroreus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95.</w:t>
            </w:r>
            <w:r>
              <w:rPr>
                <w:rFonts w:hint="eastAsia" w:ascii="Times New Roman" w:hAnsi="Times New Roman" w:cs="Times New Roman"/>
                <w:kern w:val="0"/>
                <w:sz w:val="18"/>
                <w:szCs w:val="18"/>
              </w:rPr>
              <w:t>东亚石䳭</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Stejneger’s Stonechat</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96.</w:t>
            </w:r>
            <w:r>
              <w:rPr>
                <w:rFonts w:hint="eastAsia" w:ascii="Times New Roman" w:hAnsi="Times New Roman" w:cs="Times New Roman"/>
                <w:kern w:val="0"/>
                <w:sz w:val="18"/>
                <w:szCs w:val="18"/>
              </w:rPr>
              <w:t>灰纹鹟</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Muscicapa griseisticta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97.</w:t>
            </w:r>
            <w:r>
              <w:rPr>
                <w:rFonts w:hint="eastAsia" w:ascii="Times New Roman" w:hAnsi="Times New Roman" w:cs="Times New Roman"/>
                <w:kern w:val="0"/>
                <w:sz w:val="18"/>
                <w:szCs w:val="18"/>
              </w:rPr>
              <w:t>乌鹟</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Muscicapa sibirica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98.</w:t>
            </w:r>
            <w:r>
              <w:rPr>
                <w:rFonts w:hint="eastAsia" w:ascii="Times New Roman" w:hAnsi="Times New Roman" w:cs="Times New Roman"/>
                <w:kern w:val="0"/>
                <w:sz w:val="18"/>
                <w:szCs w:val="18"/>
              </w:rPr>
              <w:t>北灰鹟</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Muscicapa dauurica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32</w:t>
            </w:r>
            <w:r>
              <w:rPr>
                <w:rFonts w:hint="eastAsia" w:ascii="Times New Roman" w:hAnsi="Times New Roman" w:cs="Times New Roman"/>
                <w:kern w:val="0"/>
                <w:sz w:val="18"/>
                <w:szCs w:val="18"/>
              </w:rPr>
              <w:t>、鸦雀科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99.</w:t>
            </w:r>
            <w:r>
              <w:rPr>
                <w:rFonts w:hint="eastAsia" w:ascii="Times New Roman" w:hAnsi="Times New Roman" w:cs="Times New Roman"/>
                <w:kern w:val="0"/>
                <w:sz w:val="18"/>
                <w:szCs w:val="18"/>
              </w:rPr>
              <w:t>棕头鸦雀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Paradoxornis webbianus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33</w:t>
            </w:r>
            <w:r>
              <w:rPr>
                <w:rFonts w:hint="eastAsia" w:ascii="Times New Roman" w:hAnsi="Times New Roman" w:cs="Times New Roman"/>
                <w:kern w:val="0"/>
                <w:sz w:val="18"/>
                <w:szCs w:val="18"/>
              </w:rPr>
              <w:t>、扇尾莺科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100.</w:t>
            </w:r>
            <w:r>
              <w:rPr>
                <w:rFonts w:hint="eastAsia" w:ascii="Times New Roman" w:hAnsi="Times New Roman" w:cs="Times New Roman"/>
                <w:kern w:val="0"/>
                <w:sz w:val="18"/>
                <w:szCs w:val="18"/>
              </w:rPr>
              <w:t>棕扇尾莺</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Cisticola juncidis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101.</w:t>
            </w:r>
            <w:r>
              <w:rPr>
                <w:rFonts w:hint="eastAsia" w:ascii="Times New Roman" w:hAnsi="Times New Roman" w:cs="Times New Roman"/>
                <w:kern w:val="0"/>
                <w:sz w:val="18"/>
                <w:szCs w:val="18"/>
              </w:rPr>
              <w:t>纯色山鹪莺</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Prinia inornata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34</w:t>
            </w:r>
            <w:r>
              <w:rPr>
                <w:rFonts w:hint="eastAsia" w:ascii="Times New Roman" w:hAnsi="Times New Roman" w:cs="Times New Roman"/>
                <w:kern w:val="0"/>
                <w:sz w:val="18"/>
                <w:szCs w:val="18"/>
              </w:rPr>
              <w:t>、莺科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102.</w:t>
            </w:r>
            <w:r>
              <w:rPr>
                <w:rFonts w:hint="eastAsia" w:ascii="Times New Roman" w:hAnsi="Times New Roman" w:cs="Times New Roman"/>
                <w:kern w:val="0"/>
                <w:sz w:val="18"/>
                <w:szCs w:val="18"/>
              </w:rPr>
              <w:t>远东树莺</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Cettia canturians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103.</w:t>
            </w:r>
            <w:r>
              <w:rPr>
                <w:rFonts w:hint="eastAsia" w:ascii="Times New Roman" w:hAnsi="Times New Roman" w:cs="Times New Roman"/>
                <w:kern w:val="0"/>
                <w:sz w:val="18"/>
                <w:szCs w:val="18"/>
              </w:rPr>
              <w:t>东方大苇莺</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Acrocephalus orientalis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104.</w:t>
            </w:r>
            <w:r>
              <w:rPr>
                <w:rFonts w:hint="eastAsia" w:ascii="Times New Roman" w:hAnsi="Times New Roman" w:cs="Times New Roman"/>
                <w:kern w:val="0"/>
                <w:sz w:val="18"/>
                <w:szCs w:val="18"/>
              </w:rPr>
              <w:t>黄腰柳莺</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Phylloscopus proregulus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105.</w:t>
            </w:r>
            <w:r>
              <w:rPr>
                <w:rFonts w:hint="eastAsia" w:ascii="Times New Roman" w:hAnsi="Times New Roman" w:cs="Times New Roman"/>
                <w:kern w:val="0"/>
                <w:sz w:val="18"/>
                <w:szCs w:val="18"/>
              </w:rPr>
              <w:t>黄眉柳莺</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Phylloscopus inornatus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106.</w:t>
            </w:r>
            <w:r>
              <w:rPr>
                <w:rFonts w:hint="eastAsia" w:ascii="Times New Roman" w:hAnsi="Times New Roman" w:cs="Times New Roman"/>
                <w:kern w:val="0"/>
                <w:sz w:val="18"/>
                <w:szCs w:val="18"/>
              </w:rPr>
              <w:t>褐柳莺</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Phylloscopus fuscatus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35</w:t>
            </w:r>
            <w:r>
              <w:rPr>
                <w:rFonts w:hint="eastAsia" w:ascii="Times New Roman" w:hAnsi="Times New Roman" w:cs="Times New Roman"/>
                <w:kern w:val="0"/>
                <w:sz w:val="18"/>
                <w:szCs w:val="18"/>
              </w:rPr>
              <w:t>、绣眼鸟科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107.</w:t>
            </w:r>
            <w:r>
              <w:rPr>
                <w:rFonts w:hint="eastAsia" w:ascii="Times New Roman" w:hAnsi="Times New Roman" w:cs="Times New Roman"/>
                <w:kern w:val="0"/>
                <w:sz w:val="18"/>
                <w:szCs w:val="18"/>
              </w:rPr>
              <w:t>暗绿绣眼鸟</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Zosterops japonicus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夏</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Ⅱ</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36</w:t>
            </w:r>
            <w:r>
              <w:rPr>
                <w:rFonts w:hint="eastAsia" w:ascii="Times New Roman" w:hAnsi="Times New Roman" w:cs="Times New Roman"/>
                <w:kern w:val="0"/>
                <w:sz w:val="18"/>
                <w:szCs w:val="18"/>
              </w:rPr>
              <w:t>、长尾山雀科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108.</w:t>
            </w:r>
            <w:r>
              <w:rPr>
                <w:rFonts w:hint="eastAsia" w:ascii="Times New Roman" w:hAnsi="Times New Roman" w:cs="Times New Roman"/>
                <w:kern w:val="0"/>
                <w:sz w:val="18"/>
                <w:szCs w:val="18"/>
              </w:rPr>
              <w:t>银喉长尾山雀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Aegithalos caudatus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109.</w:t>
            </w:r>
            <w:r>
              <w:rPr>
                <w:rFonts w:hint="eastAsia" w:ascii="Times New Roman" w:hAnsi="Times New Roman" w:cs="Times New Roman"/>
                <w:kern w:val="0"/>
                <w:sz w:val="18"/>
                <w:szCs w:val="18"/>
              </w:rPr>
              <w:t>红头长尾山雀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Aegithalos concinnus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37</w:t>
            </w:r>
            <w:r>
              <w:rPr>
                <w:rFonts w:hint="eastAsia" w:ascii="Times New Roman" w:hAnsi="Times New Roman" w:cs="Times New Roman"/>
                <w:kern w:val="0"/>
                <w:sz w:val="18"/>
                <w:szCs w:val="18"/>
              </w:rPr>
              <w:t>、攀雀科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110.</w:t>
            </w:r>
            <w:r>
              <w:rPr>
                <w:rFonts w:hint="eastAsia" w:ascii="Times New Roman" w:hAnsi="Times New Roman" w:cs="Times New Roman"/>
                <w:kern w:val="0"/>
                <w:sz w:val="18"/>
                <w:szCs w:val="18"/>
              </w:rPr>
              <w:t>中华攀雀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Remiz consobrinus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38</w:t>
            </w:r>
            <w:r>
              <w:rPr>
                <w:rFonts w:hint="eastAsia" w:ascii="Times New Roman" w:hAnsi="Times New Roman" w:cs="Times New Roman"/>
                <w:kern w:val="0"/>
                <w:sz w:val="18"/>
                <w:szCs w:val="18"/>
              </w:rPr>
              <w:t>、山雀科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111.</w:t>
            </w:r>
            <w:r>
              <w:rPr>
                <w:rFonts w:hint="eastAsia" w:ascii="Times New Roman" w:hAnsi="Times New Roman" w:cs="Times New Roman"/>
                <w:kern w:val="0"/>
                <w:sz w:val="18"/>
                <w:szCs w:val="18"/>
              </w:rPr>
              <w:t>黄腹山雀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Parus venustulus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112.</w:t>
            </w:r>
            <w:r>
              <w:rPr>
                <w:rFonts w:hint="eastAsia" w:ascii="Times New Roman" w:hAnsi="Times New Roman" w:cs="Times New Roman"/>
                <w:kern w:val="0"/>
                <w:sz w:val="18"/>
                <w:szCs w:val="18"/>
              </w:rPr>
              <w:t>大山雀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Parus major</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39</w:t>
            </w:r>
            <w:r>
              <w:rPr>
                <w:rFonts w:hint="eastAsia" w:ascii="Times New Roman" w:hAnsi="Times New Roman" w:cs="Times New Roman"/>
                <w:kern w:val="0"/>
                <w:sz w:val="18"/>
                <w:szCs w:val="18"/>
              </w:rPr>
              <w:t>、雀科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113.</w:t>
            </w:r>
            <w:r>
              <w:rPr>
                <w:rFonts w:hint="eastAsia" w:ascii="Times New Roman" w:hAnsi="Times New Roman" w:cs="Times New Roman"/>
                <w:kern w:val="0"/>
                <w:sz w:val="18"/>
                <w:szCs w:val="18"/>
              </w:rPr>
              <w:t>麻雀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Passer montanus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40</w:t>
            </w:r>
            <w:r>
              <w:rPr>
                <w:rFonts w:hint="eastAsia" w:ascii="Times New Roman" w:hAnsi="Times New Roman" w:cs="Times New Roman"/>
                <w:kern w:val="0"/>
                <w:sz w:val="18"/>
                <w:szCs w:val="18"/>
              </w:rPr>
              <w:t>、梅花雀科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114.</w:t>
            </w:r>
            <w:r>
              <w:rPr>
                <w:rFonts w:hint="eastAsia" w:ascii="Times New Roman" w:hAnsi="Times New Roman" w:cs="Times New Roman"/>
                <w:kern w:val="0"/>
                <w:sz w:val="18"/>
                <w:szCs w:val="18"/>
              </w:rPr>
              <w:t>白腰文鸟</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Lonchura striata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41</w:t>
            </w:r>
            <w:r>
              <w:rPr>
                <w:rFonts w:hint="eastAsia" w:ascii="Times New Roman" w:hAnsi="Times New Roman" w:cs="Times New Roman"/>
                <w:kern w:val="0"/>
                <w:sz w:val="18"/>
                <w:szCs w:val="18"/>
              </w:rPr>
              <w:t>、燕雀科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115.</w:t>
            </w:r>
            <w:r>
              <w:rPr>
                <w:rFonts w:hint="eastAsia" w:ascii="Times New Roman" w:hAnsi="Times New Roman" w:cs="Times New Roman"/>
                <w:kern w:val="0"/>
                <w:sz w:val="18"/>
                <w:szCs w:val="18"/>
              </w:rPr>
              <w:t>燕雀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Fringilla montifringilla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116.</w:t>
            </w:r>
            <w:r>
              <w:rPr>
                <w:rFonts w:hint="eastAsia" w:ascii="Times New Roman" w:hAnsi="Times New Roman" w:cs="Times New Roman"/>
                <w:kern w:val="0"/>
                <w:sz w:val="18"/>
                <w:szCs w:val="18"/>
              </w:rPr>
              <w:t>黄雀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Carduelis spinus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117.</w:t>
            </w:r>
            <w:r>
              <w:rPr>
                <w:rFonts w:hint="eastAsia" w:ascii="Times New Roman" w:hAnsi="Times New Roman" w:cs="Times New Roman"/>
                <w:kern w:val="0"/>
                <w:sz w:val="18"/>
                <w:szCs w:val="18"/>
              </w:rPr>
              <w:t>金翅雀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Carduelis sinica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留</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广</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118.</w:t>
            </w:r>
            <w:r>
              <w:rPr>
                <w:rFonts w:hint="eastAsia" w:ascii="Times New Roman" w:hAnsi="Times New Roman" w:cs="Times New Roman"/>
                <w:kern w:val="0"/>
                <w:sz w:val="18"/>
                <w:szCs w:val="18"/>
              </w:rPr>
              <w:t>黑尾蜡嘴雀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Eophona migratoria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42</w:t>
            </w:r>
            <w:r>
              <w:rPr>
                <w:rFonts w:hint="eastAsia" w:ascii="Times New Roman" w:hAnsi="Times New Roman" w:cs="Times New Roman"/>
                <w:kern w:val="0"/>
                <w:sz w:val="18"/>
                <w:szCs w:val="18"/>
              </w:rPr>
              <w:t>、鹀科</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119.</w:t>
            </w:r>
            <w:r>
              <w:rPr>
                <w:rFonts w:hint="eastAsia" w:ascii="Times New Roman" w:hAnsi="Times New Roman" w:cs="Times New Roman"/>
                <w:kern w:val="0"/>
                <w:sz w:val="18"/>
                <w:szCs w:val="18"/>
              </w:rPr>
              <w:t>黄眉鹀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Emberiza chrysophrys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120.</w:t>
            </w:r>
            <w:r>
              <w:rPr>
                <w:rFonts w:hint="eastAsia" w:ascii="Times New Roman" w:hAnsi="Times New Roman" w:cs="Times New Roman"/>
                <w:kern w:val="0"/>
                <w:sz w:val="18"/>
                <w:szCs w:val="18"/>
              </w:rPr>
              <w:t>小鹀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Emberiza pusilla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121.</w:t>
            </w:r>
            <w:r>
              <w:rPr>
                <w:rFonts w:hint="eastAsia" w:ascii="Times New Roman" w:hAnsi="Times New Roman" w:cs="Times New Roman"/>
                <w:kern w:val="0"/>
                <w:sz w:val="18"/>
                <w:szCs w:val="18"/>
              </w:rPr>
              <w:t>田鹀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Emberiza rustica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VU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122.</w:t>
            </w:r>
            <w:r>
              <w:rPr>
                <w:rFonts w:hint="eastAsia" w:ascii="Times New Roman" w:hAnsi="Times New Roman" w:cs="Times New Roman"/>
                <w:kern w:val="0"/>
                <w:sz w:val="18"/>
                <w:szCs w:val="18"/>
              </w:rPr>
              <w:t>灰头鹀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Emberiza spodocephala</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LC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123.</w:t>
            </w:r>
            <w:r>
              <w:rPr>
                <w:rFonts w:hint="eastAsia" w:ascii="Times New Roman" w:hAnsi="Times New Roman" w:cs="Times New Roman"/>
                <w:kern w:val="0"/>
                <w:sz w:val="18"/>
                <w:szCs w:val="18"/>
              </w:rPr>
              <w:t>黄喉鹀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Emberiza elegans</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冬</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VU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124.</w:t>
            </w:r>
            <w:r>
              <w:rPr>
                <w:rFonts w:hint="eastAsia" w:ascii="Times New Roman" w:hAnsi="Times New Roman" w:cs="Times New Roman"/>
                <w:kern w:val="0"/>
                <w:sz w:val="18"/>
                <w:szCs w:val="18"/>
              </w:rPr>
              <w:t>苇鹀</w:t>
            </w:r>
          </w:p>
        </w:tc>
        <w:tc>
          <w:tcPr>
            <w:tcW w:w="255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Emberiza pallasi</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VU 2017</w:t>
            </w:r>
          </w:p>
        </w:tc>
        <w:tc>
          <w:tcPr>
            <w:tcW w:w="123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三有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60" w:type="dxa"/>
            <w:tcBorders>
              <w:top w:val="single" w:color="auto" w:sz="4" w:space="0"/>
              <w:left w:val="nil"/>
              <w:bottom w:val="single" w:color="auto" w:sz="12"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125.</w:t>
            </w:r>
            <w:r>
              <w:rPr>
                <w:rFonts w:hint="eastAsia" w:ascii="Times New Roman" w:hAnsi="Times New Roman" w:cs="Times New Roman"/>
                <w:kern w:val="0"/>
                <w:sz w:val="18"/>
                <w:szCs w:val="18"/>
              </w:rPr>
              <w:t>黄胸鹀</w:t>
            </w:r>
          </w:p>
        </w:tc>
        <w:tc>
          <w:tcPr>
            <w:tcW w:w="2552"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Emberiza aureola</w:t>
            </w:r>
          </w:p>
        </w:tc>
        <w:tc>
          <w:tcPr>
            <w:tcW w:w="991"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旅</w:t>
            </w:r>
          </w:p>
        </w:tc>
        <w:tc>
          <w:tcPr>
            <w:tcW w:w="991"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古</w:t>
            </w:r>
          </w:p>
        </w:tc>
        <w:tc>
          <w:tcPr>
            <w:tcW w:w="992"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CR 2017</w:t>
            </w:r>
          </w:p>
        </w:tc>
        <w:tc>
          <w:tcPr>
            <w:tcW w:w="1239" w:type="dxa"/>
            <w:tcBorders>
              <w:top w:val="single" w:color="auto" w:sz="4" w:space="0"/>
              <w:left w:val="single" w:color="auto" w:sz="4" w:space="0"/>
              <w:bottom w:val="single" w:color="auto" w:sz="12"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国Ⅰ</w:t>
            </w:r>
          </w:p>
        </w:tc>
      </w:tr>
    </w:tbl>
    <w:p>
      <w:pPr>
        <w:spacing w:line="240" w:lineRule="auto"/>
        <w:ind w:firstLine="422"/>
        <w:rPr>
          <w:rFonts w:ascii="Times New Roman" w:hAnsi="Times New Roman" w:eastAsia="仿宋" w:cs="Times New Roman"/>
          <w:b/>
          <w:bCs/>
        </w:rPr>
      </w:pPr>
      <w:r>
        <w:rPr>
          <w:rFonts w:hint="eastAsia" w:ascii="仿宋" w:hAnsi="仿宋" w:eastAsia="仿宋" w:cs="仿宋"/>
          <w:b/>
          <w:bCs/>
          <w:sz w:val="21"/>
          <w:lang w:bidi="ar"/>
        </w:rPr>
        <w:t>注：物种保护级别被分为</w:t>
      </w:r>
      <w:r>
        <w:rPr>
          <w:rFonts w:ascii="Times New Roman" w:hAnsi="Times New Roman" w:eastAsia="仿宋" w:cs="Times New Roman"/>
          <w:b/>
          <w:bCs/>
          <w:sz w:val="21"/>
          <w:lang w:bidi="ar"/>
        </w:rPr>
        <w:t>9</w:t>
      </w:r>
      <w:r>
        <w:rPr>
          <w:rFonts w:hint="eastAsia" w:ascii="仿宋" w:hAnsi="仿宋" w:eastAsia="仿宋" w:cs="仿宋"/>
          <w:b/>
          <w:bCs/>
          <w:sz w:val="21"/>
          <w:lang w:bidi="ar"/>
        </w:rPr>
        <w:t>类，根据数目下降速度、物种总数、地理分布、群族分散程度等准则分类，最高级别是绝灭</w:t>
      </w:r>
      <w:r>
        <w:rPr>
          <w:rFonts w:ascii="Times New Roman" w:hAnsi="Times New Roman" w:eastAsia="仿宋" w:cs="Times New Roman"/>
          <w:b/>
          <w:bCs/>
          <w:sz w:val="21"/>
          <w:lang w:bidi="ar"/>
        </w:rPr>
        <w:t>(EX)</w:t>
      </w:r>
      <w:r>
        <w:rPr>
          <w:rFonts w:hint="eastAsia" w:ascii="仿宋" w:hAnsi="仿宋" w:eastAsia="仿宋" w:cs="仿宋"/>
          <w:b/>
          <w:bCs/>
          <w:sz w:val="21"/>
          <w:lang w:bidi="ar"/>
        </w:rPr>
        <w:t>，其次是野外绝灭</w:t>
      </w:r>
      <w:r>
        <w:rPr>
          <w:rFonts w:ascii="Times New Roman" w:hAnsi="Times New Roman" w:eastAsia="仿宋" w:cs="Times New Roman"/>
          <w:b/>
          <w:bCs/>
          <w:sz w:val="21"/>
          <w:lang w:bidi="ar"/>
        </w:rPr>
        <w:t>(EW)</w:t>
      </w:r>
      <w:r>
        <w:rPr>
          <w:rFonts w:hint="eastAsia" w:ascii="仿宋" w:hAnsi="仿宋" w:eastAsia="仿宋" w:cs="仿宋"/>
          <w:b/>
          <w:bCs/>
          <w:sz w:val="21"/>
          <w:lang w:bidi="ar"/>
        </w:rPr>
        <w:t>，</w:t>
      </w:r>
      <w:r>
        <w:rPr>
          <w:rFonts w:ascii="Times New Roman" w:hAnsi="Times New Roman" w:eastAsia="仿宋" w:cs="Times New Roman"/>
          <w:b/>
          <w:bCs/>
          <w:sz w:val="21"/>
          <w:lang w:bidi="ar"/>
        </w:rPr>
        <w:t>“</w:t>
      </w:r>
      <w:r>
        <w:rPr>
          <w:rFonts w:hint="eastAsia" w:ascii="仿宋" w:hAnsi="仿宋" w:eastAsia="仿宋" w:cs="仿宋"/>
          <w:b/>
          <w:bCs/>
          <w:sz w:val="21"/>
          <w:lang w:bidi="ar"/>
        </w:rPr>
        <w:t>极危</w:t>
      </w:r>
      <w:r>
        <w:rPr>
          <w:rFonts w:ascii="Times New Roman" w:hAnsi="Times New Roman" w:eastAsia="仿宋" w:cs="Times New Roman"/>
          <w:b/>
          <w:bCs/>
          <w:sz w:val="21"/>
          <w:lang w:bidi="ar"/>
        </w:rPr>
        <w:t>”(CR)</w:t>
      </w:r>
      <w:r>
        <w:rPr>
          <w:rFonts w:hint="eastAsia" w:ascii="仿宋" w:hAnsi="仿宋" w:eastAsia="仿宋" w:cs="仿宋"/>
          <w:b/>
          <w:bCs/>
          <w:sz w:val="21"/>
          <w:lang w:bidi="ar"/>
        </w:rPr>
        <w:t>、</w:t>
      </w:r>
      <w:r>
        <w:rPr>
          <w:rFonts w:ascii="Times New Roman" w:hAnsi="Times New Roman" w:eastAsia="仿宋" w:cs="Times New Roman"/>
          <w:b/>
          <w:bCs/>
          <w:sz w:val="21"/>
          <w:lang w:bidi="ar"/>
        </w:rPr>
        <w:t>“</w:t>
      </w:r>
      <w:r>
        <w:rPr>
          <w:rFonts w:hint="eastAsia" w:ascii="仿宋" w:hAnsi="仿宋" w:eastAsia="仿宋" w:cs="仿宋"/>
          <w:b/>
          <w:bCs/>
          <w:sz w:val="21"/>
          <w:lang w:bidi="ar"/>
        </w:rPr>
        <w:t>濒危</w:t>
      </w:r>
      <w:r>
        <w:rPr>
          <w:rFonts w:ascii="Times New Roman" w:hAnsi="Times New Roman" w:eastAsia="仿宋" w:cs="Times New Roman"/>
          <w:b/>
          <w:bCs/>
          <w:sz w:val="21"/>
          <w:lang w:bidi="ar"/>
        </w:rPr>
        <w:t>”(EN)</w:t>
      </w:r>
    </w:p>
    <w:p>
      <w:pPr>
        <w:ind w:firstLine="480"/>
      </w:pPr>
    </w:p>
    <w:p>
      <w:pPr>
        <w:pStyle w:val="5"/>
        <w:numPr>
          <w:ilvl w:val="0"/>
          <w:numId w:val="0"/>
        </w:numPr>
        <w:tabs>
          <w:tab w:val="left" w:pos="2268"/>
          <w:tab w:val="clear" w:pos="921"/>
          <w:tab w:val="clear" w:pos="2241"/>
        </w:tabs>
        <w:spacing w:after="0" w:line="360" w:lineRule="auto"/>
        <w:rPr>
          <w:rStyle w:val="1121"/>
          <w:rFonts w:eastAsia="黑体"/>
          <w:b w:val="0"/>
          <w:color w:val="auto"/>
          <w:sz w:val="24"/>
          <w:szCs w:val="24"/>
        </w:rPr>
      </w:pPr>
      <w:r>
        <w:rPr>
          <w:rStyle w:val="1121"/>
          <w:rFonts w:eastAsia="黑体"/>
          <w:b w:val="0"/>
          <w:color w:val="auto"/>
          <w:sz w:val="24"/>
          <w:szCs w:val="24"/>
        </w:rPr>
        <w:t>4.9.1.3</w:t>
      </w:r>
      <w:r>
        <w:rPr>
          <w:rStyle w:val="1121"/>
          <w:rFonts w:hint="eastAsia" w:eastAsia="黑体"/>
          <w:b w:val="0"/>
          <w:color w:val="auto"/>
          <w:sz w:val="24"/>
          <w:szCs w:val="24"/>
        </w:rPr>
        <w:t>两栖爬行动物调查</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调查方法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本次两栖爬行动物调查调查方法主要包括：参照《生物多样性观测技术导则两栖动物（HJ 710.6-2014），《生物多样性观测技术导则爬行动物（HJ 710.5-2014）》，采取以下方法进行调查。</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a 历史资料收集与整理：</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收集调查区域内已有资料（发表和未发表的文献、馆藏标本等），结合访谈调查，掌握调查区域内的物种组成及分布的历史记录。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b 样线法：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每条样线长度在1km，短样线可适当增加数量，样线的宽度根据视野情况而定，一般为2-6m。调查时行进速度应保持在2km/h左右，行进期间记录物种和个体数量。通常2人合作，1人观测、报告种类和数量，另1人记录。鉴于两栖爬行类的昼夜活动节律不同，每条样线采取白天调查1次、晚上调查1次，共2次调查的方法，力争覆盖所有两栖爬行类的活动时间。</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c 样方法：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在调查样地内随机或均匀设置一定数量的样方，样方应尽可能涵盖不同的生境类型和环境梯度。样方一般设置为方形，大小可设置成50m×50m，每个样方应间隔100m以上，每个调查样地的样方数至少2个。记录样方内见到的所有两爬动物的种类和个体数量，依次翻开样方内的石块，检视石块下的个体。</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d 栅栏陷阱法：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栅栏陷阱法由栅栏和陷阱两部分组成，栅栏可使用动物不能攀越或跳过的、具有一定高度的塑料篷布、塑料板、铁皮等材料搭建，采用“一”字栅栏陷阱和“十”字栅栏陷阱，在栅栏底缘的内侧或（和）外侧，沿栅栏挖埋一个或多个陷阱捕获器，陷阱捕获器可以是塑料桶或金属罐。栅栏应有支撑物支持，保持直立，高出地面35-50cm，埋入地下至少10cm。每个样地至少设置3个陷阱，每天或隔天巡视检查1次，连续3天调查。</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主要参考依据：季达明等.《中国爬行动物图鉴》，2002，河南科学技术出版社。费梁等.《中国两栖动物及其分布彩色图鉴》，2012，四川科技出版社。费梁等.《中国两栖动物图鉴》，1999，河南科学技术出版社。</w:t>
      </w:r>
    </w:p>
    <w:p>
      <w:pPr>
        <w:adjustRightInd/>
        <w:snapToGrid/>
        <w:spacing w:line="240" w:lineRule="auto"/>
        <w:ind w:firstLine="0" w:firstLineChars="0"/>
        <w:jc w:val="center"/>
        <w:rPr>
          <w:rFonts w:ascii="黑体" w:hAnsi="黑体" w:eastAsia="黑体" w:cs="Times New Roman"/>
          <w:color w:val="auto"/>
          <w:szCs w:val="24"/>
        </w:rPr>
      </w:pPr>
      <w:r>
        <w:rPr>
          <w:rFonts w:ascii="Times New Roman" w:hAnsi="Times New Roman" w:cs="Times New Roman"/>
          <w:snapToGrid w:val="0"/>
          <w:color w:val="auto"/>
          <w:szCs w:val="20"/>
          <w:lang w:val="zh-CN"/>
        </w:rPr>
        <w:drawing>
          <wp:inline distT="0" distB="0" distL="0" distR="0">
            <wp:extent cx="4776470" cy="3433445"/>
            <wp:effectExtent l="0" t="0" r="5080" b="0"/>
            <wp:docPr id="2970" name="图片 297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70" name="图片 2970"/>
                    <pic:cNvPicPr>
                      <a:picLocks noChangeAspect="true" noChangeArrowheads="true"/>
                    </pic:cNvPicPr>
                  </pic:nvPicPr>
                  <pic:blipFill>
                    <a:blip r:embed="rId154" cstate="print">
                      <a:extLst>
                        <a:ext uri="{28A0092B-C50C-407E-A947-70E740481C1C}">
                          <a14:useLocalDpi xmlns:a14="http://schemas.microsoft.com/office/drawing/2010/main" val="false"/>
                        </a:ext>
                      </a:extLst>
                    </a:blip>
                    <a:srcRect/>
                    <a:stretch>
                      <a:fillRect/>
                    </a:stretch>
                  </pic:blipFill>
                  <pic:spPr>
                    <a:xfrm>
                      <a:off x="0" y="0"/>
                      <a:ext cx="4776470" cy="3433445"/>
                    </a:xfrm>
                    <a:prstGeom prst="rect">
                      <a:avLst/>
                    </a:prstGeom>
                    <a:noFill/>
                    <a:ln>
                      <a:noFill/>
                    </a:ln>
                  </pic:spPr>
                </pic:pic>
              </a:graphicData>
            </a:graphic>
          </wp:inline>
        </w:drawing>
      </w:r>
    </w:p>
    <w:p>
      <w:pPr>
        <w:spacing w:line="240" w:lineRule="auto"/>
        <w:ind w:firstLine="0" w:firstLineChars="0"/>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图</w:t>
      </w:r>
      <w:r>
        <w:rPr>
          <w:rFonts w:ascii="Times New Roman" w:hAnsi="Times New Roman" w:cs="Times New Roman"/>
          <w:b/>
          <w:color w:val="auto"/>
          <w:kern w:val="0"/>
          <w:sz w:val="21"/>
          <w:szCs w:val="21"/>
        </w:rPr>
        <w:t xml:space="preserve">4.9-4    </w:t>
      </w:r>
      <w:r>
        <w:rPr>
          <w:rFonts w:hint="eastAsia" w:ascii="Times New Roman" w:hAnsi="Times New Roman" w:cs="Times New Roman"/>
          <w:b/>
          <w:color w:val="auto"/>
          <w:kern w:val="0"/>
          <w:sz w:val="21"/>
          <w:szCs w:val="21"/>
        </w:rPr>
        <w:t>两栖爬行陷阱调查法</w:t>
      </w:r>
    </w:p>
    <w:p>
      <w:pPr>
        <w:adjustRightInd/>
        <w:snapToGrid/>
        <w:spacing w:line="240" w:lineRule="auto"/>
        <w:ind w:firstLine="0" w:firstLineChars="0"/>
        <w:rPr>
          <w:rFonts w:cs="Times New Roman"/>
          <w:color w:val="auto"/>
          <w:sz w:val="21"/>
        </w:rPr>
      </w:pP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、两栖爬行动物调查结果</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（1）物种组成</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临河湿地、巢湖湿地区域主要为湿地生境，海拔低，地势低洼，没有山地，也缺乏大面积林地。调查显示巢湖湿地区所在区域两栖爬行动物种类较少。其中两栖类只有1目无尾目，3科分别是蟾蜍科、蛙科、姬蛙科一种，共4种蛙类。较常见的就是中华蟾蜍、泽陆蛙以及黑斑侧褶蛙。爬行纲调查到龟鳖目、蜥蜴目和蛇目</w:t>
      </w:r>
      <w:r>
        <w:rPr>
          <w:rFonts w:ascii="Times New Roman" w:hAnsi="Times New Roman" w:cs="Times New Roman"/>
          <w:snapToGrid w:val="0"/>
          <w:color w:val="auto"/>
          <w:szCs w:val="20"/>
          <w:lang w:val="zh-CN"/>
        </w:rPr>
        <w:t>3</w:t>
      </w:r>
      <w:r>
        <w:rPr>
          <w:rFonts w:hint="eastAsia" w:ascii="Times New Roman" w:hAnsi="Times New Roman" w:cs="Times New Roman"/>
          <w:snapToGrid w:val="0"/>
          <w:color w:val="auto"/>
          <w:szCs w:val="20"/>
          <w:lang w:val="zh-CN"/>
        </w:rPr>
        <w:t>目共</w:t>
      </w:r>
      <w:r>
        <w:rPr>
          <w:rFonts w:ascii="Times New Roman" w:hAnsi="Times New Roman" w:cs="Times New Roman"/>
          <w:snapToGrid w:val="0"/>
          <w:color w:val="auto"/>
          <w:szCs w:val="20"/>
          <w:lang w:val="zh-CN"/>
        </w:rPr>
        <w:t>5</w:t>
      </w:r>
      <w:r>
        <w:rPr>
          <w:rFonts w:hint="eastAsia" w:ascii="Times New Roman" w:hAnsi="Times New Roman" w:cs="Times New Roman"/>
          <w:snapToGrid w:val="0"/>
          <w:color w:val="auto"/>
          <w:szCs w:val="20"/>
          <w:lang w:val="zh-CN"/>
        </w:rPr>
        <w:t>科</w:t>
      </w:r>
      <w:r>
        <w:rPr>
          <w:rFonts w:ascii="Times New Roman" w:hAnsi="Times New Roman" w:cs="Times New Roman"/>
          <w:snapToGrid w:val="0"/>
          <w:color w:val="auto"/>
          <w:szCs w:val="20"/>
          <w:lang w:val="zh-CN"/>
        </w:rPr>
        <w:t>7</w:t>
      </w:r>
      <w:r>
        <w:rPr>
          <w:rFonts w:hint="eastAsia" w:ascii="Times New Roman" w:hAnsi="Times New Roman" w:cs="Times New Roman"/>
          <w:snapToGrid w:val="0"/>
          <w:color w:val="auto"/>
          <w:szCs w:val="20"/>
          <w:lang w:val="zh-CN"/>
        </w:rPr>
        <w:t>种，调查到的乌龟为人为放生。蛇目最常见的就是红纹滞卵蛇。所调查到的所有两栖爬行动物都为三有保护物种，其中大部分都是省二级保护物种。具体两栖爬行名录见表</w:t>
      </w:r>
      <w:r>
        <w:rPr>
          <w:rFonts w:ascii="Times New Roman" w:hAnsi="Times New Roman" w:cs="Times New Roman"/>
          <w:snapToGrid w:val="0"/>
          <w:color w:val="auto"/>
          <w:szCs w:val="20"/>
          <w:lang w:val="zh-CN"/>
        </w:rPr>
        <w:t>4.9-12</w:t>
      </w:r>
      <w:r>
        <w:rPr>
          <w:rFonts w:hint="eastAsia" w:ascii="Times New Roman" w:hAnsi="Times New Roman" w:cs="Times New Roman"/>
          <w:snapToGrid w:val="0"/>
          <w:color w:val="auto"/>
          <w:szCs w:val="20"/>
          <w:lang w:val="zh-CN"/>
        </w:rPr>
        <w:t>。</w:t>
      </w:r>
    </w:p>
    <w:p>
      <w:pPr>
        <w:spacing w:line="240" w:lineRule="auto"/>
        <w:ind w:firstLine="0" w:firstLineChars="0"/>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4.9-12    </w:t>
      </w:r>
      <w:r>
        <w:rPr>
          <w:rFonts w:hint="eastAsia" w:ascii="Times New Roman" w:hAnsi="Times New Roman" w:cs="Times New Roman"/>
          <w:b/>
          <w:color w:val="auto"/>
          <w:kern w:val="0"/>
          <w:sz w:val="21"/>
          <w:szCs w:val="21"/>
        </w:rPr>
        <w:t>临河湿地、巢湖湿地两栖爬行动物名录</w:t>
      </w:r>
    </w:p>
    <w:tbl>
      <w:tblPr>
        <w:tblStyle w:val="62"/>
        <w:tblW w:w="8900" w:type="dxa"/>
        <w:tblInd w:w="146"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6" w:type="dxa"/>
          <w:left w:w="106" w:type="dxa"/>
          <w:bottom w:w="0" w:type="dxa"/>
          <w:right w:w="65" w:type="dxa"/>
        </w:tblCellMar>
      </w:tblPr>
      <w:tblGrid>
        <w:gridCol w:w="2147"/>
        <w:gridCol w:w="2026"/>
        <w:gridCol w:w="2701"/>
        <w:gridCol w:w="202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328"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纲</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目、科、种</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拉丁学名</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保护等级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90"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两栖纲</w:t>
            </w:r>
            <w:r>
              <w:rPr>
                <w:rFonts w:ascii="Times New Roman" w:hAnsi="Times New Roman" w:cs="Times New Roman"/>
                <w:kern w:val="0"/>
                <w:sz w:val="18"/>
                <w:szCs w:val="18"/>
              </w:rPr>
              <w:t>AMPHIBIA</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无尾目</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Anura</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58"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蟾蜍科</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Bufonidae</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98"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中华蟾蜍</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Bufo gararizans</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 xml:space="preserve">省 </w:t>
            </w:r>
            <w:r>
              <w:rPr>
                <w:rFonts w:ascii="Times New Roman" w:hAnsi="Times New Roman" w:cs="Times New Roman"/>
                <w:kern w:val="0"/>
                <w:sz w:val="18"/>
                <w:szCs w:val="18"/>
              </w:rPr>
              <w:t>II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81"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蛙科</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Ranidae</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58"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泽陆蛙</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Rana limnocharis</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254"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黑斑蛙</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Rana nigromaculate</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 xml:space="preserve">省 </w:t>
            </w:r>
            <w:r>
              <w:rPr>
                <w:rFonts w:ascii="Times New Roman" w:hAnsi="Times New Roman" w:cs="Times New Roman"/>
                <w:kern w:val="0"/>
                <w:sz w:val="18"/>
                <w:szCs w:val="18"/>
              </w:rPr>
              <w:t>II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215"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金线蛙</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Pelophylax plancyi</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 xml:space="preserve">省 </w:t>
            </w:r>
            <w:r>
              <w:rPr>
                <w:rFonts w:ascii="Times New Roman" w:hAnsi="Times New Roman" w:cs="Times New Roman"/>
                <w:kern w:val="0"/>
                <w:sz w:val="18"/>
                <w:szCs w:val="18"/>
              </w:rPr>
              <w:t>II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59"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姬蛙科</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Microhylidae</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214"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饰纹姬蛙</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Microhyla ornata</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65"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爬行纲</w:t>
            </w:r>
            <w:r>
              <w:rPr>
                <w:rFonts w:ascii="Times New Roman" w:hAnsi="Times New Roman" w:cs="Times New Roman"/>
                <w:kern w:val="0"/>
                <w:sz w:val="18"/>
                <w:szCs w:val="18"/>
              </w:rPr>
              <w:t>REPTILIA</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龟鳖目</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Testudofo rmes</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34"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龟科</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Trionychidae</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11"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乌龟</w:t>
            </w:r>
            <w:r>
              <w:rPr>
                <w:rFonts w:ascii="Times New Roman" w:hAnsi="Times New Roman" w:cs="Times New Roman"/>
                <w:kern w:val="0"/>
                <w:sz w:val="18"/>
                <w:szCs w:val="18"/>
              </w:rPr>
              <w:t xml:space="preserve"> </w:t>
            </w:r>
            <w:r>
              <w:rPr>
                <w:rFonts w:hint="eastAsia" w:ascii="Times New Roman" w:hAnsi="Times New Roman" w:cs="Times New Roman"/>
                <w:kern w:val="0"/>
                <w:sz w:val="18"/>
                <w:szCs w:val="18"/>
              </w:rPr>
              <w:t>（人工）</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Chinemys reevesii</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11"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鳖科</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Trionychidae</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11"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中华鳖</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Trionyx sinensis</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 xml:space="preserve">省 </w:t>
            </w:r>
            <w:r>
              <w:rPr>
                <w:rFonts w:ascii="Times New Roman" w:hAnsi="Times New Roman" w:cs="Times New Roman"/>
                <w:kern w:val="0"/>
                <w:sz w:val="18"/>
                <w:szCs w:val="18"/>
              </w:rPr>
              <w:t>II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11"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蜥蜴目</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Lacertian</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11"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壁虎科</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Gekkonidae</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11"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多疣壁虎</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Gekko japonicus</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69"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蛇目</w:t>
            </w:r>
          </w:p>
        </w:tc>
        <w:tc>
          <w:tcPr>
            <w:tcW w:w="2701"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Serpentiformes</w:t>
            </w:r>
          </w:p>
        </w:tc>
        <w:tc>
          <w:tcPr>
            <w:tcW w:w="2026"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211"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游蛇科</w:t>
            </w:r>
          </w:p>
        </w:tc>
        <w:tc>
          <w:tcPr>
            <w:tcW w:w="2701"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Colubridae</w:t>
            </w:r>
          </w:p>
        </w:tc>
        <w:tc>
          <w:tcPr>
            <w:tcW w:w="2026"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50"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赤链蛇</w:t>
            </w:r>
          </w:p>
        </w:tc>
        <w:tc>
          <w:tcPr>
            <w:tcW w:w="2701"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Dinodon rufozonatum</w:t>
            </w:r>
          </w:p>
        </w:tc>
        <w:tc>
          <w:tcPr>
            <w:tcW w:w="2026"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 xml:space="preserve">省 </w:t>
            </w:r>
            <w:r>
              <w:rPr>
                <w:rFonts w:ascii="Times New Roman" w:hAnsi="Times New Roman" w:cs="Times New Roman"/>
                <w:kern w:val="0"/>
                <w:sz w:val="18"/>
                <w:szCs w:val="18"/>
              </w:rPr>
              <w:t>II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224"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红纹滞卵蛇</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Elaphe rufodorsata</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 xml:space="preserve">省 </w:t>
            </w:r>
            <w:r>
              <w:rPr>
                <w:rFonts w:ascii="Times New Roman" w:hAnsi="Times New Roman" w:cs="Times New Roman"/>
                <w:kern w:val="0"/>
                <w:sz w:val="18"/>
                <w:szCs w:val="18"/>
              </w:rPr>
              <w:t>II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67"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黑眉锦蛇</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Elaphe taeniura</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 xml:space="preserve">省 </w:t>
            </w:r>
            <w:r>
              <w:rPr>
                <w:rFonts w:ascii="Times New Roman" w:hAnsi="Times New Roman" w:cs="Times New Roman"/>
                <w:kern w:val="0"/>
                <w:sz w:val="18"/>
                <w:szCs w:val="18"/>
              </w:rPr>
              <w:t>II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35"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蝰科</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Viperidae</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6" w:type="dxa"/>
            <w:left w:w="106" w:type="dxa"/>
            <w:bottom w:w="0" w:type="dxa"/>
            <w:right w:w="65" w:type="dxa"/>
          </w:tblCellMar>
        </w:tblPrEx>
        <w:trPr>
          <w:trHeight w:val="175" w:hRule="atLeast"/>
        </w:trPr>
        <w:tc>
          <w:tcPr>
            <w:tcW w:w="2147"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短尾蝮</w:t>
            </w:r>
          </w:p>
        </w:tc>
        <w:tc>
          <w:tcPr>
            <w:tcW w:w="2701"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Gloydius brevicaudus</w:t>
            </w:r>
          </w:p>
        </w:tc>
        <w:tc>
          <w:tcPr>
            <w:tcW w:w="2026"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 xml:space="preserve">省 </w:t>
            </w:r>
            <w:r>
              <w:rPr>
                <w:rFonts w:ascii="Times New Roman" w:hAnsi="Times New Roman" w:cs="Times New Roman"/>
                <w:kern w:val="0"/>
                <w:sz w:val="18"/>
                <w:szCs w:val="18"/>
              </w:rPr>
              <w:t>II</w:t>
            </w:r>
          </w:p>
        </w:tc>
      </w:tr>
    </w:tbl>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（2）生态类型</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两栖动物栖息在水体及其周围灌木和草丛环境，繁殖季节完全离不开水环境，生长或越冬时可以暂时远离水体，其生态类型大致有以下</w:t>
      </w:r>
      <w:r>
        <w:rPr>
          <w:rFonts w:hint="eastAsia" w:ascii="Times New Roman" w:hAnsi="Times New Roman" w:cs="Times New Roman"/>
          <w:snapToGrid w:val="0"/>
          <w:color w:val="auto"/>
          <w:szCs w:val="20"/>
          <w:lang w:val="zh-CN"/>
        </w:rPr>
        <w:t>2</w:t>
      </w:r>
      <w:r>
        <w:rPr>
          <w:rFonts w:ascii="Times New Roman" w:hAnsi="Times New Roman" w:cs="Times New Roman"/>
          <w:snapToGrid w:val="0"/>
          <w:color w:val="auto"/>
          <w:szCs w:val="20"/>
          <w:lang w:val="zh-CN"/>
        </w:rPr>
        <w:t>类：静态水体型：指水体流动缓或静止的池塘、稻田或沟渠，周边环境水草丰富，是多数蛙类喜欢的生态环境，代表动物有</w:t>
      </w:r>
      <w:r>
        <w:rPr>
          <w:rFonts w:hint="eastAsia" w:ascii="Times New Roman" w:hAnsi="Times New Roman" w:cs="Times New Roman"/>
          <w:snapToGrid w:val="0"/>
          <w:color w:val="auto"/>
          <w:szCs w:val="20"/>
          <w:lang w:val="zh-CN"/>
        </w:rPr>
        <w:t>黑斑</w:t>
      </w:r>
      <w:r>
        <w:rPr>
          <w:rFonts w:ascii="Times New Roman" w:hAnsi="Times New Roman" w:cs="Times New Roman"/>
          <w:snapToGrid w:val="0"/>
          <w:color w:val="auto"/>
          <w:szCs w:val="20"/>
          <w:lang w:val="zh-CN"/>
        </w:rPr>
        <w:t>侧褶蛙、</w:t>
      </w:r>
      <w:r>
        <w:rPr>
          <w:rFonts w:hint="eastAsia" w:ascii="Times New Roman" w:hAnsi="Times New Roman" w:cs="Times New Roman"/>
          <w:snapToGrid w:val="0"/>
          <w:color w:val="auto"/>
          <w:szCs w:val="20"/>
          <w:lang w:val="zh-CN"/>
        </w:rPr>
        <w:t>金线侧褶蛙、</w:t>
      </w:r>
      <w:r>
        <w:rPr>
          <w:rFonts w:ascii="Times New Roman" w:hAnsi="Times New Roman" w:cs="Times New Roman"/>
          <w:snapToGrid w:val="0"/>
          <w:color w:val="auto"/>
          <w:szCs w:val="20"/>
          <w:lang w:val="zh-CN"/>
        </w:rPr>
        <w:t>泽陆蛙</w:t>
      </w:r>
      <w:r>
        <w:rPr>
          <w:rFonts w:hint="eastAsia" w:ascii="Times New Roman" w:hAnsi="Times New Roman" w:cs="Times New Roman"/>
          <w:snapToGrid w:val="0"/>
          <w:color w:val="auto"/>
          <w:szCs w:val="20"/>
          <w:lang w:val="zh-CN"/>
        </w:rPr>
        <w:t>、饰纹姬蛙；</w:t>
      </w:r>
      <w:r>
        <w:rPr>
          <w:rFonts w:ascii="Times New Roman" w:hAnsi="Times New Roman" w:cs="Times New Roman"/>
          <w:snapToGrid w:val="0"/>
          <w:color w:val="auto"/>
          <w:szCs w:val="20"/>
          <w:lang w:val="zh-CN"/>
        </w:rPr>
        <w:t>林下湿地型：在林下湿润的或积水洼地中活动，代表动物有中华蟾蜍。</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评价区的爬行动物，根据食性选择和生态来区分，可以分为</w:t>
      </w:r>
      <w:r>
        <w:rPr>
          <w:rFonts w:hint="eastAsia" w:ascii="Times New Roman" w:hAnsi="Times New Roman" w:cs="Times New Roman"/>
          <w:snapToGrid w:val="0"/>
          <w:color w:val="auto"/>
          <w:szCs w:val="20"/>
          <w:lang w:val="zh-CN"/>
        </w:rPr>
        <w:t>2</w:t>
      </w:r>
      <w:r>
        <w:rPr>
          <w:rFonts w:ascii="Times New Roman" w:hAnsi="Times New Roman" w:cs="Times New Roman"/>
          <w:snapToGrid w:val="0"/>
          <w:color w:val="auto"/>
          <w:szCs w:val="20"/>
          <w:lang w:val="zh-CN"/>
        </w:rPr>
        <w:t>种群落类型，但是它们之间并非严格区分的。村宅院落型</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多以蛇类为主，多以鼠为食，在人类生活区周边活动，代表动物有</w:t>
      </w:r>
      <w:r>
        <w:rPr>
          <w:rFonts w:hint="eastAsia" w:ascii="Times New Roman" w:hAnsi="Times New Roman" w:cs="Times New Roman"/>
          <w:snapToGrid w:val="0"/>
          <w:color w:val="auto"/>
          <w:szCs w:val="20"/>
          <w:lang w:val="zh-CN"/>
        </w:rPr>
        <w:t>黑眉锦蛇</w:t>
      </w:r>
      <w:r>
        <w:rPr>
          <w:rFonts w:ascii="Times New Roman" w:hAnsi="Times New Roman" w:cs="Times New Roman"/>
          <w:snapToGrid w:val="0"/>
          <w:color w:val="auto"/>
          <w:szCs w:val="20"/>
          <w:lang w:val="zh-CN"/>
        </w:rPr>
        <w:t>、</w:t>
      </w:r>
      <w:r>
        <w:rPr>
          <w:rFonts w:hint="eastAsia" w:ascii="Times New Roman" w:hAnsi="Times New Roman" w:cs="Times New Roman"/>
          <w:snapToGrid w:val="0"/>
          <w:color w:val="auto"/>
          <w:szCs w:val="20"/>
          <w:lang w:val="zh-CN"/>
        </w:rPr>
        <w:t>多疣</w:t>
      </w:r>
      <w:r>
        <w:rPr>
          <w:rFonts w:ascii="Times New Roman" w:hAnsi="Times New Roman" w:cs="Times New Roman"/>
          <w:snapToGrid w:val="0"/>
          <w:color w:val="auto"/>
          <w:szCs w:val="20"/>
          <w:lang w:val="zh-CN"/>
        </w:rPr>
        <w:t>壁虎</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农田草丛型</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在沟渠、农田、水塘或积水洼地的草丛或灌木丛的蛇较多，代表动物有赤链蛇、</w:t>
      </w:r>
      <w:r>
        <w:rPr>
          <w:rFonts w:hint="eastAsia" w:ascii="Times New Roman" w:hAnsi="Times New Roman" w:cs="Times New Roman"/>
          <w:snapToGrid w:val="0"/>
          <w:color w:val="auto"/>
          <w:szCs w:val="20"/>
          <w:lang w:val="zh-CN"/>
        </w:rPr>
        <w:t>短尾蝮、红纹滞卵蛇</w:t>
      </w:r>
      <w:r>
        <w:rPr>
          <w:rFonts w:ascii="Times New Roman" w:hAnsi="Times New Roman" w:cs="Times New Roman"/>
          <w:snapToGrid w:val="0"/>
          <w:color w:val="auto"/>
          <w:szCs w:val="20"/>
          <w:lang w:val="zh-CN"/>
        </w:rPr>
        <w:t>等。</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 xml:space="preserve"> </w:t>
      </w:r>
      <w:r>
        <w:rPr>
          <w:rFonts w:hint="eastAsia" w:ascii="Times New Roman" w:hAnsi="Times New Roman" w:cs="Times New Roman"/>
          <w:snapToGrid w:val="0"/>
          <w:color w:val="auto"/>
          <w:szCs w:val="20"/>
          <w:lang w:val="zh-CN"/>
        </w:rPr>
        <w:t>（3）濒危保护物种</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评价区分布有两栖</w:t>
      </w:r>
      <w:r>
        <w:rPr>
          <w:rFonts w:hint="eastAsia" w:ascii="Times New Roman" w:hAnsi="Times New Roman" w:cs="Times New Roman"/>
          <w:snapToGrid w:val="0"/>
          <w:color w:val="auto"/>
          <w:szCs w:val="20"/>
          <w:lang w:val="zh-CN"/>
        </w:rPr>
        <w:t>爬行</w:t>
      </w:r>
      <w:r>
        <w:rPr>
          <w:rFonts w:ascii="Times New Roman" w:hAnsi="Times New Roman" w:cs="Times New Roman"/>
          <w:snapToGrid w:val="0"/>
          <w:color w:val="auto"/>
          <w:szCs w:val="20"/>
          <w:lang w:val="zh-CN"/>
        </w:rPr>
        <w:t>动物 12 种。</w:t>
      </w:r>
      <w:r>
        <w:rPr>
          <w:rFonts w:hint="eastAsia" w:ascii="Times New Roman" w:hAnsi="Times New Roman" w:cs="Times New Roman"/>
          <w:snapToGrid w:val="0"/>
          <w:color w:val="auto"/>
          <w:szCs w:val="20"/>
          <w:lang w:val="zh-CN"/>
        </w:rPr>
        <w:t>安徽省Ⅱ级保护动物有中华蟾蜍、黑斑侧褶蛙、金线侧褶蛙、中华鳖、红纹滞卵蛇、黑眉锦蛇、短尾蝮、赤链蛇。其中属于《世界自然保护联盟濒危物种红色名录》易危（V</w:t>
      </w:r>
      <w:r>
        <w:rPr>
          <w:rFonts w:ascii="Times New Roman" w:hAnsi="Times New Roman" w:cs="Times New Roman"/>
          <w:snapToGrid w:val="0"/>
          <w:color w:val="auto"/>
          <w:szCs w:val="20"/>
          <w:lang w:val="zh-CN"/>
        </w:rPr>
        <w:t>U</w:t>
      </w:r>
      <w:r>
        <w:rPr>
          <w:rFonts w:hint="eastAsia" w:ascii="Times New Roman" w:hAnsi="Times New Roman" w:cs="Times New Roman"/>
          <w:snapToGrid w:val="0"/>
          <w:color w:val="auto"/>
          <w:szCs w:val="20"/>
          <w:lang w:val="zh-CN"/>
        </w:rPr>
        <w:t>）1种-中华鳖，</w:t>
      </w:r>
      <w:r>
        <w:rPr>
          <w:rFonts w:ascii="Times New Roman" w:hAnsi="Times New Roman" w:cs="Times New Roman"/>
          <w:snapToGrid w:val="0"/>
          <w:color w:val="auto"/>
          <w:szCs w:val="20"/>
          <w:lang w:val="zh-CN"/>
        </w:rPr>
        <w:t>近危（NT）种2</w:t>
      </w:r>
      <w:r>
        <w:rPr>
          <w:rFonts w:hint="eastAsia" w:ascii="Times New Roman" w:hAnsi="Times New Roman" w:cs="Times New Roman"/>
          <w:snapToGrid w:val="0"/>
          <w:color w:val="auto"/>
          <w:szCs w:val="20"/>
          <w:lang w:val="zh-CN"/>
        </w:rPr>
        <w:t>种</w:t>
      </w:r>
      <w:r>
        <w:rPr>
          <w:rFonts w:ascii="Times New Roman" w:hAnsi="Times New Roman" w:cs="Times New Roman"/>
          <w:snapToGrid w:val="0"/>
          <w:color w:val="auto"/>
          <w:szCs w:val="20"/>
          <w:lang w:val="zh-CN"/>
        </w:rPr>
        <w:t>-黑斑侧</w:t>
      </w:r>
      <w:r>
        <w:rPr>
          <w:rFonts w:hint="eastAsia" w:ascii="Times New Roman" w:hAnsi="Times New Roman" w:cs="Times New Roman"/>
          <w:snapToGrid w:val="0"/>
          <w:color w:val="auto"/>
          <w:szCs w:val="20"/>
          <w:lang w:val="zh-CN"/>
        </w:rPr>
        <w:t>褶蛙、短尾蝮。</w:t>
      </w:r>
    </w:p>
    <w:p>
      <w:pPr>
        <w:pStyle w:val="5"/>
        <w:numPr>
          <w:ilvl w:val="0"/>
          <w:numId w:val="0"/>
        </w:numPr>
        <w:tabs>
          <w:tab w:val="left" w:pos="2268"/>
          <w:tab w:val="clear" w:pos="921"/>
          <w:tab w:val="clear" w:pos="2241"/>
        </w:tabs>
        <w:spacing w:before="120" w:after="0" w:line="360" w:lineRule="auto"/>
        <w:rPr>
          <w:rStyle w:val="1121"/>
          <w:rFonts w:eastAsia="黑体"/>
          <w:b w:val="0"/>
          <w:color w:val="auto"/>
          <w:sz w:val="24"/>
          <w:szCs w:val="24"/>
        </w:rPr>
      </w:pPr>
      <w:r>
        <w:rPr>
          <w:rStyle w:val="1121"/>
          <w:rFonts w:eastAsia="黑体"/>
          <w:b w:val="0"/>
          <w:color w:val="auto"/>
          <w:sz w:val="24"/>
          <w:szCs w:val="24"/>
        </w:rPr>
        <w:t>4.9.1.4</w:t>
      </w:r>
      <w:r>
        <w:rPr>
          <w:rStyle w:val="1121"/>
          <w:rFonts w:hint="eastAsia" w:eastAsia="黑体"/>
          <w:b w:val="0"/>
          <w:color w:val="auto"/>
          <w:sz w:val="24"/>
          <w:szCs w:val="24"/>
        </w:rPr>
        <w:t>兽类调查</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、调查方法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通过历史资料查阅，评价区主要分布小型兽类，小型兽类包括鼠类、蝙蝠类和鼬科动物。野生大型兽类的种类较少，记录过野猪和狗獾。</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小型兽类</w:t>
      </w:r>
      <w:r>
        <w:rPr>
          <w:rFonts w:ascii="Times New Roman" w:hAnsi="Times New Roman" w:cs="Times New Roman"/>
          <w:snapToGrid w:val="0"/>
          <w:color w:val="auto"/>
          <w:szCs w:val="20"/>
          <w:lang w:val="zh-CN"/>
        </w:rPr>
        <w:t>的调查</w:t>
      </w:r>
      <w:r>
        <w:rPr>
          <w:rFonts w:hint="eastAsia" w:ascii="Times New Roman" w:hAnsi="Times New Roman" w:cs="Times New Roman"/>
          <w:snapToGrid w:val="0"/>
          <w:color w:val="auto"/>
          <w:szCs w:val="20"/>
          <w:lang w:val="zh-CN"/>
        </w:rPr>
        <w:t>主要采取陷阱法，</w:t>
      </w:r>
      <w:r>
        <w:rPr>
          <w:rFonts w:ascii="Times New Roman" w:hAnsi="Times New Roman" w:cs="Times New Roman"/>
          <w:snapToGrid w:val="0"/>
          <w:color w:val="auto"/>
          <w:szCs w:val="20"/>
          <w:lang w:val="zh-CN"/>
        </w:rPr>
        <w:t>必要时还可以采用</w:t>
      </w:r>
      <w:r>
        <w:rPr>
          <w:rFonts w:hint="eastAsia" w:ascii="Times New Roman" w:hAnsi="Times New Roman" w:cs="Times New Roman"/>
          <w:snapToGrid w:val="0"/>
          <w:color w:val="auto"/>
          <w:szCs w:val="20"/>
          <w:lang w:val="zh-CN"/>
        </w:rPr>
        <w:t>铗</w:t>
      </w:r>
      <w:r>
        <w:rPr>
          <w:rFonts w:ascii="Times New Roman" w:hAnsi="Times New Roman" w:cs="Times New Roman"/>
          <w:snapToGrid w:val="0"/>
          <w:color w:val="auto"/>
          <w:szCs w:val="20"/>
          <w:lang w:val="zh-CN"/>
        </w:rPr>
        <w:t>夜法，在调查点中选择鼠类</w:t>
      </w:r>
      <w:r>
        <w:rPr>
          <w:rFonts w:hint="eastAsia" w:ascii="Times New Roman" w:hAnsi="Times New Roman" w:cs="Times New Roman"/>
          <w:snapToGrid w:val="0"/>
          <w:color w:val="auto"/>
          <w:szCs w:val="20"/>
          <w:lang w:val="zh-CN"/>
        </w:rPr>
        <w:t>等小型兽类</w:t>
      </w:r>
      <w:r>
        <w:rPr>
          <w:rFonts w:ascii="Times New Roman" w:hAnsi="Times New Roman" w:cs="Times New Roman"/>
          <w:snapToGrid w:val="0"/>
          <w:color w:val="auto"/>
          <w:szCs w:val="20"/>
          <w:lang w:val="zh-CN"/>
        </w:rPr>
        <w:t>活动的区域，采用五步夹法，进行捕鼠、分类鉴定</w:t>
      </w:r>
      <w:r>
        <w:rPr>
          <w:rFonts w:hint="eastAsia" w:ascii="Times New Roman" w:hAnsi="Times New Roman" w:cs="Times New Roman"/>
          <w:snapToGrid w:val="0"/>
          <w:color w:val="auto"/>
          <w:szCs w:val="20"/>
          <w:lang w:val="zh-CN"/>
        </w:rPr>
        <w:t>。蝙蝠的调查在白天主要采取巢穴观察法，在墙缝石洞中找到蝙蝠巢穴，捕捉后鉴定。还可以在夜间结合夜晚观察以及网捕法，捕捉一定个体后观察鉴定。</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大型兽类调查主要依据调查报告、文献资料和历史记录，并结合红外相机法同时进行。兽类的鉴定和分类以及在安徽的分布信息主要依据《安徽兽类志》以及《中国兽类野外手册》。</w:t>
      </w:r>
    </w:p>
    <w:p>
      <w:pPr>
        <w:adjustRightInd/>
        <w:snapToGrid/>
        <w:spacing w:line="240" w:lineRule="auto"/>
        <w:ind w:firstLine="0" w:firstLineChars="0"/>
        <w:jc w:val="center"/>
        <w:rPr>
          <w:rFonts w:ascii="黑体" w:hAnsi="黑体" w:eastAsia="黑体" w:cs="Times New Roman"/>
          <w:color w:val="auto"/>
          <w:szCs w:val="24"/>
        </w:rPr>
      </w:pPr>
      <w:r>
        <w:rPr>
          <w:rFonts w:ascii="Times New Roman" w:hAnsi="Times New Roman" w:cs="Times New Roman"/>
          <w:snapToGrid w:val="0"/>
          <w:color w:val="auto"/>
          <w:szCs w:val="20"/>
          <w:lang w:val="zh-CN"/>
        </w:rPr>
        <w:drawing>
          <wp:inline distT="0" distB="0" distL="0" distR="0">
            <wp:extent cx="4810125" cy="2738120"/>
            <wp:effectExtent l="0" t="0" r="9525" b="5080"/>
            <wp:docPr id="2971" name="图片 297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71" name="图片 2971"/>
                    <pic:cNvPicPr>
                      <a:picLocks noChangeAspect="true" noChangeArrowheads="true"/>
                    </pic:cNvPicPr>
                  </pic:nvPicPr>
                  <pic:blipFill>
                    <a:blip r:embed="rId155" cstate="print">
                      <a:extLst>
                        <a:ext uri="{28A0092B-C50C-407E-A947-70E740481C1C}">
                          <a14:useLocalDpi xmlns:a14="http://schemas.microsoft.com/office/drawing/2010/main" val="false"/>
                        </a:ext>
                      </a:extLst>
                    </a:blip>
                    <a:stretch>
                      <a:fillRect/>
                    </a:stretch>
                  </pic:blipFill>
                  <pic:spPr>
                    <a:xfrm>
                      <a:off x="0" y="0"/>
                      <a:ext cx="4810125" cy="2738120"/>
                    </a:xfrm>
                    <a:prstGeom prst="rect">
                      <a:avLst/>
                    </a:prstGeom>
                    <a:noFill/>
                    <a:ln>
                      <a:noFill/>
                    </a:ln>
                  </pic:spPr>
                </pic:pic>
              </a:graphicData>
            </a:graphic>
          </wp:inline>
        </w:drawing>
      </w:r>
    </w:p>
    <w:p>
      <w:pPr>
        <w:spacing w:line="240" w:lineRule="auto"/>
        <w:ind w:firstLine="0" w:firstLineChars="0"/>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图</w:t>
      </w:r>
      <w:r>
        <w:rPr>
          <w:rFonts w:ascii="Times New Roman" w:hAnsi="Times New Roman" w:cs="Times New Roman"/>
          <w:b/>
          <w:color w:val="auto"/>
          <w:kern w:val="0"/>
          <w:sz w:val="21"/>
          <w:szCs w:val="21"/>
        </w:rPr>
        <w:t xml:space="preserve">4.9-5       </w:t>
      </w:r>
      <w:r>
        <w:rPr>
          <w:rFonts w:hint="eastAsia" w:ascii="Times New Roman" w:hAnsi="Times New Roman" w:cs="Times New Roman"/>
          <w:b/>
          <w:color w:val="auto"/>
          <w:kern w:val="0"/>
          <w:sz w:val="21"/>
          <w:szCs w:val="21"/>
        </w:rPr>
        <w:t>兽类调查工作照</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、调查结果</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（1）物种组成</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由于人类活动比较密集，对兽类的栖息地和分布也造成了强烈的干扰，调查区域内兽类资源并不丰富。主要由小型兽类组成，尤其是各种鼠类，是兽类调查中的优势种。共记录到兽类5目8科1</w:t>
      </w: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种，具体兽类名录见表</w:t>
      </w:r>
      <w:r>
        <w:rPr>
          <w:rFonts w:ascii="Times New Roman" w:hAnsi="Times New Roman" w:cs="Times New Roman"/>
          <w:snapToGrid w:val="0"/>
          <w:color w:val="auto"/>
          <w:szCs w:val="20"/>
          <w:lang w:val="zh-CN"/>
        </w:rPr>
        <w:t>4.9-13</w:t>
      </w:r>
      <w:r>
        <w:rPr>
          <w:rFonts w:hint="eastAsia" w:ascii="Times New Roman" w:hAnsi="Times New Roman" w:cs="Times New Roman"/>
          <w:snapToGrid w:val="0"/>
          <w:color w:val="auto"/>
          <w:szCs w:val="20"/>
          <w:lang w:val="zh-CN"/>
        </w:rPr>
        <w:t>。除去鼠科动物，较常见的还有东北刺猬、蒙古兔、东亚伏翼。</w:t>
      </w:r>
    </w:p>
    <w:p>
      <w:pPr>
        <w:spacing w:line="240" w:lineRule="auto"/>
        <w:ind w:firstLine="0" w:firstLineChars="0"/>
        <w:jc w:val="center"/>
        <w:rPr>
          <w:rFonts w:ascii="Times New Roman" w:hAnsi="Times New Roman" w:cs="Times New Roman"/>
          <w:b/>
          <w:color w:val="auto"/>
          <w:kern w:val="0"/>
          <w:sz w:val="21"/>
          <w:szCs w:val="21"/>
        </w:rPr>
      </w:pPr>
      <w:bookmarkStart w:id="352" w:name="_Hlk101249418"/>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4.9-13    </w:t>
      </w:r>
      <w:r>
        <w:rPr>
          <w:rFonts w:hint="eastAsia" w:ascii="Times New Roman" w:hAnsi="Times New Roman" w:cs="Times New Roman"/>
          <w:b/>
          <w:color w:val="auto"/>
          <w:kern w:val="0"/>
          <w:sz w:val="21"/>
          <w:szCs w:val="21"/>
        </w:rPr>
        <w:t>临河湿地、巢湖湿地兽类名录</w:t>
      </w:r>
    </w:p>
    <w:bookmarkEnd w:id="352"/>
    <w:tbl>
      <w:tblPr>
        <w:tblStyle w:val="62"/>
        <w:tblW w:w="894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9" w:type="dxa"/>
          <w:left w:w="108" w:type="dxa"/>
          <w:bottom w:w="0" w:type="dxa"/>
          <w:right w:w="55" w:type="dxa"/>
        </w:tblCellMar>
      </w:tblPr>
      <w:tblGrid>
        <w:gridCol w:w="3233"/>
        <w:gridCol w:w="3995"/>
        <w:gridCol w:w="171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341"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目、科、种</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拉丁学名</w:t>
            </w:r>
          </w:p>
        </w:tc>
        <w:tc>
          <w:tcPr>
            <w:tcW w:w="1712" w:type="dxa"/>
            <w:vAlign w:val="center"/>
          </w:tcPr>
          <w:p>
            <w:pPr>
              <w:widowControl/>
              <w:adjustRightInd/>
              <w:spacing w:line="240" w:lineRule="auto"/>
              <w:ind w:left="82"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保护等级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劳亚食虫目</w:t>
            </w:r>
          </w:p>
        </w:tc>
        <w:tc>
          <w:tcPr>
            <w:tcW w:w="3995" w:type="dxa"/>
            <w:vAlign w:val="center"/>
          </w:tcPr>
          <w:p>
            <w:pPr>
              <w:widowControl/>
              <w:adjustRightInd/>
              <w:spacing w:line="240" w:lineRule="auto"/>
              <w:ind w:right="52"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Insectivora</w:t>
            </w:r>
          </w:p>
        </w:tc>
        <w:tc>
          <w:tcPr>
            <w:tcW w:w="1712" w:type="dxa"/>
            <w:vAlign w:val="center"/>
          </w:tcPr>
          <w:p>
            <w:pPr>
              <w:widowControl/>
              <w:adjustRightInd/>
              <w:spacing w:line="240" w:lineRule="auto"/>
              <w:ind w:left="82"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猬科</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Erinaceidae</w:t>
            </w:r>
          </w:p>
        </w:tc>
        <w:tc>
          <w:tcPr>
            <w:tcW w:w="1712" w:type="dxa"/>
            <w:vAlign w:val="center"/>
          </w:tcPr>
          <w:p>
            <w:pPr>
              <w:widowControl/>
              <w:adjustRightInd/>
              <w:spacing w:line="240" w:lineRule="auto"/>
              <w:ind w:left="82"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东北刺猬</w:t>
            </w:r>
          </w:p>
        </w:tc>
        <w:tc>
          <w:tcPr>
            <w:tcW w:w="3995"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Erinaceus europaeus</w:t>
            </w:r>
          </w:p>
        </w:tc>
        <w:tc>
          <w:tcPr>
            <w:tcW w:w="1712"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Ⅱ</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48"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鼩鼱科</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Soricoidea</w:t>
            </w:r>
          </w:p>
        </w:tc>
        <w:tc>
          <w:tcPr>
            <w:tcW w:w="1712" w:type="dxa"/>
            <w:vAlign w:val="center"/>
          </w:tcPr>
          <w:p>
            <w:pPr>
              <w:widowControl/>
              <w:adjustRightInd/>
              <w:spacing w:line="240" w:lineRule="auto"/>
              <w:ind w:left="84"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山东小麝鼩</w:t>
            </w:r>
          </w:p>
        </w:tc>
        <w:tc>
          <w:tcPr>
            <w:tcW w:w="3995"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Crocidura shantungensis</w:t>
            </w:r>
          </w:p>
        </w:tc>
        <w:tc>
          <w:tcPr>
            <w:tcW w:w="1712" w:type="dxa"/>
            <w:vAlign w:val="center"/>
          </w:tcPr>
          <w:p>
            <w:pPr>
              <w:widowControl/>
              <w:adjustRightInd/>
              <w:spacing w:line="240" w:lineRule="auto"/>
              <w:ind w:left="84"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翼手目</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Chiroptera</w:t>
            </w:r>
          </w:p>
        </w:tc>
        <w:tc>
          <w:tcPr>
            <w:tcW w:w="1712"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蝙蝠科</w:t>
            </w:r>
          </w:p>
        </w:tc>
        <w:tc>
          <w:tcPr>
            <w:tcW w:w="3995"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Vespertilionidae</w:t>
            </w:r>
          </w:p>
        </w:tc>
        <w:tc>
          <w:tcPr>
            <w:tcW w:w="1712" w:type="dxa"/>
            <w:vAlign w:val="center"/>
          </w:tcPr>
          <w:p>
            <w:pPr>
              <w:widowControl/>
              <w:adjustRightInd/>
              <w:spacing w:line="240" w:lineRule="auto"/>
              <w:ind w:left="84"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东亚伏翼</w:t>
            </w:r>
          </w:p>
        </w:tc>
        <w:tc>
          <w:tcPr>
            <w:tcW w:w="3995" w:type="dxa"/>
            <w:vAlign w:val="center"/>
          </w:tcPr>
          <w:p>
            <w:pPr>
              <w:widowControl/>
              <w:adjustRightInd/>
              <w:spacing w:line="240" w:lineRule="auto"/>
              <w:ind w:left="2"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Pipistrellus abramus</w:t>
            </w:r>
          </w:p>
        </w:tc>
        <w:tc>
          <w:tcPr>
            <w:tcW w:w="1712" w:type="dxa"/>
            <w:vAlign w:val="center"/>
          </w:tcPr>
          <w:p>
            <w:pPr>
              <w:widowControl/>
              <w:adjustRightInd/>
              <w:spacing w:line="240" w:lineRule="auto"/>
              <w:ind w:left="84"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折翼蝠</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Miniopterus</w:t>
            </w:r>
            <w:r>
              <w:rPr>
                <w:rFonts w:ascii="Times New Roman" w:hAnsi="Times New Roman" w:cs="Times New Roman"/>
                <w:kern w:val="0"/>
                <w:sz w:val="18"/>
                <w:szCs w:val="18"/>
              </w:rPr>
              <w:t xml:space="preserve"> </w:t>
            </w:r>
            <w:r>
              <w:rPr>
                <w:rFonts w:hint="eastAsia" w:ascii="Times New Roman" w:hAnsi="Times New Roman" w:cs="Times New Roman"/>
                <w:kern w:val="0"/>
                <w:sz w:val="18"/>
                <w:szCs w:val="18"/>
              </w:rPr>
              <w:t>schreibersii</w:t>
            </w:r>
          </w:p>
        </w:tc>
        <w:tc>
          <w:tcPr>
            <w:tcW w:w="1712" w:type="dxa"/>
            <w:vAlign w:val="center"/>
          </w:tcPr>
          <w:p>
            <w:pPr>
              <w:widowControl/>
              <w:adjustRightInd/>
              <w:spacing w:line="240" w:lineRule="auto"/>
              <w:ind w:left="84"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兔形目</w:t>
            </w:r>
          </w:p>
        </w:tc>
        <w:tc>
          <w:tcPr>
            <w:tcW w:w="3995" w:type="dxa"/>
            <w:vAlign w:val="center"/>
          </w:tcPr>
          <w:p>
            <w:pPr>
              <w:widowControl/>
              <w:adjustRightInd/>
              <w:spacing w:line="240" w:lineRule="auto"/>
              <w:ind w:right="55"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Lagomrpha</w:t>
            </w:r>
          </w:p>
        </w:tc>
        <w:tc>
          <w:tcPr>
            <w:tcW w:w="1712"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兔科</w:t>
            </w:r>
          </w:p>
        </w:tc>
        <w:tc>
          <w:tcPr>
            <w:tcW w:w="3995" w:type="dxa"/>
            <w:vAlign w:val="center"/>
          </w:tcPr>
          <w:p>
            <w:pPr>
              <w:widowControl/>
              <w:adjustRightInd/>
              <w:spacing w:line="240" w:lineRule="auto"/>
              <w:ind w:right="52"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Leporidae</w:t>
            </w:r>
          </w:p>
        </w:tc>
        <w:tc>
          <w:tcPr>
            <w:tcW w:w="1712"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蒙古兔</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Lepus capensis</w:t>
            </w:r>
          </w:p>
        </w:tc>
        <w:tc>
          <w:tcPr>
            <w:tcW w:w="1712"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啮齿目</w:t>
            </w:r>
          </w:p>
        </w:tc>
        <w:tc>
          <w:tcPr>
            <w:tcW w:w="3995" w:type="dxa"/>
            <w:vAlign w:val="center"/>
          </w:tcPr>
          <w:p>
            <w:pPr>
              <w:widowControl/>
              <w:adjustRightInd/>
              <w:spacing w:line="240" w:lineRule="auto"/>
              <w:ind w:right="52"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Rodentia</w:t>
            </w:r>
          </w:p>
        </w:tc>
        <w:tc>
          <w:tcPr>
            <w:tcW w:w="1712" w:type="dxa"/>
            <w:vAlign w:val="center"/>
          </w:tcPr>
          <w:p>
            <w:pPr>
              <w:widowControl/>
              <w:adjustRightInd/>
              <w:spacing w:line="240" w:lineRule="auto"/>
              <w:ind w:right="53"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仓鼠科</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Cricetidae</w:t>
            </w:r>
          </w:p>
        </w:tc>
        <w:tc>
          <w:tcPr>
            <w:tcW w:w="1712"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东方田鼠</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Microtus fortis</w:t>
            </w:r>
          </w:p>
        </w:tc>
        <w:tc>
          <w:tcPr>
            <w:tcW w:w="1712"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鼠科</w:t>
            </w:r>
          </w:p>
        </w:tc>
        <w:tc>
          <w:tcPr>
            <w:tcW w:w="3995" w:type="dxa"/>
            <w:vAlign w:val="center"/>
          </w:tcPr>
          <w:p>
            <w:pPr>
              <w:widowControl/>
              <w:adjustRightInd/>
              <w:spacing w:line="240" w:lineRule="auto"/>
              <w:ind w:left="67"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Muridae</w:t>
            </w:r>
          </w:p>
        </w:tc>
        <w:tc>
          <w:tcPr>
            <w:tcW w:w="1712" w:type="dxa"/>
            <w:vAlign w:val="center"/>
          </w:tcPr>
          <w:p>
            <w:pPr>
              <w:widowControl/>
              <w:adjustRightInd/>
              <w:spacing w:line="240" w:lineRule="auto"/>
              <w:ind w:left="84"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小家鼠</w:t>
            </w:r>
          </w:p>
        </w:tc>
        <w:tc>
          <w:tcPr>
            <w:tcW w:w="3995" w:type="dxa"/>
            <w:vAlign w:val="center"/>
          </w:tcPr>
          <w:p>
            <w:pPr>
              <w:widowControl/>
              <w:adjustRightInd/>
              <w:spacing w:line="240" w:lineRule="auto"/>
              <w:ind w:right="52"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Mus musculus</w:t>
            </w:r>
          </w:p>
        </w:tc>
        <w:tc>
          <w:tcPr>
            <w:tcW w:w="1712" w:type="dxa"/>
            <w:vAlign w:val="center"/>
          </w:tcPr>
          <w:p>
            <w:pPr>
              <w:widowControl/>
              <w:adjustRightInd/>
              <w:spacing w:line="240" w:lineRule="auto"/>
              <w:ind w:left="187"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黑线姬鼠</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Apodemus agrarius</w:t>
            </w:r>
          </w:p>
        </w:tc>
        <w:tc>
          <w:tcPr>
            <w:tcW w:w="1712" w:type="dxa"/>
            <w:vAlign w:val="center"/>
          </w:tcPr>
          <w:p>
            <w:pPr>
              <w:widowControl/>
              <w:adjustRightInd/>
              <w:spacing w:line="240" w:lineRule="auto"/>
              <w:ind w:left="84"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褐家鼠</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Rattusnorvegicus humiliatus</w:t>
            </w:r>
          </w:p>
        </w:tc>
        <w:tc>
          <w:tcPr>
            <w:tcW w:w="1712" w:type="dxa"/>
            <w:vAlign w:val="center"/>
          </w:tcPr>
          <w:p>
            <w:pPr>
              <w:widowControl/>
              <w:adjustRightInd/>
              <w:spacing w:line="240" w:lineRule="auto"/>
              <w:ind w:left="187"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食肉目</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carnivora</w:t>
            </w:r>
          </w:p>
        </w:tc>
        <w:tc>
          <w:tcPr>
            <w:tcW w:w="1712"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鼬科</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Mustelidae</w:t>
            </w:r>
          </w:p>
        </w:tc>
        <w:tc>
          <w:tcPr>
            <w:tcW w:w="1712" w:type="dxa"/>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黄鼬</w:t>
            </w:r>
          </w:p>
        </w:tc>
        <w:tc>
          <w:tcPr>
            <w:tcW w:w="3995" w:type="dxa"/>
            <w:vAlign w:val="center"/>
          </w:tcPr>
          <w:p>
            <w:pPr>
              <w:widowControl/>
              <w:adjustRightInd/>
              <w:spacing w:line="240" w:lineRule="auto"/>
              <w:ind w:right="53"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Mustela sibirica</w:t>
            </w:r>
          </w:p>
        </w:tc>
        <w:tc>
          <w:tcPr>
            <w:tcW w:w="1712" w:type="dxa"/>
            <w:vAlign w:val="center"/>
          </w:tcPr>
          <w:p>
            <w:pPr>
              <w:widowControl/>
              <w:adjustRightInd/>
              <w:spacing w:line="240" w:lineRule="auto"/>
              <w:ind w:right="53"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Ⅱ</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狗獾</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Meles meles</w:t>
            </w:r>
          </w:p>
        </w:tc>
        <w:tc>
          <w:tcPr>
            <w:tcW w:w="1712" w:type="dxa"/>
            <w:vAlign w:val="center"/>
          </w:tcPr>
          <w:p>
            <w:pPr>
              <w:widowControl/>
              <w:adjustRightInd/>
              <w:spacing w:line="240" w:lineRule="auto"/>
              <w:ind w:right="53"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省</w:t>
            </w:r>
            <w:r>
              <w:rPr>
                <w:rFonts w:ascii="Times New Roman" w:hAnsi="Times New Roman" w:cs="Times New Roman"/>
                <w:kern w:val="0"/>
                <w:sz w:val="18"/>
                <w:szCs w:val="18"/>
              </w:rPr>
              <w:t>Ⅱ</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30"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犬科</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Canidae</w:t>
            </w:r>
          </w:p>
        </w:tc>
        <w:tc>
          <w:tcPr>
            <w:tcW w:w="1712" w:type="dxa"/>
            <w:vAlign w:val="center"/>
          </w:tcPr>
          <w:p>
            <w:pPr>
              <w:widowControl/>
              <w:adjustRightInd/>
              <w:spacing w:line="240" w:lineRule="auto"/>
              <w:ind w:right="53"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9" w:type="dxa"/>
            <w:left w:w="108" w:type="dxa"/>
            <w:bottom w:w="0" w:type="dxa"/>
            <w:right w:w="55" w:type="dxa"/>
          </w:tblCellMar>
        </w:tblPrEx>
        <w:trPr>
          <w:trHeight w:val="258" w:hRule="atLeast"/>
          <w:jc w:val="center"/>
        </w:trPr>
        <w:tc>
          <w:tcPr>
            <w:tcW w:w="3233"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貉</w:t>
            </w:r>
          </w:p>
        </w:tc>
        <w:tc>
          <w:tcPr>
            <w:tcW w:w="3995" w:type="dxa"/>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Nyctereutes procyonoides</w:t>
            </w:r>
          </w:p>
        </w:tc>
        <w:tc>
          <w:tcPr>
            <w:tcW w:w="1712" w:type="dxa"/>
            <w:vAlign w:val="center"/>
          </w:tcPr>
          <w:p>
            <w:pPr>
              <w:widowControl/>
              <w:adjustRightInd/>
              <w:spacing w:line="240" w:lineRule="auto"/>
              <w:ind w:right="53"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国Ⅱ</w:t>
            </w:r>
          </w:p>
        </w:tc>
      </w:tr>
    </w:tbl>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（2）食性类型</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在所记录到的 12种动物中，肉食性动物7种，其中包</w:t>
      </w:r>
      <w:r>
        <w:rPr>
          <w:rFonts w:hint="eastAsia" w:ascii="Times New Roman" w:hAnsi="Times New Roman" w:cs="Times New Roman"/>
          <w:snapToGrid w:val="0"/>
          <w:color w:val="auto"/>
          <w:szCs w:val="20"/>
          <w:lang w:val="zh-CN"/>
        </w:rPr>
        <w:t>劳亚食虫目</w:t>
      </w: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种，</w:t>
      </w:r>
      <w:r>
        <w:rPr>
          <w:rFonts w:ascii="Times New Roman" w:hAnsi="Times New Roman" w:cs="Times New Roman"/>
          <w:snapToGrid w:val="0"/>
          <w:color w:val="auto"/>
          <w:szCs w:val="20"/>
          <w:lang w:val="zh-CN"/>
        </w:rPr>
        <w:t>翼手目2种和食肉目3 种；草食性动物有 3 种，为</w:t>
      </w:r>
      <w:r>
        <w:rPr>
          <w:rFonts w:hint="eastAsia" w:ascii="Times New Roman" w:hAnsi="Times New Roman" w:cs="Times New Roman"/>
          <w:snapToGrid w:val="0"/>
          <w:color w:val="auto"/>
          <w:szCs w:val="20"/>
          <w:lang w:val="zh-CN"/>
        </w:rPr>
        <w:t>蒙古</w:t>
      </w:r>
      <w:r>
        <w:rPr>
          <w:rFonts w:ascii="Times New Roman" w:hAnsi="Times New Roman" w:cs="Times New Roman"/>
          <w:snapToGrid w:val="0"/>
          <w:color w:val="auto"/>
          <w:szCs w:val="20"/>
          <w:lang w:val="zh-CN"/>
        </w:rPr>
        <w:t>兔（兔形目）；其它动物为杂食性</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啮齿目</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 xml:space="preserve">。 </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（3）</w:t>
      </w:r>
      <w:r>
        <w:rPr>
          <w:rFonts w:ascii="Times New Roman" w:hAnsi="Times New Roman" w:cs="Times New Roman"/>
          <w:snapToGrid w:val="0"/>
          <w:color w:val="auto"/>
          <w:szCs w:val="20"/>
          <w:lang w:val="zh-CN"/>
        </w:rPr>
        <w:t xml:space="preserve">濒危保护种类 </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评价区</w:t>
      </w:r>
      <w:r>
        <w:rPr>
          <w:rFonts w:ascii="Times New Roman" w:hAnsi="Times New Roman" w:cs="Times New Roman"/>
          <w:snapToGrid w:val="0"/>
          <w:color w:val="auto"/>
          <w:szCs w:val="20"/>
          <w:lang w:val="zh-CN"/>
        </w:rPr>
        <w:t>分布的兽类</w:t>
      </w:r>
      <w:r>
        <w:rPr>
          <w:rFonts w:hint="eastAsia" w:ascii="Times New Roman" w:hAnsi="Times New Roman" w:cs="Times New Roman"/>
          <w:snapToGrid w:val="0"/>
          <w:color w:val="auto"/>
          <w:szCs w:val="20"/>
          <w:lang w:val="zh-CN"/>
        </w:rPr>
        <w:t>中</w:t>
      </w:r>
      <w:r>
        <w:rPr>
          <w:rFonts w:ascii="Times New Roman" w:hAnsi="Times New Roman" w:cs="Times New Roman"/>
          <w:snapToGrid w:val="0"/>
          <w:color w:val="auto"/>
          <w:szCs w:val="20"/>
          <w:lang w:val="zh-CN"/>
        </w:rPr>
        <w:t>，</w:t>
      </w:r>
      <w:r>
        <w:rPr>
          <w:rFonts w:hint="eastAsia" w:ascii="Times New Roman" w:hAnsi="Times New Roman" w:cs="Times New Roman"/>
          <w:snapToGrid w:val="0"/>
          <w:color w:val="auto"/>
          <w:szCs w:val="20"/>
          <w:lang w:val="zh-CN"/>
        </w:rPr>
        <w:t>国家二级重点保护野生动物1种-貉。貉为犬科的一种小型古老物种，在巢湖多个区域都有记录；</w:t>
      </w:r>
      <w:r>
        <w:rPr>
          <w:rFonts w:ascii="Times New Roman" w:hAnsi="Times New Roman" w:cs="Times New Roman"/>
          <w:snapToGrid w:val="0"/>
          <w:color w:val="auto"/>
          <w:szCs w:val="20"/>
          <w:lang w:val="zh-CN"/>
        </w:rPr>
        <w:t>安徽省二级重点保护野生动物</w:t>
      </w:r>
      <w:r>
        <w:rPr>
          <w:rFonts w:hint="eastAsia" w:ascii="Times New Roman" w:hAnsi="Times New Roman" w:cs="Times New Roman"/>
          <w:snapToGrid w:val="0"/>
          <w:color w:val="auto"/>
          <w:szCs w:val="20"/>
          <w:lang w:val="zh-CN"/>
        </w:rPr>
        <w:t>记录到</w:t>
      </w:r>
      <w:r>
        <w:rPr>
          <w:rFonts w:ascii="Times New Roman" w:hAnsi="Times New Roman" w:cs="Times New Roman"/>
          <w:snapToGrid w:val="0"/>
          <w:color w:val="auto"/>
          <w:szCs w:val="20"/>
          <w:lang w:val="zh-CN"/>
        </w:rPr>
        <w:t>3种</w:t>
      </w:r>
      <w:r>
        <w:rPr>
          <w:rFonts w:hint="eastAsia" w:ascii="Times New Roman" w:hAnsi="Times New Roman" w:cs="Times New Roman"/>
          <w:snapToGrid w:val="0"/>
          <w:color w:val="auto"/>
          <w:szCs w:val="20"/>
          <w:lang w:val="zh-CN"/>
        </w:rPr>
        <w:t>-东北刺猬、黄鼬、</w:t>
      </w:r>
      <w:r>
        <w:rPr>
          <w:rFonts w:ascii="Times New Roman" w:hAnsi="Times New Roman" w:cs="Times New Roman"/>
          <w:snapToGrid w:val="0"/>
          <w:color w:val="auto"/>
          <w:szCs w:val="20"/>
          <w:lang w:val="zh-CN"/>
        </w:rPr>
        <w:t>狗獾</w:t>
      </w:r>
      <w:r>
        <w:rPr>
          <w:rFonts w:hint="eastAsia" w:ascii="Times New Roman" w:hAnsi="Times New Roman" w:cs="Times New Roman"/>
          <w:snapToGrid w:val="0"/>
          <w:color w:val="auto"/>
          <w:szCs w:val="20"/>
          <w:lang w:val="zh-CN"/>
        </w:rPr>
        <w:t>。</w:t>
      </w:r>
    </w:p>
    <w:p>
      <w:pPr>
        <w:pStyle w:val="5"/>
        <w:numPr>
          <w:ilvl w:val="0"/>
          <w:numId w:val="0"/>
        </w:numPr>
        <w:tabs>
          <w:tab w:val="left" w:pos="2268"/>
          <w:tab w:val="clear" w:pos="921"/>
          <w:tab w:val="clear" w:pos="2241"/>
        </w:tabs>
        <w:spacing w:after="0" w:line="360" w:lineRule="auto"/>
        <w:rPr>
          <w:rStyle w:val="1121"/>
          <w:rFonts w:eastAsia="黑体"/>
          <w:b w:val="0"/>
          <w:color w:val="auto"/>
          <w:sz w:val="24"/>
          <w:szCs w:val="24"/>
        </w:rPr>
      </w:pPr>
      <w:r>
        <w:rPr>
          <w:rStyle w:val="1121"/>
          <w:rFonts w:eastAsia="黑体"/>
          <w:b w:val="0"/>
          <w:color w:val="auto"/>
          <w:sz w:val="24"/>
          <w:szCs w:val="24"/>
        </w:rPr>
        <w:t>4.9.2</w:t>
      </w:r>
      <w:r>
        <w:rPr>
          <w:rStyle w:val="1121"/>
          <w:rFonts w:hint="eastAsia" w:eastAsia="黑体"/>
          <w:b w:val="0"/>
          <w:color w:val="auto"/>
          <w:sz w:val="24"/>
          <w:szCs w:val="24"/>
        </w:rPr>
        <w:t>水生生物资源调查</w:t>
      </w:r>
    </w:p>
    <w:p>
      <w:pPr>
        <w:pStyle w:val="5"/>
        <w:numPr>
          <w:ilvl w:val="0"/>
          <w:numId w:val="0"/>
        </w:numPr>
        <w:tabs>
          <w:tab w:val="left" w:pos="2268"/>
          <w:tab w:val="clear" w:pos="921"/>
          <w:tab w:val="clear" w:pos="2241"/>
        </w:tabs>
        <w:spacing w:after="0" w:line="360" w:lineRule="auto"/>
        <w:rPr>
          <w:rStyle w:val="1121"/>
          <w:rFonts w:eastAsia="黑体"/>
          <w:b w:val="0"/>
          <w:color w:val="auto"/>
          <w:sz w:val="24"/>
          <w:szCs w:val="24"/>
        </w:rPr>
      </w:pPr>
      <w:r>
        <w:rPr>
          <w:rStyle w:val="1121"/>
          <w:rFonts w:eastAsia="黑体"/>
          <w:b w:val="0"/>
          <w:color w:val="auto"/>
          <w:sz w:val="24"/>
          <w:szCs w:val="24"/>
        </w:rPr>
        <w:t>4.9.2.1</w:t>
      </w:r>
      <w:r>
        <w:rPr>
          <w:rStyle w:val="1121"/>
          <w:rFonts w:hint="eastAsia" w:eastAsia="黑体"/>
          <w:b w:val="0"/>
          <w:color w:val="auto"/>
          <w:sz w:val="24"/>
          <w:szCs w:val="24"/>
        </w:rPr>
        <w:t>大型水生植物调查</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、调查方法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大型水生植物</w:t>
      </w:r>
      <w:r>
        <w:rPr>
          <w:rFonts w:ascii="Times New Roman" w:hAnsi="Times New Roman" w:cs="Times New Roman"/>
          <w:snapToGrid w:val="0"/>
          <w:color w:val="auto"/>
          <w:szCs w:val="20"/>
          <w:lang w:val="zh-CN"/>
        </w:rPr>
        <w:t>调查范围主要包括水体植物调查、大堤内湿地植物带调查。按照生活型，调查的水生植物类型包括挺水植物、沉水植物、浮叶植物。将区域内所有出现的植物种、属进行现场鉴定并记录，根据门、科、属、种分类整理。原则上，水生植物的界定和记录参考以下数据库和文献：</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（1）中国水生植物数（</w:t>
      </w:r>
      <w:r>
        <w:fldChar w:fldCharType="begin"/>
      </w:r>
      <w:r>
        <w:instrText xml:space="preserve"> HYPERLINK "http://www.plant.csdb.cn/aquaticplants" </w:instrText>
      </w:r>
      <w:r>
        <w:fldChar w:fldCharType="separate"/>
      </w:r>
      <w:r>
        <w:rPr>
          <w:rFonts w:ascii="Times New Roman" w:hAnsi="Times New Roman" w:cs="Times New Roman"/>
          <w:snapToGrid w:val="0"/>
          <w:color w:val="auto"/>
          <w:szCs w:val="20"/>
          <w:lang w:val="zh-CN"/>
        </w:rPr>
        <w:t>http://www.plant.csdb.cn/aquaticplants</w:t>
      </w:r>
      <w:r>
        <w:rPr>
          <w:rFonts w:ascii="Times New Roman" w:hAnsi="Times New Roman" w:cs="Times New Roman"/>
          <w:snapToGrid w:val="0"/>
          <w:color w:val="auto"/>
          <w:szCs w:val="20"/>
          <w:lang w:val="zh-CN"/>
        </w:rPr>
        <w:fldChar w:fldCharType="end"/>
      </w:r>
      <w:r>
        <w:rPr>
          <w:rFonts w:ascii="Times New Roman" w:hAnsi="Times New Roman" w:cs="Times New Roman"/>
          <w:snapToGrid w:val="0"/>
          <w:color w:val="auto"/>
          <w:szCs w:val="20"/>
          <w:lang w:val="zh-CN"/>
        </w:rPr>
        <w:t>）；</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（2）《中国水生植物》（陈耀东等</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2012）；</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（3）《水生植物图鉴》（赵家荣和刘艳玲</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2009）。</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对于收录于以上数据库和文献中的物种，逐一记录；</w:t>
      </w:r>
      <w:r>
        <w:rPr>
          <w:rFonts w:hint="eastAsia" w:ascii="Times New Roman" w:hAnsi="Times New Roman" w:cs="Times New Roman"/>
          <w:snapToGrid w:val="0"/>
          <w:color w:val="auto"/>
          <w:szCs w:val="20"/>
          <w:lang w:val="zh-CN"/>
        </w:rPr>
        <w:t>此外，参考中国植物物种信息系统（</w:t>
      </w:r>
      <w:r>
        <w:rPr>
          <w:rFonts w:ascii="Times New Roman" w:hAnsi="Times New Roman" w:cs="Times New Roman"/>
          <w:snapToGrid w:val="0"/>
          <w:color w:val="auto"/>
          <w:szCs w:val="20"/>
          <w:lang w:val="zh-CN"/>
        </w:rPr>
        <w:t>http://www.iplant.cn/</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对于未收录于以上数据库和专著，但其适宜生长环境包含水体或水边区域，且在</w:t>
      </w:r>
      <w:r>
        <w:rPr>
          <w:rFonts w:hint="eastAsia" w:ascii="Times New Roman" w:hAnsi="Times New Roman" w:cs="Times New Roman"/>
          <w:snapToGrid w:val="0"/>
          <w:color w:val="auto"/>
          <w:szCs w:val="20"/>
          <w:lang w:val="zh-CN"/>
        </w:rPr>
        <w:t>圩区</w:t>
      </w:r>
      <w:r>
        <w:rPr>
          <w:rFonts w:ascii="Times New Roman" w:hAnsi="Times New Roman" w:cs="Times New Roman"/>
          <w:snapToGrid w:val="0"/>
          <w:color w:val="auto"/>
          <w:szCs w:val="20"/>
          <w:lang w:val="zh-CN"/>
        </w:rPr>
        <w:t>有广泛分布的物种，也一并进行记录整理。</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调查时，对不同调查区块的覆盖度进行估算。对于水体常见植物种（属），通过水生植物采样器收集植物并测定其数量和生物量；对于湿地常见植物种（属），通过1m×1m样方收割法测定其数量和生物量。</w:t>
      </w:r>
    </w:p>
    <w:p>
      <w:pPr>
        <w:adjustRightInd/>
        <w:ind w:firstLine="0" w:firstLineChars="0"/>
        <w:jc w:val="center"/>
        <w:rPr>
          <w:rFonts w:ascii="Times New Roman" w:hAnsi="Times New Roman" w:cs="Times New Roman"/>
          <w:snapToGrid w:val="0"/>
          <w:color w:val="auto"/>
          <w:szCs w:val="20"/>
          <w:lang w:val="zh-CN"/>
        </w:rPr>
      </w:pPr>
    </w:p>
    <w:p>
      <w:pPr>
        <w:adjustRightInd/>
        <w:ind w:firstLine="0" w:firstLineChars="0"/>
        <w:jc w:val="center"/>
        <w:rPr>
          <w:rFonts w:ascii="Times New Roman" w:hAnsi="Times New Roman" w:eastAsia="黑体" w:cs="Times New Roman"/>
          <w:color w:val="auto"/>
          <w:szCs w:val="30"/>
        </w:rPr>
      </w:pPr>
      <w:r>
        <w:rPr>
          <w:rFonts w:ascii="Times New Roman" w:hAnsi="Times New Roman" w:cs="Times New Roman"/>
          <w:snapToGrid w:val="0"/>
          <w:color w:val="auto"/>
          <w:szCs w:val="20"/>
          <w:lang w:val="zh-CN"/>
        </w:rPr>
        <w:drawing>
          <wp:inline distT="0" distB="0" distL="0" distR="0">
            <wp:extent cx="5367655" cy="3810000"/>
            <wp:effectExtent l="0" t="0" r="4445" b="0"/>
            <wp:docPr id="2973" name="图片 29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73" name="图片 2973"/>
                    <pic:cNvPicPr>
                      <a:picLocks noChangeAspect="true"/>
                    </pic:cNvPicPr>
                  </pic:nvPicPr>
                  <pic:blipFill>
                    <a:blip r:embed="rId156" cstate="print">
                      <a:extLst>
                        <a:ext uri="{28A0092B-C50C-407E-A947-70E740481C1C}">
                          <a14:useLocalDpi xmlns:a14="http://schemas.microsoft.com/office/drawing/2010/main" val="false"/>
                        </a:ext>
                      </a:extLst>
                    </a:blip>
                    <a:stretch>
                      <a:fillRect/>
                    </a:stretch>
                  </pic:blipFill>
                  <pic:spPr>
                    <a:xfrm>
                      <a:off x="0" y="0"/>
                      <a:ext cx="5373456" cy="3813668"/>
                    </a:xfrm>
                    <a:prstGeom prst="rect">
                      <a:avLst/>
                    </a:prstGeom>
                  </pic:spPr>
                </pic:pic>
              </a:graphicData>
            </a:graphic>
          </wp:inline>
        </w:drawing>
      </w:r>
    </w:p>
    <w:p>
      <w:pPr>
        <w:spacing w:line="240" w:lineRule="auto"/>
        <w:ind w:firstLine="0" w:firstLineChars="0"/>
        <w:jc w:val="center"/>
        <w:rPr>
          <w:rFonts w:ascii="Times New Roman" w:hAnsi="Times New Roman" w:cs="Times New Roman"/>
          <w:b/>
          <w:color w:val="auto"/>
          <w:kern w:val="0"/>
          <w:sz w:val="21"/>
          <w:szCs w:val="21"/>
        </w:rPr>
      </w:pPr>
      <w:r>
        <w:rPr>
          <w:rFonts w:ascii="Times New Roman" w:hAnsi="Times New Roman" w:cs="Times New Roman"/>
          <w:b/>
          <w:color w:val="auto"/>
          <w:kern w:val="0"/>
          <w:sz w:val="21"/>
          <w:szCs w:val="21"/>
        </w:rPr>
        <w:t xml:space="preserve">图4.8-6    </w:t>
      </w:r>
      <w:r>
        <w:rPr>
          <w:rFonts w:hint="eastAsia" w:ascii="Times New Roman" w:hAnsi="Times New Roman" w:cs="Times New Roman"/>
          <w:b/>
          <w:color w:val="auto"/>
          <w:kern w:val="0"/>
          <w:sz w:val="21"/>
          <w:szCs w:val="21"/>
        </w:rPr>
        <w:t>大型</w:t>
      </w:r>
      <w:r>
        <w:rPr>
          <w:rFonts w:ascii="Times New Roman" w:hAnsi="Times New Roman" w:cs="Times New Roman"/>
          <w:b/>
          <w:color w:val="auto"/>
          <w:kern w:val="0"/>
          <w:sz w:val="21"/>
          <w:szCs w:val="21"/>
        </w:rPr>
        <w:t>水生植物调查</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、调查结果</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临河湿地、巢湖湿地水生植物物种数量较为丰富。现场调查发现，分布较广的水生植物主要有：芦苇、水烛、菰、水稻、菱属、莲、空心莲子草、满江红。虽然总体物种数较高，但主要为中生-湿生型，本次调查所含的大型水生植物，指的是真正的水生植物和沼生植物，包括挺水植物、沉水植物以及浮叶植物这三大类。本次调查共记录到大型水生植物共4</w:t>
      </w:r>
      <w:r>
        <w:rPr>
          <w:rFonts w:ascii="Times New Roman" w:hAnsi="Times New Roman" w:cs="Times New Roman"/>
          <w:snapToGrid w:val="0"/>
          <w:color w:val="auto"/>
          <w:szCs w:val="20"/>
          <w:lang w:val="zh-CN"/>
        </w:rPr>
        <w:t>3</w:t>
      </w:r>
      <w:r>
        <w:rPr>
          <w:rFonts w:hint="eastAsia" w:ascii="Times New Roman" w:hAnsi="Times New Roman" w:cs="Times New Roman"/>
          <w:snapToGrid w:val="0"/>
          <w:color w:val="auto"/>
          <w:szCs w:val="20"/>
          <w:lang w:val="zh-CN"/>
        </w:rPr>
        <w:t>种，具体名录见表</w:t>
      </w:r>
      <w:r>
        <w:rPr>
          <w:rFonts w:ascii="Times New Roman" w:hAnsi="Times New Roman" w:cs="Times New Roman"/>
          <w:snapToGrid w:val="0"/>
          <w:color w:val="auto"/>
          <w:szCs w:val="20"/>
          <w:lang w:val="zh-CN"/>
        </w:rPr>
        <w:t>4.9-14</w:t>
      </w:r>
      <w:r>
        <w:rPr>
          <w:rFonts w:hint="eastAsia" w:ascii="Times New Roman" w:hAnsi="Times New Roman" w:cs="Times New Roman"/>
          <w:snapToGrid w:val="0"/>
          <w:color w:val="auto"/>
          <w:szCs w:val="20"/>
          <w:lang w:val="zh-CN"/>
        </w:rPr>
        <w:t>。</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临河湿地、巢湖湿地挺水植物分布较广，共记录到8科1</w:t>
      </w:r>
      <w:r>
        <w:rPr>
          <w:rFonts w:ascii="Times New Roman" w:hAnsi="Times New Roman" w:cs="Times New Roman"/>
          <w:snapToGrid w:val="0"/>
          <w:color w:val="auto"/>
          <w:szCs w:val="20"/>
          <w:lang w:val="zh-CN"/>
        </w:rPr>
        <w:t>9</w:t>
      </w:r>
      <w:r>
        <w:rPr>
          <w:rFonts w:hint="eastAsia" w:ascii="Times New Roman" w:hAnsi="Times New Roman" w:cs="Times New Roman"/>
          <w:snapToGrid w:val="0"/>
          <w:color w:val="auto"/>
          <w:szCs w:val="20"/>
          <w:lang w:val="zh-CN"/>
        </w:rPr>
        <w:t>种。主要优势种为雨久花科和禾本科植物。包括梭鱼草、鸭舌草、雨久花、芦苇、菰等，其中</w:t>
      </w:r>
      <w:r>
        <w:rPr>
          <w:rFonts w:ascii="Times New Roman" w:hAnsi="Times New Roman" w:cs="Times New Roman"/>
          <w:snapToGrid w:val="0"/>
          <w:color w:val="auto"/>
          <w:szCs w:val="20"/>
          <w:lang w:val="zh-CN"/>
        </w:rPr>
        <w:t>梭鱼草、黄菖蒲、千屈菜为人为种植</w:t>
      </w:r>
      <w:r>
        <w:rPr>
          <w:rFonts w:hint="eastAsia" w:ascii="Times New Roman" w:hAnsi="Times New Roman" w:cs="Times New Roman"/>
          <w:snapToGrid w:val="0"/>
          <w:color w:val="auto"/>
          <w:szCs w:val="20"/>
          <w:lang w:val="zh-CN"/>
        </w:rPr>
        <w:t>。</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浮叶植物共记录到1</w:t>
      </w: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科1</w:t>
      </w:r>
      <w:r>
        <w:rPr>
          <w:rFonts w:ascii="Times New Roman" w:hAnsi="Times New Roman" w:cs="Times New Roman"/>
          <w:snapToGrid w:val="0"/>
          <w:color w:val="auto"/>
          <w:szCs w:val="20"/>
          <w:lang w:val="zh-CN"/>
        </w:rPr>
        <w:t>7</w:t>
      </w:r>
      <w:r>
        <w:rPr>
          <w:rFonts w:hint="eastAsia" w:ascii="Times New Roman" w:hAnsi="Times New Roman" w:cs="Times New Roman"/>
          <w:snapToGrid w:val="0"/>
          <w:color w:val="auto"/>
          <w:szCs w:val="20"/>
          <w:lang w:val="zh-CN"/>
        </w:rPr>
        <w:t>种。主要优势种为芡、莲、菱、双穗雀稗、水鳖、马来眼子菜以及蕨类植物中的满江红等，其中，莲、芡实和粉绿狐尾藻主要为人为种植。</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临河湿地、巢湖湿地水体中沉水植物的物种多样性非常低，群落结构单一，共记录到7科7种。沉水植物主要包括：轮叶黑藻、狐尾藻等少数物种，另外还有一种淡水轮藻（轮藻门）。其中仅有轮叶黑藻和金鱼藻有较多分布，其他物种仅在个别位点能观察到，生物量极低。</w:t>
      </w:r>
    </w:p>
    <w:p>
      <w:pPr>
        <w:spacing w:line="240" w:lineRule="auto"/>
        <w:ind w:firstLine="0" w:firstLineChars="0"/>
        <w:jc w:val="center"/>
        <w:rPr>
          <w:rFonts w:ascii="Times New Roman" w:hAnsi="Times New Roman" w:cs="Times New Roman"/>
          <w:b/>
          <w:color w:val="auto"/>
          <w:kern w:val="0"/>
          <w:sz w:val="21"/>
          <w:szCs w:val="21"/>
        </w:rPr>
      </w:pPr>
    </w:p>
    <w:p>
      <w:pPr>
        <w:spacing w:line="240" w:lineRule="auto"/>
        <w:ind w:firstLine="0" w:firstLineChars="0"/>
        <w:jc w:val="center"/>
        <w:rPr>
          <w:rFonts w:ascii="Times New Roman" w:hAnsi="Times New Roman" w:cs="Times New Roman"/>
          <w:b/>
          <w:color w:val="auto"/>
          <w:kern w:val="0"/>
          <w:sz w:val="21"/>
          <w:szCs w:val="21"/>
        </w:rPr>
      </w:pPr>
    </w:p>
    <w:p>
      <w:pPr>
        <w:spacing w:line="240" w:lineRule="auto"/>
        <w:ind w:firstLine="0" w:firstLineChars="0"/>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4.9-14      </w:t>
      </w:r>
      <w:r>
        <w:rPr>
          <w:rFonts w:hint="eastAsia" w:ascii="Times New Roman" w:hAnsi="Times New Roman" w:cs="Times New Roman"/>
          <w:b/>
          <w:color w:val="auto"/>
          <w:kern w:val="0"/>
          <w:sz w:val="21"/>
          <w:szCs w:val="21"/>
        </w:rPr>
        <w:t>临河湿地、巢湖湿地大型水生植物名录</w:t>
      </w:r>
    </w:p>
    <w:tbl>
      <w:tblPr>
        <w:tblStyle w:val="62"/>
        <w:tblW w:w="8955"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993"/>
        <w:gridCol w:w="2061"/>
        <w:gridCol w:w="1941"/>
        <w:gridCol w:w="296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序号</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挺水植物</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种名</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学名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千屈菜科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千屈菜</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Lythrum salicaria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灯心草科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翅茎灯心草</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Juncus alatus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雨久花科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梭鱼草</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Pontederia cordata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雨久花科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鸭舌草</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Monochoria vaginalis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雨久花科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雨久花</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Monochoria korsakowii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雨久花科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梭鱼草</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Pontederia cordata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7</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禾本科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虉草</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Phalaris arundinacea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8</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禾本科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芦苇</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Phragmites australis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9</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禾本科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菰</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Zizania latifolia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0</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禾本科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甜茅</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Glyceria acutiflora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1</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禾本科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荻</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Miscanthus sacchariflorus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2</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禾本科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芦竹</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Arundo donax</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3</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禾本科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稗</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Echinochloa crusgalli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4</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泽泻科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慈姑</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Sagittaria trifolia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5</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鸢尾科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黄菖蒲</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Iris pseudacorus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6</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鸢尾科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黄菖蒲</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Iris pseudacorus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7</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香蒲科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长苞香蒲</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Typha domingensis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8</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莎草科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藨草</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Scirpus triqueter</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9</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莎草科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江南荸荠</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Heleocharis migoana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浮叶植物</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睡莲科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芡</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Euryale ferox</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睡莲科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莲</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Nelumbo nucifera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浮萍科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紫萍</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Spirodela polyrrhiza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浮萍科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浮萍</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Lemna minor</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浮萍科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田字萍</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Marsilea quadrifolia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禾本科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双穗雀稗</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Paspalum paspaloides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7</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禾本科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假稻</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Leersia japonica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8</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龙胆科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荇菜</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Nymphoides peltatum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9</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小二仙草科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粉绿狐尾藻</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Myriophyllum aquaticum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0</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菱科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四角刻叶菱</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Trapa incisa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72"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1</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菱科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菱</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Trapa bispinosa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2</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菱科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乌菱</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Trapa natans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3</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槐叶萍科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槐叶萍</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Salvinia natans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4</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满江红科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满江红</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Azolla imbricata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72"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5</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眼子菜科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马来眼子菜</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Potamogeton distinctus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6</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水鳖科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水鳖</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Hydrocharis dubia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7</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苋科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空心莲子草</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Alternanthera philoxeroides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沉水植物</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72"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水鳖科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轮叶黑藻</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Hydrilla verticillata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眼子菜科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菹草</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Potamogeton crispus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茨藻科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小茨藻</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Najas minor</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金鱼藻科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金鱼藻</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Ceratophyllum demersum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小二仙草科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狐尾藻</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Myriophyllum verticillatum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2"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狸藻科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黄花狸藻</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Utricularia aurea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4" w:hRule="atLeast"/>
          <w:jc w:val="center"/>
        </w:trPr>
        <w:tc>
          <w:tcPr>
            <w:tcW w:w="1993"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7</w:t>
            </w:r>
          </w:p>
        </w:tc>
        <w:tc>
          <w:tcPr>
            <w:tcW w:w="206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轮藻科</w:t>
            </w:r>
          </w:p>
        </w:tc>
        <w:tc>
          <w:tcPr>
            <w:tcW w:w="1941"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淡水轮藻</w:t>
            </w:r>
          </w:p>
        </w:tc>
        <w:tc>
          <w:tcPr>
            <w:tcW w:w="2960" w:type="dxa"/>
            <w:tcBorders>
              <w:tl2br w:val="nil"/>
              <w:tr2bl w:val="nil"/>
            </w:tcBorders>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 xml:space="preserve">Charophyceae </w:t>
            </w:r>
            <w:r>
              <w:rPr>
                <w:rFonts w:hint="eastAsia" w:ascii="Times New Roman" w:hAnsi="Times New Roman" w:cs="Times New Roman"/>
                <w:kern w:val="0"/>
                <w:sz w:val="18"/>
                <w:szCs w:val="18"/>
              </w:rPr>
              <w:t>sp</w:t>
            </w:r>
          </w:p>
        </w:tc>
      </w:tr>
    </w:tbl>
    <w:p>
      <w:pPr>
        <w:pStyle w:val="25"/>
        <w:ind w:firstLine="480"/>
      </w:pPr>
    </w:p>
    <w:p>
      <w:pPr>
        <w:pStyle w:val="5"/>
        <w:numPr>
          <w:ilvl w:val="0"/>
          <w:numId w:val="0"/>
        </w:numPr>
        <w:tabs>
          <w:tab w:val="left" w:pos="2268"/>
          <w:tab w:val="clear" w:pos="921"/>
          <w:tab w:val="clear" w:pos="2241"/>
        </w:tabs>
        <w:spacing w:after="0" w:line="360" w:lineRule="auto"/>
        <w:rPr>
          <w:rStyle w:val="1121"/>
          <w:rFonts w:eastAsia="黑体"/>
          <w:b w:val="0"/>
          <w:color w:val="auto"/>
          <w:sz w:val="24"/>
          <w:szCs w:val="24"/>
        </w:rPr>
      </w:pPr>
      <w:r>
        <w:rPr>
          <w:rStyle w:val="1121"/>
          <w:rFonts w:eastAsia="黑体"/>
          <w:b w:val="0"/>
          <w:color w:val="auto"/>
          <w:sz w:val="24"/>
          <w:szCs w:val="24"/>
        </w:rPr>
        <w:t>4.9.2.2</w:t>
      </w:r>
      <w:r>
        <w:rPr>
          <w:rStyle w:val="1121"/>
          <w:rFonts w:hint="eastAsia" w:eastAsia="黑体"/>
          <w:b w:val="0"/>
          <w:color w:val="auto"/>
          <w:sz w:val="24"/>
          <w:szCs w:val="24"/>
        </w:rPr>
        <w:t>鱼类调查</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、调查方法</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（1）调查指标</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①</w:t>
      </w:r>
      <w:r>
        <w:rPr>
          <w:rFonts w:ascii="Times New Roman" w:hAnsi="Times New Roman" w:cs="Times New Roman"/>
          <w:snapToGrid w:val="0"/>
          <w:color w:val="auto"/>
          <w:szCs w:val="20"/>
          <w:lang w:val="zh-CN"/>
        </w:rPr>
        <w:t>区域内鱼类种类组成和多样性；</w:t>
      </w:r>
      <w:r>
        <w:rPr>
          <w:rFonts w:hint="eastAsia" w:ascii="Times New Roman" w:hAnsi="Times New Roman" w:cs="Times New Roman"/>
          <w:snapToGrid w:val="0"/>
          <w:color w:val="auto"/>
          <w:szCs w:val="20"/>
          <w:lang w:val="zh-CN"/>
        </w:rPr>
        <w:t>②</w:t>
      </w:r>
      <w:r>
        <w:rPr>
          <w:rFonts w:ascii="Times New Roman" w:hAnsi="Times New Roman" w:cs="Times New Roman"/>
          <w:snapToGrid w:val="0"/>
          <w:color w:val="auto"/>
          <w:szCs w:val="20"/>
          <w:lang w:val="zh-CN"/>
        </w:rPr>
        <w:t>重点保护、珍稀和濒危物种的种群数量、分布区域及长期变化；</w:t>
      </w:r>
      <w:r>
        <w:rPr>
          <w:rFonts w:hint="eastAsia" w:ascii="Times New Roman" w:hAnsi="Times New Roman" w:cs="Times New Roman"/>
          <w:snapToGrid w:val="0"/>
          <w:color w:val="auto"/>
          <w:szCs w:val="20"/>
          <w:lang w:val="zh-CN"/>
        </w:rPr>
        <w:t>③</w:t>
      </w:r>
      <w:r>
        <w:rPr>
          <w:rFonts w:ascii="Times New Roman" w:hAnsi="Times New Roman" w:cs="Times New Roman"/>
          <w:snapToGrid w:val="0"/>
          <w:color w:val="auto"/>
          <w:szCs w:val="20"/>
          <w:lang w:val="zh-CN"/>
        </w:rPr>
        <w:t>特有种、优势种、常见种、外来种和入侵种；</w:t>
      </w:r>
      <w:r>
        <w:rPr>
          <w:rFonts w:hint="eastAsia" w:ascii="Times New Roman" w:hAnsi="Times New Roman" w:cs="Times New Roman"/>
          <w:snapToGrid w:val="0"/>
          <w:color w:val="auto"/>
          <w:szCs w:val="20"/>
          <w:lang w:val="zh-CN"/>
        </w:rPr>
        <w:t>④</w:t>
      </w:r>
      <w:r>
        <w:rPr>
          <w:rFonts w:ascii="Times New Roman" w:hAnsi="Times New Roman" w:cs="Times New Roman"/>
          <w:snapToGrid w:val="0"/>
          <w:color w:val="auto"/>
          <w:szCs w:val="20"/>
          <w:lang w:val="zh-CN"/>
        </w:rPr>
        <w:t>生境状况和受威胁程度。</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（2）调查方法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鱼类调查主要通过查阅资料、野外考察记录、实地采集捕获以及农贸市场渔获、餐馆取样等多种调查方法开展。</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 xml:space="preserve"> </w:t>
      </w:r>
      <w:r>
        <w:rPr>
          <w:rFonts w:hint="eastAsia" w:ascii="Times New Roman" w:hAnsi="Times New Roman" w:cs="Times New Roman"/>
          <w:snapToGrid w:val="0"/>
          <w:color w:val="auto"/>
          <w:szCs w:val="20"/>
          <w:lang w:val="zh-CN"/>
        </w:rPr>
        <w:t>调查结果</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 xml:space="preserve">1987 </w:t>
      </w:r>
      <w:r>
        <w:rPr>
          <w:rFonts w:hint="eastAsia" w:ascii="Times New Roman" w:hAnsi="Times New Roman" w:cs="Times New Roman"/>
          <w:snapToGrid w:val="0"/>
          <w:color w:val="auto"/>
          <w:szCs w:val="20"/>
          <w:lang w:val="zh-CN"/>
        </w:rPr>
        <w:t xml:space="preserve">年安徽大学王岐山教授等调查到巢湖流域有鱼类 </w:t>
      </w:r>
      <w:r>
        <w:rPr>
          <w:rFonts w:ascii="Times New Roman" w:hAnsi="Times New Roman" w:cs="Times New Roman"/>
          <w:snapToGrid w:val="0"/>
          <w:color w:val="auto"/>
          <w:szCs w:val="20"/>
          <w:lang w:val="zh-CN"/>
        </w:rPr>
        <w:t xml:space="preserve">85 </w:t>
      </w:r>
      <w:r>
        <w:rPr>
          <w:rFonts w:hint="eastAsia" w:ascii="Times New Roman" w:hAnsi="Times New Roman" w:cs="Times New Roman"/>
          <w:snapToGrid w:val="0"/>
          <w:color w:val="auto"/>
          <w:szCs w:val="20"/>
          <w:lang w:val="zh-CN"/>
        </w:rPr>
        <w:t>种，隶属于</w:t>
      </w:r>
      <w:r>
        <w:rPr>
          <w:rFonts w:ascii="Times New Roman" w:hAnsi="Times New Roman" w:cs="Times New Roman"/>
          <w:snapToGrid w:val="0"/>
          <w:color w:val="auto"/>
          <w:szCs w:val="20"/>
          <w:lang w:val="zh-CN"/>
        </w:rPr>
        <w:t>10</w:t>
      </w:r>
      <w:r>
        <w:rPr>
          <w:rFonts w:hint="eastAsia" w:ascii="Times New Roman" w:hAnsi="Times New Roman" w:cs="Times New Roman"/>
          <w:snapToGrid w:val="0"/>
          <w:color w:val="auto"/>
          <w:szCs w:val="20"/>
          <w:lang w:val="zh-CN"/>
        </w:rPr>
        <w:t>目，</w:t>
      </w:r>
      <w:r>
        <w:rPr>
          <w:rFonts w:ascii="Times New Roman" w:hAnsi="Times New Roman" w:cs="Times New Roman"/>
          <w:snapToGrid w:val="0"/>
          <w:color w:val="auto"/>
          <w:szCs w:val="20"/>
          <w:lang w:val="zh-CN"/>
        </w:rPr>
        <w:t>20</w:t>
      </w:r>
      <w:r>
        <w:rPr>
          <w:rFonts w:hint="eastAsia" w:ascii="Times New Roman" w:hAnsi="Times New Roman" w:cs="Times New Roman"/>
          <w:snapToGrid w:val="0"/>
          <w:color w:val="auto"/>
          <w:szCs w:val="20"/>
          <w:lang w:val="zh-CN"/>
        </w:rPr>
        <w:t>科，</w:t>
      </w:r>
      <w:r>
        <w:rPr>
          <w:rFonts w:ascii="Times New Roman" w:hAnsi="Times New Roman" w:cs="Times New Roman"/>
          <w:snapToGrid w:val="0"/>
          <w:color w:val="auto"/>
          <w:szCs w:val="20"/>
          <w:lang w:val="zh-CN"/>
        </w:rPr>
        <w:t>61</w:t>
      </w:r>
      <w:r>
        <w:rPr>
          <w:rFonts w:hint="eastAsia" w:ascii="Times New Roman" w:hAnsi="Times New Roman" w:cs="Times New Roman"/>
          <w:snapToGrid w:val="0"/>
          <w:color w:val="auto"/>
          <w:szCs w:val="20"/>
          <w:lang w:val="zh-CN"/>
        </w:rPr>
        <w:t>属；</w:t>
      </w:r>
      <w:r>
        <w:rPr>
          <w:rFonts w:ascii="Times New Roman" w:hAnsi="Times New Roman" w:cs="Times New Roman"/>
          <w:snapToGrid w:val="0"/>
          <w:color w:val="auto"/>
          <w:szCs w:val="20"/>
          <w:lang w:val="zh-CN"/>
        </w:rPr>
        <w:t xml:space="preserve">2013 </w:t>
      </w:r>
      <w:r>
        <w:rPr>
          <w:rFonts w:hint="eastAsia" w:ascii="Times New Roman" w:hAnsi="Times New Roman" w:cs="Times New Roman"/>
          <w:snapToGrid w:val="0"/>
          <w:color w:val="auto"/>
          <w:szCs w:val="20"/>
          <w:lang w:val="zh-CN"/>
        </w:rPr>
        <w:t>年安徽师范大学调查到巢湖流域鱼类</w:t>
      </w:r>
      <w:r>
        <w:rPr>
          <w:rFonts w:ascii="Times New Roman" w:hAnsi="Times New Roman" w:cs="Times New Roman"/>
          <w:snapToGrid w:val="0"/>
          <w:color w:val="auto"/>
          <w:szCs w:val="20"/>
          <w:lang w:val="zh-CN"/>
        </w:rPr>
        <w:t>47</w:t>
      </w:r>
      <w:r>
        <w:rPr>
          <w:rFonts w:hint="eastAsia" w:ascii="Times New Roman" w:hAnsi="Times New Roman" w:cs="Times New Roman"/>
          <w:snapToGrid w:val="0"/>
          <w:color w:val="auto"/>
          <w:szCs w:val="20"/>
          <w:lang w:val="zh-CN"/>
        </w:rPr>
        <w:t>种，隶属于</w:t>
      </w:r>
      <w:r>
        <w:rPr>
          <w:rFonts w:ascii="Times New Roman" w:hAnsi="Times New Roman" w:cs="Times New Roman"/>
          <w:snapToGrid w:val="0"/>
          <w:color w:val="auto"/>
          <w:szCs w:val="20"/>
          <w:lang w:val="zh-CN"/>
        </w:rPr>
        <w:t>7</w:t>
      </w:r>
      <w:r>
        <w:rPr>
          <w:rFonts w:hint="eastAsia" w:ascii="Times New Roman" w:hAnsi="Times New Roman" w:cs="Times New Roman"/>
          <w:snapToGrid w:val="0"/>
          <w:color w:val="auto"/>
          <w:szCs w:val="20"/>
          <w:lang w:val="zh-CN"/>
        </w:rPr>
        <w:t>目，</w:t>
      </w:r>
      <w:r>
        <w:rPr>
          <w:rFonts w:ascii="Times New Roman" w:hAnsi="Times New Roman" w:cs="Times New Roman"/>
          <w:snapToGrid w:val="0"/>
          <w:color w:val="auto"/>
          <w:szCs w:val="20"/>
          <w:lang w:val="zh-CN"/>
        </w:rPr>
        <w:t>16</w:t>
      </w:r>
      <w:r>
        <w:rPr>
          <w:rFonts w:hint="eastAsia" w:ascii="Times New Roman" w:hAnsi="Times New Roman" w:cs="Times New Roman"/>
          <w:snapToGrid w:val="0"/>
          <w:color w:val="auto"/>
          <w:szCs w:val="20"/>
          <w:lang w:val="zh-CN"/>
        </w:rPr>
        <w:t>科。本轮共调查到鱼类35种，隶属于5目14科（附录Ⅲ），占巢湖鱼类的41.2%。其中子陵吻鰕虎鱼在“安徽省地方重点野生动物名录”被列为安徽省二级保护物种，食蚊鱼为外来入侵物种，已在安徽本地定居相当长时间。</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根据水域流态特征及鱼类的栖息特点，调查水域3</w:t>
      </w:r>
      <w:r>
        <w:rPr>
          <w:rFonts w:ascii="Times New Roman" w:hAnsi="Times New Roman" w:cs="Times New Roman"/>
          <w:snapToGrid w:val="0"/>
          <w:color w:val="auto"/>
          <w:szCs w:val="20"/>
          <w:lang w:val="zh-CN"/>
        </w:rPr>
        <w:t>5</w:t>
      </w:r>
      <w:r>
        <w:rPr>
          <w:rFonts w:hint="eastAsia" w:ascii="Times New Roman" w:hAnsi="Times New Roman" w:cs="Times New Roman"/>
          <w:snapToGrid w:val="0"/>
          <w:color w:val="auto"/>
          <w:szCs w:val="20"/>
          <w:lang w:val="zh-CN"/>
        </w:rPr>
        <w:t xml:space="preserve">种鱼类大致可分为以下2个类群。 </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①湖泊定居性鱼类，当地大多数鱼类均属于这个类型，如鲤、鲫、麦穗鱼、乌鳢、鲌、鳅、黄颡鱼等。</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②江湖洄游性鱼类，只有青鱼、草鱼、鲢、鳙四种鱼类为洄游型鱼类。</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根据成鱼的摄食对象，可以将调查到的3</w:t>
      </w:r>
      <w:r>
        <w:rPr>
          <w:rFonts w:ascii="Times New Roman" w:hAnsi="Times New Roman" w:cs="Times New Roman"/>
          <w:snapToGrid w:val="0"/>
          <w:color w:val="auto"/>
          <w:szCs w:val="20"/>
          <w:lang w:val="zh-CN"/>
        </w:rPr>
        <w:t>5</w:t>
      </w:r>
      <w:r>
        <w:rPr>
          <w:rFonts w:hint="eastAsia" w:ascii="Times New Roman" w:hAnsi="Times New Roman" w:cs="Times New Roman"/>
          <w:snapToGrid w:val="0"/>
          <w:color w:val="auto"/>
          <w:szCs w:val="20"/>
          <w:lang w:val="zh-CN"/>
        </w:rPr>
        <w:t>种鱼类划分为以下4类：</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 xml:space="preserve">①植食性鱼类：以丝状藻类、水生维管束植物、着生藻为主要食物的鱼类，流域范围主要分布有草鱼、中华鰟鮍、黄尾鲴、银鲴等鱼类。 </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 xml:space="preserve">②肉食性鱼类：以底栖无脊椎动物、鱼类为主要食物的鱼类，流域范围分布有乌鳢、青鱼、翘嘴鳜、黄颡鱼、鲇和鲌等。 </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 xml:space="preserve">③滤食性鱼类：以水生生物为主要食物的鱼类，包括鲢等。 </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④杂食性鱼类：该类鱼食谱广，包括小型动物、植物及其碎屑，其食性在不同环境水体和不同季节有明显变化。包括鲤、鲫、泥鳅、䱗等。</w:t>
      </w:r>
    </w:p>
    <w:p>
      <w:pPr>
        <w:spacing w:line="240" w:lineRule="auto"/>
        <w:ind w:firstLine="0" w:firstLineChars="0"/>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附录Ⅲ    临河湿地、南淝河鱼类名录</w:t>
      </w:r>
    </w:p>
    <w:tbl>
      <w:tblPr>
        <w:tblStyle w:val="62"/>
        <w:tblW w:w="8964" w:type="dxa"/>
        <w:tblInd w:w="108" w:type="dxa"/>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3072"/>
        <w:gridCol w:w="3483"/>
        <w:gridCol w:w="2409"/>
      </w:tblGrid>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3072" w:type="dxa"/>
            <w:tcBorders>
              <w:top w:val="single" w:color="auto" w:sz="12"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目、科、种</w:t>
            </w:r>
          </w:p>
        </w:tc>
        <w:tc>
          <w:tcPr>
            <w:tcW w:w="3483" w:type="dxa"/>
            <w:tcBorders>
              <w:top w:val="single" w:color="auto" w:sz="12"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拉丁名</w:t>
            </w:r>
          </w:p>
        </w:tc>
        <w:tc>
          <w:tcPr>
            <w:tcW w:w="2409" w:type="dxa"/>
            <w:tcBorders>
              <w:top w:val="single" w:color="auto" w:sz="12"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食性</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鲤形目</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Cypriniformes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鲤科</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Cyprinida</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178"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鲤</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Cyprinus carpio</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鲫</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Carassius auratus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64"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麦穗鱼</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Pseudorasbora parva</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花䱻</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Hemibarbus maculatus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214"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银鮈</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Squalidus argentatus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64"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青鱼</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Mylopharyngodon piceus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草鱼</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Ctenopharyngodon idella</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82"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马口鱼</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Opsariichthys bidens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236"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䱗</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Hemiculter leucisculus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鳊</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Parabramis pekinensis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红鳍鲌</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Culter erythropterus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翘嘴鲌</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Culter alburnus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156"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银鲴</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Xenocypris argentea</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黄尾鲴</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Xenocypris davidi</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鲢</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Hypophthalmichthys molitrix</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47"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鳙</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Aristichthys nobilis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212"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中华鳑鲏</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Rhodeus sinensis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高体鳑鲏</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Rhodeus ocellatus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棒花鱼</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Abbottina rivularis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黑鳍鳈</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Sarcocheilichthys nigripinis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172"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鳅科</w:t>
            </w:r>
            <w:r>
              <w:rPr>
                <w:rFonts w:ascii="Times New Roman" w:hAnsi="Times New Roman" w:cs="Times New Roman"/>
                <w:kern w:val="0"/>
                <w:sz w:val="18"/>
                <w:szCs w:val="18"/>
              </w:rPr>
              <w:t>Cobitidae</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spacing w:line="240" w:lineRule="auto"/>
              <w:ind w:firstLine="36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48"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泥鳅</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Misgurnus anguillicaudatus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中华花鳅</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Cobitis sinensis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鲇形目</w:t>
            </w:r>
            <w:r>
              <w:rPr>
                <w:rFonts w:ascii="Times New Roman" w:hAnsi="Times New Roman" w:cs="Times New Roman"/>
                <w:kern w:val="0"/>
                <w:sz w:val="18"/>
                <w:szCs w:val="18"/>
              </w:rPr>
              <w:t>Siluriformes</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spacing w:line="240" w:lineRule="auto"/>
              <w:ind w:firstLine="36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256"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鲇科</w:t>
            </w:r>
            <w:r>
              <w:rPr>
                <w:rFonts w:ascii="Times New Roman" w:hAnsi="Times New Roman" w:cs="Times New Roman"/>
                <w:kern w:val="0"/>
                <w:sz w:val="18"/>
                <w:szCs w:val="18"/>
              </w:rPr>
              <w:t>Siluridae</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spacing w:line="240" w:lineRule="auto"/>
              <w:ind w:firstLine="36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鲇</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Silurus asotus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鲿科</w:t>
            </w:r>
            <w:r>
              <w:rPr>
                <w:rFonts w:ascii="Times New Roman" w:hAnsi="Times New Roman" w:cs="Times New Roman"/>
                <w:kern w:val="0"/>
                <w:sz w:val="18"/>
                <w:szCs w:val="18"/>
              </w:rPr>
              <w:t>Bagridae</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spacing w:line="240" w:lineRule="auto"/>
              <w:ind w:firstLine="36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黄颡鱼</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Pelteobagrus fulvidraco</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295"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鳉形目</w:t>
            </w:r>
            <w:r>
              <w:rPr>
                <w:rFonts w:ascii="Times New Roman" w:hAnsi="Times New Roman" w:cs="Times New Roman"/>
                <w:kern w:val="0"/>
                <w:sz w:val="18"/>
                <w:szCs w:val="18"/>
              </w:rPr>
              <w:t>Cyprinodontiformes</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spacing w:line="240" w:lineRule="auto"/>
              <w:ind w:firstLine="36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鳉科</w:t>
            </w:r>
            <w:r>
              <w:rPr>
                <w:rFonts w:ascii="Times New Roman" w:hAnsi="Times New Roman" w:cs="Times New Roman"/>
                <w:kern w:val="0"/>
                <w:sz w:val="18"/>
                <w:szCs w:val="18"/>
              </w:rPr>
              <w:t>Cyprinodontidae</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spacing w:line="240" w:lineRule="auto"/>
              <w:ind w:firstLine="36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71"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中华青鳉</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Oryzias latipes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36"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胎鳉科</w:t>
            </w:r>
            <w:r>
              <w:rPr>
                <w:rFonts w:ascii="Times New Roman" w:hAnsi="Times New Roman" w:cs="Times New Roman"/>
                <w:kern w:val="0"/>
                <w:sz w:val="18"/>
                <w:szCs w:val="18"/>
              </w:rPr>
              <w:t>Poeciliidae</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spacing w:line="240" w:lineRule="auto"/>
              <w:ind w:firstLine="36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168"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食蚊鱼</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Gambusia affinis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鱵科</w:t>
            </w:r>
            <w:r>
              <w:rPr>
                <w:rFonts w:ascii="Times New Roman" w:hAnsi="Times New Roman" w:cs="Times New Roman"/>
                <w:kern w:val="0"/>
                <w:sz w:val="18"/>
                <w:szCs w:val="18"/>
              </w:rPr>
              <w:t>Hemiramphidae</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spacing w:line="240" w:lineRule="auto"/>
              <w:ind w:firstLine="36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间下鱵</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Hyporhamphus intermedius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合鳃鱼目</w:t>
            </w:r>
            <w:r>
              <w:rPr>
                <w:rFonts w:ascii="Times New Roman" w:hAnsi="Times New Roman" w:cs="Times New Roman"/>
                <w:kern w:val="0"/>
                <w:sz w:val="18"/>
                <w:szCs w:val="18"/>
              </w:rPr>
              <w:t>Synbranchiformes</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spacing w:line="240" w:lineRule="auto"/>
              <w:ind w:firstLine="36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253"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合鳃科</w:t>
            </w:r>
            <w:r>
              <w:rPr>
                <w:rFonts w:ascii="Times New Roman" w:hAnsi="Times New Roman" w:cs="Times New Roman"/>
                <w:kern w:val="0"/>
                <w:sz w:val="18"/>
                <w:szCs w:val="18"/>
              </w:rPr>
              <w:t>Synbranchidae</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36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spacing w:line="240" w:lineRule="auto"/>
              <w:ind w:firstLine="36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77"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黄鳝</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Monopoterus albus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鲈形目</w:t>
            </w:r>
            <w:r>
              <w:rPr>
                <w:rFonts w:ascii="Times New Roman" w:hAnsi="Times New Roman" w:cs="Times New Roman"/>
                <w:kern w:val="0"/>
                <w:sz w:val="18"/>
                <w:szCs w:val="18"/>
              </w:rPr>
              <w:t>Perciformes</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36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spacing w:line="240" w:lineRule="auto"/>
              <w:ind w:firstLine="36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鮨科</w:t>
            </w:r>
            <w:r>
              <w:rPr>
                <w:rFonts w:ascii="Times New Roman" w:hAnsi="Times New Roman" w:cs="Times New Roman"/>
                <w:kern w:val="0"/>
                <w:sz w:val="18"/>
                <w:szCs w:val="18"/>
              </w:rPr>
              <w:t>Serranidae</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adjustRightInd/>
              <w:spacing w:line="240" w:lineRule="auto"/>
              <w:ind w:firstLine="0" w:firstLineChars="0"/>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170"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翘嘴鳜</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Siniperca chuatsi</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塘鳢科</w:t>
            </w:r>
            <w:r>
              <w:rPr>
                <w:rFonts w:ascii="Times New Roman" w:hAnsi="Times New Roman" w:cs="Times New Roman"/>
                <w:kern w:val="0"/>
                <w:sz w:val="18"/>
                <w:szCs w:val="18"/>
              </w:rPr>
              <w:t>Eleotridae</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中华沙塘鳢</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Odontobutis sinensis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71"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黄黝</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Hypseleotris swinhonis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246"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鰕虎鱼科</w:t>
            </w:r>
            <w:r>
              <w:rPr>
                <w:rFonts w:ascii="Times New Roman" w:hAnsi="Times New Roman" w:cs="Times New Roman"/>
                <w:kern w:val="0"/>
                <w:sz w:val="18"/>
                <w:szCs w:val="18"/>
              </w:rPr>
              <w:t>Gobiidae</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子陵吻鰕虎鱼</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Rhiogobius giurinus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斗鱼科</w:t>
            </w:r>
            <w:r>
              <w:rPr>
                <w:rFonts w:ascii="Times New Roman" w:hAnsi="Times New Roman" w:cs="Times New Roman"/>
                <w:kern w:val="0"/>
                <w:sz w:val="18"/>
                <w:szCs w:val="18"/>
              </w:rPr>
              <w:t>Belontiidae</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圆尾斗鱼</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Macropodus ocellatus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D</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PrEx>
        <w:trPr>
          <w:trHeight w:val="262"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鳢科</w:t>
            </w:r>
            <w:r>
              <w:rPr>
                <w:rFonts w:ascii="Times New Roman" w:hAnsi="Times New Roman" w:cs="Times New Roman"/>
                <w:kern w:val="0"/>
                <w:sz w:val="18"/>
                <w:szCs w:val="18"/>
              </w:rPr>
              <w:t>Channidae</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乌鳢</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Channa argus</w:t>
            </w: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72" w:type="dxa"/>
            <w:tcBorders>
              <w:top w:val="single" w:color="auto" w:sz="4" w:space="0"/>
              <w:left w:val="nil"/>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刺鳅科</w:t>
            </w:r>
            <w:r>
              <w:rPr>
                <w:rFonts w:ascii="Times New Roman" w:hAnsi="Times New Roman" w:cs="Times New Roman"/>
                <w:kern w:val="0"/>
                <w:sz w:val="18"/>
                <w:szCs w:val="18"/>
              </w:rPr>
              <w:t>Mastacembelidae</w:t>
            </w:r>
          </w:p>
        </w:tc>
        <w:tc>
          <w:tcPr>
            <w:tcW w:w="348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c>
          <w:tcPr>
            <w:tcW w:w="2409" w:type="dxa"/>
            <w:tcBorders>
              <w:top w:val="single" w:color="auto" w:sz="4" w:space="0"/>
              <w:left w:val="single" w:color="auto" w:sz="4" w:space="0"/>
              <w:bottom w:val="single" w:color="auto" w:sz="4"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3072" w:type="dxa"/>
            <w:tcBorders>
              <w:top w:val="single" w:color="auto" w:sz="4" w:space="0"/>
              <w:left w:val="nil"/>
              <w:bottom w:val="single" w:color="auto" w:sz="12"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中华刺鳅</w:t>
            </w:r>
          </w:p>
        </w:tc>
        <w:tc>
          <w:tcPr>
            <w:tcW w:w="3483" w:type="dxa"/>
            <w:tcBorders>
              <w:top w:val="single" w:color="auto" w:sz="4" w:space="0"/>
              <w:left w:val="single" w:color="auto" w:sz="4" w:space="0"/>
              <w:bottom w:val="single" w:color="auto" w:sz="12" w:space="0"/>
              <w:right w:val="single" w:color="auto" w:sz="4" w:space="0"/>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Mastacembelus sinensis</w:t>
            </w:r>
          </w:p>
        </w:tc>
        <w:tc>
          <w:tcPr>
            <w:tcW w:w="2409" w:type="dxa"/>
            <w:tcBorders>
              <w:top w:val="single" w:color="auto" w:sz="4" w:space="0"/>
              <w:left w:val="single" w:color="auto" w:sz="4" w:space="0"/>
              <w:bottom w:val="single" w:color="auto" w:sz="12" w:space="0"/>
              <w:right w:val="nil"/>
            </w:tcBorders>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B</w:t>
            </w:r>
          </w:p>
        </w:tc>
      </w:tr>
    </w:tbl>
    <w:p>
      <w:pPr>
        <w:widowControl/>
        <w:ind w:firstLine="420"/>
        <w:jc w:val="left"/>
      </w:pPr>
      <w:r>
        <w:rPr>
          <w:rFonts w:hint="eastAsia" w:eastAsia="仿宋" w:cs="Times New Roman"/>
          <w:sz w:val="21"/>
          <w:lang w:bidi="ar"/>
        </w:rPr>
        <w:t>食性包括：</w:t>
      </w:r>
      <w:r>
        <w:rPr>
          <w:rFonts w:eastAsia="仿宋" w:cs="Times New Roman"/>
          <w:sz w:val="21"/>
          <w:lang w:bidi="ar"/>
        </w:rPr>
        <w:t>A</w:t>
      </w:r>
      <w:r>
        <w:rPr>
          <w:rFonts w:hint="eastAsia" w:eastAsia="仿宋" w:cs="Times New Roman"/>
          <w:sz w:val="21"/>
          <w:lang w:bidi="ar"/>
        </w:rPr>
        <w:t>植食性、</w:t>
      </w:r>
      <w:r>
        <w:rPr>
          <w:rFonts w:eastAsia="仿宋" w:cs="Times New Roman"/>
          <w:sz w:val="21"/>
          <w:lang w:bidi="ar"/>
        </w:rPr>
        <w:t>B</w:t>
      </w:r>
      <w:r>
        <w:rPr>
          <w:rFonts w:hint="eastAsia" w:eastAsia="仿宋" w:cs="Times New Roman"/>
          <w:sz w:val="21"/>
          <w:lang w:bidi="ar"/>
        </w:rPr>
        <w:t>肉食性、</w:t>
      </w:r>
      <w:r>
        <w:rPr>
          <w:rFonts w:eastAsia="仿宋" w:cs="Times New Roman"/>
          <w:sz w:val="21"/>
          <w:lang w:bidi="ar"/>
        </w:rPr>
        <w:t>C</w:t>
      </w:r>
      <w:r>
        <w:rPr>
          <w:rFonts w:hint="eastAsia" w:eastAsia="仿宋" w:cs="Times New Roman"/>
          <w:sz w:val="21"/>
          <w:lang w:bidi="ar"/>
        </w:rPr>
        <w:t>滤食性、</w:t>
      </w:r>
      <w:r>
        <w:rPr>
          <w:rFonts w:eastAsia="仿宋" w:cs="Times New Roman"/>
          <w:sz w:val="21"/>
          <w:lang w:bidi="ar"/>
        </w:rPr>
        <w:t>D</w:t>
      </w:r>
      <w:r>
        <w:rPr>
          <w:rFonts w:hint="eastAsia" w:eastAsia="仿宋" w:cs="Times New Roman"/>
          <w:sz w:val="21"/>
          <w:lang w:bidi="ar"/>
        </w:rPr>
        <w:t>杂食性</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 xml:space="preserve"> </w:t>
      </w:r>
    </w:p>
    <w:p>
      <w:pPr>
        <w:pStyle w:val="5"/>
        <w:numPr>
          <w:ilvl w:val="0"/>
          <w:numId w:val="0"/>
        </w:numPr>
        <w:tabs>
          <w:tab w:val="left" w:pos="2268"/>
          <w:tab w:val="clear" w:pos="921"/>
          <w:tab w:val="clear" w:pos="2241"/>
        </w:tabs>
        <w:spacing w:before="120" w:after="0" w:line="360" w:lineRule="auto"/>
        <w:rPr>
          <w:rStyle w:val="1121"/>
          <w:rFonts w:eastAsia="黑体"/>
          <w:b w:val="0"/>
          <w:color w:val="auto"/>
          <w:sz w:val="24"/>
          <w:szCs w:val="24"/>
        </w:rPr>
      </w:pPr>
      <w:r>
        <w:rPr>
          <w:rStyle w:val="1121"/>
          <w:rFonts w:eastAsia="黑体"/>
          <w:b w:val="0"/>
          <w:color w:val="auto"/>
          <w:sz w:val="24"/>
          <w:szCs w:val="24"/>
        </w:rPr>
        <w:t>4.9.2.3</w:t>
      </w:r>
      <w:r>
        <w:rPr>
          <w:rStyle w:val="1121"/>
          <w:rFonts w:hint="eastAsia" w:eastAsia="黑体"/>
          <w:b w:val="0"/>
          <w:color w:val="auto"/>
          <w:sz w:val="24"/>
          <w:szCs w:val="24"/>
        </w:rPr>
        <w:t>底栖调查</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w:t>
      </w:r>
      <w:r>
        <w:rPr>
          <w:rFonts w:hint="eastAsia" w:ascii="Times New Roman" w:hAnsi="Times New Roman" w:cs="Times New Roman"/>
          <w:snapToGrid w:val="0"/>
          <w:color w:val="auto"/>
          <w:szCs w:val="20"/>
          <w:lang w:val="zh-CN"/>
        </w:rPr>
        <w:t>、调查方法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参照《生物多样性观测技术导则淡水底栖大型无脊椎动物（HJ 710.8-2014）》，采取以下方法进行调查。</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A</w:t>
      </w:r>
      <w:r>
        <w:rPr>
          <w:rFonts w:hint="eastAsia" w:ascii="Times New Roman" w:hAnsi="Times New Roman" w:cs="Times New Roman"/>
          <w:snapToGrid w:val="0"/>
          <w:color w:val="auto"/>
          <w:szCs w:val="20"/>
          <w:lang w:val="zh-CN"/>
        </w:rPr>
        <w:t>、虾蟹类样本采集</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在每个样地选择5处水草茂密区域，各放置1个虾笼(长5m、宽20cm、高20cm)，次日收取虾笼，并收集虾蟹类动物样本，现场用福尔马林固定，用于获取虾蟹类动物的定性和定量数据。</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B</w:t>
      </w:r>
      <w:r>
        <w:rPr>
          <w:rFonts w:hint="eastAsia" w:ascii="Times New Roman" w:hAnsi="Times New Roman" w:cs="Times New Roman"/>
          <w:snapToGrid w:val="0"/>
          <w:color w:val="auto"/>
          <w:szCs w:val="20"/>
          <w:lang w:val="zh-CN"/>
        </w:rPr>
        <w:t>、软体动物样本采集</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每个样地选择200m长的岸线区域，通过人工搜寻，收集软体动物样本，现场筛细用福尔马林固定，用于获取淡水软体动物的定性资料。</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每个样地选择</w:t>
      </w:r>
      <w:r>
        <w:rPr>
          <w:rFonts w:ascii="Times New Roman" w:hAnsi="Times New Roman" w:cs="Times New Roman"/>
          <w:snapToGrid w:val="0"/>
          <w:color w:val="auto"/>
          <w:szCs w:val="20"/>
          <w:lang w:val="zh-CN"/>
        </w:rPr>
        <w:t>5</w:t>
      </w:r>
      <w:r>
        <w:rPr>
          <w:rFonts w:hint="eastAsia" w:ascii="Times New Roman" w:hAnsi="Times New Roman" w:cs="Times New Roman"/>
          <w:snapToGrid w:val="0"/>
          <w:color w:val="auto"/>
          <w:szCs w:val="20"/>
          <w:lang w:val="zh-CN"/>
        </w:rPr>
        <w:t>处水草茂密的浅水区，结合虾蟹类样本采集，同时收集螺类样本，现场筛细挑选后福尔马林固定，用于浅水区螺类动物定量数据获取。</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 xml:space="preserve">2 </w:t>
      </w:r>
      <w:r>
        <w:rPr>
          <w:rFonts w:hint="eastAsia" w:ascii="Times New Roman" w:hAnsi="Times New Roman" w:cs="Times New Roman"/>
          <w:snapToGrid w:val="0"/>
          <w:color w:val="auto"/>
          <w:szCs w:val="20"/>
          <w:lang w:val="zh-CN"/>
        </w:rPr>
        <w:t xml:space="preserve"> 调查结果</w:t>
      </w:r>
    </w:p>
    <w:p>
      <w:pPr>
        <w:ind w:firstLine="480"/>
        <w:rPr>
          <w:rFonts w:ascii="Times New Roman" w:hAnsi="Times New Roman" w:cs="Times New Roman"/>
          <w:snapToGrid w:val="0"/>
          <w:color w:val="auto"/>
          <w:szCs w:val="20"/>
          <w:lang w:val="zh-CN"/>
        </w:rPr>
      </w:pPr>
      <w:bookmarkStart w:id="353" w:name="_Hlk101785881"/>
      <w:bookmarkStart w:id="354" w:name="_Toc89816170"/>
      <w:r>
        <w:rPr>
          <w:rFonts w:hint="eastAsia" w:ascii="Times New Roman" w:hAnsi="Times New Roman" w:cs="Times New Roman"/>
          <w:snapToGrid w:val="0"/>
          <w:color w:val="auto"/>
          <w:szCs w:val="20"/>
          <w:lang w:val="zh-CN"/>
        </w:rPr>
        <w:t>（1）</w:t>
      </w:r>
      <w:bookmarkEnd w:id="353"/>
      <w:r>
        <w:rPr>
          <w:rFonts w:hint="eastAsia" w:ascii="Times New Roman" w:hAnsi="Times New Roman" w:cs="Times New Roman"/>
          <w:snapToGrid w:val="0"/>
          <w:color w:val="auto"/>
          <w:szCs w:val="20"/>
          <w:lang w:val="zh-CN"/>
        </w:rPr>
        <w:t>物种组成</w:t>
      </w:r>
      <w:bookmarkEnd w:id="354"/>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调查区域内共计记录到底栖动物3门21种，其中，环节动物有5种，约占底栖动物种数的23.8%；软体动物有11种，约占底栖动物种数的52.4%；节肢动物有5种，约占底栖动物种数的23.8%；其中软体动物中的福寿螺为外来入侵物种。具体名录见表</w:t>
      </w:r>
      <w:r>
        <w:rPr>
          <w:rFonts w:ascii="Times New Roman" w:hAnsi="Times New Roman" w:cs="Times New Roman"/>
          <w:snapToGrid w:val="0"/>
          <w:color w:val="auto"/>
          <w:szCs w:val="20"/>
          <w:lang w:val="zh-CN"/>
        </w:rPr>
        <w:t>4.8-16</w:t>
      </w:r>
      <w:r>
        <w:rPr>
          <w:rFonts w:hint="eastAsia" w:ascii="Times New Roman" w:hAnsi="Times New Roman" w:cs="Times New Roman"/>
          <w:snapToGrid w:val="0"/>
          <w:color w:val="auto"/>
          <w:szCs w:val="20"/>
          <w:lang w:val="zh-CN"/>
        </w:rPr>
        <w:t>。</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）生态类型</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调查区域内的大型底栖动物均属淡水种类，取食方式和取食对象在各大类群间差异较大。大部分寡毛类以有机碎屑为食，肉食性种类如各种水蛭以其他动物为食；腹足类主要刮食有机碎屑、无机物质、轮虫和绿藻；双壳类滤食有机碎屑、蓝藻和原生动物；节肢动物主要是撕食动植物。按功能摄食类群分，本次调查采集的大型底栖动物中，直接收集者3种，占物种总数的14.3%；捕食者2种，占物种总数的9.5%；刮食者8种，占物种总数的38.1%；过滤收集者3种，占物种总数的14.3%；撕食者5种，占物种总数的23.8%。</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调查范围内所有种类的大型底栖动物在河湖生境中都被发现，反映出河湖是其最主要的栖息生境。其次是农田生境，共发现11种占52.4%。只有少数种类可以在城镇以及林地中的水体内发现。</w:t>
      </w:r>
    </w:p>
    <w:p>
      <w:pPr>
        <w:spacing w:line="240" w:lineRule="auto"/>
        <w:ind w:firstLine="0" w:firstLineChars="0"/>
        <w:jc w:val="center"/>
        <w:rPr>
          <w:rFonts w:ascii="Times New Roman" w:hAnsi="Times New Roman" w:cs="Times New Roman"/>
          <w:b/>
          <w:color w:val="auto"/>
          <w:kern w:val="0"/>
          <w:sz w:val="21"/>
          <w:szCs w:val="21"/>
        </w:rPr>
      </w:pPr>
      <w:r>
        <w:rPr>
          <w:rFonts w:hint="eastAsia" w:ascii="Times New Roman" w:hAnsi="Times New Roman" w:cs="Times New Roman"/>
          <w:b/>
          <w:color w:val="auto"/>
          <w:kern w:val="0"/>
          <w:sz w:val="21"/>
          <w:szCs w:val="21"/>
        </w:rPr>
        <w:t>表</w:t>
      </w:r>
      <w:r>
        <w:rPr>
          <w:rFonts w:ascii="Times New Roman" w:hAnsi="Times New Roman" w:cs="Times New Roman"/>
          <w:b/>
          <w:color w:val="auto"/>
          <w:kern w:val="0"/>
          <w:sz w:val="21"/>
          <w:szCs w:val="21"/>
        </w:rPr>
        <w:t xml:space="preserve">4.9-15         </w:t>
      </w:r>
      <w:r>
        <w:rPr>
          <w:rFonts w:hint="eastAsia" w:ascii="Times New Roman" w:hAnsi="Times New Roman" w:cs="Times New Roman"/>
          <w:b/>
          <w:color w:val="auto"/>
          <w:kern w:val="0"/>
          <w:sz w:val="21"/>
          <w:szCs w:val="21"/>
        </w:rPr>
        <w:t>临河湿地、巢湖湿地底栖动物名录</w:t>
      </w:r>
    </w:p>
    <w:tbl>
      <w:tblPr>
        <w:tblStyle w:val="62"/>
        <w:tblW w:w="892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8"/>
        <w:gridCol w:w="1775"/>
        <w:gridCol w:w="2027"/>
        <w:gridCol w:w="40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95"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序号</w:t>
            </w:r>
          </w:p>
        </w:tc>
        <w:tc>
          <w:tcPr>
            <w:tcW w:w="1775"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种类</w:t>
            </w: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物种</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hint="eastAsia" w:ascii="Times New Roman" w:hAnsi="Times New Roman" w:cs="Times New Roman"/>
                <w:kern w:val="0"/>
                <w:sz w:val="18"/>
                <w:szCs w:val="18"/>
              </w:rPr>
              <w:t>拉丁名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55"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环节动物</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夹杂带丝蚓</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Lumbriculus variegatum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7"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霍甫水丝蚓</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Limnodrilus hoffmeisteri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88"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3</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中华颤蚓</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Tubifex sinicus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88"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4</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宽体金线蛭</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Whitmania pigra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88"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5</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日本医蛭</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Hirudo nipponia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0"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6</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软体动物</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铜锈石田螺</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Sinotaia aeruginosa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88"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7</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方形石田螺</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Sinotaia quadrata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90"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8</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中华圆田螺</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Cipangopaludina cathayensis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1"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9</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中国圆田螺</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Cipangopaludina chinensis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5"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10</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福寿螺</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Pomacea canaliculata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98"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11</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大沼螺</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Parafossarulus eximius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0"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12</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纹沼螺</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Parafossarulus striatulus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0"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13</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大脐圆扁螺</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Hippeutis umbilicalis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88"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14</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圆顶珠蚌</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Unio douglasiae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35"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15</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三角帆蚌</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Hyriopsis cumingii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88"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16</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河砚</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Corbicula fluminea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84"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17</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节肢动物</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异足新米虾</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Neocaridina heteropoda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4"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18</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克氏原鳌虾</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Procambarus clarkia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31"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19</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日本沼虾</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Macrobrachium nipponense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88"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20</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中华绒螯蟹</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Eriocheir sinensis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88" w:hRule="atLeast"/>
          <w:jc w:val="center"/>
        </w:trPr>
        <w:tc>
          <w:tcPr>
            <w:tcW w:w="1098"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21</w:t>
            </w:r>
          </w:p>
        </w:tc>
        <w:tc>
          <w:tcPr>
            <w:tcW w:w="1775"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ascii="Times New Roman" w:hAnsi="Times New Roman" w:cs="Times New Roman"/>
                <w:kern w:val="0"/>
                <w:sz w:val="18"/>
                <w:szCs w:val="18"/>
              </w:rPr>
              <w:t>　</w:t>
            </w:r>
          </w:p>
        </w:tc>
        <w:tc>
          <w:tcPr>
            <w:tcW w:w="2027" w:type="dxa"/>
            <w:shd w:val="clear" w:color="auto" w:fill="auto"/>
            <w:vAlign w:val="center"/>
          </w:tcPr>
          <w:p>
            <w:pPr>
              <w:widowControl/>
              <w:adjustRightInd/>
              <w:spacing w:line="240" w:lineRule="auto"/>
              <w:ind w:firstLine="0" w:firstLineChars="0"/>
              <w:rPr>
                <w:rFonts w:ascii="Times New Roman" w:hAnsi="Times New Roman" w:cs="Times New Roman"/>
                <w:kern w:val="0"/>
                <w:sz w:val="18"/>
                <w:szCs w:val="18"/>
              </w:rPr>
            </w:pPr>
            <w:r>
              <w:rPr>
                <w:rFonts w:hint="eastAsia" w:ascii="Times New Roman" w:hAnsi="Times New Roman" w:cs="Times New Roman"/>
                <w:kern w:val="0"/>
                <w:sz w:val="18"/>
                <w:szCs w:val="18"/>
              </w:rPr>
              <w:t>淡水钩虾</w:t>
            </w:r>
          </w:p>
        </w:tc>
        <w:tc>
          <w:tcPr>
            <w:tcW w:w="4023" w:type="dxa"/>
            <w:shd w:val="clear" w:color="auto" w:fill="auto"/>
            <w:vAlign w:val="center"/>
          </w:tcPr>
          <w:p>
            <w:pPr>
              <w:widowControl/>
              <w:adjustRightInd/>
              <w:spacing w:line="240" w:lineRule="auto"/>
              <w:ind w:firstLine="0" w:firstLineChars="0"/>
              <w:jc w:val="center"/>
              <w:rPr>
                <w:rFonts w:ascii="Times New Roman" w:hAnsi="Times New Roman" w:cs="Times New Roman"/>
                <w:kern w:val="0"/>
                <w:sz w:val="18"/>
                <w:szCs w:val="18"/>
              </w:rPr>
            </w:pPr>
            <w:r>
              <w:rPr>
                <w:rFonts w:ascii="Times New Roman" w:hAnsi="Times New Roman" w:cs="Times New Roman"/>
                <w:kern w:val="0"/>
                <w:sz w:val="18"/>
                <w:szCs w:val="18"/>
              </w:rPr>
              <w:t>Gammarus sp.</w:t>
            </w:r>
          </w:p>
        </w:tc>
      </w:tr>
    </w:tbl>
    <w:p>
      <w:pPr>
        <w:pStyle w:val="25"/>
        <w:ind w:firstLine="480"/>
        <w:rPr>
          <w:lang w:val="zh-CN"/>
        </w:rPr>
      </w:pPr>
    </w:p>
    <w:p>
      <w:pPr>
        <w:pStyle w:val="5"/>
        <w:numPr>
          <w:ilvl w:val="0"/>
          <w:numId w:val="0"/>
        </w:numPr>
        <w:tabs>
          <w:tab w:val="left" w:pos="2268"/>
          <w:tab w:val="clear" w:pos="921"/>
          <w:tab w:val="clear" w:pos="2241"/>
        </w:tabs>
        <w:spacing w:after="0" w:line="360" w:lineRule="auto"/>
        <w:rPr>
          <w:rStyle w:val="1121"/>
          <w:rFonts w:eastAsia="黑体"/>
          <w:b w:val="0"/>
          <w:color w:val="auto"/>
          <w:sz w:val="24"/>
          <w:szCs w:val="24"/>
        </w:rPr>
      </w:pPr>
      <w:r>
        <w:rPr>
          <w:rStyle w:val="1121"/>
          <w:rFonts w:eastAsia="黑体"/>
          <w:b w:val="0"/>
          <w:color w:val="auto"/>
          <w:sz w:val="24"/>
          <w:szCs w:val="24"/>
        </w:rPr>
        <w:t xml:space="preserve">4.9.2.4 </w:t>
      </w:r>
      <w:r>
        <w:rPr>
          <w:rStyle w:val="1121"/>
          <w:rFonts w:hint="eastAsia" w:eastAsia="黑体"/>
          <w:b w:val="0"/>
          <w:color w:val="auto"/>
          <w:sz w:val="24"/>
          <w:szCs w:val="24"/>
        </w:rPr>
        <w:t>浮游生物调查</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1、相关术语</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（1）浮游植物</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水中营浮游生活的藻类，属于微藻类，广泛存在于河流、水域泊和海洋中。淡水水体中的浮游藻类主要包括蓝藻、绿藻、硅藻、裸藻、甲藻、金藻、黄藻和隐藻等。</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（2）浮游动物</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浮游动物是指悬浮于水中的异养型无脊椎动物和脊索动物幼体的总称，主要包括原生动物、轮虫、枝角类和桡足类。</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2、调查原则</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（1）科学性原则</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调查水体和调查对象应具有代表性，能全面反映区域内浮游植物和浮游动物物种多样性的整体概况；应采用统一、标准化的调查方法，能反映浮游植物和浮游动物物种多样性的空间变化特点。</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（2）可操作性原则</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调查应考虑所拥有的人力、资金和后勤保障等条件，充分利用现有资料和成果，立足现有调查设备和人员条件，应采用效率高、成本低的调查方法。</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（3）持续性原则</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调查工作能对水生生物多样性保护和管理起到指导及预警作用。调查对象、方法、时间和频次一经确定，应长期保持不变。</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（4）安全性原则</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浮游植物和浮游动物的调查具有一定的野外工作特点，调查者应接受过相关的专业培训，调查过程中应做好安全防护措施。乘船作业期间，操作人员必须穿戴工作救生衣，禁止单人作业，至少二人以上，其中至少有一人会游泳。</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（5）方法适用性原则</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根据调查水体的形态、大小、流量、深度等环境条件，选择相应的调查方法。</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3、调查断面和样点设置</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本次调查依据相关技术指南中的要求，并结合项目区域根据评价</w:t>
      </w:r>
      <w:r>
        <w:rPr>
          <w:rFonts w:hint="eastAsia" w:ascii="Times New Roman" w:hAnsi="Times New Roman" w:cs="Times New Roman"/>
          <w:snapToGrid w:val="0"/>
          <w:color w:val="auto"/>
          <w:szCs w:val="20"/>
          <w:lang w:val="zh-CN"/>
        </w:rPr>
        <w:t>区域</w:t>
      </w:r>
      <w:r>
        <w:rPr>
          <w:rFonts w:ascii="Times New Roman" w:hAnsi="Times New Roman" w:cs="Times New Roman"/>
          <w:snapToGrid w:val="0"/>
          <w:color w:val="auto"/>
          <w:szCs w:val="20"/>
          <w:lang w:val="zh-CN"/>
        </w:rPr>
        <w:t>水文特征</w:t>
      </w:r>
      <w:r>
        <w:rPr>
          <w:rFonts w:hint="eastAsia" w:ascii="Times New Roman" w:hAnsi="Times New Roman" w:cs="Times New Roman"/>
          <w:snapToGrid w:val="0"/>
          <w:color w:val="auto"/>
          <w:szCs w:val="20"/>
          <w:lang w:val="zh-CN"/>
        </w:rPr>
        <w:t>来设置样点，共设置</w:t>
      </w:r>
      <w:r>
        <w:rPr>
          <w:rFonts w:ascii="Times New Roman" w:hAnsi="Times New Roman" w:cs="Times New Roman"/>
          <w:snapToGrid w:val="0"/>
          <w:color w:val="auto"/>
          <w:szCs w:val="20"/>
          <w:lang w:val="zh-CN"/>
        </w:rPr>
        <w:t>6</w:t>
      </w:r>
      <w:r>
        <w:rPr>
          <w:rFonts w:hint="eastAsia" w:ascii="Times New Roman" w:hAnsi="Times New Roman" w:cs="Times New Roman"/>
          <w:snapToGrid w:val="0"/>
          <w:color w:val="auto"/>
          <w:szCs w:val="20"/>
          <w:lang w:val="zh-CN"/>
        </w:rPr>
        <w:t xml:space="preserve">个采集样点，其中临河湿地圩区内水体4个采集点，南淝河水体2个采集点。          </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4、调查指标和方法</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（1）调查指标</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区域内浮游植物和浮游动物种类组成和多样性；重点环境指示物种的种群数量及长期变化；特有种、优势种、常见种。</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（2）调查方法</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按照《环境影响评价技术导则—总纲》（HJ/T 2.1～2.3-93）、《环境监测技术规范》（国家环境保护总局，1986年）、《水库渔业资源调查规范》（SL167-96）、《内陆水域渔业自然资源调查手册》、《淡水浮游生物研究方法》进行采样和检测。种类为流态和断面的累计值，密度为断面和流态的平均值。</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历史资料收集与整理</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收集区域内已有资料（发表和未发表的文献、馆藏标本等），结合访谈调查，掌握调查区域内的物种组成及分布的历史记录。</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浮游植物的采集包括定性采集和定量采集。定性采集采用25号筛绢制成的浮游生物网在水中拖曳采集。定量采集则采集充分混合的2000 ml水样（根据</w:t>
      </w:r>
      <w:r>
        <w:rPr>
          <w:rFonts w:hint="eastAsia" w:ascii="Times New Roman" w:hAnsi="Times New Roman" w:cs="Times New Roman"/>
          <w:snapToGrid w:val="0"/>
          <w:color w:val="auto"/>
          <w:szCs w:val="20"/>
          <w:lang w:val="zh-CN"/>
        </w:rPr>
        <w:t>水域</w:t>
      </w:r>
      <w:r>
        <w:rPr>
          <w:rFonts w:ascii="Times New Roman" w:hAnsi="Times New Roman" w:cs="Times New Roman"/>
          <w:snapToGrid w:val="0"/>
          <w:color w:val="auto"/>
          <w:szCs w:val="20"/>
          <w:lang w:val="zh-CN"/>
        </w:rPr>
        <w:t>水泥沙含量、浮游植物数量等实际情况决定取样量，并采用泥沙分离的方法），加入鲁哥氏液固定，经过48h静置沉淀，浓缩至约30ml，保存待检。一般同一断面的浮游植物与原生动物、轮虫共用一份定性、定量样品。在实验室进行浮游植物种类的鉴定及按个体计数法进行计数、统计和分析，浮游植物密度单位为ind./L，生物量单位为mg/L。</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每升水样中浮游植物数量的计算公式如下：</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drawing>
          <wp:inline distT="0" distB="0" distL="0" distR="0">
            <wp:extent cx="1331595" cy="446405"/>
            <wp:effectExtent l="0" t="0" r="1905" b="0"/>
            <wp:docPr id="2975" name="图片 297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75" name="图片 2975"/>
                    <pic:cNvPicPr>
                      <a:picLocks noChangeAspect="true" noChangeArrowheads="true"/>
                    </pic:cNvPicPr>
                  </pic:nvPicPr>
                  <pic:blipFill>
                    <a:blip r:embed="rId157" cstate="print">
                      <a:extLst>
                        <a:ext uri="{28A0092B-C50C-407E-A947-70E740481C1C}">
                          <a14:useLocalDpi xmlns:a14="http://schemas.microsoft.com/office/drawing/2010/main" val="false"/>
                        </a:ext>
                      </a:extLst>
                    </a:blip>
                    <a:srcRect/>
                    <a:stretch>
                      <a:fillRect/>
                    </a:stretch>
                  </pic:blipFill>
                  <pic:spPr>
                    <a:xfrm>
                      <a:off x="0" y="0"/>
                      <a:ext cx="1331595" cy="446405"/>
                    </a:xfrm>
                    <a:prstGeom prst="rect">
                      <a:avLst/>
                    </a:prstGeom>
                    <a:noFill/>
                    <a:ln>
                      <a:noFill/>
                    </a:ln>
                  </pic:spPr>
                </pic:pic>
              </a:graphicData>
            </a:graphic>
          </wp:inline>
        </w:drawing>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式中：N</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一升水中浮游植物的数量（ind. L</w:t>
      </w:r>
      <w:r>
        <w:rPr>
          <w:rFonts w:ascii="Times New Roman" w:hAnsi="Times New Roman" w:cs="Times New Roman"/>
          <w:snapToGrid w:val="0"/>
          <w:color w:val="auto"/>
          <w:szCs w:val="20"/>
          <w:vertAlign w:val="superscript"/>
          <w:lang w:val="zh-CN"/>
        </w:rPr>
        <w:t>-1</w:t>
      </w:r>
      <w:r>
        <w:rPr>
          <w:rFonts w:ascii="Times New Roman" w:hAnsi="Times New Roman" w:cs="Times New Roman"/>
          <w:snapToGrid w:val="0"/>
          <w:color w:val="auto"/>
          <w:szCs w:val="20"/>
          <w:lang w:val="zh-CN"/>
        </w:rPr>
        <w:t>）；</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Cs-------计数框的面积（mm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Fs------视野面积（mm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Fn------每片计数过的视野数；</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V------一升水样经浓缩后的体积（ml）；</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v------计数框的容积（ml）；</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Pn------计数所得个数（ind.）。</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浮游植物的定性样品采用国际标准的25号浮游生物网，在选定的采样点于水面下0.5m深处以每秒20-30cm的速度作“∞”形循环缓慢拖动，拖动时间至少5分钟，以此来定性采集浮游藻类。遇较大水体时，可把浮游生物网拴在船尾，以慢速拖拽，时间至少为10分钟。浮游动物定性样品的采集使用13号浮游生物网，方法同浮游植物定性样品采集方法。</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②</w:t>
      </w:r>
      <w:r>
        <w:rPr>
          <w:rFonts w:ascii="Times New Roman" w:hAnsi="Times New Roman" w:cs="Times New Roman"/>
          <w:snapToGrid w:val="0"/>
          <w:color w:val="auto"/>
          <w:szCs w:val="20"/>
          <w:lang w:val="zh-CN"/>
        </w:rPr>
        <w:t xml:space="preserve"> 浮游动物</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原生动物、轮虫与同断面的浮游植物共用一份定性、定量样品。枝角类和桡足类定性采集采用13号筛绢制成的浮游生物网在水中拖曳采集，将网头中的样品放入50ml样品瓶中，加福尔马林液2.5ml进行固定。定量采集则采集充分混合的20 L水样用25号筛绢制成的浮游生物网过滤后，将网头中的样品放入50 ml样品瓶中，加福尔马林液2.5ml进行固定。在实验室进行种类鉴定及按个体计数法进行计数、统计和分析，浮游动物密度单位为ind./L，生物量单位为mg/L。单位水体浮游动物数量的计算公式如下：</w:t>
      </w:r>
    </w:p>
    <w:p>
      <w:pPr>
        <w:ind w:firstLine="560"/>
        <w:rPr>
          <w:rFonts w:ascii="Times New Roman" w:hAnsi="Times New Roman" w:cs="Times New Roman"/>
          <w:snapToGrid w:val="0"/>
          <w:color w:val="auto"/>
          <w:szCs w:val="20"/>
          <w:lang w:val="zh-CN"/>
        </w:rPr>
      </w:pPr>
      <w:r>
        <w:rPr>
          <w:rFonts w:cs="Times New Roman"/>
          <w:color w:val="auto"/>
          <w:sz w:val="28"/>
          <w:szCs w:val="28"/>
        </w:rPr>
        <w:t xml:space="preserve">       </w:t>
      </w:r>
      <w:r>
        <w:rPr>
          <w:rFonts w:ascii="Times New Roman" w:hAnsi="Times New Roman" w:cs="Times New Roman"/>
          <w:snapToGrid w:val="0"/>
          <w:color w:val="auto"/>
          <w:szCs w:val="20"/>
          <w:lang w:val="zh-CN"/>
        </w:rPr>
        <w:t xml:space="preserve">           N ＝</w:t>
      </w:r>
      <w:r>
        <w:rPr>
          <w:rFonts w:ascii="Times New Roman" w:hAnsi="Times New Roman" w:cs="Times New Roman"/>
          <w:snapToGrid w:val="0"/>
          <w:color w:val="auto"/>
          <w:szCs w:val="20"/>
          <w:lang w:val="zh-CN"/>
        </w:rPr>
        <w:drawing>
          <wp:inline distT="0" distB="0" distL="0" distR="0">
            <wp:extent cx="292735" cy="409575"/>
            <wp:effectExtent l="0" t="0" r="0" b="9525"/>
            <wp:docPr id="21"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true" noChangeArrowheads="true"/>
                    </pic:cNvPicPr>
                  </pic:nvPicPr>
                  <pic:blipFill>
                    <a:blip r:embed="rId158" cstate="print">
                      <a:extLst>
                        <a:ext uri="{28A0092B-C50C-407E-A947-70E740481C1C}">
                          <a14:useLocalDpi xmlns:a14="http://schemas.microsoft.com/office/drawing/2010/main" val="false"/>
                        </a:ext>
                      </a:extLst>
                    </a:blip>
                    <a:srcRect/>
                    <a:stretch>
                      <a:fillRect/>
                    </a:stretch>
                  </pic:blipFill>
                  <pic:spPr>
                    <a:xfrm>
                      <a:off x="0" y="0"/>
                      <a:ext cx="292735" cy="409575"/>
                    </a:xfrm>
                    <a:prstGeom prst="rect">
                      <a:avLst/>
                    </a:prstGeom>
                    <a:noFill/>
                    <a:ln>
                      <a:noFill/>
                    </a:ln>
                  </pic:spPr>
                </pic:pic>
              </a:graphicData>
            </a:graphic>
          </wp:inline>
        </w:drawing>
      </w:r>
      <w:r>
        <w:rPr>
          <w:rFonts w:ascii="Times New Roman" w:hAnsi="Times New Roman" w:cs="Times New Roman"/>
          <w:snapToGrid w:val="0"/>
          <w:color w:val="auto"/>
          <w:szCs w:val="20"/>
          <w:lang w:val="zh-CN"/>
        </w:rPr>
        <w:t xml:space="preserve">                      </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 xml:space="preserve">    式中：N——每升水样中浮游动物的数量（ind./L）；</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 xml:space="preserve">          V1——样品浓缩后的体积（ml）；</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 xml:space="preserve">          V——采样体积（L）；</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 xml:space="preserve">          C——计数样品体积（ml）；</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 xml:space="preserve">          n——计数所获得的个数（ind.）；</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原生动物和轮虫生物量的计算采用体积换算法。根据不同种类的体形，按最近似的几何形测量其体积。枝角类和桡足类生物量的计算采用测量不同种类的体长，用回归方程式求得相应的体重。</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5、调查工具及鉴定工具书</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（1）调查工具</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竖式采水器、25号浮游生物网、具刻度玻璃采样瓶（1L）、具刻度塑料螺口样品瓶（100m</w:t>
      </w:r>
      <w:r>
        <w:rPr>
          <w:rFonts w:hint="eastAsia" w:ascii="Times New Roman" w:hAnsi="Times New Roman" w:cs="Times New Roman"/>
          <w:snapToGrid w:val="0"/>
          <w:color w:val="auto"/>
          <w:szCs w:val="20"/>
          <w:lang w:val="zh-CN"/>
        </w:rPr>
        <w:t>l</w:t>
      </w:r>
      <w:r>
        <w:rPr>
          <w:rFonts w:ascii="Times New Roman" w:hAnsi="Times New Roman" w:cs="Times New Roman"/>
          <w:snapToGrid w:val="0"/>
          <w:color w:val="auto"/>
          <w:szCs w:val="20"/>
          <w:lang w:val="zh-CN"/>
        </w:rPr>
        <w:t>）、生物显微镜、目测微尺和台测微尺、浮游生物计数框（0.1m</w:t>
      </w:r>
      <w:r>
        <w:rPr>
          <w:rFonts w:hint="eastAsia" w:ascii="Times New Roman" w:hAnsi="Times New Roman" w:cs="Times New Roman"/>
          <w:snapToGrid w:val="0"/>
          <w:color w:val="auto"/>
          <w:szCs w:val="20"/>
          <w:lang w:val="zh-CN"/>
        </w:rPr>
        <w:t>l</w:t>
      </w:r>
      <w:r>
        <w:rPr>
          <w:rFonts w:ascii="Times New Roman" w:hAnsi="Times New Roman" w:cs="Times New Roman"/>
          <w:snapToGrid w:val="0"/>
          <w:color w:val="auto"/>
          <w:szCs w:val="20"/>
          <w:lang w:val="zh-CN"/>
        </w:rPr>
        <w:t>）、5%鲁哥氏液、福尔马林固定液、酒精、硫代硫酸钠、饱和硫酸铜水溶液</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（2）鉴定工具书</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胡鸿钧，魏印心.中国淡水藻类——系统、分类及生态[M].科学出版社，2006</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魏印心，施之新，饶钦止，等.中国淡水藻志[M].科学出版社，1998-2014</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周凤霞，陈剑虹.淡水微生物图谱[M].北京:化学工业出版社,2008.1</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6</w:t>
      </w:r>
      <w:r>
        <w:rPr>
          <w:rFonts w:hint="eastAsia" w:ascii="Times New Roman" w:hAnsi="Times New Roman" w:cs="Times New Roman"/>
          <w:snapToGrid w:val="0"/>
          <w:color w:val="auto"/>
          <w:szCs w:val="20"/>
          <w:lang w:val="zh-CN"/>
        </w:rPr>
        <w:t>、调查结果</w:t>
      </w:r>
    </w:p>
    <w:p>
      <w:pPr>
        <w:ind w:firstLine="439" w:firstLineChars="183"/>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（1）</w:t>
      </w:r>
      <w:r>
        <w:rPr>
          <w:rFonts w:ascii="Times New Roman" w:hAnsi="Times New Roman" w:cs="Times New Roman"/>
          <w:snapToGrid w:val="0"/>
          <w:color w:val="auto"/>
          <w:szCs w:val="20"/>
          <w:lang w:val="zh-CN"/>
        </w:rPr>
        <w:t>浮游植物</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1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①</w:t>
      </w:r>
      <w:r>
        <w:rPr>
          <w:rFonts w:ascii="Times New Roman" w:hAnsi="Times New Roman" w:cs="Times New Roman"/>
          <w:snapToGrid w:val="0"/>
          <w:color w:val="auto"/>
          <w:szCs w:val="20"/>
          <w:lang w:val="zh-CN"/>
        </w:rPr>
        <w:fldChar w:fldCharType="end"/>
      </w:r>
      <w:r>
        <w:rPr>
          <w:rFonts w:hint="eastAsia" w:ascii="Times New Roman" w:hAnsi="Times New Roman" w:cs="Times New Roman"/>
          <w:snapToGrid w:val="0"/>
          <w:color w:val="auto"/>
          <w:szCs w:val="20"/>
          <w:lang w:val="zh-CN"/>
        </w:rPr>
        <w:t>物种组成</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临河</w:t>
      </w:r>
      <w:r>
        <w:rPr>
          <w:rFonts w:ascii="Times New Roman" w:hAnsi="Times New Roman" w:cs="Times New Roman"/>
          <w:snapToGrid w:val="0"/>
          <w:color w:val="auto"/>
          <w:szCs w:val="20"/>
          <w:lang w:val="zh-CN"/>
        </w:rPr>
        <w:t>湿地及外围水体浮游植物调查共发现浮游植物 104</w:t>
      </w:r>
      <w:r>
        <w:rPr>
          <w:rFonts w:hint="eastAsia" w:ascii="Times New Roman" w:hAnsi="Times New Roman" w:cs="Times New Roman"/>
          <w:snapToGrid w:val="0"/>
          <w:color w:val="auto"/>
          <w:szCs w:val="20"/>
          <w:lang w:val="zh-CN"/>
        </w:rPr>
        <w:t>种，分属于</w:t>
      </w:r>
      <w:r>
        <w:rPr>
          <w:rFonts w:ascii="Times New Roman" w:hAnsi="Times New Roman" w:cs="Times New Roman"/>
          <w:snapToGrid w:val="0"/>
          <w:color w:val="auto"/>
          <w:szCs w:val="20"/>
          <w:lang w:val="zh-CN"/>
        </w:rPr>
        <w:t>绿藻门、硅藻门、裸藻门、隐藻门、甲藻门和金藻门七大门类。其中硅藻门</w:t>
      </w:r>
      <w:r>
        <w:rPr>
          <w:rFonts w:hint="eastAsia" w:ascii="Times New Roman" w:hAnsi="Times New Roman" w:cs="Times New Roman"/>
          <w:snapToGrid w:val="0"/>
          <w:color w:val="auto"/>
          <w:szCs w:val="20"/>
          <w:lang w:val="zh-CN"/>
        </w:rPr>
        <w:t>1</w:t>
      </w:r>
      <w:r>
        <w:rPr>
          <w:rFonts w:ascii="Times New Roman" w:hAnsi="Times New Roman" w:cs="Times New Roman"/>
          <w:snapToGrid w:val="0"/>
          <w:color w:val="auto"/>
          <w:szCs w:val="20"/>
          <w:lang w:val="zh-CN"/>
        </w:rPr>
        <w:t>7种(占比16.34%)，黄藻门</w:t>
      </w:r>
      <w:r>
        <w:rPr>
          <w:rFonts w:hint="eastAsia" w:ascii="Times New Roman" w:hAnsi="Times New Roman" w:cs="Times New Roman"/>
          <w:snapToGrid w:val="0"/>
          <w:color w:val="auto"/>
          <w:szCs w:val="20"/>
          <w:lang w:val="zh-CN"/>
        </w:rPr>
        <w:t>2种</w:t>
      </w:r>
      <w:r>
        <w:rPr>
          <w:rFonts w:ascii="Times New Roman" w:hAnsi="Times New Roman" w:cs="Times New Roman"/>
          <w:snapToGrid w:val="0"/>
          <w:color w:val="auto"/>
          <w:szCs w:val="20"/>
          <w:lang w:val="zh-CN"/>
        </w:rPr>
        <w:t>(占比1.92%)</w:t>
      </w:r>
      <w:r>
        <w:rPr>
          <w:rFonts w:hint="eastAsia" w:ascii="Times New Roman" w:hAnsi="Times New Roman" w:cs="Times New Roman"/>
          <w:snapToGrid w:val="0"/>
          <w:color w:val="auto"/>
          <w:szCs w:val="20"/>
          <w:lang w:val="zh-CN"/>
        </w:rPr>
        <w:t>，甲藻门3种</w:t>
      </w:r>
      <w:r>
        <w:rPr>
          <w:rFonts w:ascii="Times New Roman" w:hAnsi="Times New Roman" w:cs="Times New Roman"/>
          <w:snapToGrid w:val="0"/>
          <w:color w:val="auto"/>
          <w:szCs w:val="20"/>
          <w:lang w:val="zh-CN"/>
        </w:rPr>
        <w:t>(占比2.88%)</w:t>
      </w:r>
      <w:r>
        <w:rPr>
          <w:rFonts w:hint="eastAsia" w:ascii="Times New Roman" w:hAnsi="Times New Roman" w:cs="Times New Roman"/>
          <w:snapToGrid w:val="0"/>
          <w:color w:val="auto"/>
          <w:szCs w:val="20"/>
          <w:lang w:val="zh-CN"/>
        </w:rPr>
        <w:t>，金藻门1种</w:t>
      </w:r>
      <w:r>
        <w:rPr>
          <w:rFonts w:ascii="Times New Roman" w:hAnsi="Times New Roman" w:cs="Times New Roman"/>
          <w:snapToGrid w:val="0"/>
          <w:color w:val="auto"/>
          <w:szCs w:val="20"/>
          <w:lang w:val="zh-CN"/>
        </w:rPr>
        <w:t>(占比0.97%)</w:t>
      </w:r>
      <w:r>
        <w:rPr>
          <w:rFonts w:hint="eastAsia" w:ascii="Times New Roman" w:hAnsi="Times New Roman" w:cs="Times New Roman"/>
          <w:snapToGrid w:val="0"/>
          <w:color w:val="auto"/>
          <w:szCs w:val="20"/>
          <w:lang w:val="zh-CN"/>
        </w:rPr>
        <w:t>，蓝藻门1</w:t>
      </w:r>
      <w:r>
        <w:rPr>
          <w:rFonts w:ascii="Times New Roman" w:hAnsi="Times New Roman" w:cs="Times New Roman"/>
          <w:snapToGrid w:val="0"/>
          <w:color w:val="auto"/>
          <w:szCs w:val="20"/>
          <w:lang w:val="zh-CN"/>
        </w:rPr>
        <w:t>7种(占比16.35%)，裸藻门7(占比6.73%)，绿藻门</w:t>
      </w:r>
      <w:r>
        <w:rPr>
          <w:rFonts w:hint="eastAsia" w:ascii="Times New Roman" w:hAnsi="Times New Roman" w:cs="Times New Roman"/>
          <w:snapToGrid w:val="0"/>
          <w:color w:val="auto"/>
          <w:szCs w:val="20"/>
          <w:lang w:val="zh-CN"/>
        </w:rPr>
        <w:t>5</w:t>
      </w:r>
      <w:r>
        <w:rPr>
          <w:rFonts w:ascii="Times New Roman" w:hAnsi="Times New Roman" w:cs="Times New Roman"/>
          <w:snapToGrid w:val="0"/>
          <w:color w:val="auto"/>
          <w:szCs w:val="20"/>
          <w:lang w:val="zh-CN"/>
        </w:rPr>
        <w:t>7种(占比54.81%)。具体浮游植物名录见附录</w:t>
      </w:r>
      <w:r>
        <w:rPr>
          <w:rFonts w:hint="eastAsia" w:ascii="Times New Roman" w:hAnsi="Times New Roman" w:cs="Times New Roman"/>
          <w:snapToGrid w:val="0"/>
          <w:color w:val="auto"/>
          <w:szCs w:val="20"/>
          <w:lang w:val="zh-CN"/>
        </w:rPr>
        <w:t>Ⅳ。</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2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②</w:t>
      </w:r>
      <w:r>
        <w:rPr>
          <w:rFonts w:ascii="Times New Roman" w:hAnsi="Times New Roman" w:cs="Times New Roman"/>
          <w:snapToGrid w:val="0"/>
          <w:color w:val="auto"/>
          <w:szCs w:val="20"/>
          <w:lang w:val="zh-CN"/>
        </w:rPr>
        <w:fldChar w:fldCharType="end"/>
      </w:r>
      <w:r>
        <w:rPr>
          <w:rFonts w:hint="eastAsia" w:ascii="Times New Roman" w:hAnsi="Times New Roman" w:cs="Times New Roman"/>
          <w:snapToGrid w:val="0"/>
          <w:color w:val="auto"/>
          <w:szCs w:val="20"/>
          <w:lang w:val="zh-CN"/>
        </w:rPr>
        <w:t>密度</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调查水域区浮游植物平均密度为3.27×10</w:t>
      </w:r>
      <w:r>
        <w:rPr>
          <w:rFonts w:ascii="Times New Roman" w:hAnsi="Times New Roman" w:cs="Times New Roman"/>
          <w:snapToGrid w:val="0"/>
          <w:color w:val="auto"/>
          <w:szCs w:val="20"/>
          <w:vertAlign w:val="superscript"/>
          <w:lang w:val="zh-CN"/>
        </w:rPr>
        <w:t>5</w:t>
      </w:r>
      <w:r>
        <w:rPr>
          <w:rFonts w:ascii="Times New Roman" w:hAnsi="Times New Roman" w:cs="Times New Roman"/>
          <w:snapToGrid w:val="0"/>
          <w:color w:val="auto"/>
          <w:szCs w:val="20"/>
          <w:lang w:val="zh-CN"/>
        </w:rPr>
        <w:t xml:space="preserve"> cell/L，变动幅度为2.38×10</w:t>
      </w:r>
      <w:r>
        <w:rPr>
          <w:rFonts w:ascii="Times New Roman" w:hAnsi="Times New Roman" w:cs="Times New Roman"/>
          <w:snapToGrid w:val="0"/>
          <w:color w:val="auto"/>
          <w:szCs w:val="20"/>
          <w:vertAlign w:val="superscript"/>
          <w:lang w:val="zh-CN"/>
        </w:rPr>
        <w:t>5</w:t>
      </w:r>
      <w:r>
        <w:rPr>
          <w:rFonts w:ascii="Times New Roman" w:hAnsi="Times New Roman" w:cs="Times New Roman"/>
          <w:snapToGrid w:val="0"/>
          <w:color w:val="auto"/>
          <w:szCs w:val="20"/>
          <w:lang w:val="zh-CN"/>
        </w:rPr>
        <w:t>～5.49×10</w:t>
      </w:r>
      <w:r>
        <w:rPr>
          <w:rFonts w:ascii="Times New Roman" w:hAnsi="Times New Roman" w:cs="Times New Roman"/>
          <w:snapToGrid w:val="0"/>
          <w:color w:val="auto"/>
          <w:szCs w:val="20"/>
          <w:vertAlign w:val="superscript"/>
          <w:lang w:val="zh-CN"/>
        </w:rPr>
        <w:t>5</w:t>
      </w:r>
      <w:r>
        <w:rPr>
          <w:rFonts w:ascii="Times New Roman" w:hAnsi="Times New Roman" w:cs="Times New Roman"/>
          <w:snapToGrid w:val="0"/>
          <w:color w:val="auto"/>
          <w:szCs w:val="20"/>
          <w:lang w:val="zh-CN"/>
        </w:rPr>
        <w:t xml:space="preserve"> cell/L。浮游植物密度</w:t>
      </w:r>
      <w:r>
        <w:rPr>
          <w:rFonts w:hint="eastAsia" w:ascii="Times New Roman" w:hAnsi="Times New Roman" w:cs="Times New Roman"/>
          <w:snapToGrid w:val="0"/>
          <w:color w:val="auto"/>
          <w:szCs w:val="20"/>
          <w:lang w:val="zh-CN"/>
        </w:rPr>
        <w:t>最大值</w:t>
      </w:r>
      <w:r>
        <w:rPr>
          <w:rFonts w:ascii="Times New Roman" w:hAnsi="Times New Roman" w:cs="Times New Roman"/>
          <w:snapToGrid w:val="0"/>
          <w:color w:val="auto"/>
          <w:szCs w:val="20"/>
          <w:lang w:val="zh-CN"/>
        </w:rPr>
        <w:t>为5.49 cell/L</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最小值为2.38 cell/L。硅藻门对浮游植物密度的贡献最大，占总密度的41.43%，其次为绿藻门，占总密度的38.57%，蓝藻门占总密度的15.72%，裸藻门占总密度1.89%，黄藻门占总密度的1.23%，隐藻门占总密度的0.50%，甲藻门占总密度的0.66%。</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3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③</w:t>
      </w:r>
      <w:r>
        <w:rPr>
          <w:rFonts w:ascii="Times New Roman" w:hAnsi="Times New Roman" w:cs="Times New Roman"/>
          <w:snapToGrid w:val="0"/>
          <w:color w:val="auto"/>
          <w:szCs w:val="20"/>
          <w:lang w:val="zh-CN"/>
        </w:rPr>
        <w:fldChar w:fldCharType="end"/>
      </w:r>
      <w:r>
        <w:rPr>
          <w:rFonts w:hint="eastAsia" w:ascii="Times New Roman" w:hAnsi="Times New Roman" w:cs="Times New Roman"/>
          <w:snapToGrid w:val="0"/>
          <w:color w:val="auto"/>
          <w:szCs w:val="20"/>
          <w:lang w:val="zh-CN"/>
        </w:rPr>
        <w:t>生物量</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蓝藻</w:t>
      </w:r>
      <w:r>
        <w:rPr>
          <w:rFonts w:hint="eastAsia" w:ascii="Times New Roman" w:hAnsi="Times New Roman" w:cs="Times New Roman"/>
          <w:snapToGrid w:val="0"/>
          <w:color w:val="auto"/>
          <w:szCs w:val="20"/>
          <w:lang w:val="zh-CN"/>
        </w:rPr>
        <w:t>主要分布在圩外水体，</w:t>
      </w:r>
      <w:r>
        <w:rPr>
          <w:rFonts w:ascii="Times New Roman" w:hAnsi="Times New Roman" w:cs="Times New Roman"/>
          <w:snapToGrid w:val="0"/>
          <w:color w:val="auto"/>
          <w:szCs w:val="20"/>
          <w:lang w:val="zh-CN"/>
        </w:rPr>
        <w:t>在夏季和秋季生物量较高，8月达到峰值，在其它季节相对较小。其主要组成种类丝状的螺旋鱼腥藻</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水华鱼腥藻</w:t>
      </w:r>
      <w:r>
        <w:rPr>
          <w:rFonts w:hint="eastAsia" w:ascii="Times New Roman" w:hAnsi="Times New Roman" w:cs="Times New Roman"/>
          <w:snapToGrid w:val="0"/>
          <w:color w:val="auto"/>
          <w:szCs w:val="20"/>
          <w:lang w:val="zh-CN"/>
        </w:rPr>
        <w:t>、细小</w:t>
      </w:r>
      <w:r>
        <w:rPr>
          <w:rFonts w:ascii="Times New Roman" w:hAnsi="Times New Roman" w:cs="Times New Roman"/>
          <w:snapToGrid w:val="0"/>
          <w:color w:val="auto"/>
          <w:szCs w:val="20"/>
          <w:lang w:val="zh-CN"/>
        </w:rPr>
        <w:t>隐球藻</w:t>
      </w:r>
      <w:r>
        <w:rPr>
          <w:rFonts w:hint="eastAsia" w:ascii="Times New Roman" w:hAnsi="Times New Roman" w:cs="Times New Roman"/>
          <w:snapToGrid w:val="0"/>
          <w:color w:val="auto"/>
          <w:szCs w:val="20"/>
          <w:lang w:val="zh-CN"/>
        </w:rPr>
        <w:t>等。</w:t>
      </w:r>
      <w:r>
        <w:rPr>
          <w:rFonts w:ascii="Times New Roman" w:hAnsi="Times New Roman" w:cs="Times New Roman"/>
          <w:snapToGrid w:val="0"/>
          <w:color w:val="auto"/>
          <w:szCs w:val="20"/>
          <w:lang w:val="zh-CN"/>
        </w:rPr>
        <w:t>绿藻</w:t>
      </w:r>
      <w:r>
        <w:rPr>
          <w:rFonts w:hint="eastAsia" w:ascii="Times New Roman" w:hAnsi="Times New Roman" w:cs="Times New Roman"/>
          <w:snapToGrid w:val="0"/>
          <w:color w:val="auto"/>
          <w:szCs w:val="20"/>
          <w:lang w:val="zh-CN"/>
        </w:rPr>
        <w:t>主要分布在湿地范围水体，</w:t>
      </w:r>
      <w:r>
        <w:rPr>
          <w:rFonts w:ascii="Times New Roman" w:hAnsi="Times New Roman" w:cs="Times New Roman"/>
          <w:snapToGrid w:val="0"/>
          <w:color w:val="auto"/>
          <w:szCs w:val="20"/>
          <w:lang w:val="zh-CN"/>
        </w:rPr>
        <w:t>年平均生物量</w:t>
      </w:r>
      <w:r>
        <w:rPr>
          <w:rFonts w:hint="eastAsia" w:ascii="Times New Roman" w:hAnsi="Times New Roman" w:cs="Times New Roman"/>
          <w:snapToGrid w:val="0"/>
          <w:color w:val="auto"/>
          <w:szCs w:val="20"/>
          <w:lang w:val="zh-CN"/>
        </w:rPr>
        <w:t>不是最多</w:t>
      </w:r>
      <w:r>
        <w:rPr>
          <w:rFonts w:ascii="Times New Roman" w:hAnsi="Times New Roman" w:cs="Times New Roman"/>
          <w:snapToGrid w:val="0"/>
          <w:color w:val="auto"/>
          <w:szCs w:val="20"/>
          <w:lang w:val="zh-CN"/>
        </w:rPr>
        <w:t>，</w:t>
      </w:r>
      <w:r>
        <w:rPr>
          <w:rFonts w:hint="eastAsia" w:ascii="Times New Roman" w:hAnsi="Times New Roman" w:cs="Times New Roman"/>
          <w:snapToGrid w:val="0"/>
          <w:color w:val="auto"/>
          <w:szCs w:val="20"/>
          <w:lang w:val="zh-CN"/>
        </w:rPr>
        <w:t>但是</w:t>
      </w:r>
      <w:r>
        <w:rPr>
          <w:rFonts w:ascii="Times New Roman" w:hAnsi="Times New Roman" w:cs="Times New Roman"/>
          <w:snapToGrid w:val="0"/>
          <w:color w:val="auto"/>
          <w:szCs w:val="20"/>
          <w:lang w:val="zh-CN"/>
        </w:rPr>
        <w:t>种类最为丰富。在秋季，绿藻在有较高的生物量，约占总生物量的40～90%。绿藻种类形态多样，个体大小多在20 μm以下，出现频度较高的种类有：衣藻、卵囊藻、纤维藻、十字藻等。</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4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④</w:t>
      </w:r>
      <w:r>
        <w:rPr>
          <w:rFonts w:ascii="Times New Roman" w:hAnsi="Times New Roman" w:cs="Times New Roman"/>
          <w:snapToGrid w:val="0"/>
          <w:color w:val="auto"/>
          <w:szCs w:val="20"/>
          <w:lang w:val="zh-CN"/>
        </w:rPr>
        <w:fldChar w:fldCharType="end"/>
      </w:r>
      <w:r>
        <w:rPr>
          <w:rFonts w:hint="eastAsia" w:ascii="Times New Roman" w:hAnsi="Times New Roman" w:cs="Times New Roman"/>
          <w:snapToGrid w:val="0"/>
          <w:color w:val="auto"/>
          <w:szCs w:val="20"/>
          <w:lang w:val="zh-CN"/>
        </w:rPr>
        <w:t>优势种</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其中绿藻门种类占据绝对优势，占到了</w:t>
      </w:r>
      <w:r>
        <w:rPr>
          <w:rFonts w:hint="eastAsia" w:ascii="Times New Roman" w:hAnsi="Times New Roman" w:cs="Times New Roman"/>
          <w:snapToGrid w:val="0"/>
          <w:color w:val="auto"/>
          <w:szCs w:val="20"/>
          <w:lang w:val="zh-CN"/>
        </w:rPr>
        <w:t>调查区域</w:t>
      </w:r>
      <w:r>
        <w:rPr>
          <w:rFonts w:ascii="Times New Roman" w:hAnsi="Times New Roman" w:cs="Times New Roman"/>
          <w:snapToGrid w:val="0"/>
          <w:color w:val="auto"/>
          <w:szCs w:val="20"/>
          <w:lang w:val="zh-CN"/>
        </w:rPr>
        <w:t>整个浮游植物种群的</w:t>
      </w:r>
      <w:r>
        <w:rPr>
          <w:rFonts w:hint="eastAsia" w:ascii="Times New Roman" w:hAnsi="Times New Roman" w:cs="Times New Roman"/>
          <w:snapToGrid w:val="0"/>
          <w:color w:val="auto"/>
          <w:szCs w:val="20"/>
          <w:lang w:val="zh-CN"/>
        </w:rPr>
        <w:t>5</w:t>
      </w:r>
      <w:r>
        <w:rPr>
          <w:rFonts w:ascii="Times New Roman" w:hAnsi="Times New Roman" w:cs="Times New Roman"/>
          <w:snapToGrid w:val="0"/>
          <w:color w:val="auto"/>
          <w:szCs w:val="20"/>
          <w:lang w:val="zh-CN"/>
        </w:rPr>
        <w:t>4.81%。但是在分布面积和数量来看，优势物种为蓝藻门。硅藻</w:t>
      </w:r>
      <w:r>
        <w:rPr>
          <w:rFonts w:hint="eastAsia" w:ascii="Times New Roman" w:hAnsi="Times New Roman" w:cs="Times New Roman"/>
          <w:snapToGrid w:val="0"/>
          <w:color w:val="auto"/>
          <w:szCs w:val="20"/>
          <w:lang w:val="zh-CN"/>
        </w:rPr>
        <w:t>门</w:t>
      </w:r>
      <w:r>
        <w:rPr>
          <w:rFonts w:ascii="Times New Roman" w:hAnsi="Times New Roman" w:cs="Times New Roman"/>
          <w:snapToGrid w:val="0"/>
          <w:color w:val="auto"/>
          <w:szCs w:val="20"/>
          <w:lang w:val="zh-CN"/>
        </w:rPr>
        <w:t>的优势</w:t>
      </w:r>
      <w:r>
        <w:rPr>
          <w:rFonts w:hint="eastAsia" w:ascii="Times New Roman" w:hAnsi="Times New Roman" w:cs="Times New Roman"/>
          <w:snapToGrid w:val="0"/>
          <w:color w:val="auto"/>
          <w:szCs w:val="20"/>
          <w:lang w:val="zh-CN"/>
        </w:rPr>
        <w:t>种</w:t>
      </w:r>
      <w:r>
        <w:rPr>
          <w:rFonts w:ascii="Times New Roman" w:hAnsi="Times New Roman" w:cs="Times New Roman"/>
          <w:snapToGrid w:val="0"/>
          <w:color w:val="auto"/>
          <w:szCs w:val="20"/>
          <w:lang w:val="zh-CN"/>
        </w:rPr>
        <w:t>有</w:t>
      </w:r>
      <w:r>
        <w:rPr>
          <w:rFonts w:hint="eastAsia" w:ascii="Times New Roman" w:hAnsi="Times New Roman" w:cs="Times New Roman"/>
          <w:snapToGrid w:val="0"/>
          <w:color w:val="auto"/>
          <w:szCs w:val="20"/>
          <w:lang w:val="zh-CN"/>
        </w:rPr>
        <w:t>变异直链藻、小环藻、脆杆藻</w:t>
      </w:r>
      <w:r>
        <w:rPr>
          <w:rFonts w:ascii="Times New Roman" w:hAnsi="Times New Roman" w:cs="Times New Roman"/>
          <w:snapToGrid w:val="0"/>
          <w:color w:val="auto"/>
          <w:szCs w:val="20"/>
          <w:lang w:val="zh-CN"/>
        </w:rPr>
        <w:t>为硅藻的优势种类。其它种类主要包括裸藻、黄藻</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金藻</w:t>
      </w:r>
      <w:r>
        <w:rPr>
          <w:rFonts w:hint="eastAsia" w:ascii="Times New Roman" w:hAnsi="Times New Roman" w:cs="Times New Roman"/>
          <w:snapToGrid w:val="0"/>
          <w:color w:val="auto"/>
          <w:szCs w:val="20"/>
          <w:lang w:val="zh-CN"/>
        </w:rPr>
        <w:t>和隐藻</w:t>
      </w:r>
      <w:r>
        <w:rPr>
          <w:rFonts w:ascii="Times New Roman" w:hAnsi="Times New Roman" w:cs="Times New Roman"/>
          <w:snapToGrid w:val="0"/>
          <w:color w:val="auto"/>
          <w:szCs w:val="20"/>
          <w:lang w:val="zh-CN"/>
        </w:rPr>
        <w:t>。它们不仅个体数量少，而且生物量也不高。有的种类仅在个别月份和采样点被发现。</w:t>
      </w:r>
      <w:r>
        <w:rPr>
          <w:rFonts w:hint="eastAsia" w:ascii="Times New Roman" w:hAnsi="Times New Roman" w:cs="Times New Roman"/>
          <w:snapToGrid w:val="0"/>
          <w:color w:val="auto"/>
          <w:szCs w:val="20"/>
          <w:lang w:val="zh-CN"/>
        </w:rPr>
        <w:t>黄藻门分布有2种小型黄丝藻、拟气球藻；甲藻门分布有角甲藻、薄甲藻、带多甲藻；金藻门分布有浮游金杯藻；隐藻门分布有尖尾蓝隐藻、卵形隐藻、啮蚀隐藻。</w:t>
      </w:r>
      <w:bookmarkStart w:id="355" w:name="_Hlk101255711"/>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2</w:t>
      </w:r>
      <w:r>
        <w:rPr>
          <w:rFonts w:hint="eastAsia" w:ascii="Times New Roman" w:hAnsi="Times New Roman" w:cs="Times New Roman"/>
          <w:snapToGrid w:val="0"/>
          <w:color w:val="auto"/>
          <w:szCs w:val="20"/>
          <w:lang w:val="zh-CN"/>
        </w:rPr>
        <w:t>）浮游动物</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1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①</w:t>
      </w:r>
      <w:r>
        <w:rPr>
          <w:rFonts w:ascii="Times New Roman" w:hAnsi="Times New Roman" w:cs="Times New Roman"/>
          <w:snapToGrid w:val="0"/>
          <w:color w:val="auto"/>
          <w:szCs w:val="20"/>
          <w:lang w:val="zh-CN"/>
        </w:rPr>
        <w:fldChar w:fldCharType="end"/>
      </w:r>
      <w:r>
        <w:rPr>
          <w:rFonts w:hint="eastAsia" w:ascii="Times New Roman" w:hAnsi="Times New Roman" w:cs="Times New Roman"/>
          <w:snapToGrid w:val="0"/>
          <w:color w:val="auto"/>
          <w:szCs w:val="20"/>
          <w:lang w:val="zh-CN"/>
        </w:rPr>
        <w:t>物种组成</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项目区内水体共检测到浮游动物 73</w:t>
      </w:r>
      <w:r>
        <w:rPr>
          <w:rFonts w:hint="eastAsia" w:ascii="Times New Roman" w:hAnsi="Times New Roman" w:cs="Times New Roman"/>
          <w:snapToGrid w:val="0"/>
          <w:color w:val="auto"/>
          <w:szCs w:val="20"/>
          <w:lang w:val="zh-CN"/>
        </w:rPr>
        <w:t>种，其中轮虫</w:t>
      </w:r>
      <w:r>
        <w:rPr>
          <w:rFonts w:ascii="Times New Roman" w:hAnsi="Times New Roman" w:cs="Times New Roman"/>
          <w:snapToGrid w:val="0"/>
          <w:color w:val="auto"/>
          <w:szCs w:val="20"/>
          <w:lang w:val="zh-CN"/>
        </w:rPr>
        <w:t>40</w:t>
      </w:r>
      <w:r>
        <w:rPr>
          <w:rFonts w:hint="eastAsia" w:ascii="Times New Roman" w:hAnsi="Times New Roman" w:cs="Times New Roman"/>
          <w:snapToGrid w:val="0"/>
          <w:color w:val="auto"/>
          <w:szCs w:val="20"/>
          <w:lang w:val="zh-CN"/>
        </w:rPr>
        <w:t>种</w:t>
      </w:r>
      <w:r>
        <w:rPr>
          <w:rFonts w:ascii="Times New Roman" w:hAnsi="Times New Roman" w:cs="Times New Roman"/>
          <w:snapToGrid w:val="0"/>
          <w:color w:val="auto"/>
          <w:szCs w:val="20"/>
          <w:lang w:val="zh-CN"/>
        </w:rPr>
        <w:t>(占比54.79%)，原生动物 16(占比21.92%)，枝角类 11种(占比15.07%)，桡足类6种</w:t>
      </w:r>
      <w:bookmarkEnd w:id="355"/>
      <w:r>
        <w:rPr>
          <w:rFonts w:ascii="Times New Roman" w:hAnsi="Times New Roman" w:cs="Times New Roman"/>
          <w:snapToGrid w:val="0"/>
          <w:color w:val="auto"/>
          <w:szCs w:val="20"/>
          <w:lang w:val="zh-CN"/>
        </w:rPr>
        <w:t>(占比8.22%)</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（浮游动物名录见附</w:t>
      </w:r>
      <w:r>
        <w:rPr>
          <w:rFonts w:hint="eastAsia" w:ascii="Times New Roman" w:hAnsi="Times New Roman" w:cs="Times New Roman"/>
          <w:snapToGrid w:val="0"/>
          <w:color w:val="auto"/>
          <w:szCs w:val="20"/>
          <w:lang w:val="zh-CN"/>
        </w:rPr>
        <w:t>录Ⅴ</w:t>
      </w:r>
      <w:r>
        <w:rPr>
          <w:rFonts w:ascii="Times New Roman" w:hAnsi="Times New Roman" w:cs="Times New Roman"/>
          <w:snapToGrid w:val="0"/>
          <w:color w:val="auto"/>
          <w:szCs w:val="20"/>
          <w:lang w:val="zh-CN"/>
        </w:rPr>
        <w:t>）。</w:t>
      </w:r>
      <w:r>
        <w:rPr>
          <w:rFonts w:hint="eastAsia" w:ascii="Times New Roman" w:hAnsi="Times New Roman" w:cs="Times New Roman"/>
          <w:snapToGrid w:val="0"/>
          <w:color w:val="auto"/>
          <w:szCs w:val="20"/>
          <w:lang w:val="zh-CN"/>
        </w:rPr>
        <w:t>湿地内水体小型浮游动物（原生动物、轮虫）占优，而外围水体主要以枝角类和桡足类为主，其可能与圩区内大量进行水产养殖有关。</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2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②</w:t>
      </w:r>
      <w:r>
        <w:rPr>
          <w:rFonts w:ascii="Times New Roman" w:hAnsi="Times New Roman" w:cs="Times New Roman"/>
          <w:snapToGrid w:val="0"/>
          <w:color w:val="auto"/>
          <w:szCs w:val="20"/>
          <w:lang w:val="zh-CN"/>
        </w:rPr>
        <w:fldChar w:fldCharType="end"/>
      </w:r>
      <w:r>
        <w:rPr>
          <w:rFonts w:hint="eastAsia" w:ascii="Times New Roman" w:hAnsi="Times New Roman" w:cs="Times New Roman"/>
          <w:snapToGrid w:val="0"/>
          <w:color w:val="auto"/>
          <w:szCs w:val="20"/>
          <w:lang w:val="zh-CN"/>
        </w:rPr>
        <w:t>密度</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密度方面，小型浮游动物原生动物密度最高</w:t>
      </w:r>
      <w:r>
        <w:rPr>
          <w:rFonts w:hint="eastAsia" w:ascii="Times New Roman" w:hAnsi="Times New Roman" w:cs="Times New Roman"/>
          <w:snapToGrid w:val="0"/>
          <w:color w:val="auto"/>
          <w:szCs w:val="20"/>
          <w:lang w:val="zh-CN"/>
        </w:rPr>
        <w:t>，</w:t>
      </w:r>
      <w:r>
        <w:rPr>
          <w:rFonts w:ascii="Times New Roman" w:hAnsi="Times New Roman" w:cs="Times New Roman"/>
          <w:snapToGrid w:val="0"/>
          <w:color w:val="auto"/>
          <w:szCs w:val="20"/>
          <w:lang w:val="zh-CN"/>
        </w:rPr>
        <w:t>为1035.94±382.16 ind. 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，轮虫密度次之，为510.31±155.01 ind. 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，大型浮游动物枝角类和桡足类相对较低，其中桡足类密度为215.13±23.38 ind. 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，枝角类密度最低，为25.30±4.014 ind. 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3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③</w:t>
      </w:r>
      <w:r>
        <w:rPr>
          <w:rFonts w:ascii="Times New Roman" w:hAnsi="Times New Roman" w:cs="Times New Roman"/>
          <w:snapToGrid w:val="0"/>
          <w:color w:val="auto"/>
          <w:szCs w:val="20"/>
          <w:lang w:val="zh-CN"/>
        </w:rPr>
        <w:fldChar w:fldCharType="end"/>
      </w:r>
      <w:r>
        <w:rPr>
          <w:rFonts w:hint="eastAsia" w:ascii="Times New Roman" w:hAnsi="Times New Roman" w:cs="Times New Roman"/>
          <w:snapToGrid w:val="0"/>
          <w:color w:val="auto"/>
          <w:szCs w:val="20"/>
          <w:lang w:val="zh-CN"/>
        </w:rPr>
        <w:t>生物量</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t>群落组成生物量方面，大型浮游动物枝角类和桡足类由于个体较大，生物量相对较高，其中桡足类生物量最高，为0.7252±0.0673gm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，枝角类为0.5061±0.0803gm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，小型浮游动物个体较小，轮虫生物量为0.6123±0.1860gm</w:t>
      </w:r>
      <w:r>
        <w:rPr>
          <w:rFonts w:ascii="Times New Roman" w:hAnsi="Times New Roman" w:cs="Times New Roman"/>
          <w:snapToGrid w:val="0"/>
          <w:color w:val="auto"/>
          <w:szCs w:val="20"/>
          <w:vertAlign w:val="superscript"/>
          <w:lang w:val="zh-CN"/>
        </w:rPr>
        <w:t>-2</w:t>
      </w:r>
      <w:r>
        <w:rPr>
          <w:rFonts w:ascii="Times New Roman" w:hAnsi="Times New Roman" w:cs="Times New Roman"/>
          <w:snapToGrid w:val="0"/>
          <w:color w:val="auto"/>
          <w:szCs w:val="20"/>
          <w:lang w:val="zh-CN"/>
        </w:rPr>
        <w:t>，原生动物生物量最低，为0.0518±0.0191gm</w:t>
      </w:r>
      <w:r>
        <w:rPr>
          <w:rFonts w:ascii="Times New Roman" w:hAnsi="Times New Roman" w:cs="Times New Roman"/>
          <w:snapToGrid w:val="0"/>
          <w:color w:val="auto"/>
          <w:szCs w:val="20"/>
          <w:vertAlign w:val="superscript"/>
          <w:lang w:val="zh-CN"/>
        </w:rPr>
        <w:t>-2</w:t>
      </w:r>
      <w:r>
        <w:rPr>
          <w:rFonts w:hint="eastAsia" w:ascii="Times New Roman" w:hAnsi="Times New Roman" w:cs="Times New Roman"/>
          <w:snapToGrid w:val="0"/>
          <w:color w:val="auto"/>
          <w:szCs w:val="20"/>
          <w:lang w:val="zh-CN"/>
        </w:rPr>
        <w:t>。</w:t>
      </w:r>
    </w:p>
    <w:p>
      <w:pPr>
        <w:ind w:firstLine="480"/>
        <w:rPr>
          <w:rFonts w:ascii="Times New Roman" w:hAnsi="Times New Roman" w:cs="Times New Roman"/>
          <w:snapToGrid w:val="0"/>
          <w:color w:val="auto"/>
          <w:szCs w:val="20"/>
          <w:lang w:val="zh-CN"/>
        </w:rPr>
      </w:pPr>
      <w:r>
        <w:rPr>
          <w:rFonts w:ascii="Times New Roman" w:hAnsi="Times New Roman" w:cs="Times New Roman"/>
          <w:snapToGrid w:val="0"/>
          <w:color w:val="auto"/>
          <w:szCs w:val="20"/>
          <w:lang w:val="zh-CN"/>
        </w:rPr>
        <w:fldChar w:fldCharType="begin"/>
      </w:r>
      <w:r>
        <w:rPr>
          <w:rFonts w:ascii="Times New Roman" w:hAnsi="Times New Roman" w:cs="Times New Roman"/>
          <w:snapToGrid w:val="0"/>
          <w:color w:val="auto"/>
          <w:szCs w:val="20"/>
          <w:lang w:val="zh-CN"/>
        </w:rPr>
        <w:instrText xml:space="preserve"> </w:instrText>
      </w:r>
      <w:r>
        <w:rPr>
          <w:rFonts w:hint="eastAsia" w:ascii="Times New Roman" w:hAnsi="Times New Roman" w:cs="Times New Roman"/>
          <w:snapToGrid w:val="0"/>
          <w:color w:val="auto"/>
          <w:szCs w:val="20"/>
          <w:lang w:val="zh-CN"/>
        </w:rPr>
        <w:instrText xml:space="preserve">= 4 \* GB3</w:instrText>
      </w:r>
      <w:r>
        <w:rPr>
          <w:rFonts w:ascii="Times New Roman" w:hAnsi="Times New Roman" w:cs="Times New Roman"/>
          <w:snapToGrid w:val="0"/>
          <w:color w:val="auto"/>
          <w:szCs w:val="20"/>
          <w:lang w:val="zh-CN"/>
        </w:rPr>
        <w:instrText xml:space="preserve"> </w:instrText>
      </w:r>
      <w:r>
        <w:rPr>
          <w:rFonts w:ascii="Times New Roman" w:hAnsi="Times New Roman" w:cs="Times New Roman"/>
          <w:snapToGrid w:val="0"/>
          <w:color w:val="auto"/>
          <w:szCs w:val="20"/>
          <w:lang w:val="zh-CN"/>
        </w:rPr>
        <w:fldChar w:fldCharType="separate"/>
      </w:r>
      <w:r>
        <w:rPr>
          <w:rFonts w:hint="eastAsia" w:ascii="Times New Roman" w:hAnsi="Times New Roman" w:cs="Times New Roman"/>
          <w:snapToGrid w:val="0"/>
          <w:color w:val="auto"/>
          <w:szCs w:val="20"/>
          <w:lang w:val="zh-CN"/>
        </w:rPr>
        <w:t>④</w:t>
      </w:r>
      <w:r>
        <w:rPr>
          <w:rFonts w:ascii="Times New Roman" w:hAnsi="Times New Roman" w:cs="Times New Roman"/>
          <w:snapToGrid w:val="0"/>
          <w:color w:val="auto"/>
          <w:szCs w:val="20"/>
          <w:lang w:val="zh-CN"/>
        </w:rPr>
        <w:fldChar w:fldCharType="end"/>
      </w:r>
      <w:r>
        <w:rPr>
          <w:rFonts w:hint="eastAsia" w:ascii="Times New Roman" w:hAnsi="Times New Roman" w:cs="Times New Roman"/>
          <w:snapToGrid w:val="0"/>
          <w:color w:val="auto"/>
          <w:szCs w:val="20"/>
          <w:lang w:val="zh-CN"/>
        </w:rPr>
        <w:t>优势种</w:t>
      </w:r>
    </w:p>
    <w:p>
      <w:pPr>
        <w:ind w:firstLine="480"/>
        <w:rPr>
          <w:rFonts w:ascii="Times New Roman" w:hAnsi="Times New Roman" w:cs="Times New Roman"/>
          <w:snapToGrid w:val="0"/>
          <w:color w:val="auto"/>
          <w:szCs w:val="20"/>
          <w:lang w:val="zh-CN"/>
        </w:rPr>
      </w:pPr>
      <w:r>
        <w:rPr>
          <w:rFonts w:hint="eastAsia" w:ascii="Times New Roman" w:hAnsi="Times New Roman" w:cs="Times New Roman"/>
          <w:snapToGrid w:val="0"/>
          <w:color w:val="auto"/>
          <w:szCs w:val="20"/>
          <w:lang w:val="zh-CN"/>
        </w:rPr>
        <w:t>浮游动物；圩内水体小型浮游动物（原生动物、轮虫）占优，而圩外水体主要以枝角类和桡足类为主。</w:t>
      </w:r>
    </w:p>
    <w:p>
      <w:pPr>
        <w:spacing w:line="240" w:lineRule="auto"/>
        <w:ind w:firstLine="0" w:firstLineChars="0"/>
        <w:jc w:val="center"/>
        <w:rPr>
          <w:rFonts w:ascii="Times New Roman" w:hAnsi="Times New Roman" w:cs="Times New Roman"/>
          <w:b/>
          <w:color w:val="auto"/>
          <w:kern w:val="0"/>
          <w:sz w:val="21"/>
          <w:szCs w:val="21"/>
        </w:rPr>
      </w:pPr>
      <w:bookmarkStart w:id="356" w:name="_Toc27329"/>
      <w:r>
        <w:rPr>
          <w:rFonts w:ascii="Times New Roman" w:hAnsi="Times New Roman" w:cs="Times New Roman"/>
          <w:b/>
          <w:color w:val="auto"/>
          <w:kern w:val="0"/>
          <w:sz w:val="21"/>
          <w:szCs w:val="21"/>
        </w:rPr>
        <w:t>附</w:t>
      </w:r>
      <w:r>
        <w:rPr>
          <w:rFonts w:hint="eastAsia" w:ascii="Times New Roman" w:hAnsi="Times New Roman" w:cs="Times New Roman"/>
          <w:b/>
          <w:color w:val="auto"/>
          <w:kern w:val="0"/>
          <w:sz w:val="21"/>
          <w:szCs w:val="21"/>
        </w:rPr>
        <w:t>录Ⅳ</w:t>
      </w:r>
      <w:r>
        <w:rPr>
          <w:rFonts w:ascii="Times New Roman" w:hAnsi="Times New Roman" w:cs="Times New Roman"/>
          <w:b/>
          <w:color w:val="auto"/>
          <w:kern w:val="0"/>
          <w:sz w:val="21"/>
          <w:szCs w:val="21"/>
        </w:rPr>
        <w:t xml:space="preserve"> </w:t>
      </w:r>
      <w:r>
        <w:rPr>
          <w:rFonts w:hint="eastAsia" w:ascii="Times New Roman" w:hAnsi="Times New Roman" w:cs="Times New Roman"/>
          <w:b/>
          <w:color w:val="auto"/>
          <w:kern w:val="0"/>
          <w:sz w:val="21"/>
          <w:szCs w:val="21"/>
        </w:rPr>
        <w:t>临河湿地、巢湖湿地</w:t>
      </w:r>
      <w:r>
        <w:rPr>
          <w:rFonts w:ascii="Times New Roman" w:hAnsi="Times New Roman" w:cs="Times New Roman"/>
          <w:b/>
          <w:color w:val="auto"/>
          <w:kern w:val="0"/>
          <w:sz w:val="21"/>
          <w:szCs w:val="21"/>
        </w:rPr>
        <w:t>浮游</w:t>
      </w:r>
      <w:bookmarkEnd w:id="356"/>
      <w:r>
        <w:rPr>
          <w:rFonts w:ascii="Times New Roman" w:hAnsi="Times New Roman" w:cs="Times New Roman"/>
          <w:b/>
          <w:color w:val="auto"/>
          <w:kern w:val="0"/>
          <w:sz w:val="21"/>
          <w:szCs w:val="21"/>
        </w:rPr>
        <w:t>植物名录</w:t>
      </w:r>
    </w:p>
    <w:tbl>
      <w:tblPr>
        <w:tblStyle w:val="62"/>
        <w:tblW w:w="878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1"/>
        <w:gridCol w:w="2036"/>
        <w:gridCol w:w="2333"/>
        <w:gridCol w:w="32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黑体" w:cs="Times New Roman"/>
                <w:kern w:val="0"/>
                <w:sz w:val="18"/>
                <w:szCs w:val="18"/>
              </w:rPr>
            </w:pPr>
            <w:r>
              <w:rPr>
                <w:rFonts w:hint="eastAsia" w:ascii="Times New Roman" w:hAnsi="Times New Roman" w:eastAsia="黑体" w:cs="Times New Roman"/>
                <w:kern w:val="0"/>
                <w:sz w:val="18"/>
                <w:szCs w:val="18"/>
              </w:rPr>
              <w:t>序号</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eastAsia="黑体" w:cs="Times New Roman"/>
                <w:kern w:val="0"/>
                <w:sz w:val="18"/>
                <w:szCs w:val="18"/>
              </w:rPr>
            </w:pPr>
            <w:r>
              <w:rPr>
                <w:rFonts w:hint="eastAsia" w:ascii="Times New Roman" w:hAnsi="Times New Roman" w:eastAsia="黑体" w:cs="Times New Roman"/>
                <w:kern w:val="0"/>
                <w:sz w:val="18"/>
                <w:szCs w:val="18"/>
              </w:rPr>
              <w:t>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eastAsia="黑体" w:cs="Times New Roman"/>
                <w:kern w:val="0"/>
                <w:sz w:val="18"/>
                <w:szCs w:val="18"/>
              </w:rPr>
            </w:pPr>
            <w:r>
              <w:rPr>
                <w:rFonts w:hint="eastAsia" w:ascii="Times New Roman" w:hAnsi="Times New Roman" w:eastAsia="黑体" w:cs="Times New Roman"/>
                <w:kern w:val="0"/>
                <w:sz w:val="18"/>
                <w:szCs w:val="18"/>
              </w:rPr>
              <w:t>种名</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eastAsia="黑体" w:cs="Times New Roman"/>
                <w:kern w:val="0"/>
                <w:sz w:val="18"/>
                <w:szCs w:val="18"/>
              </w:rPr>
            </w:pPr>
            <w:r>
              <w:rPr>
                <w:rFonts w:hint="eastAsia" w:ascii="Times New Roman" w:hAnsi="Times New Roman" w:eastAsia="黑体" w:cs="Times New Roman"/>
                <w:kern w:val="0"/>
                <w:sz w:val="18"/>
                <w:szCs w:val="18"/>
              </w:rPr>
              <w:t>拉丁学名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针杆藻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Synedra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2</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尖针杆藻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Synedra acus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3</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color w:val="333333"/>
                <w:kern w:val="0"/>
                <w:sz w:val="18"/>
                <w:szCs w:val="18"/>
              </w:rPr>
            </w:pPr>
            <w:r>
              <w:rPr>
                <w:rFonts w:hint="eastAsia" w:ascii="Times New Roman" w:hAnsi="Times New Roman" w:cs="Times New Roman"/>
                <w:color w:val="333333"/>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脆杆藻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Fragilaria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4</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color w:val="333333"/>
                <w:kern w:val="0"/>
                <w:sz w:val="18"/>
                <w:szCs w:val="18"/>
              </w:rPr>
            </w:pPr>
            <w:r>
              <w:rPr>
                <w:rFonts w:hint="eastAsia" w:ascii="Times New Roman" w:hAnsi="Times New Roman" w:cs="Times New Roman"/>
                <w:color w:val="333333"/>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扁圆卵形藻</w:t>
            </w:r>
          </w:p>
        </w:tc>
        <w:tc>
          <w:tcPr>
            <w:tcW w:w="3239" w:type="dxa"/>
            <w:shd w:val="clear" w:color="auto" w:fill="auto"/>
            <w:noWrap/>
            <w:vAlign w:val="center"/>
          </w:tcPr>
          <w:p>
            <w:pPr>
              <w:widowControl/>
              <w:adjustRightInd/>
              <w:spacing w:line="240" w:lineRule="auto"/>
              <w:ind w:firstLine="0" w:firstLineChars="0"/>
              <w:contextualSpacing/>
              <w:rPr>
                <w:rFonts w:ascii="Times New Roman" w:hAnsi="Times New Roman" w:cs="Times New Roman"/>
                <w:i/>
                <w:iCs/>
                <w:kern w:val="0"/>
                <w:sz w:val="18"/>
                <w:szCs w:val="18"/>
              </w:rPr>
            </w:pPr>
            <w:r>
              <w:rPr>
                <w:rFonts w:ascii="Times New Roman" w:hAnsi="Times New Roman" w:cs="Times New Roman"/>
                <w:i/>
                <w:iCs/>
                <w:kern w:val="0"/>
                <w:sz w:val="18"/>
                <w:szCs w:val="18"/>
              </w:rPr>
              <w:t>Cocconeis placentula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5</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color w:val="333333"/>
                <w:kern w:val="0"/>
                <w:sz w:val="18"/>
                <w:szCs w:val="18"/>
              </w:rPr>
            </w:pPr>
            <w:r>
              <w:rPr>
                <w:rFonts w:hint="eastAsia" w:ascii="Times New Roman" w:hAnsi="Times New Roman" w:cs="Times New Roman"/>
                <w:color w:val="333333"/>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菱形藻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Nitzschia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6</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color w:val="333333"/>
                <w:kern w:val="0"/>
                <w:sz w:val="18"/>
                <w:szCs w:val="18"/>
              </w:rPr>
            </w:pPr>
            <w:r>
              <w:rPr>
                <w:rFonts w:hint="eastAsia" w:ascii="Times New Roman" w:hAnsi="Times New Roman" w:cs="Times New Roman"/>
                <w:color w:val="333333"/>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粗壮双菱藻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Surirella robusta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7</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color w:val="333333"/>
                <w:kern w:val="0"/>
                <w:sz w:val="18"/>
                <w:szCs w:val="18"/>
              </w:rPr>
            </w:pPr>
            <w:r>
              <w:rPr>
                <w:rFonts w:hint="eastAsia" w:ascii="Times New Roman" w:hAnsi="Times New Roman" w:cs="Times New Roman"/>
                <w:color w:val="333333"/>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椭圆波缘藻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Cymatopleura elliptica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8</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color w:val="333333"/>
                <w:kern w:val="0"/>
                <w:sz w:val="18"/>
                <w:szCs w:val="18"/>
              </w:rPr>
            </w:pPr>
            <w:r>
              <w:rPr>
                <w:rFonts w:hint="eastAsia" w:ascii="Times New Roman" w:hAnsi="Times New Roman" w:cs="Times New Roman"/>
                <w:color w:val="333333"/>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异级藻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Gomphonema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9</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color w:val="333333"/>
                <w:kern w:val="0"/>
                <w:sz w:val="18"/>
                <w:szCs w:val="18"/>
              </w:rPr>
            </w:pPr>
            <w:r>
              <w:rPr>
                <w:rFonts w:hint="eastAsia" w:ascii="Times New Roman" w:hAnsi="Times New Roman" w:cs="Times New Roman"/>
                <w:color w:val="333333"/>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小环藻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Cyclotella</w:t>
            </w:r>
            <w:r>
              <w:rPr>
                <w:rFonts w:ascii="Times New Roman" w:hAnsi="Times New Roman" w:cs="Times New Roman"/>
                <w:kern w:val="0"/>
                <w:sz w:val="18"/>
                <w:szCs w:val="18"/>
              </w:rPr>
              <w:t xml:space="preserve">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10</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颗粒直链藻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Melosira granulata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11</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变异直链藻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Melosira varians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12</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冠盘藻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Stephanodiscus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13</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罗泰舟形藻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Navicula rotaeana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14</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舟形藻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Navicula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15</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双头舟形藻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Navicula dicephala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16</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尖辐节藻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Stauroneis acuta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17</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硅藻门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月形双形藻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Dimorphococcus lunatus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bookmarkStart w:id="357" w:name="_Hlk101288678"/>
            <w:r>
              <w:rPr>
                <w:rFonts w:ascii="Times New Roman" w:hAnsi="Times New Roman" w:eastAsia="等线" w:cs="Times New Roman"/>
                <w:kern w:val="0"/>
                <w:sz w:val="18"/>
                <w:szCs w:val="18"/>
              </w:rPr>
              <w:t>18</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黄藻门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小型黄丝藻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Tribonema minus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19</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color w:val="333333"/>
                <w:kern w:val="0"/>
                <w:sz w:val="18"/>
                <w:szCs w:val="18"/>
              </w:rPr>
            </w:pPr>
            <w:r>
              <w:rPr>
                <w:rFonts w:hint="eastAsia" w:ascii="Times New Roman" w:hAnsi="Times New Roman" w:cs="Times New Roman"/>
                <w:color w:val="333333"/>
                <w:kern w:val="0"/>
                <w:sz w:val="18"/>
                <w:szCs w:val="18"/>
              </w:rPr>
              <w:t>黄藻门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拟气球藻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Botrydiopsis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20</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甲藻門</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角甲藻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Ceratium hirundinella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21</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甲藻門</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薄甲藻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Glenodinium pulvisculus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22</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甲藻門</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带多甲藻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Peridinium zonatum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23</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金藻门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浮游金杯藻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Kephyrion planctonicum</w:t>
            </w:r>
          </w:p>
        </w:tc>
      </w:tr>
      <w:bookmarkEnd w:id="357"/>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24</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color w:val="333333"/>
                <w:kern w:val="0"/>
                <w:sz w:val="18"/>
                <w:szCs w:val="18"/>
              </w:rPr>
            </w:pPr>
            <w:r>
              <w:rPr>
                <w:rFonts w:hint="eastAsia" w:ascii="Times New Roman" w:hAnsi="Times New Roman" w:cs="Times New Roman"/>
                <w:color w:val="333333"/>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席藻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Phormidium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25</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小席藻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Phormidium tenue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26</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颤藻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Oscillatoria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27</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螺旋藻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Spirulina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28</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束丝藻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Aphanizomenon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29</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螺旋鱼腥藻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Ababaena spiroides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30</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水华鱼腥藻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Anabaena flos-aquae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31</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固氮鱼腥藻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Anabaena azotica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32</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伪鱼腥藻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Pseudanabaena</w:t>
            </w:r>
            <w:r>
              <w:rPr>
                <w:rFonts w:ascii="Times New Roman" w:hAnsi="Times New Roman" w:cs="Times New Roman"/>
                <w:kern w:val="0"/>
                <w:sz w:val="18"/>
                <w:szCs w:val="18"/>
              </w:rPr>
              <w:t xml:space="preserve">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33</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柱胞藻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Cylindrospermum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34</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集胞藻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Synechocystis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35</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色球藻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Chroococcus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36</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细小隐球藻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Aphanocapsa elachista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37</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微囊藻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Microcystis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38</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针状蓝纤维藻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Dactylococcopsis acicularis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39</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银灰平裂藻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Merismopedia glauca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40</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蓝藻门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小桩藻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Characiaceae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41</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裸藻门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裸藻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Euglena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42</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裸藻门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鱼形裸藻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Euglena pisciformis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43</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裸藻门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囊裸藻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Trachelomonas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44</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裸藻门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扁裸藻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Phacus</w:t>
            </w:r>
            <w:r>
              <w:rPr>
                <w:rFonts w:ascii="Times New Roman" w:hAnsi="Times New Roman" w:cs="Times New Roman"/>
                <w:kern w:val="0"/>
                <w:sz w:val="18"/>
                <w:szCs w:val="18"/>
              </w:rPr>
              <w:t xml:space="preserve">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45</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裸藻门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钩状扁裸藻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Phacus hamatus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46</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裸藻门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长尾扁裸藻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Phacus longicauda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47</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裸藻门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平滑鳞孔藻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Lepocinclis teres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48</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扁鼓藻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Cosmarium depressum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49</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凹凸鼓藻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Cosmarium impressulum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50</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锯齿角星鼓藻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Staurastrum indentaium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51</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角星鼓藻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Staurastrum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52</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浮游角星鼓藻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Staurastrum planctonicum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53</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莱布新月藻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Closterium leibleinii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54</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纤细新月藻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Closterium gracile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55</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毛枝藻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Stigeoclonium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56</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螺旋纤维藻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Ankistrodesmus spiralis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57</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镰形纤维藻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Ankistrodesmus falcatus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58</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转板藻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Mougeotia</w:t>
            </w:r>
            <w:r>
              <w:rPr>
                <w:rFonts w:ascii="Times New Roman" w:hAnsi="Times New Roman" w:cs="Times New Roman"/>
                <w:kern w:val="0"/>
                <w:sz w:val="18"/>
                <w:szCs w:val="18"/>
              </w:rPr>
              <w:t xml:space="preserve">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59</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单角盘星藻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Pediastrum simplex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60</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二角盘星藻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Pediastrum duplex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61</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细丝藻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Ulothrix tenerrima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62</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球囊藻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Ventricaria ventricosa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63</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弓形藻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Schroederia setigera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64</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拟菱形弓形藻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Schroederia nitzschioides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65</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四刺顶棘藻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Chodatella quadriseta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66</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长刺顶棘藻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Chodatella longiseta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67</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十字顶棘藻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Chodatella wratislaviensis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68</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具尾四角藻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Tetraedron caudatum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69</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三叶四角藻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Tetraëdron trilobulatum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70</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三角四角藻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Tetraedron trigonum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71</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微小四角藻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Tetraëdron minimum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72</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蹄形藻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Kirchneriella</w:t>
            </w:r>
            <w:r>
              <w:rPr>
                <w:rFonts w:ascii="Times New Roman" w:hAnsi="Times New Roman" w:cs="Times New Roman"/>
                <w:kern w:val="0"/>
                <w:sz w:val="18"/>
                <w:szCs w:val="18"/>
              </w:rPr>
              <w:t xml:space="preserve"> 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73</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扭曲蹄形藻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Kirchneriella contorta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74</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小球藻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Chlorella vulgaris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75</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月牙藻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Selenastrum bibraianum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76</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衣藻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Chlamydomonas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77</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球衣藻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Chlamydomonas globosa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78</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四角十字藻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Crucigenia quadrata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79</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四足十字藻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Crucigenia tetrapedia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80</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顶锥十字藻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Crucigenia apiculata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81</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四星藻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Tetrastrum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82</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丛球韦斯藻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Westella botryoides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83</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裂孔栅藻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Scenedesmus perforatus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84</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四尾栅藻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Scenedesmus quadricauda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85</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被甲栅藻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Scenedesmus armatus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86</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龙骨栅藻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Scenedesmus carinatus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87</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扁盘栅藻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Scenedesmus platydiscus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88</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二尾栅藻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Scenedesmus bicanda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89</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双对栅藻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Scenedesmus bijuga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90</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二形栅藻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Scenedesmus dimorphus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91</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厚顶栅藻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Scenedesmus incrassatulus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92</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尖形栅藻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Scenedesmus acutiformis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93</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多棘栅藻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Scenedesmus spinosus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94</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齿牙栅藻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Scenedesmus denticulatus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95</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葡串藻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 xml:space="preserve">Pyrobotrys </w:t>
            </w:r>
            <w:r>
              <w:rPr>
                <w:rFonts w:ascii="Times New Roman" w:hAnsi="Times New Roman" w:cs="Times New Roman"/>
                <w:kern w:val="0"/>
                <w:sz w:val="18"/>
                <w:szCs w:val="18"/>
              </w:rPr>
              <w: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96</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空星藻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Coelastrum sphaericum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97</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小空星藻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Coelastrum microporum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98</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浮球藻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Planktosphaeria gelotinoca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99</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湖生卵囊藻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Oocystis lacustris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100</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华丽四星藻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Tetrastrum elegans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101</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绿藻门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短刺四星藻</w:t>
            </w:r>
          </w:p>
        </w:tc>
        <w:tc>
          <w:tcPr>
            <w:tcW w:w="3239" w:type="dxa"/>
            <w:shd w:val="clear" w:color="auto" w:fill="auto"/>
            <w:noWrap/>
            <w:vAlign w:val="center"/>
          </w:tcPr>
          <w:p>
            <w:pPr>
              <w:widowControl/>
              <w:adjustRightInd/>
              <w:spacing w:line="240" w:lineRule="auto"/>
              <w:ind w:firstLine="0" w:firstLineChars="0"/>
              <w:contextualSpacing/>
              <w:rPr>
                <w:rFonts w:ascii="Times New Roman" w:hAnsi="Times New Roman" w:cs="Times New Roman"/>
                <w:i/>
                <w:iCs/>
                <w:kern w:val="0"/>
                <w:sz w:val="18"/>
                <w:szCs w:val="18"/>
              </w:rPr>
            </w:pPr>
            <w:r>
              <w:rPr>
                <w:rFonts w:ascii="Times New Roman" w:hAnsi="Times New Roman" w:cs="Times New Roman"/>
                <w:i/>
                <w:iCs/>
                <w:kern w:val="0"/>
                <w:sz w:val="18"/>
                <w:szCs w:val="18"/>
              </w:rPr>
              <w:t>Tetrastrum aurogeniaeforme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bookmarkStart w:id="358" w:name="_Hlk101288775"/>
            <w:r>
              <w:rPr>
                <w:rFonts w:ascii="Times New Roman" w:hAnsi="Times New Roman" w:eastAsia="等线" w:cs="Times New Roman"/>
                <w:kern w:val="0"/>
                <w:sz w:val="18"/>
                <w:szCs w:val="18"/>
              </w:rPr>
              <w:t>102</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隐藻门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尖尾蓝隐藻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Cryptomonas acuta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103</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隐藻门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卵形隐藻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Cryptomonas ovata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81" w:type="dxa"/>
            <w:shd w:val="clear" w:color="auto" w:fill="auto"/>
            <w:vAlign w:val="center"/>
          </w:tcPr>
          <w:p>
            <w:pPr>
              <w:widowControl/>
              <w:adjustRightInd/>
              <w:spacing w:line="240" w:lineRule="auto"/>
              <w:ind w:firstLine="0" w:firstLineChars="0"/>
              <w:contextualSpacing/>
              <w:jc w:val="center"/>
              <w:rPr>
                <w:rFonts w:ascii="Times New Roman" w:hAnsi="Times New Roman" w:eastAsia="等线" w:cs="Times New Roman"/>
                <w:kern w:val="0"/>
                <w:sz w:val="18"/>
                <w:szCs w:val="18"/>
              </w:rPr>
            </w:pPr>
            <w:r>
              <w:rPr>
                <w:rFonts w:ascii="Times New Roman" w:hAnsi="Times New Roman" w:eastAsia="等线" w:cs="Times New Roman"/>
                <w:kern w:val="0"/>
                <w:sz w:val="18"/>
                <w:szCs w:val="18"/>
              </w:rPr>
              <w:t>104</w:t>
            </w:r>
          </w:p>
        </w:tc>
        <w:tc>
          <w:tcPr>
            <w:tcW w:w="2036" w:type="dxa"/>
            <w:shd w:val="clear" w:color="auto" w:fill="auto"/>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隐藻门</w:t>
            </w:r>
          </w:p>
        </w:tc>
        <w:tc>
          <w:tcPr>
            <w:tcW w:w="2333"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啮蚀隐藻</w:t>
            </w:r>
          </w:p>
        </w:tc>
        <w:tc>
          <w:tcPr>
            <w:tcW w:w="3239" w:type="dxa"/>
            <w:shd w:val="clear" w:color="auto" w:fill="auto"/>
            <w:noWrap/>
            <w:vAlign w:val="center"/>
          </w:tcPr>
          <w:p>
            <w:pPr>
              <w:widowControl/>
              <w:adjustRightInd/>
              <w:spacing w:line="240" w:lineRule="auto"/>
              <w:ind w:firstLine="0" w:firstLineChars="0"/>
              <w:contextualSpacing/>
              <w:jc w:val="center"/>
              <w:rPr>
                <w:rFonts w:ascii="Times New Roman" w:hAnsi="Times New Roman" w:cs="Times New Roman"/>
                <w:i/>
                <w:iCs/>
                <w:kern w:val="0"/>
                <w:sz w:val="18"/>
                <w:szCs w:val="18"/>
              </w:rPr>
            </w:pPr>
            <w:r>
              <w:rPr>
                <w:rFonts w:ascii="Times New Roman" w:hAnsi="Times New Roman" w:cs="Times New Roman"/>
                <w:i/>
                <w:iCs/>
                <w:kern w:val="0"/>
                <w:sz w:val="18"/>
                <w:szCs w:val="18"/>
              </w:rPr>
              <w:t>Cryptomonas erosa</w:t>
            </w:r>
          </w:p>
        </w:tc>
      </w:tr>
      <w:bookmarkEnd w:id="358"/>
    </w:tbl>
    <w:p>
      <w:pPr>
        <w:spacing w:line="240" w:lineRule="auto"/>
        <w:ind w:firstLine="0" w:firstLineChars="0"/>
        <w:jc w:val="center"/>
        <w:rPr>
          <w:rFonts w:ascii="Times New Roman" w:hAnsi="Times New Roman" w:cs="Times New Roman"/>
          <w:b/>
          <w:color w:val="auto"/>
          <w:kern w:val="0"/>
          <w:sz w:val="21"/>
          <w:szCs w:val="21"/>
        </w:rPr>
      </w:pPr>
      <w:r>
        <w:rPr>
          <w:rFonts w:ascii="Times New Roman" w:hAnsi="Times New Roman" w:cs="Times New Roman"/>
          <w:b/>
          <w:color w:val="auto"/>
          <w:kern w:val="0"/>
          <w:sz w:val="21"/>
          <w:szCs w:val="21"/>
        </w:rPr>
        <w:t>附</w:t>
      </w:r>
      <w:r>
        <w:rPr>
          <w:rFonts w:hint="eastAsia" w:ascii="Times New Roman" w:hAnsi="Times New Roman" w:cs="Times New Roman"/>
          <w:b/>
          <w:color w:val="auto"/>
          <w:kern w:val="0"/>
          <w:sz w:val="21"/>
          <w:szCs w:val="21"/>
        </w:rPr>
        <w:t>录Ⅴ</w:t>
      </w:r>
      <w:r>
        <w:rPr>
          <w:rFonts w:ascii="Times New Roman" w:hAnsi="Times New Roman" w:cs="Times New Roman"/>
          <w:b/>
          <w:color w:val="auto"/>
          <w:kern w:val="0"/>
          <w:sz w:val="21"/>
          <w:szCs w:val="21"/>
        </w:rPr>
        <w:t xml:space="preserve">  </w:t>
      </w:r>
      <w:r>
        <w:rPr>
          <w:rFonts w:hint="eastAsia" w:ascii="Times New Roman" w:hAnsi="Times New Roman" w:cs="Times New Roman"/>
          <w:b/>
          <w:color w:val="auto"/>
          <w:kern w:val="0"/>
          <w:sz w:val="21"/>
          <w:szCs w:val="21"/>
        </w:rPr>
        <w:t>临河湿地、巢湖湿地</w:t>
      </w:r>
      <w:r>
        <w:rPr>
          <w:rFonts w:ascii="Times New Roman" w:hAnsi="Times New Roman" w:cs="Times New Roman"/>
          <w:b/>
          <w:color w:val="auto"/>
          <w:kern w:val="0"/>
          <w:sz w:val="21"/>
          <w:szCs w:val="21"/>
        </w:rPr>
        <w:t>浮游动物名录</w:t>
      </w:r>
    </w:p>
    <w:tbl>
      <w:tblPr>
        <w:tblStyle w:val="62"/>
        <w:tblW w:w="9229" w:type="dxa"/>
        <w:tblInd w:w="-1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80"/>
        <w:gridCol w:w="1752"/>
        <w:gridCol w:w="2876"/>
        <w:gridCol w:w="362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blHeader/>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序号</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门</w:t>
            </w: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种名</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拉丁文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原生动物</w:t>
            </w: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橡子砂壳虫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Difflugia glans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球形砂壳虫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Difflugia globulosa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叉口砂壳虫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Difflugia gramen</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球形叉口砂壳虫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Difflugia gramen globulosa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木兰砂壳虫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Difflugia mulanensis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砂壳虫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Difflugia sp.</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7</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团睥睨虫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Askenasia volvox</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8</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天鹅长吻虫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Lacrymaria olor</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9</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旋回侠盗虫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Strobilidium gyrans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0</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淡水筒壳虫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Tintinnidium fluviatile</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1</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锥形似铃壳虫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Tintinnopsis conus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2</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江苏似铃壳虫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Tintinnopsis kiangsuensis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3</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倪氏似铃壳虫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Tintinnopsis niei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4</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鐏形似铃壳虫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Tintinnopsis potiformis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5</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王氏似铃壳虫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Tintinnopsis wangi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6</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似铃壳虫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Tintinnopsis sp.</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7</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轮虫</w:t>
            </w:r>
          </w:p>
        </w:tc>
        <w:tc>
          <w:tcPr>
            <w:tcW w:w="2876" w:type="dxa"/>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义角聚花轮虫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Conochilus dossuarius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8</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独角聚花轮虫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Conochilus unicornis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1</w:t>
            </w:r>
            <w:r>
              <w:rPr>
                <w:rFonts w:ascii="Times New Roman" w:hAnsi="Times New Roman" w:cs="Times New Roman"/>
                <w:kern w:val="0"/>
                <w:sz w:val="18"/>
                <w:szCs w:val="18"/>
              </w:rPr>
              <w:t>9</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多态胶鞘轮虫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Collotheca ambigua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r>
              <w:rPr>
                <w:rFonts w:ascii="Times New Roman" w:hAnsi="Times New Roman" w:cs="Times New Roman"/>
                <w:kern w:val="0"/>
                <w:sz w:val="18"/>
                <w:szCs w:val="18"/>
              </w:rPr>
              <w:t>0</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长三肢轮虫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Filinia longiseta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r>
              <w:rPr>
                <w:rFonts w:ascii="Times New Roman" w:hAnsi="Times New Roman" w:cs="Times New Roman"/>
                <w:kern w:val="0"/>
                <w:sz w:val="18"/>
                <w:szCs w:val="18"/>
              </w:rPr>
              <w:t>1</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迈氏三肢轮虫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 xml:space="preserve">Filinia maio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r>
              <w:rPr>
                <w:rFonts w:ascii="Times New Roman" w:hAnsi="Times New Roman" w:cs="Times New Roman"/>
                <w:kern w:val="0"/>
                <w:sz w:val="18"/>
                <w:szCs w:val="18"/>
              </w:rPr>
              <w:t>2</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梨形单趾轮虫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Monostyla  pyriformis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r>
              <w:rPr>
                <w:rFonts w:ascii="Times New Roman" w:hAnsi="Times New Roman" w:cs="Times New Roman"/>
                <w:kern w:val="0"/>
                <w:sz w:val="18"/>
                <w:szCs w:val="18"/>
              </w:rPr>
              <w:t>3</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突纹腔轮虫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Lecane hornemanni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r>
              <w:rPr>
                <w:rFonts w:ascii="Times New Roman" w:hAnsi="Times New Roman" w:cs="Times New Roman"/>
                <w:kern w:val="0"/>
                <w:sz w:val="18"/>
                <w:szCs w:val="18"/>
              </w:rPr>
              <w:t>4</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月形腔轮虫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 xml:space="preserve">Lecane luna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r>
              <w:rPr>
                <w:rFonts w:ascii="Times New Roman" w:hAnsi="Times New Roman" w:cs="Times New Roman"/>
                <w:kern w:val="0"/>
                <w:sz w:val="18"/>
                <w:szCs w:val="18"/>
              </w:rPr>
              <w:t>5</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巨头轮虫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 xml:space="preserve">Cephalodella sp.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r>
              <w:rPr>
                <w:rFonts w:ascii="Times New Roman" w:hAnsi="Times New Roman" w:cs="Times New Roman"/>
                <w:kern w:val="0"/>
                <w:sz w:val="18"/>
                <w:szCs w:val="18"/>
              </w:rPr>
              <w:t>6</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卵形彩胃轮虫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Chromogaster ovalis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r>
              <w:rPr>
                <w:rFonts w:ascii="Times New Roman" w:hAnsi="Times New Roman" w:cs="Times New Roman"/>
                <w:kern w:val="0"/>
                <w:sz w:val="18"/>
                <w:szCs w:val="18"/>
              </w:rPr>
              <w:t>7</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腹足腹尾轮虫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Gastropus hyplopus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r>
              <w:rPr>
                <w:rFonts w:ascii="Times New Roman" w:hAnsi="Times New Roman" w:cs="Times New Roman"/>
                <w:kern w:val="0"/>
                <w:sz w:val="18"/>
                <w:szCs w:val="18"/>
              </w:rPr>
              <w:t>8</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奇异六腕轮虫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Hexarthra mira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2</w:t>
            </w:r>
            <w:r>
              <w:rPr>
                <w:rFonts w:ascii="Times New Roman" w:hAnsi="Times New Roman" w:cs="Times New Roman"/>
                <w:kern w:val="0"/>
                <w:sz w:val="18"/>
                <w:szCs w:val="18"/>
              </w:rPr>
              <w:t>9</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裂痕龟纹轮虫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Anuraeopsis fissa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r>
              <w:rPr>
                <w:rFonts w:ascii="Times New Roman" w:hAnsi="Times New Roman" w:cs="Times New Roman"/>
                <w:kern w:val="0"/>
                <w:sz w:val="18"/>
                <w:szCs w:val="18"/>
              </w:rPr>
              <w:t>0</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龟纹轮虫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Anuraeopsis sp.</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r>
              <w:rPr>
                <w:rFonts w:ascii="Times New Roman" w:hAnsi="Times New Roman" w:cs="Times New Roman"/>
                <w:kern w:val="0"/>
                <w:sz w:val="18"/>
                <w:szCs w:val="18"/>
              </w:rPr>
              <w:t>1</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狭甲轮虫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 xml:space="preserve">Colurella sp.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r>
              <w:rPr>
                <w:rFonts w:ascii="Times New Roman" w:hAnsi="Times New Roman" w:cs="Times New Roman"/>
                <w:kern w:val="0"/>
                <w:sz w:val="18"/>
                <w:szCs w:val="18"/>
              </w:rPr>
              <w:t>2</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角突臂尾轮虫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Brachionus angularis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r>
              <w:rPr>
                <w:rFonts w:ascii="Times New Roman" w:hAnsi="Times New Roman" w:cs="Times New Roman"/>
                <w:kern w:val="0"/>
                <w:sz w:val="18"/>
                <w:szCs w:val="18"/>
              </w:rPr>
              <w:t>3</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蒲达臂尾轮虫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Brachionus budapestiensis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r>
              <w:rPr>
                <w:rFonts w:ascii="Times New Roman" w:hAnsi="Times New Roman" w:cs="Times New Roman"/>
                <w:kern w:val="0"/>
                <w:sz w:val="18"/>
                <w:szCs w:val="18"/>
              </w:rPr>
              <w:t>4</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萼花臂尾轮虫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Brachionus calyciflorus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r>
              <w:rPr>
                <w:rFonts w:ascii="Times New Roman" w:hAnsi="Times New Roman" w:cs="Times New Roman"/>
                <w:kern w:val="0"/>
                <w:sz w:val="18"/>
                <w:szCs w:val="18"/>
              </w:rPr>
              <w:t>5</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裂足臂尾轮虫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 xml:space="preserve">Brachionus diversicornis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r>
              <w:rPr>
                <w:rFonts w:ascii="Times New Roman" w:hAnsi="Times New Roman" w:cs="Times New Roman"/>
                <w:kern w:val="0"/>
                <w:sz w:val="18"/>
                <w:szCs w:val="18"/>
              </w:rPr>
              <w:t>6</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镰形臂尾轮虫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Brachionus falcatus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r>
              <w:rPr>
                <w:rFonts w:ascii="Times New Roman" w:hAnsi="Times New Roman" w:cs="Times New Roman"/>
                <w:kern w:val="0"/>
                <w:sz w:val="18"/>
                <w:szCs w:val="18"/>
              </w:rPr>
              <w:t>7</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螺形龟甲轮虫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Keratella cochlearis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r>
              <w:rPr>
                <w:rFonts w:ascii="Times New Roman" w:hAnsi="Times New Roman" w:cs="Times New Roman"/>
                <w:kern w:val="0"/>
                <w:sz w:val="18"/>
                <w:szCs w:val="18"/>
              </w:rPr>
              <w:t>8</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矩形龟甲轮虫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Kerateua quadrata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3</w:t>
            </w:r>
            <w:r>
              <w:rPr>
                <w:rFonts w:ascii="Times New Roman" w:hAnsi="Times New Roman" w:cs="Times New Roman"/>
                <w:kern w:val="0"/>
                <w:sz w:val="18"/>
                <w:szCs w:val="18"/>
              </w:rPr>
              <w:t>9</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曲腿龟甲轮虫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KeratelIa valaa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r>
              <w:rPr>
                <w:rFonts w:ascii="Times New Roman" w:hAnsi="Times New Roman" w:cs="Times New Roman"/>
                <w:kern w:val="0"/>
                <w:sz w:val="18"/>
                <w:szCs w:val="18"/>
              </w:rPr>
              <w:t>0</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前节晶囊轮虫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Asplachna priodonta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r>
              <w:rPr>
                <w:rFonts w:ascii="Times New Roman" w:hAnsi="Times New Roman" w:cs="Times New Roman"/>
                <w:kern w:val="0"/>
                <w:sz w:val="18"/>
                <w:szCs w:val="18"/>
              </w:rPr>
              <w:t>1</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小多肢轮虫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Polyarthra  minor</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r>
              <w:rPr>
                <w:rFonts w:ascii="Times New Roman" w:hAnsi="Times New Roman" w:cs="Times New Roman"/>
                <w:kern w:val="0"/>
                <w:sz w:val="18"/>
                <w:szCs w:val="18"/>
              </w:rPr>
              <w:t>2</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针簇多肢轮虫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Polyarthra  trigla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r>
              <w:rPr>
                <w:rFonts w:ascii="Times New Roman" w:hAnsi="Times New Roman" w:cs="Times New Roman"/>
                <w:kern w:val="0"/>
                <w:sz w:val="18"/>
                <w:szCs w:val="18"/>
              </w:rPr>
              <w:t>3</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沟痕泡轮虫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Pompholyx  sulcata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r>
              <w:rPr>
                <w:rFonts w:ascii="Times New Roman" w:hAnsi="Times New Roman" w:cs="Times New Roman"/>
                <w:kern w:val="0"/>
                <w:sz w:val="18"/>
                <w:szCs w:val="18"/>
              </w:rPr>
              <w:t>4</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盘镜轮虫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Testudupinella patina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r>
              <w:rPr>
                <w:rFonts w:ascii="Times New Roman" w:hAnsi="Times New Roman" w:cs="Times New Roman"/>
                <w:kern w:val="0"/>
                <w:sz w:val="18"/>
                <w:szCs w:val="18"/>
              </w:rPr>
              <w:t>5</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尖尾疣毛轮虫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Synchaeta stylata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r>
              <w:rPr>
                <w:rFonts w:ascii="Times New Roman" w:hAnsi="Times New Roman" w:cs="Times New Roman"/>
                <w:kern w:val="0"/>
                <w:sz w:val="18"/>
                <w:szCs w:val="18"/>
              </w:rPr>
              <w:t>6</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疣毛轮虫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Synchaeta sp.</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r>
              <w:rPr>
                <w:rFonts w:ascii="Times New Roman" w:hAnsi="Times New Roman" w:cs="Times New Roman"/>
                <w:kern w:val="0"/>
                <w:sz w:val="18"/>
                <w:szCs w:val="18"/>
              </w:rPr>
              <w:t>7</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圆筒异尾轮虫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Trichocerca cylindrica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r>
              <w:rPr>
                <w:rFonts w:ascii="Times New Roman" w:hAnsi="Times New Roman" w:cs="Times New Roman"/>
                <w:kern w:val="0"/>
                <w:sz w:val="18"/>
                <w:szCs w:val="18"/>
              </w:rPr>
              <w:t>8</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冠饰异尾轮虫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 xml:space="preserve">Trichocerca lophoessa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4</w:t>
            </w:r>
            <w:r>
              <w:rPr>
                <w:rFonts w:ascii="Times New Roman" w:hAnsi="Times New Roman" w:cs="Times New Roman"/>
                <w:kern w:val="0"/>
                <w:sz w:val="18"/>
                <w:szCs w:val="18"/>
              </w:rPr>
              <w:t>9</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细异尾轮虫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Trichocerca gracilis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r>
              <w:rPr>
                <w:rFonts w:ascii="Times New Roman" w:hAnsi="Times New Roman" w:cs="Times New Roman"/>
                <w:kern w:val="0"/>
                <w:sz w:val="18"/>
                <w:szCs w:val="18"/>
              </w:rPr>
              <w:t>0</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瓷甲异尾轮虫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Trichocerca porcsllus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r>
              <w:rPr>
                <w:rFonts w:ascii="Times New Roman" w:hAnsi="Times New Roman" w:cs="Times New Roman"/>
                <w:kern w:val="0"/>
                <w:sz w:val="18"/>
                <w:szCs w:val="18"/>
              </w:rPr>
              <w:t>1</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暗小异尾轮虫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Trichocerca pusilla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r>
              <w:rPr>
                <w:rFonts w:ascii="Times New Roman" w:hAnsi="Times New Roman" w:cs="Times New Roman"/>
                <w:kern w:val="0"/>
                <w:sz w:val="18"/>
                <w:szCs w:val="18"/>
              </w:rPr>
              <w:t>2</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鼠异尾轮虫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Trichocerca rattus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r>
              <w:rPr>
                <w:rFonts w:ascii="Times New Roman" w:hAnsi="Times New Roman" w:cs="Times New Roman"/>
                <w:kern w:val="0"/>
                <w:sz w:val="18"/>
                <w:szCs w:val="18"/>
              </w:rPr>
              <w:t>3</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罗氏异尾轮虫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 xml:space="preserve">Trichocerca rousseleti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r>
              <w:rPr>
                <w:rFonts w:ascii="Times New Roman" w:hAnsi="Times New Roman" w:cs="Times New Roman"/>
                <w:kern w:val="0"/>
                <w:sz w:val="18"/>
                <w:szCs w:val="18"/>
              </w:rPr>
              <w:t>4</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等刺异尾轮虫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Trichocerca similis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r>
              <w:rPr>
                <w:rFonts w:ascii="Times New Roman" w:hAnsi="Times New Roman" w:cs="Times New Roman"/>
                <w:kern w:val="0"/>
                <w:sz w:val="18"/>
                <w:szCs w:val="18"/>
              </w:rPr>
              <w:t>5</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异尾轮虫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Trichocerca sp.</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r>
              <w:rPr>
                <w:rFonts w:ascii="Times New Roman" w:hAnsi="Times New Roman" w:cs="Times New Roman"/>
                <w:kern w:val="0"/>
                <w:sz w:val="18"/>
                <w:szCs w:val="18"/>
              </w:rPr>
              <w:t>6</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方块鬼轮虫</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Trichotria tetractis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r>
              <w:rPr>
                <w:rFonts w:ascii="Times New Roman" w:hAnsi="Times New Roman" w:cs="Times New Roman"/>
                <w:kern w:val="0"/>
                <w:sz w:val="18"/>
                <w:szCs w:val="18"/>
              </w:rPr>
              <w:t>7</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枝角类</w:t>
            </w: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盔形溞</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Daphnia galeata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r>
              <w:rPr>
                <w:rFonts w:ascii="Times New Roman" w:hAnsi="Times New Roman" w:cs="Times New Roman"/>
                <w:kern w:val="0"/>
                <w:sz w:val="18"/>
                <w:szCs w:val="18"/>
              </w:rPr>
              <w:t>8</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角突网纹溞</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Ceriodaphnia cornuta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5</w:t>
            </w:r>
            <w:r>
              <w:rPr>
                <w:rFonts w:ascii="Times New Roman" w:hAnsi="Times New Roman" w:cs="Times New Roman"/>
                <w:kern w:val="0"/>
                <w:sz w:val="18"/>
                <w:szCs w:val="18"/>
              </w:rPr>
              <w:t>9</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透明薄皮溞</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Leptodora Kindti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r>
              <w:rPr>
                <w:rFonts w:ascii="Times New Roman" w:hAnsi="Times New Roman" w:cs="Times New Roman"/>
                <w:kern w:val="0"/>
                <w:sz w:val="18"/>
                <w:szCs w:val="18"/>
              </w:rPr>
              <w:t>0</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脆弱象鼻溞</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Bosmina fatalis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r>
              <w:rPr>
                <w:rFonts w:ascii="Times New Roman" w:hAnsi="Times New Roman" w:cs="Times New Roman"/>
                <w:kern w:val="0"/>
                <w:sz w:val="18"/>
                <w:szCs w:val="18"/>
              </w:rPr>
              <w:t>1</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长额象鼻溞</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Bosmina longirostris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r>
              <w:rPr>
                <w:rFonts w:ascii="Times New Roman" w:hAnsi="Times New Roman" w:cs="Times New Roman"/>
                <w:kern w:val="0"/>
                <w:sz w:val="18"/>
                <w:szCs w:val="18"/>
              </w:rPr>
              <w:t>2</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颈沟基合溞</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Bosminopsis deitersi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r>
              <w:rPr>
                <w:rFonts w:ascii="Times New Roman" w:hAnsi="Times New Roman" w:cs="Times New Roman"/>
                <w:kern w:val="0"/>
                <w:sz w:val="18"/>
                <w:szCs w:val="18"/>
              </w:rPr>
              <w:t>3</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微型裸腹溞</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Moina micrura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r>
              <w:rPr>
                <w:rFonts w:ascii="Times New Roman" w:hAnsi="Times New Roman" w:cs="Times New Roman"/>
                <w:kern w:val="0"/>
                <w:sz w:val="18"/>
                <w:szCs w:val="18"/>
              </w:rPr>
              <w:t>4</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短尾秀体溞</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Diaphanosoma brachyurum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r>
              <w:rPr>
                <w:rFonts w:ascii="Times New Roman" w:hAnsi="Times New Roman" w:cs="Times New Roman"/>
                <w:kern w:val="0"/>
                <w:sz w:val="18"/>
                <w:szCs w:val="18"/>
              </w:rPr>
              <w:t>5</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圆形盘肠溞</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Chydornus sphaericus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r>
              <w:rPr>
                <w:rFonts w:ascii="Times New Roman" w:hAnsi="Times New Roman" w:cs="Times New Roman"/>
                <w:kern w:val="0"/>
                <w:sz w:val="18"/>
                <w:szCs w:val="18"/>
              </w:rPr>
              <w:t>6</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矩形尖额溞</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Alona rectangula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r>
              <w:rPr>
                <w:rFonts w:ascii="Times New Roman" w:hAnsi="Times New Roman" w:cs="Times New Roman"/>
                <w:kern w:val="0"/>
                <w:sz w:val="18"/>
                <w:szCs w:val="18"/>
              </w:rPr>
              <w:t>7</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粗刺大尾溞</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Leydigia leydigii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r>
              <w:rPr>
                <w:rFonts w:ascii="Times New Roman" w:hAnsi="Times New Roman" w:cs="Times New Roman"/>
                <w:kern w:val="0"/>
                <w:sz w:val="18"/>
                <w:szCs w:val="18"/>
              </w:rPr>
              <w:t>8</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桡足类</w:t>
            </w: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汤匙华哲水蚤</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ascii="Times New Roman" w:hAnsi="Times New Roman" w:cs="Times New Roman"/>
                <w:kern w:val="0"/>
                <w:sz w:val="18"/>
                <w:szCs w:val="18"/>
              </w:rPr>
              <w:t>Sinocalanus dorrii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6</w:t>
            </w:r>
            <w:r>
              <w:rPr>
                <w:rFonts w:ascii="Times New Roman" w:hAnsi="Times New Roman" w:cs="Times New Roman"/>
                <w:kern w:val="0"/>
                <w:sz w:val="18"/>
                <w:szCs w:val="18"/>
              </w:rPr>
              <w:t>9</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球状许水蚤</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Pseudodiaptomus forbesi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7</w:t>
            </w:r>
            <w:r>
              <w:rPr>
                <w:rFonts w:ascii="Times New Roman" w:hAnsi="Times New Roman" w:cs="Times New Roman"/>
                <w:kern w:val="0"/>
                <w:sz w:val="18"/>
                <w:szCs w:val="18"/>
              </w:rPr>
              <w:t>0</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中华窄腹剑水蚤</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Limnoithone sinensis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7</w:t>
            </w:r>
            <w:r>
              <w:rPr>
                <w:rFonts w:ascii="Times New Roman" w:hAnsi="Times New Roman" w:cs="Times New Roman"/>
                <w:kern w:val="0"/>
                <w:sz w:val="18"/>
                <w:szCs w:val="18"/>
              </w:rPr>
              <w:t>1</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透明温剑水蚤</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Thermocyclops hyalinus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7</w:t>
            </w:r>
            <w:r>
              <w:rPr>
                <w:rFonts w:ascii="Times New Roman" w:hAnsi="Times New Roman" w:cs="Times New Roman"/>
                <w:kern w:val="0"/>
                <w:sz w:val="18"/>
                <w:szCs w:val="18"/>
              </w:rPr>
              <w:t>2</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广布中剑水蚤</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Mesocyclops leuckarti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 w:hRule="atLeast"/>
        </w:trPr>
        <w:tc>
          <w:tcPr>
            <w:tcW w:w="980" w:type="dxa"/>
          </w:tcPr>
          <w:p>
            <w:pPr>
              <w:widowControl/>
              <w:adjustRightInd/>
              <w:spacing w:line="240" w:lineRule="auto"/>
              <w:ind w:firstLine="0" w:firstLineChars="0"/>
              <w:contextualSpacing/>
              <w:jc w:val="center"/>
              <w:rPr>
                <w:rFonts w:ascii="Times New Roman" w:hAnsi="Times New Roman" w:cs="Times New Roman"/>
                <w:kern w:val="0"/>
                <w:sz w:val="18"/>
                <w:szCs w:val="18"/>
              </w:rPr>
            </w:pPr>
            <w:r>
              <w:rPr>
                <w:rFonts w:hint="eastAsia" w:ascii="Times New Roman" w:hAnsi="Times New Roman" w:cs="Times New Roman"/>
                <w:kern w:val="0"/>
                <w:sz w:val="18"/>
                <w:szCs w:val="18"/>
              </w:rPr>
              <w:t>7</w:t>
            </w:r>
            <w:r>
              <w:rPr>
                <w:rFonts w:ascii="Times New Roman" w:hAnsi="Times New Roman" w:cs="Times New Roman"/>
                <w:kern w:val="0"/>
                <w:sz w:val="18"/>
                <w:szCs w:val="18"/>
              </w:rPr>
              <w:t>3</w:t>
            </w:r>
          </w:p>
        </w:tc>
        <w:tc>
          <w:tcPr>
            <w:tcW w:w="1752" w:type="dxa"/>
            <w:noWrap/>
            <w:tcMar>
              <w:top w:w="15" w:type="dxa"/>
              <w:left w:w="15" w:type="dxa"/>
              <w:right w:w="15" w:type="dxa"/>
            </w:tcMar>
            <w:vAlign w:val="center"/>
          </w:tcPr>
          <w:p>
            <w:pPr>
              <w:widowControl/>
              <w:adjustRightInd/>
              <w:spacing w:line="240" w:lineRule="auto"/>
              <w:ind w:firstLine="0" w:firstLineChars="0"/>
              <w:contextualSpacing/>
              <w:jc w:val="center"/>
              <w:rPr>
                <w:rFonts w:ascii="Times New Roman" w:hAnsi="Times New Roman" w:cs="Times New Roman"/>
                <w:kern w:val="0"/>
                <w:sz w:val="18"/>
                <w:szCs w:val="18"/>
              </w:rPr>
            </w:pPr>
          </w:p>
        </w:tc>
        <w:tc>
          <w:tcPr>
            <w:tcW w:w="2876"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剑水蚤</w:t>
            </w:r>
          </w:p>
        </w:tc>
        <w:tc>
          <w:tcPr>
            <w:tcW w:w="3621" w:type="dxa"/>
            <w:noWrap/>
            <w:tcMar>
              <w:top w:w="15" w:type="dxa"/>
              <w:left w:w="15" w:type="dxa"/>
              <w:right w:w="15" w:type="dxa"/>
            </w:tcMar>
            <w:vAlign w:val="center"/>
          </w:tcPr>
          <w:p>
            <w:pPr>
              <w:widowControl/>
              <w:adjustRightInd/>
              <w:spacing w:line="240" w:lineRule="auto"/>
              <w:ind w:firstLine="0" w:firstLineChars="0"/>
              <w:contextualSpacing/>
              <w:jc w:val="center"/>
              <w:textAlignment w:val="center"/>
              <w:rPr>
                <w:rFonts w:ascii="Times New Roman" w:hAnsi="Times New Roman" w:cs="Times New Roman"/>
                <w:kern w:val="0"/>
                <w:sz w:val="18"/>
                <w:szCs w:val="18"/>
              </w:rPr>
            </w:pPr>
            <w:r>
              <w:rPr>
                <w:rFonts w:ascii="Times New Roman" w:hAnsi="Times New Roman" w:cs="Times New Roman"/>
                <w:kern w:val="0"/>
                <w:sz w:val="18"/>
                <w:szCs w:val="18"/>
              </w:rPr>
              <w:t>Cyclops sp.</w:t>
            </w:r>
          </w:p>
        </w:tc>
      </w:tr>
    </w:tbl>
    <w:p>
      <w:pPr>
        <w:pStyle w:val="3"/>
        <w:numPr>
          <w:ilvl w:val="0"/>
          <w:numId w:val="0"/>
        </w:numPr>
        <w:ind w:left="-2" w:leftChars="-1" w:firstLine="1"/>
        <w:rPr>
          <w:rFonts w:ascii="Times New Roman" w:hAnsi="Times New Roman" w:eastAsia="黑体" w:cs="Times New Roman"/>
          <w:b w:val="0"/>
          <w:bCs w:val="0"/>
          <w:color w:val="auto"/>
          <w:sz w:val="28"/>
        </w:rPr>
      </w:pPr>
      <w:bookmarkStart w:id="359" w:name="_Toc104733387"/>
      <w:bookmarkStart w:id="360" w:name="_Toc12962"/>
      <w:bookmarkStart w:id="361" w:name="_Toc102979831"/>
      <w:bookmarkStart w:id="362" w:name="_Toc23051"/>
      <w:bookmarkStart w:id="363" w:name="_Toc5661"/>
      <w:r>
        <w:rPr>
          <w:rFonts w:ascii="Times New Roman" w:hAnsi="Times New Roman" w:eastAsia="黑体" w:cs="Times New Roman"/>
          <w:color w:val="auto"/>
          <w:sz w:val="28"/>
        </w:rPr>
        <w:t>4.9环境质量现状评价结论</w:t>
      </w:r>
      <w:bookmarkEnd w:id="359"/>
      <w:bookmarkEnd w:id="360"/>
      <w:bookmarkEnd w:id="361"/>
      <w:bookmarkEnd w:id="362"/>
      <w:bookmarkEnd w:id="363"/>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（1）大气环境现状评价：</w:t>
      </w:r>
    </w:p>
    <w:p>
      <w:pPr>
        <w:ind w:firstLine="480"/>
        <w:rPr>
          <w:rFonts w:ascii="Times New Roman" w:hAnsi="Times New Roman" w:cs="Times New Roman"/>
          <w:szCs w:val="24"/>
          <w:lang w:bidi="ar"/>
        </w:rPr>
      </w:pPr>
      <w:r>
        <w:rPr>
          <w:rFonts w:ascii="Times New Roman" w:hAnsi="Times New Roman" w:cs="Times New Roman"/>
          <w:color w:val="auto"/>
          <w:lang w:bidi="ar"/>
        </w:rPr>
        <w:t>根据合肥市局网站公布的2021年环境空气质量数据统计可知</w:t>
      </w:r>
      <w:r>
        <w:rPr>
          <w:rFonts w:ascii="Times New Roman" w:hAnsi="Times New Roman" w:cs="Times New Roman"/>
          <w:szCs w:val="24"/>
          <w:lang w:bidi="ar"/>
        </w:rPr>
        <w:t>，SO</w:t>
      </w:r>
      <w:r>
        <w:rPr>
          <w:rFonts w:ascii="Times New Roman" w:hAnsi="Times New Roman" w:cs="Times New Roman"/>
          <w:szCs w:val="24"/>
          <w:vertAlign w:val="subscript"/>
          <w:lang w:bidi="ar"/>
        </w:rPr>
        <w:t>2</w:t>
      </w:r>
      <w:r>
        <w:rPr>
          <w:rFonts w:ascii="Times New Roman" w:hAnsi="Times New Roman" w:cs="Times New Roman"/>
          <w:szCs w:val="24"/>
          <w:lang w:bidi="ar"/>
        </w:rPr>
        <w:t>、NO</w:t>
      </w:r>
      <w:r>
        <w:rPr>
          <w:rFonts w:ascii="Times New Roman" w:hAnsi="Times New Roman" w:cs="Times New Roman"/>
          <w:szCs w:val="24"/>
          <w:vertAlign w:val="subscript"/>
          <w:lang w:bidi="ar"/>
        </w:rPr>
        <w:t>2</w:t>
      </w:r>
      <w:r>
        <w:rPr>
          <w:rFonts w:ascii="Times New Roman" w:hAnsi="Times New Roman" w:cs="Times New Roman"/>
          <w:szCs w:val="24"/>
          <w:lang w:bidi="ar"/>
        </w:rPr>
        <w:t>、PM</w:t>
      </w:r>
      <w:r>
        <w:rPr>
          <w:rFonts w:ascii="Times New Roman" w:hAnsi="Times New Roman" w:cs="Times New Roman"/>
          <w:szCs w:val="24"/>
          <w:vertAlign w:val="subscript"/>
          <w:lang w:bidi="ar"/>
        </w:rPr>
        <w:t>10</w:t>
      </w:r>
      <w:r>
        <w:rPr>
          <w:rFonts w:ascii="Times New Roman" w:hAnsi="Times New Roman" w:cs="Times New Roman"/>
          <w:szCs w:val="24"/>
          <w:lang w:bidi="ar"/>
        </w:rPr>
        <w:t>、PM</w:t>
      </w:r>
      <w:r>
        <w:rPr>
          <w:rFonts w:ascii="Times New Roman" w:hAnsi="Times New Roman" w:cs="Times New Roman"/>
          <w:szCs w:val="24"/>
          <w:vertAlign w:val="subscript"/>
          <w:lang w:bidi="ar"/>
        </w:rPr>
        <w:t>2.5</w:t>
      </w:r>
      <w:r>
        <w:rPr>
          <w:rFonts w:ascii="Times New Roman" w:hAnsi="Times New Roman" w:cs="Times New Roman"/>
          <w:szCs w:val="24"/>
          <w:lang w:bidi="ar"/>
        </w:rPr>
        <w:t>年均浓度分别为10μg/m</w:t>
      </w:r>
      <w:r>
        <w:rPr>
          <w:rFonts w:ascii="Times New Roman" w:hAnsi="Times New Roman" w:cs="Times New Roman"/>
          <w:szCs w:val="24"/>
          <w:vertAlign w:val="superscript"/>
          <w:lang w:bidi="ar"/>
        </w:rPr>
        <w:t>3</w:t>
      </w:r>
      <w:r>
        <w:rPr>
          <w:rFonts w:ascii="Times New Roman" w:hAnsi="Times New Roman" w:cs="Times New Roman"/>
          <w:szCs w:val="24"/>
          <w:lang w:bidi="ar"/>
        </w:rPr>
        <w:t>、20μg/m</w:t>
      </w:r>
      <w:r>
        <w:rPr>
          <w:rFonts w:ascii="Times New Roman" w:hAnsi="Times New Roman" w:cs="Times New Roman"/>
          <w:szCs w:val="24"/>
          <w:vertAlign w:val="superscript"/>
          <w:lang w:bidi="ar"/>
        </w:rPr>
        <w:t>3</w:t>
      </w:r>
      <w:r>
        <w:rPr>
          <w:rFonts w:ascii="Times New Roman" w:hAnsi="Times New Roman" w:cs="Times New Roman"/>
          <w:szCs w:val="24"/>
          <w:lang w:bidi="ar"/>
        </w:rPr>
        <w:t>、60μg/m</w:t>
      </w:r>
      <w:r>
        <w:rPr>
          <w:rFonts w:ascii="Times New Roman" w:hAnsi="Times New Roman" w:cs="Times New Roman"/>
          <w:szCs w:val="24"/>
          <w:vertAlign w:val="superscript"/>
          <w:lang w:bidi="ar"/>
        </w:rPr>
        <w:t>3</w:t>
      </w:r>
      <w:r>
        <w:rPr>
          <w:rFonts w:ascii="Times New Roman" w:hAnsi="Times New Roman" w:cs="Times New Roman"/>
          <w:szCs w:val="24"/>
          <w:lang w:bidi="ar"/>
        </w:rPr>
        <w:t>、31μg/m</w:t>
      </w:r>
      <w:r>
        <w:rPr>
          <w:rFonts w:ascii="Times New Roman" w:hAnsi="Times New Roman" w:cs="Times New Roman"/>
          <w:szCs w:val="24"/>
          <w:vertAlign w:val="superscript"/>
          <w:lang w:bidi="ar"/>
        </w:rPr>
        <w:t>3</w:t>
      </w:r>
      <w:r>
        <w:rPr>
          <w:rFonts w:ascii="Times New Roman" w:hAnsi="Times New Roman" w:cs="Times New Roman"/>
          <w:szCs w:val="24"/>
          <w:lang w:bidi="ar"/>
        </w:rPr>
        <w:t>；CO日平均第95百分位数为1.368mg/m</w:t>
      </w:r>
      <w:r>
        <w:rPr>
          <w:rFonts w:ascii="Times New Roman" w:hAnsi="Times New Roman" w:cs="Times New Roman"/>
          <w:szCs w:val="24"/>
          <w:vertAlign w:val="superscript"/>
          <w:lang w:bidi="ar"/>
        </w:rPr>
        <w:t>3</w:t>
      </w:r>
      <w:r>
        <w:rPr>
          <w:rFonts w:ascii="Times New Roman" w:hAnsi="Times New Roman" w:cs="Times New Roman"/>
          <w:szCs w:val="24"/>
          <w:lang w:bidi="ar"/>
        </w:rPr>
        <w:t>，O</w:t>
      </w:r>
      <w:r>
        <w:rPr>
          <w:rFonts w:ascii="Times New Roman" w:hAnsi="Times New Roman" w:cs="Times New Roman"/>
          <w:szCs w:val="24"/>
          <w:vertAlign w:val="subscript"/>
          <w:lang w:bidi="ar"/>
        </w:rPr>
        <w:t>3</w:t>
      </w:r>
      <w:r>
        <w:rPr>
          <w:rFonts w:ascii="Times New Roman" w:hAnsi="Times New Roman" w:cs="Times New Roman"/>
          <w:szCs w:val="24"/>
          <w:lang w:bidi="ar"/>
        </w:rPr>
        <w:t>日最大8小时平均第90百分位数为88μg/m</w:t>
      </w:r>
      <w:r>
        <w:rPr>
          <w:rFonts w:ascii="Times New Roman" w:hAnsi="Times New Roman" w:cs="Times New Roman"/>
          <w:szCs w:val="24"/>
          <w:vertAlign w:val="superscript"/>
          <w:lang w:bidi="ar"/>
        </w:rPr>
        <w:t>3</w:t>
      </w:r>
      <w:r>
        <w:rPr>
          <w:rFonts w:ascii="Times New Roman" w:hAnsi="Times New Roman" w:cs="Times New Roman"/>
          <w:szCs w:val="24"/>
          <w:lang w:bidi="ar"/>
        </w:rPr>
        <w:t>，因此合肥市为达标区。</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根据现场监测及引用的监测数据表明，项目区及金庵</w:t>
      </w:r>
      <w:r>
        <w:rPr>
          <w:rFonts w:hint="eastAsia" w:ascii="Times New Roman" w:hAnsi="Times New Roman" w:cs="Times New Roman"/>
          <w:color w:val="auto"/>
          <w:spacing w:val="-2"/>
          <w:kern w:val="0"/>
          <w:szCs w:val="20"/>
        </w:rPr>
        <w:t>村</w:t>
      </w:r>
      <w:r>
        <w:rPr>
          <w:rFonts w:ascii="Times New Roman" w:hAnsi="Times New Roman" w:cs="Times New Roman"/>
        </w:rPr>
        <w:t>硫酸雾、</w:t>
      </w:r>
      <w:r>
        <w:rPr>
          <w:rFonts w:ascii="Times New Roman" w:hAnsi="Times New Roman" w:cs="Times New Roman"/>
          <w:bCs/>
          <w:color w:val="auto"/>
          <w:spacing w:val="-2"/>
          <w:kern w:val="0"/>
        </w:rPr>
        <w:t>非甲烷总烃</w:t>
      </w:r>
      <w:r>
        <w:rPr>
          <w:rFonts w:ascii="Times New Roman" w:hAnsi="Times New Roman" w:cs="Times New Roman"/>
          <w:color w:val="auto"/>
          <w:spacing w:val="-2"/>
          <w:kern w:val="0"/>
          <w:szCs w:val="20"/>
        </w:rPr>
        <w:t>满足相应环境空气质量标准要求。</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（2）水环境现状评价：地表水环境质量现状监测评价结果表明：店埠河及撮镇灌溉渠水质达到《地表水环境质量标准》（GB3838-2002）</w:t>
      </w:r>
      <w:r>
        <w:rPr>
          <w:rFonts w:ascii="Times New Roman" w:hAnsi="Times New Roman" w:cs="Times New Roman"/>
          <w:color w:val="auto"/>
          <w:spacing w:val="-2"/>
          <w:kern w:val="0"/>
          <w:szCs w:val="20"/>
        </w:rPr>
        <w:fldChar w:fldCharType="begin"/>
      </w:r>
      <w:r>
        <w:rPr>
          <w:rFonts w:ascii="Times New Roman" w:hAnsi="Times New Roman" w:cs="Times New Roman"/>
          <w:color w:val="auto"/>
          <w:spacing w:val="-2"/>
          <w:kern w:val="0"/>
          <w:szCs w:val="20"/>
        </w:rPr>
        <w:instrText xml:space="preserve"> = 4 \* ROMAN </w:instrText>
      </w:r>
      <w:r>
        <w:rPr>
          <w:rFonts w:ascii="Times New Roman" w:hAnsi="Times New Roman" w:cs="Times New Roman"/>
          <w:color w:val="auto"/>
          <w:spacing w:val="-2"/>
          <w:kern w:val="0"/>
          <w:szCs w:val="20"/>
        </w:rPr>
        <w:fldChar w:fldCharType="separate"/>
      </w:r>
      <w:r>
        <w:rPr>
          <w:rFonts w:ascii="Times New Roman" w:hAnsi="Times New Roman" w:cs="Times New Roman"/>
          <w:color w:val="auto"/>
          <w:spacing w:val="-2"/>
          <w:kern w:val="0"/>
          <w:szCs w:val="20"/>
        </w:rPr>
        <w:t>IV</w:t>
      </w:r>
      <w:r>
        <w:rPr>
          <w:rFonts w:ascii="Times New Roman" w:hAnsi="Times New Roman" w:cs="Times New Roman"/>
          <w:color w:val="auto"/>
          <w:spacing w:val="-2"/>
          <w:kern w:val="0"/>
          <w:szCs w:val="20"/>
        </w:rPr>
        <w:fldChar w:fldCharType="end"/>
      </w:r>
      <w:r>
        <w:rPr>
          <w:rFonts w:ascii="Times New Roman" w:hAnsi="Times New Roman" w:cs="Times New Roman"/>
          <w:color w:val="auto"/>
          <w:spacing w:val="-2"/>
          <w:kern w:val="0"/>
          <w:szCs w:val="20"/>
        </w:rPr>
        <w:t>类标准要求，区域地表水现状较好。</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（3）声环境现状评价：由项目区域声环境监测结果可以看出：目前项目所在区域监测点昼、夜间声环境均满足《声环境质量标准》（GB3096-2008）中3类及4a类功能区标准值要求，项目区声环境质量较好。</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（4）地下水环境现状评价：根据评价委托监测及引用的区域地下水数据，监测点位的监测因子在监测时期均满足《地下水质量标准》（GB/T14848-2017）中Ⅲ类标准限值要求。</w:t>
      </w:r>
    </w:p>
    <w:p>
      <w:pPr>
        <w:ind w:firstLine="472"/>
        <w:rPr>
          <w:rFonts w:ascii="Times New Roman" w:hAnsi="Times New Roman" w:cs="Times New Roman"/>
          <w:color w:val="auto"/>
          <w:spacing w:val="-2"/>
          <w:kern w:val="0"/>
          <w:szCs w:val="20"/>
        </w:rPr>
      </w:pPr>
      <w:r>
        <w:rPr>
          <w:rFonts w:ascii="Times New Roman" w:hAnsi="Times New Roman" w:cs="Times New Roman"/>
          <w:color w:val="auto"/>
          <w:spacing w:val="-2"/>
          <w:kern w:val="0"/>
          <w:szCs w:val="20"/>
        </w:rPr>
        <w:t>（5）土壤及河流底泥环境现状评价：对照《土壤环境质量-建设用地土壤污染风险管控标准（试行）》（GB36600-2018）中第二类用地要求，项目区域土壤监测点及店埠河、南淝河底泥各项指标监测值均满足标准中的筛选值要求。</w:t>
      </w:r>
    </w:p>
    <w:p>
      <w:pPr>
        <w:ind w:firstLine="472"/>
        <w:rPr>
          <w:rFonts w:ascii="Times New Roman" w:hAnsi="Times New Roman" w:cs="Times New Roman"/>
          <w:color w:val="auto"/>
        </w:rPr>
      </w:pPr>
      <w:r>
        <w:rPr>
          <w:rFonts w:ascii="Times New Roman" w:hAnsi="Times New Roman" w:cs="Times New Roman"/>
          <w:color w:val="auto"/>
          <w:spacing w:val="-2"/>
          <w:kern w:val="0"/>
          <w:szCs w:val="20"/>
        </w:rPr>
        <w:t>（6）生态环境现状评价：项目所在地区域位于巢湖流域。植被区划属于亚热带常绿阔叶林区域的东部湿润常绿阔叶林亚区，评价区域内的典型植被为常绿阔叶林、常绿、落叶阔叶混交林、针叶林等。评价范围内，木本湿地植被在河流两侧的堤岸及河漫滩均有分布。如旱柳林、池杉林，意杨林广泛分布在堤岸上；水杉林分布在河漫滩本体靠近堤岸处。水生植物主要是挺水植物，挺水植物一般分布在河漫滩本体及自然堤上，其代表群系为芦苇群系，其他如益母草群系，白茅群系，狗牙根群系等；</w:t>
      </w:r>
      <w:r>
        <w:rPr>
          <w:rFonts w:hint="eastAsia" w:ascii="Times New Roman" w:hAnsi="Times New Roman" w:cs="Times New Roman"/>
          <w:color w:val="auto"/>
          <w:spacing w:val="-2"/>
          <w:kern w:val="0"/>
          <w:szCs w:val="20"/>
        </w:rPr>
        <w:t>项目占地区</w:t>
      </w:r>
      <w:r>
        <w:rPr>
          <w:rFonts w:ascii="Times New Roman" w:hAnsi="Times New Roman" w:cs="Times New Roman"/>
          <w:color w:val="auto"/>
          <w:spacing w:val="-2"/>
          <w:kern w:val="0"/>
          <w:szCs w:val="20"/>
        </w:rPr>
        <w:t>未发现国家及地方保护植物。</w:t>
      </w:r>
      <w:r>
        <w:rPr>
          <w:rFonts w:hint="eastAsia" w:ascii="Times New Roman" w:hAnsi="Times New Roman" w:cs="Times New Roman"/>
          <w:color w:val="auto"/>
          <w:spacing w:val="-2"/>
          <w:kern w:val="0"/>
          <w:szCs w:val="20"/>
        </w:rPr>
        <w:t>项目占地区</w:t>
      </w:r>
      <w:r>
        <w:rPr>
          <w:rFonts w:ascii="Times New Roman" w:hAnsi="Times New Roman" w:cs="Times New Roman"/>
          <w:color w:val="auto"/>
          <w:spacing w:val="-2"/>
          <w:kern w:val="0"/>
          <w:szCs w:val="20"/>
        </w:rPr>
        <w:t>水禽类物种较少，根据调查，评价区范围内目前无珍稀野生动物，未发现国家重点保护水禽。根据资料调查，</w:t>
      </w:r>
      <w:r>
        <w:rPr>
          <w:rFonts w:ascii="Times New Roman" w:hAnsi="Times New Roman" w:cs="Times New Roman"/>
          <w:color w:val="auto"/>
        </w:rPr>
        <w:t>店埠河共有鱼类资源7目14科45种，鲤科鱼类为该区域优势资源，未发现国家及地方保护的珍稀鱼类。</w:t>
      </w:r>
    </w:p>
    <w:p>
      <w:pPr>
        <w:ind w:firstLine="480"/>
        <w:rPr>
          <w:rFonts w:ascii="Times New Roman" w:hAnsi="Times New Roman" w:cs="Times New Roman"/>
          <w:color w:val="auto"/>
          <w:spacing w:val="-2"/>
          <w:kern w:val="0"/>
          <w:szCs w:val="20"/>
        </w:rPr>
      </w:pPr>
      <w:r>
        <w:rPr>
          <w:rFonts w:hint="eastAsia" w:ascii="Times New Roman" w:hAnsi="Times New Roman" w:cs="Times New Roman"/>
          <w:color w:val="auto"/>
        </w:rPr>
        <w:t>本次评价根据《环境影响评价技术导则 生态影响》(HJ19-2022)的相关要求，对项目区下游的南淝河肥东临河湿地及巢湖湿地委托开展了陆生生态（植被、鸟类、</w:t>
      </w:r>
      <w:r>
        <w:rPr>
          <w:rFonts w:hint="eastAsia" w:ascii="Times New Roman" w:hAnsi="Times New Roman" w:cs="Times New Roman"/>
          <w:snapToGrid w:val="0"/>
          <w:color w:val="auto"/>
          <w:szCs w:val="20"/>
          <w:lang w:val="zh-CN"/>
        </w:rPr>
        <w:t>两栖爬行动物及兽类</w:t>
      </w:r>
      <w:r>
        <w:rPr>
          <w:rFonts w:hint="eastAsia" w:ascii="Times New Roman" w:hAnsi="Times New Roman" w:cs="Times New Roman"/>
          <w:color w:val="auto"/>
        </w:rPr>
        <w:t>）的开展样线、样方调查；评价委托开展了一期水生生物资源（水生植物、鱼类、底栖生物和浮游生物）的调查。</w:t>
      </w:r>
      <w:r>
        <w:rPr>
          <w:rFonts w:ascii="Times New Roman" w:hAnsi="Times New Roman" w:cs="Times New Roman"/>
          <w:color w:val="auto"/>
        </w:rPr>
        <w:cr/>
      </w:r>
    </w:p>
    <w:bookmarkEnd w:id="147"/>
    <w:bookmarkEnd w:id="148"/>
    <w:bookmarkEnd w:id="149"/>
    <w:bookmarkEnd w:id="150"/>
    <w:p>
      <w:pPr>
        <w:pStyle w:val="467"/>
        <w:spacing w:before="0" w:after="0" w:line="480" w:lineRule="auto"/>
        <w:jc w:val="center"/>
        <w:rPr>
          <w:rFonts w:ascii="Times New Roman" w:hAnsi="Times New Roman" w:eastAsia="宋体" w:cs="Times New Roman"/>
          <w:b/>
          <w:bCs/>
          <w:color w:val="auto"/>
          <w:sz w:val="36"/>
          <w:szCs w:val="36"/>
        </w:rPr>
      </w:pPr>
      <w:bookmarkStart w:id="364" w:name="_Toc26052"/>
      <w:bookmarkStart w:id="365" w:name="_Toc17165"/>
      <w:bookmarkStart w:id="366" w:name="_Toc3302"/>
      <w:r>
        <w:rPr>
          <w:rFonts w:ascii="Times New Roman" w:hAnsi="Times New Roman" w:eastAsia="宋体" w:cs="Times New Roman"/>
          <w:b/>
          <w:bCs/>
          <w:color w:val="auto"/>
          <w:sz w:val="36"/>
          <w:szCs w:val="36"/>
        </w:rPr>
        <w:br w:type="page"/>
      </w:r>
      <w:bookmarkStart w:id="367" w:name="_Toc102979832"/>
      <w:bookmarkStart w:id="368" w:name="_Toc104733388"/>
      <w:r>
        <w:rPr>
          <w:rFonts w:ascii="Times New Roman" w:hAnsi="Times New Roman" w:eastAsia="宋体" w:cs="Times New Roman"/>
          <w:b/>
          <w:bCs/>
          <w:color w:val="auto"/>
          <w:sz w:val="36"/>
          <w:szCs w:val="36"/>
        </w:rPr>
        <w:t>5 环境影响预测与评价</w:t>
      </w:r>
      <w:bookmarkEnd w:id="364"/>
      <w:bookmarkEnd w:id="365"/>
      <w:bookmarkEnd w:id="366"/>
      <w:bookmarkEnd w:id="367"/>
      <w:bookmarkEnd w:id="368"/>
    </w:p>
    <w:p>
      <w:pPr>
        <w:pStyle w:val="3"/>
        <w:numPr>
          <w:ilvl w:val="0"/>
          <w:numId w:val="0"/>
        </w:numPr>
        <w:spacing w:before="0" w:after="0"/>
        <w:rPr>
          <w:rFonts w:ascii="Times New Roman" w:hAnsi="Times New Roman" w:cs="Times New Roman"/>
          <w:color w:val="FF0000"/>
        </w:rPr>
      </w:pPr>
      <w:bookmarkStart w:id="369" w:name="_Toc6753"/>
      <w:bookmarkStart w:id="370" w:name="_Toc32699"/>
      <w:bookmarkStart w:id="371" w:name="_Toc18619"/>
      <w:bookmarkStart w:id="372" w:name="_Toc104733389"/>
      <w:bookmarkStart w:id="373" w:name="_Toc102979833"/>
      <w:r>
        <w:rPr>
          <w:rFonts w:ascii="Times New Roman" w:hAnsi="Times New Roman" w:cs="Times New Roman"/>
          <w:color w:val="auto"/>
        </w:rPr>
        <w:t xml:space="preserve">5.1 </w:t>
      </w:r>
      <w:r>
        <w:rPr>
          <w:rFonts w:ascii="Times New Roman" w:hAnsi="Times New Roman" w:cs="Times New Roman"/>
          <w:color w:val="FF0000"/>
        </w:rPr>
        <w:t>施工期环境影响</w:t>
      </w:r>
      <w:bookmarkEnd w:id="369"/>
      <w:bookmarkEnd w:id="370"/>
      <w:bookmarkEnd w:id="371"/>
      <w:r>
        <w:rPr>
          <w:rFonts w:ascii="Times New Roman" w:hAnsi="Times New Roman" w:cs="Times New Roman"/>
          <w:color w:val="FF0000"/>
        </w:rPr>
        <w:t>分析</w:t>
      </w:r>
      <w:bookmarkEnd w:id="372"/>
      <w:bookmarkEnd w:id="373"/>
    </w:p>
    <w:p>
      <w:pPr>
        <w:pStyle w:val="4"/>
        <w:rPr>
          <w:rFonts w:ascii="Times New Roman" w:hAnsi="Times New Roman" w:cs="Times New Roman"/>
          <w:color w:val="FF0000"/>
          <w:szCs w:val="24"/>
        </w:rPr>
      </w:pPr>
      <w:bookmarkStart w:id="374" w:name="_Toc102984359"/>
      <w:bookmarkStart w:id="375" w:name="_Toc104733390"/>
      <w:r>
        <w:rPr>
          <w:rFonts w:ascii="Times New Roman" w:hAnsi="Times New Roman" w:cs="Times New Roman"/>
          <w:color w:val="FF0000"/>
          <w:szCs w:val="24"/>
        </w:rPr>
        <w:t>5.1.1施工期大气环境影响</w:t>
      </w:r>
      <w:bookmarkEnd w:id="374"/>
      <w:bookmarkEnd w:id="375"/>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工程建设将会增加项目区及运输线路TSP浓度，TSP主要来自施工作业扬尘、车辆运输扬尘、物料堆放风蚀扬尘以及机械废气等。</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1、扬尘的影响分析</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（1）施工作业扬尘</w:t>
      </w:r>
    </w:p>
    <w:p>
      <w:pPr>
        <w:adjustRightInd/>
        <w:ind w:firstLine="480"/>
        <w:rPr>
          <w:rFonts w:ascii="Times New Roman" w:hAnsi="Times New Roman" w:cs="Times New Roman"/>
          <w:color w:val="auto"/>
          <w:szCs w:val="24"/>
          <w:shd w:val="clear" w:color="auto" w:fill="FFFFFF"/>
          <w:lang w:bidi="ar"/>
        </w:rPr>
      </w:pPr>
      <w:r>
        <w:rPr>
          <w:rFonts w:ascii="Times New Roman" w:hAnsi="Times New Roman" w:cs="Times New Roman"/>
          <w:color w:val="auto"/>
          <w:szCs w:val="24"/>
          <w:shd w:val="clear" w:color="auto" w:fill="FFFFFF"/>
        </w:rPr>
        <w:t>土石方开挖阶段等施工过程产生的扬尘强弱与施工现场条件、施工方式、施工设备及施工季节、气象条件以及建设地区土质等诸多因素有关，而采取适当的施工防护措施是控制扬尘污染的重要途径。由于影响因素众多，故扬尘强弱难以确定，本次评价采用类比的方法，根据监测数据类比分析本项目施工过程中的扬尘影响情况。有关研究单位对多个施工工地的扬尘进行现场监测的结果见下表。</w:t>
      </w:r>
    </w:p>
    <w:p>
      <w:pPr>
        <w:spacing w:line="240" w:lineRule="auto"/>
        <w:ind w:firstLine="422"/>
        <w:jc w:val="center"/>
        <w:rPr>
          <w:rFonts w:ascii="Times New Roman" w:hAnsi="Times New Roman" w:cs="Times New Roman"/>
          <w:b/>
          <w:color w:val="auto"/>
          <w:kern w:val="0"/>
          <w:sz w:val="21"/>
          <w:szCs w:val="21"/>
        </w:rPr>
      </w:pPr>
      <w:r>
        <w:rPr>
          <w:rFonts w:ascii="Times New Roman" w:hAnsi="Times New Roman" w:cs="Times New Roman"/>
          <w:b/>
          <w:color w:val="auto"/>
          <w:kern w:val="0"/>
          <w:sz w:val="21"/>
          <w:szCs w:val="21"/>
        </w:rPr>
        <w:t>表5.1-1  建筑施工工地扬尘污染监测结果    单位：μg/m</w:t>
      </w:r>
      <w:r>
        <w:rPr>
          <w:rFonts w:ascii="Times New Roman" w:hAnsi="Times New Roman" w:cs="Times New Roman"/>
          <w:b/>
          <w:color w:val="auto"/>
          <w:kern w:val="0"/>
          <w:sz w:val="21"/>
          <w:szCs w:val="21"/>
          <w:vertAlign w:val="superscript"/>
        </w:rPr>
        <w:t>3</w:t>
      </w:r>
    </w:p>
    <w:tbl>
      <w:tblPr>
        <w:tblStyle w:val="62"/>
        <w:tblW w:w="904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02"/>
        <w:gridCol w:w="1675"/>
        <w:gridCol w:w="1002"/>
        <w:gridCol w:w="1129"/>
        <w:gridCol w:w="1129"/>
        <w:gridCol w:w="1002"/>
        <w:gridCol w:w="1003"/>
        <w:gridCol w:w="10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1" w:hRule="atLeast"/>
          <w:jc w:val="center"/>
        </w:trPr>
        <w:tc>
          <w:tcPr>
            <w:tcW w:w="1102" w:type="dxa"/>
            <w:vMerge w:val="restart"/>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工程名称</w:t>
            </w:r>
          </w:p>
        </w:tc>
        <w:tc>
          <w:tcPr>
            <w:tcW w:w="1675" w:type="dxa"/>
            <w:vMerge w:val="restart"/>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防治措施</w:t>
            </w:r>
          </w:p>
        </w:tc>
        <w:tc>
          <w:tcPr>
            <w:tcW w:w="5265" w:type="dxa"/>
            <w:gridSpan w:val="5"/>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bCs/>
                <w:color w:val="auto"/>
                <w:kern w:val="0"/>
                <w:sz w:val="18"/>
                <w:szCs w:val="18"/>
                <w:shd w:val="clear" w:color="auto" w:fill="FFFFFF"/>
              </w:rPr>
              <w:t>TSP</w:t>
            </w:r>
            <w:r>
              <w:rPr>
                <w:rFonts w:ascii="Times New Roman" w:hAnsi="Times New Roman" w:cs="Times New Roman"/>
                <w:color w:val="auto"/>
                <w:kern w:val="0"/>
                <w:sz w:val="18"/>
                <w:szCs w:val="18"/>
                <w:shd w:val="clear" w:color="auto" w:fill="FFFFFF"/>
              </w:rPr>
              <w:t>浓度（</w:t>
            </w:r>
            <w:r>
              <w:rPr>
                <w:rFonts w:ascii="Times New Roman" w:hAnsi="Times New Roman" w:cs="Times New Roman"/>
                <w:bCs/>
                <w:color w:val="auto"/>
                <w:kern w:val="0"/>
                <w:sz w:val="18"/>
                <w:szCs w:val="18"/>
                <w:shd w:val="clear" w:color="auto" w:fill="FFFFFF"/>
              </w:rPr>
              <w:t>μg/m</w:t>
            </w:r>
            <w:r>
              <w:rPr>
                <w:rFonts w:ascii="Times New Roman" w:hAnsi="Times New Roman" w:cs="Times New Roman"/>
                <w:bCs/>
                <w:color w:val="auto"/>
                <w:kern w:val="0"/>
                <w:sz w:val="18"/>
                <w:szCs w:val="18"/>
                <w:shd w:val="clear" w:color="auto" w:fill="FFFFFF"/>
                <w:vertAlign w:val="superscript"/>
              </w:rPr>
              <w:t>3</w:t>
            </w:r>
            <w:r>
              <w:rPr>
                <w:rFonts w:ascii="Times New Roman" w:hAnsi="Times New Roman" w:cs="Times New Roman"/>
                <w:color w:val="auto"/>
                <w:kern w:val="0"/>
                <w:sz w:val="18"/>
                <w:szCs w:val="18"/>
                <w:shd w:val="clear" w:color="auto" w:fill="FFFFFF"/>
              </w:rPr>
              <w:t>）</w:t>
            </w:r>
          </w:p>
        </w:tc>
        <w:tc>
          <w:tcPr>
            <w:tcW w:w="1002" w:type="dxa"/>
            <w:vMerge w:val="restart"/>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上风向对照点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9" w:hRule="atLeast"/>
          <w:jc w:val="center"/>
        </w:trPr>
        <w:tc>
          <w:tcPr>
            <w:tcW w:w="1102"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1675"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5265" w:type="dxa"/>
            <w:gridSpan w:val="5"/>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工地下风向距离</w:t>
            </w:r>
          </w:p>
        </w:tc>
        <w:tc>
          <w:tcPr>
            <w:tcW w:w="1002"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8" w:hRule="atLeast"/>
          <w:jc w:val="center"/>
        </w:trPr>
        <w:tc>
          <w:tcPr>
            <w:tcW w:w="1102"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1675"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1002"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bCs/>
                <w:color w:val="auto"/>
                <w:kern w:val="0"/>
                <w:sz w:val="18"/>
                <w:szCs w:val="18"/>
                <w:shd w:val="clear" w:color="auto" w:fill="FFFFFF"/>
              </w:rPr>
              <w:t>20m</w:t>
            </w:r>
          </w:p>
        </w:tc>
        <w:tc>
          <w:tcPr>
            <w:tcW w:w="1129"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bCs/>
                <w:color w:val="auto"/>
                <w:kern w:val="0"/>
                <w:sz w:val="18"/>
                <w:szCs w:val="18"/>
                <w:shd w:val="clear" w:color="auto" w:fill="FFFFFF"/>
              </w:rPr>
              <w:t>50m</w:t>
            </w:r>
          </w:p>
        </w:tc>
        <w:tc>
          <w:tcPr>
            <w:tcW w:w="1129"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bCs/>
                <w:color w:val="auto"/>
                <w:kern w:val="0"/>
                <w:sz w:val="18"/>
                <w:szCs w:val="18"/>
                <w:shd w:val="clear" w:color="auto" w:fill="FFFFFF"/>
              </w:rPr>
              <w:t>100m</w:t>
            </w:r>
          </w:p>
        </w:tc>
        <w:tc>
          <w:tcPr>
            <w:tcW w:w="1002"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bCs/>
                <w:color w:val="auto"/>
                <w:kern w:val="0"/>
                <w:sz w:val="18"/>
                <w:szCs w:val="18"/>
                <w:shd w:val="clear" w:color="auto" w:fill="FFFFFF"/>
              </w:rPr>
              <w:t>150m</w:t>
            </w:r>
          </w:p>
        </w:tc>
        <w:tc>
          <w:tcPr>
            <w:tcW w:w="1003"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bCs/>
                <w:color w:val="auto"/>
                <w:kern w:val="0"/>
                <w:sz w:val="18"/>
                <w:szCs w:val="18"/>
                <w:shd w:val="clear" w:color="auto" w:fill="FFFFFF"/>
              </w:rPr>
              <w:t>200m</w:t>
            </w:r>
          </w:p>
        </w:tc>
        <w:tc>
          <w:tcPr>
            <w:tcW w:w="1002"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91" w:hRule="atLeast"/>
          <w:jc w:val="center"/>
        </w:trPr>
        <w:tc>
          <w:tcPr>
            <w:tcW w:w="1102" w:type="dxa"/>
            <w:vMerge w:val="restart"/>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现场</w:t>
            </w:r>
          </w:p>
        </w:tc>
        <w:tc>
          <w:tcPr>
            <w:tcW w:w="1675"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无</w:t>
            </w:r>
          </w:p>
        </w:tc>
        <w:tc>
          <w:tcPr>
            <w:tcW w:w="1002"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1540</w:t>
            </w:r>
          </w:p>
        </w:tc>
        <w:tc>
          <w:tcPr>
            <w:tcW w:w="1129"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891</w:t>
            </w:r>
          </w:p>
        </w:tc>
        <w:tc>
          <w:tcPr>
            <w:tcW w:w="1129"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535</w:t>
            </w:r>
          </w:p>
        </w:tc>
        <w:tc>
          <w:tcPr>
            <w:tcW w:w="1002"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354</w:t>
            </w:r>
          </w:p>
        </w:tc>
        <w:tc>
          <w:tcPr>
            <w:tcW w:w="1003"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265</w:t>
            </w:r>
          </w:p>
        </w:tc>
        <w:tc>
          <w:tcPr>
            <w:tcW w:w="1002"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259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9" w:hRule="atLeast"/>
          <w:jc w:val="center"/>
        </w:trPr>
        <w:tc>
          <w:tcPr>
            <w:tcW w:w="1102" w:type="dxa"/>
            <w:vMerge w:val="continue"/>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p>
        </w:tc>
        <w:tc>
          <w:tcPr>
            <w:tcW w:w="1675"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作业面洒水</w:t>
            </w:r>
          </w:p>
        </w:tc>
        <w:tc>
          <w:tcPr>
            <w:tcW w:w="1002"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554</w:t>
            </w:r>
          </w:p>
        </w:tc>
        <w:tc>
          <w:tcPr>
            <w:tcW w:w="1129"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410</w:t>
            </w:r>
          </w:p>
        </w:tc>
        <w:tc>
          <w:tcPr>
            <w:tcW w:w="1129"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275</w:t>
            </w:r>
          </w:p>
        </w:tc>
        <w:tc>
          <w:tcPr>
            <w:tcW w:w="1002"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270</w:t>
            </w:r>
          </w:p>
        </w:tc>
        <w:tc>
          <w:tcPr>
            <w:tcW w:w="1003"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258</w:t>
            </w:r>
          </w:p>
        </w:tc>
        <w:tc>
          <w:tcPr>
            <w:tcW w:w="1002" w:type="dxa"/>
            <w:vAlign w:val="center"/>
          </w:tcPr>
          <w:p>
            <w:pPr>
              <w:widowControl/>
              <w:adjustRightInd/>
              <w:spacing w:line="240" w:lineRule="auto"/>
              <w:ind w:firstLine="0" w:firstLineChars="0"/>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270</w:t>
            </w:r>
          </w:p>
        </w:tc>
      </w:tr>
    </w:tbl>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由上表可以看出：在洒水作业时，工地下风向距离20～150m范围内，大气中TSP为265～1540μg/Nm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，是对照点1.37～5.95倍；工地下风向距离大于200m距离后，大气中TSP为265μg/Nm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接近对照点；在作业面洒水时，工地下风向距离20～50m时，大气中TSP为554～410μg/Nm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，是对照点的1.52～2.05倍；工地下风向距离100～150m时，大气中TSP为270～275μg/Nm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，接近对照点。</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从总体上看，无洒水作业时扬尘影响距离约为下风向200m，施工作业面洒水时，其扬尘影响范围可缩短至下风向100m左右。本项目要求在土石方开挖时作业面洒水抑尘，可大大减少施工扬尘对其影响。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（2）车辆行驶扬尘</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在施工过程中，车辆行驶产生的扬尘量占扬尘总量的60%以上。车辆在行驶过程中产生的扬尘，在完全干燥的情况下，车速越快，扬尘量越大；在同样的车速情况下，硬化程度越差、越干燥，扬尘量越大。因此，限制车辆行驶速度以及保持路面的硬化和湿度是减少汽车扬尘的有效手段。</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如果施工阶段对汽车行驶路面勤洒水（每天4～5次），可以使空气中粉尘量减少70%左右，可以收到很好的降尘效果。扬尘造成的粉尘污染距离可缩小到20～50m范围内，扬尘量可降低30%～80%。因此，限制车辆行驶速度及保持路面清洁是减少汽车行驶道路扬尘的有效手段。</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（3）施工场地物料堆放扬尘</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本项目施工所需物料直接堆放于施工布置区内，在风力作用下，会产生风力扬尘。一些建筑材料需要露天堆放，一些施工作业点的表层土壤在经过人工开挖后，临时堆放于临时堆土区内，在气候干燥且有风的情况下，会产生大量的扬尘。</w:t>
      </w:r>
    </w:p>
    <w:p>
      <w:pPr>
        <w:adjustRightInd/>
        <w:ind w:firstLine="480"/>
        <w:rPr>
          <w:rFonts w:ascii="Times New Roman" w:hAnsi="Times New Roman" w:cs="Times New Roman"/>
          <w:color w:val="auto"/>
          <w:kern w:val="0"/>
          <w:szCs w:val="24"/>
          <w:shd w:val="clear" w:color="auto" w:fill="FFFFFF"/>
        </w:rPr>
      </w:pPr>
      <w:r>
        <w:rPr>
          <w:rFonts w:ascii="Times New Roman" w:hAnsi="Times New Roman" w:cs="Times New Roman"/>
          <w:color w:val="auto"/>
          <w:szCs w:val="24"/>
          <w:shd w:val="clear" w:color="auto" w:fill="FFFFFF"/>
        </w:rPr>
        <w:t>起尘量与物料湿度、风速、堆土面积和空气相对湿度等参数均有关，因此，在无法改变空气湿度的情况下应</w:t>
      </w:r>
      <w:r>
        <w:rPr>
          <w:rFonts w:ascii="Times New Roman" w:hAnsi="Times New Roman" w:cs="Times New Roman"/>
          <w:color w:val="auto"/>
          <w:kern w:val="0"/>
          <w:szCs w:val="24"/>
          <w:shd w:val="clear" w:color="auto" w:fill="FFFFFF"/>
        </w:rPr>
        <w:t>通过设置围挡和遮盖措施降低扬尘，尽量减少施工场地物料大面积散开堆放和缩短堆放时间，对堆放物料或土方表层洒水，通过以上措施可有效降低扬尘的产生。</w:t>
      </w:r>
    </w:p>
    <w:p>
      <w:pPr>
        <w:pStyle w:val="22"/>
        <w:ind w:firstLine="480"/>
        <w:rPr>
          <w:rFonts w:ascii="Times New Roman" w:hAnsi="Times New Roman" w:cs="Times New Roman"/>
          <w:color w:val="auto"/>
          <w:sz w:val="24"/>
          <w:szCs w:val="24"/>
          <w:shd w:val="clear" w:color="auto" w:fill="FFFFFF"/>
        </w:rPr>
      </w:pPr>
      <w:r>
        <w:rPr>
          <w:rFonts w:ascii="Times New Roman" w:hAnsi="Times New Roman" w:cs="Times New Roman"/>
          <w:color w:val="auto"/>
          <w:sz w:val="24"/>
          <w:szCs w:val="24"/>
          <w:shd w:val="clear" w:color="auto" w:fill="FFFFFF"/>
        </w:rPr>
        <w:t>根据《安徽省大气污染防治条例》</w:t>
      </w:r>
      <w:r>
        <w:rPr>
          <w:rFonts w:hint="eastAsia" w:ascii="Times New Roman" w:hAnsi="Times New Roman" w:cs="Times New Roman"/>
          <w:color w:val="auto"/>
          <w:sz w:val="24"/>
          <w:szCs w:val="24"/>
          <w:shd w:val="clear" w:color="auto" w:fill="FFFFFF"/>
        </w:rPr>
        <w:t>、</w:t>
      </w:r>
      <w:r>
        <w:rPr>
          <w:rFonts w:ascii="Times New Roman" w:hAnsi="Times New Roman" w:cs="Times New Roman"/>
          <w:color w:val="auto"/>
          <w:sz w:val="24"/>
          <w:szCs w:val="24"/>
          <w:shd w:val="clear" w:color="auto" w:fill="FFFFFF"/>
        </w:rPr>
        <w:t>《关于印发&lt;安徽省建筑工程施工和预拌混凝土生产扬尘污染防治标准（试行）&gt;的通知》</w:t>
      </w:r>
      <w:r>
        <w:rPr>
          <w:rFonts w:hint="eastAsia" w:ascii="Times New Roman" w:hAnsi="Times New Roman" w:cs="Times New Roman"/>
          <w:color w:val="auto"/>
          <w:sz w:val="24"/>
          <w:szCs w:val="24"/>
          <w:shd w:val="clear" w:color="auto" w:fill="FFFFFF"/>
        </w:rPr>
        <w:t>、《安徽发布</w:t>
      </w:r>
      <w:r>
        <w:rPr>
          <w:rFonts w:ascii="Times New Roman" w:hAnsi="Times New Roman" w:cs="Times New Roman"/>
          <w:color w:val="auto"/>
          <w:sz w:val="24"/>
          <w:szCs w:val="24"/>
          <w:shd w:val="clear" w:color="auto" w:fill="FFFFFF"/>
        </w:rPr>
        <w:t>2021-2022</w:t>
      </w:r>
      <w:r>
        <w:rPr>
          <w:rFonts w:hint="eastAsia" w:ascii="Times New Roman" w:hAnsi="Times New Roman" w:cs="Times New Roman"/>
          <w:color w:val="auto"/>
          <w:sz w:val="24"/>
          <w:szCs w:val="24"/>
          <w:shd w:val="clear" w:color="auto" w:fill="FFFFFF"/>
        </w:rPr>
        <w:t>年秋冬季大气污染综合治理攻坚行动方案》、《安徽省大气污染防治条例》（</w:t>
      </w:r>
      <w:r>
        <w:rPr>
          <w:rFonts w:ascii="Times New Roman" w:hAnsi="Times New Roman" w:cs="Times New Roman"/>
          <w:color w:val="auto"/>
          <w:sz w:val="24"/>
          <w:szCs w:val="24"/>
          <w:shd w:val="clear" w:color="auto" w:fill="FFFFFF"/>
        </w:rPr>
        <w:t>2018</w:t>
      </w:r>
      <w:r>
        <w:rPr>
          <w:rFonts w:hint="eastAsia" w:ascii="Times New Roman" w:hAnsi="Times New Roman" w:cs="Times New Roman"/>
          <w:color w:val="auto"/>
          <w:sz w:val="24"/>
          <w:szCs w:val="24"/>
          <w:shd w:val="clear" w:color="auto" w:fill="FFFFFF"/>
        </w:rPr>
        <w:t>修订）、《合肥市大气污染防治条例》（</w:t>
      </w:r>
      <w:r>
        <w:rPr>
          <w:rFonts w:ascii="Times New Roman" w:hAnsi="Times New Roman" w:cs="Times New Roman"/>
          <w:color w:val="auto"/>
          <w:sz w:val="24"/>
          <w:szCs w:val="24"/>
          <w:shd w:val="clear" w:color="auto" w:fill="FFFFFF"/>
        </w:rPr>
        <w:t>2018</w:t>
      </w:r>
      <w:r>
        <w:rPr>
          <w:rFonts w:hint="eastAsia" w:ascii="Times New Roman" w:hAnsi="Times New Roman" w:cs="Times New Roman"/>
          <w:color w:val="auto"/>
          <w:sz w:val="24"/>
          <w:szCs w:val="24"/>
          <w:shd w:val="clear" w:color="auto" w:fill="FFFFFF"/>
        </w:rPr>
        <w:t>年修订）、《合肥市扬尘污染防治管理办法》（</w:t>
      </w:r>
      <w:r>
        <w:rPr>
          <w:rFonts w:ascii="Times New Roman" w:hAnsi="Times New Roman" w:cs="Times New Roman"/>
          <w:color w:val="auto"/>
          <w:sz w:val="24"/>
          <w:szCs w:val="24"/>
          <w:shd w:val="clear" w:color="auto" w:fill="FFFFFF"/>
        </w:rPr>
        <w:t>2014</w:t>
      </w:r>
      <w:r>
        <w:rPr>
          <w:rFonts w:hint="eastAsia" w:ascii="Times New Roman" w:hAnsi="Times New Roman" w:cs="Times New Roman"/>
          <w:color w:val="auto"/>
          <w:sz w:val="24"/>
          <w:szCs w:val="24"/>
          <w:shd w:val="clear" w:color="auto" w:fill="FFFFFF"/>
        </w:rPr>
        <w:t>年修订）、《合肥市建设工程扬尘污染防治暂行规定》（合建</w:t>
      </w:r>
      <w:r>
        <w:rPr>
          <w:rFonts w:ascii="Times New Roman" w:hAnsi="Times New Roman" w:cs="Times New Roman"/>
          <w:color w:val="auto"/>
          <w:sz w:val="24"/>
          <w:szCs w:val="24"/>
          <w:shd w:val="clear" w:color="auto" w:fill="FFFFFF"/>
        </w:rPr>
        <w:t>[2015]33</w:t>
      </w:r>
      <w:r>
        <w:rPr>
          <w:rFonts w:hint="eastAsia" w:ascii="Times New Roman" w:hAnsi="Times New Roman" w:cs="Times New Roman"/>
          <w:color w:val="auto"/>
          <w:sz w:val="24"/>
          <w:szCs w:val="24"/>
          <w:shd w:val="clear" w:color="auto" w:fill="FFFFFF"/>
        </w:rPr>
        <w:t>号）</w:t>
      </w:r>
      <w:r>
        <w:rPr>
          <w:rFonts w:ascii="Times New Roman" w:hAnsi="Times New Roman" w:cs="Times New Roman"/>
          <w:color w:val="auto"/>
          <w:sz w:val="24"/>
          <w:szCs w:val="24"/>
          <w:shd w:val="clear" w:color="auto" w:fill="FFFFFF"/>
        </w:rPr>
        <w:t>等要求，拟建项目建设单位应采取以下污染防治措施降低施工扬尘污染：</w:t>
      </w:r>
    </w:p>
    <w:p>
      <w:pPr>
        <w:adjustRightInd/>
        <w:ind w:firstLine="480"/>
        <w:rPr>
          <w:rFonts w:ascii="Times New Roman" w:hAnsi="Times New Roman" w:cs="Times New Roman"/>
          <w:color w:val="auto"/>
          <w:kern w:val="0"/>
          <w:szCs w:val="24"/>
          <w:shd w:val="clear" w:color="auto" w:fill="FFFFFF"/>
        </w:rPr>
      </w:pPr>
      <w:r>
        <w:rPr>
          <w:rFonts w:hint="eastAsia" w:ascii="宋体" w:hAnsi="宋体" w:cs="宋体"/>
          <w:color w:val="auto"/>
          <w:kern w:val="0"/>
          <w:szCs w:val="24"/>
          <w:shd w:val="clear" w:color="auto" w:fill="FFFFFF"/>
        </w:rPr>
        <w:t>①</w:t>
      </w:r>
      <w:r>
        <w:rPr>
          <w:rFonts w:ascii="Times New Roman" w:hAnsi="Times New Roman" w:cs="Times New Roman"/>
          <w:color w:val="auto"/>
          <w:kern w:val="0"/>
          <w:szCs w:val="24"/>
          <w:shd w:val="clear" w:color="auto" w:fill="FFFFFF"/>
        </w:rPr>
        <w:t>施工现场扬尘污染防治应做到“六个百分之百”：施工工地周边100%围挡、物料堆放100%覆盖、施工现场地面100%硬化、土方开挖100%湿法作业、出入车辆100%清洗、渣土车辆100%密闭运输。</w:t>
      </w:r>
    </w:p>
    <w:p>
      <w:pPr>
        <w:adjustRightInd/>
        <w:ind w:firstLine="480"/>
        <w:rPr>
          <w:rFonts w:ascii="Times New Roman" w:hAnsi="Times New Roman" w:cs="Times New Roman"/>
          <w:color w:val="auto"/>
          <w:kern w:val="0"/>
          <w:szCs w:val="24"/>
          <w:shd w:val="clear" w:color="auto" w:fill="FFFFFF"/>
        </w:rPr>
      </w:pPr>
      <w:r>
        <w:rPr>
          <w:rFonts w:hint="eastAsia" w:ascii="宋体" w:hAnsi="宋体" w:cs="宋体"/>
          <w:color w:val="auto"/>
          <w:kern w:val="0"/>
          <w:szCs w:val="24"/>
          <w:shd w:val="clear" w:color="auto" w:fill="FFFFFF"/>
        </w:rPr>
        <w:t>②</w:t>
      </w:r>
      <w:r>
        <w:rPr>
          <w:rFonts w:ascii="Times New Roman" w:hAnsi="Times New Roman" w:cs="Times New Roman"/>
          <w:color w:val="auto"/>
          <w:kern w:val="0"/>
          <w:szCs w:val="24"/>
          <w:shd w:val="clear" w:color="auto" w:fill="FFFFFF"/>
        </w:rPr>
        <w:t>施工场地施工时设置高度不得低于2.5m的围挡，在施工时，路面应随时洒水，减少扬尘污染，水域应设置渣土收集围栏，并保证渣土在施工完成后三日内清运完毕。</w:t>
      </w:r>
    </w:p>
    <w:p>
      <w:pPr>
        <w:adjustRightInd/>
        <w:ind w:firstLine="480"/>
        <w:rPr>
          <w:rFonts w:ascii="Times New Roman" w:hAnsi="Times New Roman" w:cs="Times New Roman"/>
          <w:color w:val="auto"/>
          <w:kern w:val="0"/>
          <w:szCs w:val="24"/>
          <w:shd w:val="clear" w:color="auto" w:fill="FFFFFF"/>
        </w:rPr>
      </w:pPr>
      <w:r>
        <w:rPr>
          <w:rFonts w:hint="eastAsia" w:ascii="宋体" w:hAnsi="宋体" w:cs="宋体"/>
          <w:color w:val="auto"/>
          <w:kern w:val="0"/>
          <w:szCs w:val="24"/>
          <w:shd w:val="clear" w:color="auto" w:fill="FFFFFF"/>
        </w:rPr>
        <w:t>③</w:t>
      </w:r>
      <w:r>
        <w:rPr>
          <w:rFonts w:ascii="Times New Roman" w:hAnsi="Times New Roman" w:cs="Times New Roman"/>
          <w:color w:val="auto"/>
          <w:kern w:val="0"/>
          <w:szCs w:val="24"/>
          <w:shd w:val="clear" w:color="auto" w:fill="FFFFFF"/>
        </w:rPr>
        <w:t>安装渣土运输车辆GPS定位系统，土方运输必须使用密闭式车辆，施工现场出入口处需混凝土硬化，并设置冲洗车辆的设施，出场时必须将车辆清洗干净，不得将泥、沙带出现场，同时建立值班保洁制度，落实专人24h值班，负责车辆出门前的清除冲洗工作。</w:t>
      </w:r>
    </w:p>
    <w:p>
      <w:pPr>
        <w:adjustRightInd/>
        <w:ind w:firstLine="480"/>
        <w:rPr>
          <w:rFonts w:ascii="Times New Roman" w:hAnsi="Times New Roman" w:cs="Times New Roman"/>
          <w:color w:val="auto"/>
          <w:kern w:val="0"/>
          <w:szCs w:val="24"/>
          <w:shd w:val="clear" w:color="auto" w:fill="FFFFFF"/>
        </w:rPr>
      </w:pPr>
      <w:r>
        <w:rPr>
          <w:rFonts w:hint="eastAsia" w:ascii="宋体" w:hAnsi="宋体" w:cs="宋体"/>
          <w:color w:val="auto"/>
          <w:kern w:val="0"/>
          <w:szCs w:val="24"/>
          <w:shd w:val="clear" w:color="auto" w:fill="FFFFFF"/>
        </w:rPr>
        <w:t>④</w:t>
      </w:r>
      <w:r>
        <w:rPr>
          <w:rFonts w:ascii="Times New Roman" w:hAnsi="Times New Roman" w:cs="Times New Roman"/>
          <w:color w:val="auto"/>
          <w:kern w:val="0"/>
          <w:szCs w:val="24"/>
          <w:shd w:val="clear" w:color="auto" w:fill="FFFFFF"/>
        </w:rPr>
        <w:t>安排专门洒水车在运输路线定时来回洒水抑尘。</w:t>
      </w:r>
    </w:p>
    <w:p>
      <w:pPr>
        <w:adjustRightInd/>
        <w:ind w:firstLine="480"/>
        <w:rPr>
          <w:rFonts w:ascii="Times New Roman" w:hAnsi="Times New Roman" w:cs="Times New Roman"/>
          <w:color w:val="auto"/>
          <w:kern w:val="0"/>
          <w:szCs w:val="24"/>
          <w:shd w:val="clear" w:color="auto" w:fill="FFFFFF"/>
        </w:rPr>
      </w:pPr>
      <w:r>
        <w:rPr>
          <w:rFonts w:hint="eastAsia" w:ascii="宋体" w:hAnsi="宋体" w:cs="宋体"/>
          <w:color w:val="auto"/>
          <w:kern w:val="0"/>
          <w:szCs w:val="24"/>
          <w:shd w:val="clear" w:color="auto" w:fill="FFFFFF"/>
        </w:rPr>
        <w:t>⑤</w:t>
      </w:r>
      <w:r>
        <w:rPr>
          <w:rFonts w:ascii="Times New Roman" w:hAnsi="Times New Roman" w:cs="Times New Roman"/>
          <w:color w:val="auto"/>
          <w:kern w:val="0"/>
          <w:szCs w:val="24"/>
          <w:shd w:val="clear" w:color="auto" w:fill="FFFFFF"/>
        </w:rPr>
        <w:t>钢筋预制及物料临时堆场、施工场地出入口路线需硬化，不得有浮土、积土，暴露场地应当采取覆盖或绿化措施，砂石料堆场四周设置挡风墙。</w:t>
      </w:r>
    </w:p>
    <w:p>
      <w:pPr>
        <w:adjustRightInd/>
        <w:ind w:firstLine="480"/>
        <w:rPr>
          <w:rFonts w:ascii="Times New Roman" w:hAnsi="Times New Roman" w:cs="Times New Roman"/>
          <w:color w:val="auto"/>
          <w:kern w:val="0"/>
          <w:szCs w:val="24"/>
          <w:shd w:val="clear" w:color="auto" w:fill="FFFFFF"/>
        </w:rPr>
      </w:pPr>
      <w:r>
        <w:rPr>
          <w:rFonts w:hint="eastAsia" w:ascii="宋体" w:hAnsi="宋体" w:cs="宋体"/>
          <w:color w:val="auto"/>
          <w:kern w:val="0"/>
          <w:szCs w:val="24"/>
          <w:shd w:val="clear" w:color="auto" w:fill="FFFFFF"/>
        </w:rPr>
        <w:t>⑥</w:t>
      </w:r>
      <w:r>
        <w:rPr>
          <w:rFonts w:ascii="Times New Roman" w:hAnsi="Times New Roman" w:cs="Times New Roman"/>
          <w:color w:val="auto"/>
          <w:kern w:val="0"/>
          <w:szCs w:val="24"/>
          <w:shd w:val="clear" w:color="auto" w:fill="FFFFFF"/>
        </w:rPr>
        <w:t>施工现场土方开挖后尽快完成回填，不能及时回填的场地，采取覆盖等防尘措施，物料临时堆场物料（砂、石灰、水泥等）要集中堆放场，采取覆盖等措施。</w:t>
      </w:r>
    </w:p>
    <w:p>
      <w:pPr>
        <w:adjustRightInd/>
        <w:ind w:firstLine="480"/>
        <w:rPr>
          <w:rFonts w:ascii="Times New Roman" w:hAnsi="Times New Roman" w:cs="Times New Roman"/>
          <w:color w:val="auto"/>
          <w:kern w:val="0"/>
          <w:szCs w:val="24"/>
          <w:shd w:val="clear" w:color="auto" w:fill="FFFFFF"/>
        </w:rPr>
      </w:pPr>
      <w:r>
        <w:rPr>
          <w:rFonts w:hint="eastAsia" w:ascii="宋体" w:hAnsi="宋体" w:cs="宋体"/>
          <w:color w:val="auto"/>
          <w:kern w:val="0"/>
          <w:szCs w:val="24"/>
          <w:shd w:val="clear" w:color="auto" w:fill="FFFFFF"/>
        </w:rPr>
        <w:t>⑦</w:t>
      </w:r>
      <w:r>
        <w:rPr>
          <w:rFonts w:ascii="Times New Roman" w:hAnsi="Times New Roman" w:cs="Times New Roman"/>
          <w:color w:val="auto"/>
          <w:kern w:val="0"/>
          <w:szCs w:val="24"/>
          <w:shd w:val="clear" w:color="auto" w:fill="FFFFFF"/>
        </w:rPr>
        <w:t>施工过程产生的建筑垃圾与开挖土方及时运往弃渣区和弃土场及临时堆土场，其中弃渣区建筑垃圾需有覆盖措施；弃土场和临时堆土场区进行定期洒水，防止风吹扬尘，或者使用薄膜覆盖防风和降雨。</w:t>
      </w:r>
    </w:p>
    <w:p>
      <w:pPr>
        <w:adjustRightInd/>
        <w:ind w:firstLine="480"/>
        <w:rPr>
          <w:rFonts w:ascii="Times New Roman" w:hAnsi="Times New Roman" w:cs="Times New Roman"/>
          <w:color w:val="auto"/>
          <w:kern w:val="0"/>
          <w:szCs w:val="24"/>
          <w:shd w:val="clear" w:color="auto" w:fill="FFFFFF"/>
        </w:rPr>
      </w:pPr>
      <w:r>
        <w:rPr>
          <w:rFonts w:hint="eastAsia" w:ascii="宋体" w:hAnsi="宋体" w:cs="宋体"/>
          <w:color w:val="auto"/>
          <w:kern w:val="0"/>
          <w:szCs w:val="24"/>
          <w:shd w:val="clear" w:color="auto" w:fill="FFFFFF"/>
        </w:rPr>
        <w:t>⑧</w:t>
      </w:r>
      <w:r>
        <w:rPr>
          <w:rFonts w:ascii="Times New Roman" w:hAnsi="Times New Roman" w:cs="Times New Roman"/>
          <w:color w:val="auto"/>
          <w:kern w:val="0"/>
          <w:szCs w:val="24"/>
          <w:shd w:val="clear" w:color="auto" w:fill="FFFFFF"/>
        </w:rPr>
        <w:t>土方和砂石等材料在运输过程中要用挡板和蓬布封闭，车辆不应装载过满，以免在运输途中震动洒落。</w:t>
      </w:r>
    </w:p>
    <w:p>
      <w:pPr>
        <w:adjustRightInd/>
        <w:ind w:firstLine="480"/>
        <w:rPr>
          <w:rFonts w:ascii="Times New Roman" w:hAnsi="Times New Roman" w:cs="Times New Roman"/>
          <w:color w:val="auto"/>
          <w:kern w:val="0"/>
          <w:szCs w:val="24"/>
          <w:shd w:val="clear" w:color="auto" w:fill="FFFFFF"/>
        </w:rPr>
      </w:pPr>
      <w:r>
        <w:rPr>
          <w:rFonts w:hint="eastAsia" w:ascii="宋体" w:hAnsi="宋体" w:cs="宋体"/>
          <w:color w:val="auto"/>
          <w:kern w:val="0"/>
          <w:szCs w:val="24"/>
          <w:shd w:val="clear" w:color="auto" w:fill="FFFFFF"/>
        </w:rPr>
        <w:t>⑨</w:t>
      </w:r>
      <w:r>
        <w:rPr>
          <w:rFonts w:ascii="Times New Roman" w:hAnsi="Times New Roman" w:cs="Times New Roman"/>
          <w:color w:val="auto"/>
          <w:kern w:val="0"/>
          <w:szCs w:val="24"/>
          <w:shd w:val="clear" w:color="auto" w:fill="FFFFFF"/>
        </w:rPr>
        <w:t>遇有四级风以上天气不得进行土方开挖、回填、转运等其他可能产生扬尘污染的施工。</w:t>
      </w:r>
    </w:p>
    <w:p>
      <w:pPr>
        <w:adjustRightInd/>
        <w:ind w:firstLine="480"/>
        <w:rPr>
          <w:rFonts w:ascii="Times New Roman" w:hAnsi="Times New Roman" w:cs="Times New Roman"/>
          <w:color w:val="auto"/>
          <w:kern w:val="0"/>
          <w:szCs w:val="24"/>
          <w:shd w:val="clear" w:color="auto" w:fill="FFFFFF"/>
        </w:rPr>
      </w:pPr>
      <w:r>
        <w:rPr>
          <w:rFonts w:hint="eastAsia" w:ascii="宋体" w:hAnsi="宋体" w:cs="宋体"/>
          <w:color w:val="auto"/>
          <w:kern w:val="0"/>
          <w:szCs w:val="24"/>
          <w:shd w:val="clear" w:color="auto" w:fill="FFFFFF"/>
        </w:rPr>
        <w:t>⑩</w:t>
      </w:r>
      <w:r>
        <w:rPr>
          <w:rFonts w:ascii="Times New Roman" w:hAnsi="Times New Roman" w:cs="Times New Roman"/>
          <w:color w:val="auto"/>
          <w:kern w:val="0"/>
          <w:szCs w:val="24"/>
          <w:shd w:val="clear" w:color="auto" w:fill="FFFFFF"/>
        </w:rPr>
        <w:t>弃土场和临时堆土场等临时性用地使用完毕后应尽快恢复植被。</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2、施工机械燃油废气对环境空气的影响</w:t>
      </w:r>
    </w:p>
    <w:p>
      <w:pPr>
        <w:ind w:firstLine="480"/>
        <w:rPr>
          <w:rFonts w:ascii="Times New Roman" w:hAnsi="Times New Roman" w:cs="Times New Roman"/>
          <w:color w:val="FF0000"/>
          <w:kern w:val="0"/>
          <w:shd w:val="clear" w:color="auto" w:fill="FFFFFF"/>
        </w:rPr>
      </w:pPr>
      <w:r>
        <w:rPr>
          <w:rFonts w:ascii="Times New Roman" w:hAnsi="Times New Roman" w:cs="Times New Roman"/>
          <w:color w:val="auto"/>
          <w:szCs w:val="24"/>
          <w:shd w:val="clear" w:color="auto" w:fill="FFFFFF"/>
        </w:rPr>
        <w:t>由于运输及一些施工设备运行燃油排放的污染物量较小，这些污染物排放具有流动、扩散的特点，且施工区大气污染物扩散稀释条件较好，不会对环境大气质量及功能造成严重的影响。根据同类项目施工现场监测数据，在距离现场50m处CO、NO</w:t>
      </w:r>
      <w:r>
        <w:rPr>
          <w:rFonts w:ascii="Times New Roman" w:hAnsi="Times New Roman" w:cs="Times New Roman"/>
          <w:color w:val="auto"/>
          <w:szCs w:val="24"/>
          <w:shd w:val="clear" w:color="auto" w:fill="FFFFFF"/>
          <w:vertAlign w:val="subscript"/>
        </w:rPr>
        <w:t>2</w:t>
      </w:r>
      <w:r>
        <w:rPr>
          <w:rFonts w:ascii="Times New Roman" w:hAnsi="Times New Roman" w:cs="Times New Roman"/>
          <w:color w:val="auto"/>
          <w:szCs w:val="24"/>
          <w:shd w:val="clear" w:color="auto" w:fill="FFFFFF"/>
        </w:rPr>
        <w:t>小时浓度分别为0.20mg/m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、0.62mg/m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，可以满足大气二级标准要求。</w:t>
      </w:r>
    </w:p>
    <w:p>
      <w:pPr>
        <w:pStyle w:val="4"/>
        <w:rPr>
          <w:rFonts w:ascii="Times New Roman" w:hAnsi="Times New Roman" w:cs="Times New Roman"/>
          <w:color w:val="FF0000"/>
          <w:szCs w:val="24"/>
        </w:rPr>
      </w:pPr>
      <w:bookmarkStart w:id="376" w:name="_Toc104733391"/>
      <w:bookmarkStart w:id="377" w:name="_Toc102984360"/>
      <w:r>
        <w:rPr>
          <w:rFonts w:ascii="Times New Roman" w:hAnsi="Times New Roman" w:cs="Times New Roman"/>
          <w:color w:val="FF0000"/>
          <w:szCs w:val="24"/>
        </w:rPr>
        <w:t>5.1.2施工期水环境影响</w:t>
      </w:r>
      <w:bookmarkEnd w:id="376"/>
      <w:bookmarkEnd w:id="377"/>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本项目施工期对水域环境造成的污染主要为施工疏挖过程中引起水域悬浮物含量增加，水下疏浚土方吹填至抛泥区后干化脱水而产生的余水、码头桩基施工引起水域悬浮物含量增加，施工机械冲洗水、施工生产废水、施工人员生活污水等。</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1、水下疏浚作业对水体扰动的影响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根据工程设计资料，本工程码头区需要通过切堤开挖，码头前沿停泊水域局部水深不满足要求，需进行疏浚，水下疏浚</w:t>
      </w:r>
      <w:r>
        <w:rPr>
          <w:rFonts w:ascii="Times New Roman" w:hAnsi="Times New Roman" w:cs="Times New Roman"/>
          <w:bCs/>
          <w:color w:val="auto"/>
          <w:szCs w:val="24"/>
          <w:shd w:val="clear" w:color="auto" w:fill="FFFFFF"/>
        </w:rPr>
        <w:t>土方量约为23.55万m</w:t>
      </w:r>
      <w:r>
        <w:rPr>
          <w:rFonts w:ascii="Times New Roman" w:hAnsi="Times New Roman" w:cs="Times New Roman"/>
          <w:bCs/>
          <w:color w:val="auto"/>
          <w:szCs w:val="24"/>
          <w:shd w:val="clear" w:color="auto" w:fill="FFFFFF"/>
          <w:vertAlign w:val="superscript"/>
        </w:rPr>
        <w:t>3</w:t>
      </w:r>
      <w:r>
        <w:rPr>
          <w:rFonts w:ascii="Times New Roman" w:hAnsi="Times New Roman" w:cs="Times New Roman"/>
          <w:bCs/>
          <w:color w:val="auto"/>
          <w:szCs w:val="24"/>
          <w:shd w:val="clear" w:color="auto" w:fill="FFFFFF"/>
        </w:rPr>
        <w:t>。</w:t>
      </w:r>
      <w:r>
        <w:rPr>
          <w:rFonts w:ascii="Times New Roman" w:hAnsi="Times New Roman" w:cs="Times New Roman"/>
          <w:color w:val="auto"/>
          <w:szCs w:val="24"/>
          <w:shd w:val="clear" w:color="auto" w:fill="FFFFFF"/>
        </w:rPr>
        <w:t>由于绞吸搅动可引起局部水域污染底泥的再悬浮与扩散，类比沱浍河航道（宿州段）整治工程水下疏浚等疏挖作业的实例，沱浍河航道（宿州段）整治工程同样采用</w:t>
      </w:r>
      <w:r>
        <w:rPr>
          <w:rFonts w:hint="eastAsia" w:ascii="Times New Roman" w:hAnsi="Times New Roman" w:cs="Times New Roman"/>
          <w:color w:val="auto"/>
          <w:szCs w:val="24"/>
          <w:shd w:val="clear" w:color="auto" w:fill="FFFFFF"/>
        </w:rPr>
        <w:t>相同吨位及疏浚能力</w:t>
      </w:r>
      <w:r>
        <w:rPr>
          <w:rFonts w:ascii="Times New Roman" w:hAnsi="Times New Roman" w:cs="Times New Roman"/>
          <w:color w:val="auto"/>
          <w:szCs w:val="24"/>
          <w:shd w:val="clear" w:color="auto" w:fill="FFFFFF"/>
        </w:rPr>
        <w:t>绞吸船进行疏浚施工，施工工艺与本项目基本一致，因此具有类比的可行性。以绞吸船绞刀为中心约15m范围内的水域SS浓度明显增高，N、P污染物的释放速率较静止状态提高了1～2倍，而100m范围以外的区域水环境影响不明显。施工悬浮物沉降速度较快，一般在施工作业停止2h后下游水质基本可以恢复到原有水平。</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综上所述，疏浚作业将造成店埠河局部水域悬浮物浓度增加，对局部水环境、生态环境有一定的污染影响，但是影响范围和影响程度不大，且本项目直接的河道疏浚施工土方量较小，施工持续时间较短，对店埠河的水质影响较为有限，在疏浚施工结束后即可消除施工影响。根据调查，店埠河无饮用水源取水口及珍稀水生生物“三场”等生态敏感区，疏浚作业不会造成饮用水源的水质影响，对店埠河水生生态影响也很小。</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2、抛泥区底泥余水对水环境的影响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疏浚底泥的抛泥区余水中污染物主要来源于店埠河水体中所含污染物和底泥颗粒中所富集的N、P及重金属污染物，因此施工中只要控制余水中悬浮物排放浓度，就能有效控制其它污染物排放浓度。根据本次评价店埠河底泥环境现状监测评价结果表明，店埠河底泥中各污染物浓度均能够达到《土壤环境质量 建设用地土壤污染风险管控标准（试行）》（GB36600-2018）表1中第二类用地限值筛选值标准要求，抛泥区底泥的各类污染物不会对土壤和地下水造成大的影响。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抛泥区余水中主要污染因子是悬浮物、N和P（N和P主要附着在悬浮物上）。</w:t>
      </w:r>
      <w:r>
        <w:rPr>
          <w:rFonts w:ascii="Times New Roman" w:hAnsi="Times New Roman" w:cs="Times New Roman"/>
          <w:color w:val="auto"/>
          <w:kern w:val="0"/>
          <w:szCs w:val="24"/>
          <w:shd w:val="clear" w:color="auto" w:fill="FFFFFF"/>
        </w:rPr>
        <w:t>本项目疏浚施工天数约为90天，每天工作8小时，平均疏浚量约为375</w:t>
      </w:r>
      <w:r>
        <w:rPr>
          <w:rFonts w:ascii="Times New Roman" w:hAnsi="Times New Roman" w:cs="Times New Roman"/>
          <w:bCs/>
          <w:color w:val="auto"/>
          <w:szCs w:val="24"/>
          <w:shd w:val="clear" w:color="auto" w:fill="FFFFFF"/>
        </w:rPr>
        <w:t>m</w:t>
      </w:r>
      <w:r>
        <w:rPr>
          <w:rFonts w:ascii="Times New Roman" w:hAnsi="Times New Roman" w:cs="Times New Roman"/>
          <w:bCs/>
          <w:color w:val="auto"/>
          <w:szCs w:val="24"/>
          <w:shd w:val="clear" w:color="auto" w:fill="FFFFFF"/>
          <w:vertAlign w:val="superscript"/>
        </w:rPr>
        <w:t>3</w:t>
      </w:r>
      <w:r>
        <w:rPr>
          <w:rFonts w:ascii="Times New Roman" w:hAnsi="Times New Roman" w:cs="Times New Roman"/>
          <w:bCs/>
          <w:color w:val="auto"/>
          <w:szCs w:val="24"/>
          <w:shd w:val="clear" w:color="auto" w:fill="FFFFFF"/>
        </w:rPr>
        <w:t>/h，</w:t>
      </w:r>
      <w:r>
        <w:rPr>
          <w:rFonts w:ascii="Times New Roman" w:hAnsi="Times New Roman" w:cs="Times New Roman"/>
          <w:color w:val="auto"/>
          <w:szCs w:val="24"/>
          <w:shd w:val="clear" w:color="auto" w:fill="FFFFFF"/>
        </w:rPr>
        <w:t>淤泥中会有一定余水产生，会使淤泥成为泥浆水，其体积会增加一倍，则</w:t>
      </w:r>
      <w:r>
        <w:rPr>
          <w:rFonts w:ascii="Times New Roman" w:hAnsi="Times New Roman" w:cs="Times New Roman"/>
          <w:color w:val="auto"/>
          <w:kern w:val="0"/>
          <w:szCs w:val="24"/>
          <w:shd w:val="clear" w:color="auto" w:fill="FFFFFF"/>
        </w:rPr>
        <w:t>平均疏浚</w:t>
      </w:r>
      <w:r>
        <w:rPr>
          <w:rFonts w:ascii="Times New Roman" w:hAnsi="Times New Roman" w:cs="Times New Roman"/>
          <w:color w:val="auto"/>
          <w:szCs w:val="24"/>
          <w:shd w:val="clear" w:color="auto" w:fill="FFFFFF"/>
        </w:rPr>
        <w:t>泥浆水体积约为750m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w:t>
      </w:r>
      <w:r>
        <w:rPr>
          <w:rFonts w:ascii="Times New Roman" w:hAnsi="Times New Roman" w:cs="Times New Roman"/>
          <w:color w:val="auto"/>
          <w:kern w:val="0"/>
          <w:szCs w:val="24"/>
          <w:shd w:val="clear" w:color="auto" w:fill="FFFFFF"/>
        </w:rPr>
        <w:t>抛泥区外围设置的沉淀池容积约为3500</w:t>
      </w:r>
      <w:r>
        <w:rPr>
          <w:rFonts w:ascii="Times New Roman" w:hAnsi="Times New Roman" w:cs="Times New Roman"/>
          <w:bCs/>
          <w:color w:val="auto"/>
          <w:szCs w:val="24"/>
          <w:shd w:val="clear" w:color="auto" w:fill="FFFFFF"/>
        </w:rPr>
        <w:t>m</w:t>
      </w:r>
      <w:r>
        <w:rPr>
          <w:rFonts w:ascii="Times New Roman" w:hAnsi="Times New Roman" w:cs="Times New Roman"/>
          <w:bCs/>
          <w:color w:val="auto"/>
          <w:szCs w:val="24"/>
          <w:shd w:val="clear" w:color="auto" w:fill="FFFFFF"/>
          <w:vertAlign w:val="superscript"/>
        </w:rPr>
        <w:t>3</w:t>
      </w:r>
      <w:r>
        <w:rPr>
          <w:rFonts w:ascii="Times New Roman" w:hAnsi="Times New Roman" w:cs="Times New Roman"/>
          <w:bCs/>
          <w:color w:val="auto"/>
          <w:szCs w:val="24"/>
          <w:shd w:val="clear" w:color="auto" w:fill="FFFFFF"/>
        </w:rPr>
        <w:t>，淤泥水在沉淀池水力停留时间可以达到12h，完全能够满足淤泥沉淀需要。</w:t>
      </w:r>
      <w:r>
        <w:rPr>
          <w:rFonts w:ascii="Times New Roman" w:hAnsi="Times New Roman" w:cs="Times New Roman"/>
          <w:color w:val="auto"/>
          <w:szCs w:val="24"/>
          <w:shd w:val="clear" w:color="auto" w:fill="FFFFFF"/>
        </w:rPr>
        <w:t>吹填初期90%的余水经过自然沉淀后可去除大部份悬浮物从而将N和P也一并去除，抛泥区初期余水经自然沉淀，后期10%余水可采取加药混凝处理后排放可满足《污水综合排放标准》中的一级排放标准要求（余水中SS排放浓度按70mg/L计），抛泥区余水经自然沉淀达标后</w:t>
      </w:r>
      <w:r>
        <w:rPr>
          <w:rFonts w:ascii="Times New Roman" w:hAnsi="Times New Roman" w:cs="Times New Roman"/>
          <w:color w:val="auto"/>
          <w:kern w:val="0"/>
          <w:szCs w:val="24"/>
          <w:shd w:val="clear" w:color="auto" w:fill="FFFFFF"/>
        </w:rPr>
        <w:t>利用PVC管道排入店埠河，对排入口下游100m范围内水体中悬浮物有少量增加，排入口处增加约13.6mg/L，排入口下游悬浮物随着距离的增加而降低，在约100m以外基本上恢复为本底水平，随着本项目疏浚工程的完成，</w:t>
      </w:r>
      <w:r>
        <w:rPr>
          <w:rFonts w:ascii="Times New Roman" w:hAnsi="Times New Roman" w:cs="Times New Roman"/>
          <w:color w:val="auto"/>
          <w:szCs w:val="24"/>
          <w:shd w:val="clear" w:color="auto" w:fill="FFFFFF"/>
        </w:rPr>
        <w:t>抛泥区余水对店埠河水质的影响将消失，总体来说抛泥区余水对店埠河及下游南淝河、巢湖水质影响较小。</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3、码头涉水施工的水环境影响分析</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码头施工水下施工会造成水体中悬浮物浓度增加，其影响范围呈半椭圆形，根据店埠河的水文资料，拟建码头前沿水流流速很小。打桩施工造成悬浮物浓度增加值超过10mg/L的范围沿水流方向长约200m，本项目悬浮物影响长度约为200-300m，垂直岸边宽约20-50m，该范围面积为15000m</w:t>
      </w:r>
      <w:r>
        <w:rPr>
          <w:rFonts w:ascii="Times New Roman" w:hAnsi="Times New Roman" w:cs="Times New Roman"/>
          <w:color w:val="auto"/>
          <w:szCs w:val="24"/>
          <w:shd w:val="clear" w:color="auto" w:fill="FFFFFF"/>
          <w:vertAlign w:val="superscript"/>
        </w:rPr>
        <w:t>2</w:t>
      </w:r>
      <w:r>
        <w:rPr>
          <w:rFonts w:ascii="Times New Roman" w:hAnsi="Times New Roman" w:cs="Times New Roman"/>
          <w:color w:val="auto"/>
          <w:szCs w:val="24"/>
          <w:shd w:val="clear" w:color="auto" w:fill="FFFFFF"/>
        </w:rPr>
        <w:t>，涉水施工引起的SS短期对店埠河水质会有一定影响，但由于产生的悬浮物成分比较单一，以泥沙为主，还可能含有少量底栖生物，不含高浓度有机物、重金属等污染重的成分，对店埠河水质总体影响较小，且随着施工结束，水质可恢复到施工前的水平。根据调查，店埠河无饮用水源取水口，涉水施工作业不会造成饮用水源的水质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本项目为重力式码头，且港池对店埠河进行了退让并通过开挖完成；码头水下结构无桩基施工，施工期无桩基泥浆等产生。</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4、施工生产废水对地表水环境影响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砂石水泥物料运输车辆、各类施工机械驶出施工场地后，需对车轮及车体进行冲洗，冲洗废水产生量约为10m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/d，SS达1000mg/L，同时含有少量石油类，施工机械和运输车辆冲洗废水经排水沟收集后进入隔油池及沉淀池处理达到《城市污水再生利用—城市杂用水水质》（GB/T 18920-2002）中建筑施工用水水质标准后回用于生产或洒水抑尘，不外排。</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针对上述施工场地内废水，需在施工场地内布置1座隔油池（30m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）及1座三级沉淀池（30m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），池体及进出水口采用砖衬砌。废水经隔油沉淀处理后，回用于生产或用于施工道路洒水抑尘，不外排，对店埠河水体环境影响很小。</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5、施工船舶污水对地表水环境的影响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施工船舶污水包括船舶舱底油污水和船舶施工人员生活污水。</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（1）船舶舱底油污水</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根据本工程施工安排，施工船舶均为500t左右船舶。施工期船舶舱底油污水产生量约180t。根据《中华人民共和国防治船舶污染内河水域环境管理规定》，船舶舱底油污水需经自带的油水分离器处理，石油类的浓度不大于15mg/L。本项目施工船舶舱底油污水由船舶自备的油水分离器隔油处理后由船舶统一收集后送海事部门指定的船舶含油污水接收点进行处理。</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（2）船舶施工人员生活污水</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建设期在船舶上施工人员约30人，施工人员生活污水的发生量约2.4t/d。本项目施工船舶生活污水收集后由船舶统一收集后定期送海事部门指定的船舶生活污水接收点进行处理。</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综上所述，施工船舶污水对地表水环境的影响较小。</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6、施工人员生活污水对地表水环境的影响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施工人员生活污水主要来自施工人员餐饮废水、生活污水等，本项目陆域施工人员约100人，本项目在施工生产区设置一处施工人员营地，本工程工程施工总计约600d，施工期生活污水产生量约为7200</w:t>
      </w:r>
      <w:r>
        <w:rPr>
          <w:rFonts w:ascii="Times New Roman" w:hAnsi="Times New Roman" w:cs="Times New Roman"/>
          <w:bCs/>
          <w:color w:val="auto"/>
          <w:szCs w:val="24"/>
          <w:shd w:val="clear" w:color="auto" w:fill="FFFFFF"/>
        </w:rPr>
        <w:t>m</w:t>
      </w:r>
      <w:r>
        <w:rPr>
          <w:rFonts w:ascii="Times New Roman" w:hAnsi="Times New Roman" w:cs="Times New Roman"/>
          <w:bCs/>
          <w:color w:val="auto"/>
          <w:szCs w:val="24"/>
          <w:shd w:val="clear" w:color="auto" w:fill="FFFFFF"/>
          <w:vertAlign w:val="superscript"/>
        </w:rPr>
        <w:t>3</w:t>
      </w:r>
      <w:r>
        <w:rPr>
          <w:rFonts w:ascii="Times New Roman" w:hAnsi="Times New Roman" w:cs="Times New Roman"/>
          <w:bCs/>
          <w:color w:val="auto"/>
          <w:szCs w:val="24"/>
          <w:shd w:val="clear" w:color="auto" w:fill="FFFFFF"/>
        </w:rPr>
        <w:t>，</w:t>
      </w:r>
      <w:r>
        <w:rPr>
          <w:rFonts w:ascii="Times New Roman" w:hAnsi="Times New Roman" w:cs="Times New Roman"/>
          <w:color w:val="auto"/>
          <w:szCs w:val="24"/>
          <w:shd w:val="clear" w:color="auto" w:fill="FFFFFF"/>
        </w:rPr>
        <w:t>施工营地生活污水经化粪池预处理后通过周边市政道路污水管网接入合肥循环经济示范园污水处理厂处理，不会直接排入水体，对店埠河水体水质不会构成影响。</w:t>
      </w:r>
    </w:p>
    <w:p>
      <w:pPr>
        <w:pStyle w:val="4"/>
        <w:rPr>
          <w:rFonts w:ascii="Times New Roman" w:hAnsi="Times New Roman" w:cs="Times New Roman"/>
          <w:color w:val="FF0000"/>
          <w:szCs w:val="24"/>
        </w:rPr>
      </w:pPr>
      <w:bookmarkStart w:id="378" w:name="_Toc102984361"/>
      <w:bookmarkStart w:id="379" w:name="_Toc104733392"/>
      <w:r>
        <w:rPr>
          <w:rFonts w:ascii="Times New Roman" w:hAnsi="Times New Roman" w:cs="Times New Roman"/>
          <w:color w:val="FF0000"/>
          <w:szCs w:val="24"/>
        </w:rPr>
        <w:t>5.1.3施工期声环境影响</w:t>
      </w:r>
      <w:bookmarkEnd w:id="378"/>
      <w:bookmarkEnd w:id="379"/>
    </w:p>
    <w:p>
      <w:pPr>
        <w:adjustRightInd/>
        <w:ind w:firstLine="480"/>
        <w:rPr>
          <w:rFonts w:ascii="Times New Roman" w:hAnsi="Times New Roman" w:cs="Times New Roman"/>
          <w:color w:val="auto"/>
          <w:szCs w:val="24"/>
          <w:shd w:val="clear" w:color="auto" w:fill="FFFFFF"/>
        </w:rPr>
      </w:pPr>
      <w:bookmarkStart w:id="380" w:name="_Toc22226"/>
      <w:r>
        <w:rPr>
          <w:rFonts w:ascii="Times New Roman" w:hAnsi="Times New Roman" w:cs="Times New Roman"/>
          <w:color w:val="auto"/>
          <w:szCs w:val="24"/>
          <w:shd w:val="clear" w:color="auto" w:fill="FFFFFF"/>
        </w:rPr>
        <w:t>1、噪声源</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工程施工的噪声源主要有施工机械固定噪声源和运输车辆流动噪声源，参照《内河航运建设项目环境影响评价规范》(JTJ227-2001)、《水电水利工程施工机械选择设计导则》以及项目工可报告，工程所用机械及其产生的噪声污染源强见表3.3-5。</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2、影响分析</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（1）施工机械噪声</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在施工过程中，挖掘机、钻桩机、钢筋加工常规设备等为固定噪声源，推土机等施工机械由于活动范围较小，且车速慢，也可按固定源考虑。根据点源噪声衰减模式，估算出离声源不同距离处的噪声值，预测模式如下：</w:t>
      </w:r>
    </w:p>
    <w:p>
      <w:pPr>
        <w:adjustRightInd/>
        <w:ind w:firstLine="0" w:firstLineChars="0"/>
        <w:jc w:val="center"/>
        <w:rPr>
          <w:rFonts w:ascii="Times New Roman" w:hAnsi="Times New Roman" w:cs="Times New Roman"/>
          <w:color w:val="auto"/>
          <w:sz w:val="21"/>
          <w:szCs w:val="24"/>
          <w:shd w:val="clear" w:color="auto" w:fill="FFFFFF"/>
        </w:rPr>
      </w:pPr>
      <w:r>
        <w:rPr>
          <w:rFonts w:ascii="Times New Roman" w:hAnsi="Times New Roman" w:cs="Times New Roman"/>
          <w:color w:val="auto"/>
          <w:kern w:val="24"/>
          <w:position w:val="-30"/>
          <w:szCs w:val="24"/>
          <w:shd w:val="clear" w:color="auto" w:fill="FFFFFF"/>
        </w:rPr>
        <w:object>
          <v:shape id="_x0000_i1045" o:spt="75" type="#_x0000_t75" style="height:36pt;width:111pt;" o:ole="t" filled="f" o:preferrelative="t" stroked="f" coordsize="21600,21600">
            <v:path/>
            <v:fill on="f" focussize="0,0"/>
            <v:stroke on="f" joinstyle="miter"/>
            <v:imagedata r:id="rId160" o:title=""/>
            <o:lock v:ext="edit" aspectratio="t"/>
            <w10:wrap type="none"/>
            <w10:anchorlock/>
          </v:shape>
          <o:OLEObject Type="Embed" ProgID="Equation.3" ShapeID="_x0000_i1045" DrawAspect="Content" ObjectID="_1468075745" r:id="rId159">
            <o:LockedField>false</o:LockedField>
          </o:OLEObject>
        </w:objec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式中：L</w:t>
      </w:r>
      <w:r>
        <w:rPr>
          <w:rFonts w:ascii="Times New Roman" w:hAnsi="Times New Roman" w:cs="Times New Roman"/>
          <w:color w:val="auto"/>
          <w:szCs w:val="24"/>
          <w:shd w:val="clear" w:color="auto" w:fill="FFFFFF"/>
          <w:vertAlign w:val="subscript"/>
        </w:rPr>
        <w:t>1</w:t>
      </w:r>
      <w:r>
        <w:rPr>
          <w:rFonts w:ascii="Times New Roman" w:hAnsi="Times New Roman" w:cs="Times New Roman"/>
          <w:color w:val="auto"/>
          <w:szCs w:val="24"/>
          <w:shd w:val="clear" w:color="auto" w:fill="FFFFFF"/>
        </w:rPr>
        <w:t>—距声源R</w:t>
      </w:r>
      <w:r>
        <w:rPr>
          <w:rFonts w:ascii="Times New Roman" w:hAnsi="Times New Roman" w:cs="Times New Roman"/>
          <w:color w:val="auto"/>
          <w:szCs w:val="24"/>
          <w:shd w:val="clear" w:color="auto" w:fill="FFFFFF"/>
          <w:vertAlign w:val="subscript"/>
        </w:rPr>
        <w:t>i</w:t>
      </w:r>
      <w:r>
        <w:rPr>
          <w:rFonts w:ascii="Times New Roman" w:hAnsi="Times New Roman" w:cs="Times New Roman"/>
          <w:color w:val="auto"/>
          <w:szCs w:val="24"/>
          <w:shd w:val="clear" w:color="auto" w:fill="FFFFFF"/>
        </w:rPr>
        <w:t>米处的施工噪声预测值，dB；</w:t>
      </w:r>
    </w:p>
    <w:p>
      <w:pPr>
        <w:adjustRightInd/>
        <w:ind w:firstLine="1200" w:firstLineChars="50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L</w:t>
      </w:r>
      <w:r>
        <w:rPr>
          <w:rFonts w:ascii="Times New Roman" w:hAnsi="Times New Roman" w:cs="Times New Roman"/>
          <w:color w:val="auto"/>
          <w:szCs w:val="24"/>
          <w:shd w:val="clear" w:color="auto" w:fill="FFFFFF"/>
          <w:vertAlign w:val="subscript"/>
        </w:rPr>
        <w:t>0</w:t>
      </w:r>
      <w:r>
        <w:rPr>
          <w:rFonts w:ascii="Times New Roman" w:hAnsi="Times New Roman" w:cs="Times New Roman"/>
          <w:color w:val="auto"/>
          <w:szCs w:val="24"/>
          <w:shd w:val="clear" w:color="auto" w:fill="FFFFFF"/>
        </w:rPr>
        <w:t>—距声源R</w:t>
      </w:r>
      <w:r>
        <w:rPr>
          <w:rFonts w:ascii="Times New Roman" w:hAnsi="Times New Roman" w:cs="Times New Roman"/>
          <w:color w:val="auto"/>
          <w:szCs w:val="24"/>
          <w:shd w:val="clear" w:color="auto" w:fill="FFFFFF"/>
          <w:vertAlign w:val="subscript"/>
        </w:rPr>
        <w:t>0</w:t>
      </w:r>
      <w:r>
        <w:rPr>
          <w:rFonts w:ascii="Times New Roman" w:hAnsi="Times New Roman" w:cs="Times New Roman"/>
          <w:color w:val="auto"/>
          <w:szCs w:val="24"/>
          <w:shd w:val="clear" w:color="auto" w:fill="FFFFFF"/>
        </w:rPr>
        <w:t>米的施工噪声级，dB；</w:t>
      </w:r>
    </w:p>
    <w:p>
      <w:pPr>
        <w:adjustRightInd/>
        <w:ind w:firstLine="1200" w:firstLineChars="50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drawing>
          <wp:inline distT="0" distB="0" distL="0" distR="0">
            <wp:extent cx="233680" cy="170180"/>
            <wp:effectExtent l="0" t="0" r="0" b="0"/>
            <wp:docPr id="84" name="图片 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true" noChangeArrowheads="true"/>
                    </pic:cNvPicPr>
                  </pic:nvPicPr>
                  <pic:blipFill>
                    <a:blip r:embed="rId161" cstate="print"/>
                    <a:srcRect/>
                    <a:stretch>
                      <a:fillRect/>
                    </a:stretch>
                  </pic:blipFill>
                  <pic:spPr>
                    <a:xfrm>
                      <a:off x="0" y="0"/>
                      <a:ext cx="233680" cy="170180"/>
                    </a:xfrm>
                    <a:prstGeom prst="rect">
                      <a:avLst/>
                    </a:prstGeom>
                    <a:noFill/>
                    <a:ln>
                      <a:noFill/>
                    </a:ln>
                  </pic:spPr>
                </pic:pic>
              </a:graphicData>
            </a:graphic>
          </wp:inline>
        </w:drawing>
      </w:r>
      <w:r>
        <w:rPr>
          <w:rFonts w:ascii="Times New Roman" w:hAnsi="Times New Roman" w:cs="Times New Roman"/>
          <w:color w:val="auto"/>
          <w:szCs w:val="24"/>
          <w:shd w:val="clear" w:color="auto" w:fill="FFFFFF"/>
        </w:rPr>
        <w:t>—障碍物、植被、空气等产生的附加衰减量。</w:t>
      </w:r>
    </w:p>
    <w:p>
      <w:pPr>
        <w:adjustRightInd/>
        <w:ind w:firstLine="504"/>
        <w:jc w:val="left"/>
        <w:rPr>
          <w:rFonts w:ascii="Times New Roman" w:hAnsi="Times New Roman" w:cs="Times New Roman"/>
          <w:snapToGrid w:val="0"/>
          <w:color w:val="auto"/>
          <w:spacing w:val="6"/>
          <w:kern w:val="28"/>
          <w:szCs w:val="24"/>
          <w:shd w:val="clear" w:color="auto" w:fill="FFFFFF"/>
        </w:rPr>
      </w:pPr>
      <w:r>
        <w:rPr>
          <w:rFonts w:ascii="Times New Roman" w:hAnsi="Times New Roman" w:cs="Times New Roman"/>
          <w:snapToGrid w:val="0"/>
          <w:color w:val="auto"/>
          <w:spacing w:val="6"/>
          <w:kern w:val="28"/>
          <w:szCs w:val="24"/>
          <w:shd w:val="clear" w:color="auto" w:fill="FFFFFF"/>
        </w:rPr>
        <w:t>对于多台施工机械同时作业时对某个预测点的影响，应按下式进行声级迭加：</w:t>
      </w:r>
    </w:p>
    <w:p>
      <w:pPr>
        <w:adjustRightInd/>
        <w:ind w:firstLine="480"/>
        <w:jc w:val="center"/>
        <w:rPr>
          <w:rFonts w:ascii="Times New Roman" w:hAnsi="Times New Roman" w:cs="Times New Roman"/>
          <w:snapToGrid w:val="0"/>
          <w:color w:val="auto"/>
          <w:spacing w:val="6"/>
          <w:kern w:val="28"/>
          <w:szCs w:val="20"/>
          <w:shd w:val="clear" w:color="auto" w:fill="FFFFFF"/>
        </w:rPr>
      </w:pPr>
      <w:r>
        <w:rPr>
          <w:rFonts w:ascii="Times New Roman" w:hAnsi="Times New Roman" w:cs="Times New Roman"/>
          <w:snapToGrid w:val="0"/>
          <w:color w:val="auto"/>
          <w:spacing w:val="6"/>
          <w:kern w:val="28"/>
          <w:szCs w:val="20"/>
          <w:shd w:val="clear" w:color="auto" w:fill="FFFFFF"/>
        </w:rPr>
        <w:drawing>
          <wp:inline distT="0" distB="0" distL="0" distR="0">
            <wp:extent cx="1424940" cy="520700"/>
            <wp:effectExtent l="0" t="0" r="0" b="0"/>
            <wp:docPr id="85" name="图片 8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true" noChangeArrowheads="true"/>
                    </pic:cNvPicPr>
                  </pic:nvPicPr>
                  <pic:blipFill>
                    <a:blip r:embed="rId162" cstate="print"/>
                    <a:srcRect/>
                    <a:stretch>
                      <a:fillRect/>
                    </a:stretch>
                  </pic:blipFill>
                  <pic:spPr>
                    <a:xfrm>
                      <a:off x="0" y="0"/>
                      <a:ext cx="1424940" cy="520700"/>
                    </a:xfrm>
                    <a:prstGeom prst="rect">
                      <a:avLst/>
                    </a:prstGeom>
                    <a:noFill/>
                    <a:ln>
                      <a:noFill/>
                    </a:ln>
                  </pic:spPr>
                </pic:pic>
              </a:graphicData>
            </a:graphic>
          </wp:inline>
        </w:drawing>
      </w:r>
    </w:p>
    <w:p>
      <w:pPr>
        <w:adjustRightInd/>
        <w:ind w:firstLine="504"/>
        <w:jc w:val="left"/>
        <w:rPr>
          <w:rFonts w:ascii="Times New Roman" w:hAnsi="Times New Roman" w:cs="Times New Roman"/>
          <w:snapToGrid w:val="0"/>
          <w:color w:val="auto"/>
          <w:spacing w:val="6"/>
          <w:kern w:val="28"/>
          <w:szCs w:val="20"/>
          <w:shd w:val="clear" w:color="auto" w:fill="FFFFFF"/>
        </w:rPr>
      </w:pPr>
      <w:r>
        <w:rPr>
          <w:rFonts w:ascii="Times New Roman" w:hAnsi="Times New Roman" w:cs="Times New Roman"/>
          <w:snapToGrid w:val="0"/>
          <w:color w:val="auto"/>
          <w:spacing w:val="6"/>
          <w:kern w:val="28"/>
          <w:szCs w:val="24"/>
          <w:shd w:val="clear" w:color="auto" w:fill="FFFFFF"/>
        </w:rPr>
        <w:t>根据前述的公式，对施工过程中设备噪声影响范围进行计算，</w:t>
      </w:r>
      <w:r>
        <w:rPr>
          <w:rFonts w:ascii="Times New Roman" w:hAnsi="Times New Roman" w:cs="Times New Roman"/>
          <w:snapToGrid w:val="0"/>
          <w:color w:val="auto"/>
          <w:spacing w:val="6"/>
          <w:kern w:val="28"/>
          <w:szCs w:val="20"/>
          <w:shd w:val="clear" w:color="auto" w:fill="FFFFFF"/>
        </w:rPr>
        <w:t>不同施工阶段机械施工场界噪声预测结果见下表。</w:t>
      </w:r>
    </w:p>
    <w:p>
      <w:pPr>
        <w:ind w:firstLine="422"/>
        <w:jc w:val="center"/>
        <w:rPr>
          <w:rFonts w:ascii="Times New Roman" w:hAnsi="Times New Roman" w:cs="Times New Roman"/>
          <w:b/>
          <w:color w:val="auto"/>
          <w:kern w:val="0"/>
          <w:sz w:val="21"/>
          <w:szCs w:val="21"/>
        </w:rPr>
      </w:pPr>
      <w:r>
        <w:rPr>
          <w:rFonts w:ascii="Times New Roman" w:hAnsi="Times New Roman" w:cs="Times New Roman"/>
          <w:b/>
          <w:color w:val="auto"/>
          <w:kern w:val="0"/>
          <w:sz w:val="21"/>
          <w:szCs w:val="21"/>
        </w:rPr>
        <w:t>表5.1-3  施工期噪声源组合在不同距离的噪声预测值    单位：dB(A)</w:t>
      </w:r>
    </w:p>
    <w:tbl>
      <w:tblPr>
        <w:tblStyle w:val="62"/>
        <w:tblW w:w="928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93"/>
        <w:gridCol w:w="1183"/>
        <w:gridCol w:w="1016"/>
        <w:gridCol w:w="1163"/>
        <w:gridCol w:w="1161"/>
        <w:gridCol w:w="1090"/>
        <w:gridCol w:w="108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93" w:type="dxa"/>
            <w:vMerge w:val="restart"/>
            <w:vAlign w:val="center"/>
          </w:tcPr>
          <w:p>
            <w:pPr>
              <w:widowControl/>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r>
              <w:rPr>
                <w:rFonts w:ascii="Times New Roman" w:hAnsi="Times New Roman" w:cs="Times New Roman"/>
                <w:b/>
                <w:color w:val="auto"/>
                <w:kern w:val="0"/>
                <w:sz w:val="18"/>
                <w:szCs w:val="18"/>
                <w:shd w:val="clear" w:color="auto" w:fill="FFFFFF"/>
              </w:rPr>
              <w:t>施工阶段</w:t>
            </w:r>
          </w:p>
        </w:tc>
        <w:tc>
          <w:tcPr>
            <w:tcW w:w="1183" w:type="dxa"/>
            <w:vMerge w:val="restart"/>
            <w:vAlign w:val="center"/>
          </w:tcPr>
          <w:p>
            <w:pPr>
              <w:widowControl/>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r>
              <w:rPr>
                <w:rFonts w:ascii="Times New Roman" w:hAnsi="Times New Roman" w:cs="Times New Roman"/>
                <w:b/>
                <w:bCs/>
                <w:color w:val="auto"/>
                <w:kern w:val="0"/>
                <w:sz w:val="18"/>
                <w:szCs w:val="18"/>
                <w:shd w:val="clear" w:color="auto" w:fill="FFFFFF"/>
              </w:rPr>
              <w:t>20m</w:t>
            </w:r>
          </w:p>
        </w:tc>
        <w:tc>
          <w:tcPr>
            <w:tcW w:w="1016" w:type="dxa"/>
            <w:vMerge w:val="restart"/>
            <w:vAlign w:val="center"/>
          </w:tcPr>
          <w:p>
            <w:pPr>
              <w:widowControl/>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r>
              <w:rPr>
                <w:rFonts w:ascii="Times New Roman" w:hAnsi="Times New Roman" w:cs="Times New Roman"/>
                <w:b/>
                <w:bCs/>
                <w:color w:val="auto"/>
                <w:kern w:val="0"/>
                <w:sz w:val="18"/>
                <w:szCs w:val="18"/>
                <w:shd w:val="clear" w:color="auto" w:fill="FFFFFF"/>
              </w:rPr>
              <w:t>40m</w:t>
            </w:r>
          </w:p>
        </w:tc>
        <w:tc>
          <w:tcPr>
            <w:tcW w:w="1163" w:type="dxa"/>
            <w:vMerge w:val="restart"/>
            <w:vAlign w:val="center"/>
          </w:tcPr>
          <w:p>
            <w:pPr>
              <w:widowControl/>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r>
              <w:rPr>
                <w:rFonts w:ascii="Times New Roman" w:hAnsi="Times New Roman" w:cs="Times New Roman"/>
                <w:b/>
                <w:bCs/>
                <w:color w:val="auto"/>
                <w:kern w:val="0"/>
                <w:sz w:val="18"/>
                <w:szCs w:val="18"/>
                <w:shd w:val="clear" w:color="auto" w:fill="FFFFFF"/>
              </w:rPr>
              <w:t>80m</w:t>
            </w:r>
          </w:p>
        </w:tc>
        <w:tc>
          <w:tcPr>
            <w:tcW w:w="1161" w:type="dxa"/>
            <w:vMerge w:val="restart"/>
            <w:vAlign w:val="center"/>
          </w:tcPr>
          <w:p>
            <w:pPr>
              <w:widowControl/>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r>
              <w:rPr>
                <w:rFonts w:ascii="Times New Roman" w:hAnsi="Times New Roman" w:cs="Times New Roman"/>
                <w:b/>
                <w:bCs/>
                <w:color w:val="auto"/>
                <w:kern w:val="0"/>
                <w:sz w:val="18"/>
                <w:szCs w:val="18"/>
                <w:shd w:val="clear" w:color="auto" w:fill="FFFFFF"/>
              </w:rPr>
              <w:t>160m</w:t>
            </w:r>
          </w:p>
        </w:tc>
        <w:tc>
          <w:tcPr>
            <w:tcW w:w="1090" w:type="dxa"/>
            <w:vMerge w:val="restart"/>
            <w:vAlign w:val="center"/>
          </w:tcPr>
          <w:p>
            <w:pPr>
              <w:widowControl/>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r>
              <w:rPr>
                <w:rFonts w:ascii="Times New Roman" w:hAnsi="Times New Roman" w:cs="Times New Roman"/>
                <w:b/>
                <w:bCs/>
                <w:color w:val="auto"/>
                <w:kern w:val="0"/>
                <w:sz w:val="18"/>
                <w:szCs w:val="18"/>
                <w:shd w:val="clear" w:color="auto" w:fill="FFFFFF"/>
              </w:rPr>
              <w:t>320m</w:t>
            </w:r>
          </w:p>
        </w:tc>
        <w:tc>
          <w:tcPr>
            <w:tcW w:w="1081" w:type="dxa"/>
            <w:vAlign w:val="center"/>
          </w:tcPr>
          <w:p>
            <w:pPr>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r>
              <w:rPr>
                <w:rFonts w:ascii="Times New Roman" w:hAnsi="Times New Roman" w:cs="Times New Roman"/>
                <w:b/>
                <w:color w:val="auto"/>
                <w:kern w:val="0"/>
                <w:sz w:val="18"/>
                <w:szCs w:val="18"/>
                <w:shd w:val="clear" w:color="auto" w:fill="FFFFFF"/>
              </w:rPr>
              <w:t>达标距离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93" w:type="dxa"/>
            <w:vMerge w:val="continue"/>
            <w:vAlign w:val="center"/>
          </w:tcPr>
          <w:p>
            <w:pPr>
              <w:widowControl/>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p>
        </w:tc>
        <w:tc>
          <w:tcPr>
            <w:tcW w:w="1183" w:type="dxa"/>
            <w:vMerge w:val="continue"/>
            <w:vAlign w:val="center"/>
          </w:tcPr>
          <w:p>
            <w:pPr>
              <w:widowControl/>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p>
        </w:tc>
        <w:tc>
          <w:tcPr>
            <w:tcW w:w="1016" w:type="dxa"/>
            <w:vMerge w:val="continue"/>
            <w:vAlign w:val="center"/>
          </w:tcPr>
          <w:p>
            <w:pPr>
              <w:widowControl/>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p>
        </w:tc>
        <w:tc>
          <w:tcPr>
            <w:tcW w:w="1163" w:type="dxa"/>
            <w:vMerge w:val="continue"/>
            <w:vAlign w:val="center"/>
          </w:tcPr>
          <w:p>
            <w:pPr>
              <w:widowControl/>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p>
        </w:tc>
        <w:tc>
          <w:tcPr>
            <w:tcW w:w="1161" w:type="dxa"/>
            <w:vMerge w:val="continue"/>
            <w:vAlign w:val="center"/>
          </w:tcPr>
          <w:p>
            <w:pPr>
              <w:widowControl/>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p>
        </w:tc>
        <w:tc>
          <w:tcPr>
            <w:tcW w:w="1090" w:type="dxa"/>
            <w:vMerge w:val="continue"/>
            <w:vAlign w:val="center"/>
          </w:tcPr>
          <w:p>
            <w:pPr>
              <w:widowControl/>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p>
        </w:tc>
        <w:tc>
          <w:tcPr>
            <w:tcW w:w="1081" w:type="dxa"/>
            <w:vAlign w:val="center"/>
          </w:tcPr>
          <w:p>
            <w:pPr>
              <w:adjustRightInd/>
              <w:spacing w:line="240" w:lineRule="auto"/>
              <w:ind w:firstLine="0" w:firstLineChars="0"/>
              <w:contextualSpacing/>
              <w:jc w:val="center"/>
              <w:rPr>
                <w:rFonts w:ascii="Times New Roman" w:hAnsi="Times New Roman" w:cs="Times New Roman"/>
                <w:b/>
                <w:color w:val="auto"/>
                <w:kern w:val="0"/>
                <w:sz w:val="18"/>
                <w:szCs w:val="18"/>
                <w:shd w:val="clear" w:color="auto" w:fill="FFFFFF"/>
              </w:rPr>
            </w:pPr>
            <w:r>
              <w:rPr>
                <w:rFonts w:ascii="Times New Roman" w:hAnsi="Times New Roman" w:cs="Times New Roman"/>
                <w:b/>
                <w:color w:val="auto"/>
                <w:kern w:val="0"/>
                <w:sz w:val="18"/>
                <w:szCs w:val="18"/>
                <w:shd w:val="clear" w:color="auto" w:fill="FFFFFF"/>
              </w:rPr>
              <w:t>昼间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9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土石方开挖</w:t>
            </w:r>
          </w:p>
        </w:tc>
        <w:tc>
          <w:tcPr>
            <w:tcW w:w="118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80.5</w:t>
            </w:r>
          </w:p>
        </w:tc>
        <w:tc>
          <w:tcPr>
            <w:tcW w:w="1016"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74.5</w:t>
            </w:r>
          </w:p>
        </w:tc>
        <w:tc>
          <w:tcPr>
            <w:tcW w:w="116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68.5</w:t>
            </w:r>
          </w:p>
        </w:tc>
        <w:tc>
          <w:tcPr>
            <w:tcW w:w="1161"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62.5</w:t>
            </w:r>
          </w:p>
        </w:tc>
        <w:tc>
          <w:tcPr>
            <w:tcW w:w="1090"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56.5</w:t>
            </w:r>
          </w:p>
        </w:tc>
        <w:tc>
          <w:tcPr>
            <w:tcW w:w="1081"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9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码头工程</w:t>
            </w:r>
          </w:p>
        </w:tc>
        <w:tc>
          <w:tcPr>
            <w:tcW w:w="118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74.8</w:t>
            </w:r>
          </w:p>
        </w:tc>
        <w:tc>
          <w:tcPr>
            <w:tcW w:w="1016"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68.8</w:t>
            </w:r>
          </w:p>
        </w:tc>
        <w:tc>
          <w:tcPr>
            <w:tcW w:w="116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62.8</w:t>
            </w:r>
          </w:p>
        </w:tc>
        <w:tc>
          <w:tcPr>
            <w:tcW w:w="1161"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56.8</w:t>
            </w:r>
          </w:p>
        </w:tc>
        <w:tc>
          <w:tcPr>
            <w:tcW w:w="1090"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50.8</w:t>
            </w:r>
          </w:p>
        </w:tc>
        <w:tc>
          <w:tcPr>
            <w:tcW w:w="1081"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9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木工、钢筋加工</w:t>
            </w:r>
          </w:p>
        </w:tc>
        <w:tc>
          <w:tcPr>
            <w:tcW w:w="118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71.0</w:t>
            </w:r>
          </w:p>
        </w:tc>
        <w:tc>
          <w:tcPr>
            <w:tcW w:w="1016"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65.0</w:t>
            </w:r>
          </w:p>
        </w:tc>
        <w:tc>
          <w:tcPr>
            <w:tcW w:w="116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59.0</w:t>
            </w:r>
          </w:p>
        </w:tc>
        <w:tc>
          <w:tcPr>
            <w:tcW w:w="1161"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53.0</w:t>
            </w:r>
          </w:p>
        </w:tc>
        <w:tc>
          <w:tcPr>
            <w:tcW w:w="1090"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47.0</w:t>
            </w:r>
          </w:p>
        </w:tc>
        <w:tc>
          <w:tcPr>
            <w:tcW w:w="1081"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9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混凝土浇筑</w:t>
            </w:r>
          </w:p>
        </w:tc>
        <w:tc>
          <w:tcPr>
            <w:tcW w:w="118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76.5</w:t>
            </w:r>
          </w:p>
        </w:tc>
        <w:tc>
          <w:tcPr>
            <w:tcW w:w="1016"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70.5</w:t>
            </w:r>
          </w:p>
        </w:tc>
        <w:tc>
          <w:tcPr>
            <w:tcW w:w="116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64.5</w:t>
            </w:r>
          </w:p>
        </w:tc>
        <w:tc>
          <w:tcPr>
            <w:tcW w:w="1161"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58.5</w:t>
            </w:r>
          </w:p>
        </w:tc>
        <w:tc>
          <w:tcPr>
            <w:tcW w:w="1090"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52.5</w:t>
            </w:r>
          </w:p>
        </w:tc>
        <w:tc>
          <w:tcPr>
            <w:tcW w:w="1081"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42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9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疏浚工程</w:t>
            </w:r>
          </w:p>
        </w:tc>
        <w:tc>
          <w:tcPr>
            <w:tcW w:w="118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68.3</w:t>
            </w:r>
          </w:p>
        </w:tc>
        <w:tc>
          <w:tcPr>
            <w:tcW w:w="1016"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62.3</w:t>
            </w:r>
          </w:p>
        </w:tc>
        <w:tc>
          <w:tcPr>
            <w:tcW w:w="1163"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56.3</w:t>
            </w:r>
          </w:p>
        </w:tc>
        <w:tc>
          <w:tcPr>
            <w:tcW w:w="1161"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50.3</w:t>
            </w:r>
          </w:p>
        </w:tc>
        <w:tc>
          <w:tcPr>
            <w:tcW w:w="1090"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44.3</w:t>
            </w:r>
          </w:p>
        </w:tc>
        <w:tc>
          <w:tcPr>
            <w:tcW w:w="1081" w:type="dxa"/>
            <w:vAlign w:val="center"/>
          </w:tcPr>
          <w:p>
            <w:pPr>
              <w:widowControl/>
              <w:adjustRightInd/>
              <w:spacing w:line="240" w:lineRule="auto"/>
              <w:ind w:firstLine="0" w:firstLineChars="0"/>
              <w:contextualSpacing/>
              <w:jc w:val="center"/>
              <w:rPr>
                <w:rFonts w:ascii="Times New Roman" w:hAnsi="Times New Roman" w:cs="Times New Roman"/>
                <w:color w:val="auto"/>
                <w:kern w:val="0"/>
                <w:sz w:val="18"/>
                <w:szCs w:val="18"/>
                <w:shd w:val="clear" w:color="auto" w:fill="FFFFFF"/>
              </w:rPr>
            </w:pPr>
            <w:r>
              <w:rPr>
                <w:rFonts w:ascii="Times New Roman" w:hAnsi="Times New Roman" w:cs="Times New Roman"/>
                <w:color w:val="auto"/>
                <w:kern w:val="0"/>
                <w:sz w:val="18"/>
                <w:szCs w:val="18"/>
                <w:shd w:val="clear" w:color="auto" w:fill="FFFFFF"/>
              </w:rPr>
              <w:t>16</w:t>
            </w:r>
          </w:p>
        </w:tc>
      </w:tr>
    </w:tbl>
    <w:p>
      <w:pPr>
        <w:adjustRightInd/>
        <w:snapToGrid/>
        <w:ind w:firstLine="0" w:firstLineChars="0"/>
        <w:rPr>
          <w:rFonts w:ascii="Times New Roman" w:hAnsi="Times New Roman" w:cs="Times New Roman"/>
          <w:color w:val="auto"/>
          <w:szCs w:val="24"/>
          <w:shd w:val="clear" w:color="auto" w:fill="FFFFFF"/>
        </w:rPr>
      </w:pPr>
      <w:r>
        <w:rPr>
          <w:rFonts w:ascii="Times New Roman" w:hAnsi="Times New Roman" w:cs="Times New Roman"/>
          <w:b/>
          <w:color w:val="auto"/>
          <w:sz w:val="18"/>
          <w:szCs w:val="18"/>
          <w:shd w:val="clear" w:color="auto" w:fill="FFFFFF"/>
        </w:rPr>
        <w:t>注：按照最大环境影响考虑，将各施工阶段所有设备组合预测源强，昼间施工时间按10h计，夜间不施工。</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将预测结果对照《建筑施工场界环境噪声排放标准》（GB12523-2011），可知多台施工机械同时施工时，昼间在67m处可满足标准要求，正常情况下夜间禁止施工。</w:t>
      </w:r>
    </w:p>
    <w:p>
      <w:pPr>
        <w:adjustRightInd/>
        <w:ind w:firstLine="480"/>
        <w:rPr>
          <w:rFonts w:ascii="Times New Roman" w:hAnsi="Times New Roman" w:cs="Times New Roman"/>
          <w:color w:val="auto"/>
          <w:szCs w:val="24"/>
          <w:shd w:val="clear" w:color="auto" w:fill="FFFFFF"/>
        </w:rPr>
      </w:pPr>
      <w:r>
        <w:rPr>
          <w:rFonts w:hint="eastAsia" w:ascii="Times New Roman" w:hAnsi="Times New Roman" w:cs="Times New Roman"/>
          <w:color w:val="FF0000"/>
          <w:szCs w:val="24"/>
          <w:shd w:val="clear" w:color="auto" w:fill="FFFFFF"/>
        </w:rPr>
        <w:t>本项目周边现状无噪声敏感点（南侧的多金城企业总部为工业用地的标准化厂房）</w:t>
      </w:r>
      <w:r>
        <w:rPr>
          <w:rFonts w:ascii="Times New Roman" w:hAnsi="Times New Roman" w:cs="Times New Roman"/>
          <w:color w:val="FF0000"/>
          <w:szCs w:val="24"/>
          <w:shd w:val="clear" w:color="auto" w:fill="FFFFFF"/>
          <w:lang w:bidi="zh-CN"/>
        </w:rPr>
        <w:t>，</w:t>
      </w:r>
      <w:r>
        <w:rPr>
          <w:rFonts w:ascii="Times New Roman" w:hAnsi="Times New Roman" w:cs="Times New Roman"/>
          <w:color w:val="FF0000"/>
          <w:szCs w:val="24"/>
          <w:shd w:val="clear" w:color="auto" w:fill="FFFFFF"/>
        </w:rPr>
        <w:t>施工期噪声</w:t>
      </w:r>
      <w:r>
        <w:rPr>
          <w:rFonts w:hint="eastAsia" w:ascii="Times New Roman" w:hAnsi="Times New Roman" w:cs="Times New Roman"/>
          <w:color w:val="FF0000"/>
          <w:szCs w:val="24"/>
          <w:shd w:val="clear" w:color="auto" w:fill="FFFFFF"/>
        </w:rPr>
        <w:t>基本不会造成声环境</w:t>
      </w:r>
      <w:r>
        <w:rPr>
          <w:rFonts w:ascii="Times New Roman" w:hAnsi="Times New Roman" w:cs="Times New Roman"/>
          <w:color w:val="FF0000"/>
          <w:szCs w:val="24"/>
          <w:shd w:val="clear" w:color="auto" w:fill="FFFFFF"/>
        </w:rPr>
        <w:t>敏感点的影响。</w:t>
      </w:r>
      <w:r>
        <w:rPr>
          <w:rFonts w:ascii="Times New Roman" w:hAnsi="Times New Roman" w:cs="Times New Roman"/>
          <w:color w:val="auto"/>
          <w:szCs w:val="24"/>
          <w:shd w:val="clear" w:color="auto" w:fill="FFFFFF"/>
        </w:rPr>
        <w:t>为进一步降低施工噪声对外环境的影响，本项目施工拟采用低噪声设备，对机械设备采取减震降噪措施，在厂界处设置临时隔声屏障，同时本评价要求夜间不施工，本项目施工期施工场界处噪声能够满足《建筑施工场界环境噪声排放标准》（GB12523-2011）标准要求。</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（2）交通运输噪声</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本工程施工物料主要依托区域城市道路繁华大道及</w:t>
      </w:r>
      <w:r>
        <w:rPr>
          <w:rFonts w:hint="eastAsia" w:ascii="Times New Roman" w:hAnsi="Times New Roman" w:cs="Times New Roman"/>
          <w:color w:val="auto"/>
          <w:szCs w:val="24"/>
          <w:shd w:val="clear" w:color="auto" w:fill="FFFFFF"/>
        </w:rPr>
        <w:t>拟建</w:t>
      </w:r>
      <w:r>
        <w:rPr>
          <w:rFonts w:ascii="Times New Roman" w:hAnsi="Times New Roman" w:cs="Times New Roman"/>
          <w:color w:val="auto"/>
          <w:szCs w:val="24"/>
          <w:shd w:val="clear" w:color="auto" w:fill="FFFFFF"/>
        </w:rPr>
        <w:t>港口路进场，</w:t>
      </w:r>
      <w:r>
        <w:rPr>
          <w:rFonts w:hint="eastAsia" w:ascii="Times New Roman" w:hAnsi="Times New Roman" w:cs="Times New Roman"/>
          <w:color w:val="auto"/>
          <w:szCs w:val="24"/>
          <w:shd w:val="clear" w:color="auto" w:fill="FFFFFF"/>
        </w:rPr>
        <w:t>根据调查，繁华大道（巢湖南路-合马路）段</w:t>
      </w:r>
      <w:r>
        <w:rPr>
          <w:rFonts w:ascii="Times New Roman" w:hAnsi="Times New Roman" w:cs="Times New Roman"/>
          <w:color w:val="auto"/>
          <w:szCs w:val="24"/>
          <w:shd w:val="clear" w:color="auto" w:fill="FFFFFF"/>
        </w:rPr>
        <w:t>道路沿线</w:t>
      </w:r>
      <w:r>
        <w:rPr>
          <w:rFonts w:hint="eastAsia" w:ascii="Times New Roman" w:hAnsi="Times New Roman" w:cs="Times New Roman"/>
          <w:color w:val="auto"/>
          <w:szCs w:val="24"/>
          <w:shd w:val="clear" w:color="auto" w:fill="FFFFFF"/>
        </w:rPr>
        <w:t>无居住小区、集中村庄</w:t>
      </w:r>
      <w:r>
        <w:rPr>
          <w:rFonts w:ascii="Times New Roman" w:hAnsi="Times New Roman" w:cs="Times New Roman"/>
          <w:color w:val="auto"/>
          <w:szCs w:val="24"/>
          <w:shd w:val="clear" w:color="auto" w:fill="FFFFFF"/>
        </w:rPr>
        <w:t>等噪声敏感目标</w:t>
      </w:r>
      <w:r>
        <w:rPr>
          <w:rFonts w:hint="eastAsia" w:ascii="Times New Roman" w:hAnsi="Times New Roman" w:cs="Times New Roman"/>
          <w:color w:val="auto"/>
          <w:szCs w:val="24"/>
          <w:shd w:val="clear" w:color="auto" w:fill="FFFFFF"/>
        </w:rPr>
        <w:t>（零星分布少量未拆迁民房）</w:t>
      </w:r>
      <w:r>
        <w:rPr>
          <w:rFonts w:ascii="Times New Roman" w:hAnsi="Times New Roman" w:cs="Times New Roman"/>
          <w:color w:val="auto"/>
          <w:szCs w:val="24"/>
          <w:shd w:val="clear" w:color="auto" w:fill="FFFFFF"/>
        </w:rPr>
        <w:t>，施工运输车辆不会产生对沿线住宅区的噪声影响。</w:t>
      </w:r>
    </w:p>
    <w:p>
      <w:pPr>
        <w:ind w:firstLine="480"/>
        <w:rPr>
          <w:rFonts w:ascii="Times New Roman" w:hAnsi="Times New Roman" w:cs="Times New Roman"/>
          <w:color w:val="FF0000"/>
        </w:rPr>
      </w:pPr>
      <w:r>
        <w:rPr>
          <w:rFonts w:ascii="Times New Roman" w:hAnsi="Times New Roman" w:cs="Times New Roman"/>
          <w:color w:val="auto"/>
          <w:szCs w:val="24"/>
          <w:shd w:val="clear" w:color="auto" w:fill="FFFFFF"/>
        </w:rPr>
        <w:t>本评价要求运输车辆应避开午休和夜间运输，严禁鸣笛，降低车速，尽可能的降低对道路运输带来的不良环境影响。</w:t>
      </w:r>
      <w:bookmarkEnd w:id="380"/>
      <w:bookmarkStart w:id="381" w:name="_Toc26734"/>
      <w:bookmarkStart w:id="382" w:name="_Toc30835"/>
      <w:bookmarkStart w:id="383" w:name="_Toc1888"/>
    </w:p>
    <w:p>
      <w:pPr>
        <w:pStyle w:val="4"/>
        <w:rPr>
          <w:rFonts w:ascii="Times New Roman" w:hAnsi="Times New Roman" w:cs="Times New Roman"/>
          <w:color w:val="FF0000"/>
          <w:szCs w:val="24"/>
        </w:rPr>
      </w:pPr>
      <w:bookmarkStart w:id="384" w:name="_Toc104733393"/>
      <w:bookmarkStart w:id="385" w:name="_Toc102984362"/>
      <w:r>
        <w:rPr>
          <w:rFonts w:ascii="Times New Roman" w:hAnsi="Times New Roman" w:cs="Times New Roman"/>
          <w:color w:val="FF0000"/>
          <w:szCs w:val="24"/>
        </w:rPr>
        <w:t>5.1.4施工期固废影响</w:t>
      </w:r>
      <w:bookmarkEnd w:id="384"/>
      <w:bookmarkEnd w:id="385"/>
    </w:p>
    <w:p>
      <w:pPr>
        <w:adjustRightInd/>
        <w:ind w:firstLine="480"/>
        <w:rPr>
          <w:rFonts w:ascii="Times New Roman" w:hAnsi="Times New Roman" w:cs="Times New Roman"/>
          <w:color w:val="auto"/>
          <w:szCs w:val="24"/>
          <w:shd w:val="clear" w:color="auto" w:fill="FFFFFF"/>
        </w:rPr>
      </w:pPr>
      <w:bookmarkStart w:id="386" w:name="_Hlk46331462"/>
      <w:r>
        <w:rPr>
          <w:rFonts w:ascii="Times New Roman" w:hAnsi="Times New Roman" w:cs="Times New Roman"/>
          <w:color w:val="auto"/>
          <w:szCs w:val="24"/>
          <w:shd w:val="clear" w:color="auto" w:fill="FFFFFF"/>
        </w:rPr>
        <w:t>本工程施工期产生的固体废弃物主要为施工弃土（陆域清淤淤泥）、水下疏浚挖方、施工人员生活垃圾。</w:t>
      </w:r>
    </w:p>
    <w:p>
      <w:pPr>
        <w:adjustRightInd/>
        <w:ind w:firstLine="480"/>
        <w:rPr>
          <w:rFonts w:ascii="Times New Roman" w:hAnsi="Times New Roman" w:cs="Times New Roman"/>
          <w:color w:val="FF0000"/>
          <w:szCs w:val="24"/>
          <w:shd w:val="clear" w:color="auto" w:fill="FFFFFF"/>
        </w:rPr>
      </w:pPr>
      <w:r>
        <w:rPr>
          <w:rFonts w:ascii="Times New Roman" w:hAnsi="Times New Roman" w:cs="Times New Roman"/>
          <w:color w:val="FF0000"/>
          <w:szCs w:val="24"/>
          <w:shd w:val="clear" w:color="auto" w:fill="FFFFFF"/>
        </w:rPr>
        <w:t>1、工程弃土方</w:t>
      </w:r>
    </w:p>
    <w:p>
      <w:pPr>
        <w:pStyle w:val="25"/>
        <w:spacing w:line="360" w:lineRule="auto"/>
        <w:ind w:firstLine="480"/>
        <w:rPr>
          <w:rFonts w:ascii="Times New Roman" w:hAnsi="Times New Roman" w:cs="Times New Roman"/>
          <w:color w:val="FF0000"/>
        </w:rPr>
      </w:pPr>
      <w:r>
        <w:rPr>
          <w:rFonts w:ascii="Times New Roman" w:hAnsi="Times New Roman" w:cs="Times New Roman"/>
          <w:color w:val="FF0000"/>
          <w:szCs w:val="24"/>
          <w:shd w:val="clear" w:color="auto" w:fill="FFFFFF"/>
        </w:rPr>
        <w:t>码头工程水下疏浚</w:t>
      </w:r>
      <w:r>
        <w:rPr>
          <w:rFonts w:ascii="Times New Roman" w:hAnsi="Times New Roman" w:cs="Times New Roman"/>
          <w:bCs/>
          <w:color w:val="FF0000"/>
          <w:szCs w:val="24"/>
          <w:shd w:val="clear" w:color="auto" w:fill="FFFFFF"/>
        </w:rPr>
        <w:t>土方吹填至</w:t>
      </w:r>
      <w:r>
        <w:rPr>
          <w:rFonts w:ascii="Times New Roman" w:hAnsi="Times New Roman" w:cs="Times New Roman"/>
          <w:color w:val="FF0000"/>
          <w:szCs w:val="24"/>
          <w:shd w:val="clear" w:color="auto" w:fill="FFFFFF"/>
        </w:rPr>
        <w:t>店埠河下游撮镇张湾抛泥区</w:t>
      </w:r>
      <w:r>
        <w:rPr>
          <w:rFonts w:ascii="Times New Roman" w:hAnsi="Times New Roman" w:cs="Times New Roman"/>
          <w:bCs/>
          <w:color w:val="FF0000"/>
          <w:szCs w:val="24"/>
          <w:shd w:val="clear" w:color="auto" w:fill="FFFFFF"/>
        </w:rPr>
        <w:t>中沉淀干化，</w:t>
      </w:r>
      <w:r>
        <w:rPr>
          <w:rFonts w:ascii="Times New Roman" w:hAnsi="Times New Roman" w:cs="Times New Roman"/>
          <w:color w:val="FF0000"/>
          <w:szCs w:val="24"/>
          <w:shd w:val="clear" w:color="auto" w:fill="FFFFFF"/>
        </w:rPr>
        <w:t>抛泥区位于本项目</w:t>
      </w:r>
      <w:r>
        <w:rPr>
          <w:rFonts w:hint="eastAsia" w:ascii="Times New Roman" w:hAnsi="Times New Roman" w:cs="Times New Roman"/>
          <w:color w:val="FF0000"/>
          <w:szCs w:val="24"/>
          <w:shd w:val="clear" w:color="auto" w:fill="FFFFFF"/>
        </w:rPr>
        <w:t>西</w:t>
      </w:r>
      <w:r>
        <w:rPr>
          <w:rFonts w:ascii="Times New Roman" w:hAnsi="Times New Roman" w:cs="Times New Roman"/>
          <w:color w:val="FF0000"/>
          <w:szCs w:val="24"/>
          <w:shd w:val="clear" w:color="auto" w:fill="FFFFFF"/>
        </w:rPr>
        <w:t>南侧，距离本项目约2.8km泥区临时占地面积约为100000m</w:t>
      </w:r>
      <w:r>
        <w:rPr>
          <w:rFonts w:ascii="Times New Roman" w:hAnsi="Times New Roman" w:cs="Times New Roman"/>
          <w:color w:val="FF0000"/>
          <w:szCs w:val="24"/>
          <w:shd w:val="clear" w:color="auto" w:fill="FFFFFF"/>
          <w:vertAlign w:val="superscript"/>
        </w:rPr>
        <w:t>2</w:t>
      </w:r>
      <w:r>
        <w:rPr>
          <w:rFonts w:ascii="Times New Roman" w:hAnsi="Times New Roman" w:cs="Times New Roman"/>
          <w:color w:val="FF0000"/>
          <w:szCs w:val="24"/>
          <w:shd w:val="clear" w:color="auto" w:fill="FFFFFF"/>
        </w:rPr>
        <w:t>，容积31</w:t>
      </w:r>
      <w:r>
        <w:rPr>
          <w:rFonts w:ascii="Times New Roman" w:hAnsi="Times New Roman" w:cs="Times New Roman"/>
          <w:bCs/>
          <w:color w:val="FF0000"/>
          <w:szCs w:val="24"/>
          <w:shd w:val="clear" w:color="auto" w:fill="FFFFFF"/>
        </w:rPr>
        <w:t>万m</w:t>
      </w:r>
      <w:r>
        <w:rPr>
          <w:rFonts w:ascii="Times New Roman" w:hAnsi="Times New Roman" w:cs="Times New Roman"/>
          <w:bCs/>
          <w:color w:val="FF0000"/>
          <w:szCs w:val="24"/>
          <w:shd w:val="clear" w:color="auto" w:fill="FFFFFF"/>
          <w:vertAlign w:val="superscript"/>
        </w:rPr>
        <w:t>3</w:t>
      </w:r>
      <w:r>
        <w:rPr>
          <w:rFonts w:ascii="Times New Roman" w:hAnsi="Times New Roman" w:cs="Times New Roman"/>
          <w:bCs/>
          <w:color w:val="FF0000"/>
          <w:szCs w:val="24"/>
          <w:shd w:val="clear" w:color="auto" w:fill="FFFFFF"/>
        </w:rPr>
        <w:t>，</w:t>
      </w:r>
      <w:r>
        <w:rPr>
          <w:rFonts w:hint="eastAsia" w:ascii="Times New Roman" w:hAnsi="Times New Roman" w:cs="Times New Roman"/>
          <w:bCs/>
          <w:color w:val="FF0000"/>
          <w:szCs w:val="24"/>
          <w:shd w:val="clear" w:color="auto" w:fill="FFFFFF"/>
        </w:rPr>
        <w:t>水下疏浚直接采取绞吸式挖泥船通过管道输送至抛泥区，</w:t>
      </w:r>
      <w:r>
        <w:rPr>
          <w:rFonts w:ascii="Times New Roman" w:hAnsi="Times New Roman" w:cs="Times New Roman"/>
          <w:bCs/>
          <w:color w:val="FF0000"/>
          <w:szCs w:val="24"/>
          <w:shd w:val="clear" w:color="auto" w:fill="FFFFFF"/>
        </w:rPr>
        <w:t>抛泥区</w:t>
      </w:r>
      <w:r>
        <w:rPr>
          <w:rFonts w:hint="eastAsia" w:ascii="Times New Roman" w:hAnsi="Times New Roman" w:cs="Times New Roman"/>
          <w:bCs/>
          <w:color w:val="FF0000"/>
          <w:szCs w:val="24"/>
          <w:shd w:val="clear" w:color="auto" w:fill="FFFFFF"/>
        </w:rPr>
        <w:t>采取</w:t>
      </w:r>
      <w:r>
        <w:rPr>
          <w:rFonts w:ascii="Times New Roman" w:hAnsi="Times New Roman" w:cs="Times New Roman"/>
          <w:bCs/>
          <w:color w:val="FF0000"/>
          <w:szCs w:val="24"/>
          <w:shd w:val="clear" w:color="auto" w:fill="FFFFFF"/>
        </w:rPr>
        <w:t>围堰</w:t>
      </w:r>
      <w:r>
        <w:rPr>
          <w:rFonts w:hint="eastAsia" w:ascii="Times New Roman" w:hAnsi="Times New Roman" w:cs="Times New Roman"/>
          <w:bCs/>
          <w:color w:val="FF0000"/>
          <w:szCs w:val="24"/>
          <w:shd w:val="clear" w:color="auto" w:fill="FFFFFF"/>
        </w:rPr>
        <w:t>及余水收集处理池对余水进行处理</w:t>
      </w:r>
      <w:r>
        <w:rPr>
          <w:rFonts w:ascii="Times New Roman" w:hAnsi="Times New Roman" w:cs="Times New Roman"/>
          <w:bCs/>
          <w:color w:val="FF0000"/>
          <w:szCs w:val="24"/>
          <w:shd w:val="clear" w:color="auto" w:fill="FFFFFF"/>
        </w:rPr>
        <w:t>，施工结束后</w:t>
      </w:r>
      <w:r>
        <w:rPr>
          <w:rFonts w:hint="eastAsia" w:ascii="Times New Roman" w:hAnsi="Times New Roman" w:cs="Times New Roman"/>
          <w:bCs/>
          <w:color w:val="FF0000"/>
          <w:szCs w:val="24"/>
          <w:shd w:val="clear" w:color="auto" w:fill="FFFFFF"/>
        </w:rPr>
        <w:t>对</w:t>
      </w:r>
      <w:r>
        <w:rPr>
          <w:rFonts w:ascii="Times New Roman" w:hAnsi="Times New Roman" w:cs="Times New Roman"/>
          <w:bCs/>
          <w:color w:val="FF0000"/>
          <w:szCs w:val="24"/>
          <w:shd w:val="clear" w:color="auto" w:fill="FFFFFF"/>
        </w:rPr>
        <w:t>抛泥区</w:t>
      </w:r>
      <w:r>
        <w:rPr>
          <w:rFonts w:hint="eastAsia" w:ascii="Times New Roman" w:hAnsi="Times New Roman" w:cs="Times New Roman"/>
          <w:bCs/>
          <w:color w:val="FF0000"/>
          <w:szCs w:val="24"/>
          <w:shd w:val="clear" w:color="auto" w:fill="FFFFFF"/>
        </w:rPr>
        <w:t>采取水生植物的绿化</w:t>
      </w:r>
      <w:r>
        <w:rPr>
          <w:rFonts w:ascii="Times New Roman" w:hAnsi="Times New Roman" w:cs="Times New Roman"/>
          <w:color w:val="FF0000"/>
          <w:szCs w:val="24"/>
          <w:shd w:val="clear" w:color="auto" w:fill="FFFFFF"/>
        </w:rPr>
        <w:t>。本项目抛泥区选址较为合理，</w:t>
      </w:r>
      <w:r>
        <w:rPr>
          <w:rFonts w:hint="eastAsia" w:ascii="Times New Roman" w:hAnsi="Times New Roman" w:cs="Times New Roman"/>
          <w:color w:val="FF0000"/>
          <w:szCs w:val="24"/>
          <w:shd w:val="clear" w:color="auto" w:fill="FFFFFF"/>
        </w:rPr>
        <w:t>不占用农田耕地及生态红线；</w:t>
      </w:r>
      <w:r>
        <w:rPr>
          <w:rFonts w:ascii="Times New Roman" w:hAnsi="Times New Roman" w:cs="Times New Roman"/>
          <w:color w:val="FF0000"/>
          <w:szCs w:val="24"/>
          <w:shd w:val="clear" w:color="auto" w:fill="FFFFFF"/>
        </w:rPr>
        <w:t>周边</w:t>
      </w:r>
      <w:r>
        <w:rPr>
          <w:rFonts w:hint="eastAsia" w:ascii="Times New Roman" w:hAnsi="Times New Roman" w:cs="Times New Roman"/>
          <w:color w:val="FF0000"/>
          <w:szCs w:val="24"/>
          <w:shd w:val="clear" w:color="auto" w:fill="FFFFFF"/>
        </w:rPr>
        <w:t>3</w:t>
      </w:r>
      <w:r>
        <w:rPr>
          <w:rFonts w:ascii="Times New Roman" w:hAnsi="Times New Roman" w:cs="Times New Roman"/>
          <w:color w:val="FF0000"/>
          <w:szCs w:val="24"/>
          <w:shd w:val="clear" w:color="auto" w:fill="FFFFFF"/>
        </w:rPr>
        <w:t>00m范围内不存在居民区、学校等环境敏感目标；本项目产生的弃土均能够得到有效处理处置，对外环境影响很小。</w:t>
      </w:r>
    </w:p>
    <w:p>
      <w:pPr>
        <w:adjustRightInd/>
        <w:ind w:firstLine="480"/>
        <w:rPr>
          <w:rFonts w:ascii="Times New Roman" w:hAnsi="Times New Roman" w:cs="Times New Roman"/>
          <w:color w:val="FF0000"/>
          <w:szCs w:val="24"/>
          <w:shd w:val="clear" w:color="auto" w:fill="FFFFFF"/>
        </w:rPr>
      </w:pPr>
      <w:r>
        <w:rPr>
          <w:rFonts w:hint="eastAsia" w:ascii="Times New Roman" w:hAnsi="Times New Roman" w:cs="Times New Roman"/>
          <w:color w:val="FF0000"/>
          <w:szCs w:val="24"/>
          <w:shd w:val="clear" w:color="auto" w:fill="FFFFFF"/>
        </w:rPr>
        <w:t>根据建设单位与合肥循环经济示范园管委会的土石方协议；本项目陆域借方及弃土方均由合肥循环经济师范园管委会在园区建设项目中进行调配，本项目不设取弃土场；</w:t>
      </w:r>
      <w:r>
        <w:rPr>
          <w:rFonts w:ascii="Times New Roman" w:hAnsi="Times New Roman" w:cs="Times New Roman"/>
          <w:color w:val="FF0000"/>
          <w:szCs w:val="24"/>
          <w:shd w:val="clear" w:color="auto" w:fill="FFFFFF"/>
        </w:rPr>
        <w:t>陆域清表产生的表层土堆放在项目施工区内的临时堆土区内，清表土方约为0.32万m</w:t>
      </w:r>
      <w:r>
        <w:rPr>
          <w:rFonts w:ascii="Times New Roman" w:hAnsi="Times New Roman" w:cs="Times New Roman"/>
          <w:color w:val="FF0000"/>
          <w:szCs w:val="24"/>
          <w:shd w:val="clear" w:color="auto" w:fill="FFFFFF"/>
          <w:vertAlign w:val="superscript"/>
        </w:rPr>
        <w:t>3</w:t>
      </w:r>
      <w:r>
        <w:rPr>
          <w:rFonts w:ascii="Times New Roman" w:hAnsi="Times New Roman" w:cs="Times New Roman"/>
          <w:color w:val="FF0000"/>
          <w:szCs w:val="24"/>
          <w:shd w:val="clear" w:color="auto" w:fill="FFFFFF"/>
        </w:rPr>
        <w:t>，用于陆域绿化覆土。</w:t>
      </w:r>
    </w:p>
    <w:p>
      <w:pPr>
        <w:pStyle w:val="25"/>
        <w:ind w:firstLine="0" w:firstLineChars="0"/>
        <w:rPr>
          <w:rFonts w:ascii="Times New Roman" w:hAnsi="Times New Roman" w:cs="Times New Roman"/>
          <w:color w:val="auto"/>
          <w:szCs w:val="24"/>
          <w:shd w:val="clear" w:color="auto" w:fill="FFFFFF"/>
        </w:rPr>
      </w:pPr>
      <w:r>
        <mc:AlternateContent>
          <mc:Choice Requires="wps">
            <w:drawing>
              <wp:anchor distT="0" distB="0" distL="114300" distR="114300" simplePos="0" relativeHeight="251641856" behindDoc="0" locked="0" layoutInCell="1" allowOverlap="1">
                <wp:simplePos x="0" y="0"/>
                <wp:positionH relativeFrom="column">
                  <wp:posOffset>383540</wp:posOffset>
                </wp:positionH>
                <wp:positionV relativeFrom="paragraph">
                  <wp:posOffset>3600450</wp:posOffset>
                </wp:positionV>
                <wp:extent cx="1237615" cy="285750"/>
                <wp:effectExtent l="6985" t="13970" r="517525" b="614680"/>
                <wp:wrapNone/>
                <wp:docPr id="224" name="AutoShape 3273"/>
                <wp:cNvGraphicFramePr/>
                <a:graphic xmlns:a="http://schemas.openxmlformats.org/drawingml/2006/main">
                  <a:graphicData uri="http://schemas.microsoft.com/office/word/2010/wordprocessingShape">
                    <wps:wsp>
                      <wps:cNvSpPr>
                        <a:spLocks noChangeArrowheads="true"/>
                      </wps:cNvSpPr>
                      <wps:spPr bwMode="auto">
                        <a:xfrm>
                          <a:off x="0" y="0"/>
                          <a:ext cx="1237615" cy="285750"/>
                        </a:xfrm>
                        <a:prstGeom prst="wedgeRoundRectCallout">
                          <a:avLst>
                            <a:gd name="adj1" fmla="val 87866"/>
                            <a:gd name="adj2" fmla="val 252000"/>
                            <a:gd name="adj3" fmla="val 16667"/>
                          </a:avLst>
                        </a:prstGeom>
                        <a:noFill/>
                        <a:ln w="9525">
                          <a:solidFill>
                            <a:srgbClr val="FF0000"/>
                          </a:solidFill>
                          <a:miter lim="800000"/>
                        </a:ln>
                      </wps:spPr>
                      <wps:txbx>
                        <w:txbxContent>
                          <w:p>
                            <w:pPr>
                              <w:ind w:firstLine="0" w:firstLineChars="0"/>
                              <w:rPr>
                                <w:color w:val="0000FF"/>
                                <w:sz w:val="18"/>
                                <w:szCs w:val="18"/>
                                <w:highlight w:val="yellow"/>
                              </w:rPr>
                            </w:pPr>
                            <w:r>
                              <w:rPr>
                                <w:rFonts w:hint="eastAsia"/>
                                <w:color w:val="0000FF"/>
                                <w:sz w:val="18"/>
                                <w:szCs w:val="18"/>
                                <w:highlight w:val="yellow"/>
                              </w:rPr>
                              <w:t>水下疏浚方抛泥区</w:t>
                            </w:r>
                          </w:p>
                        </w:txbxContent>
                      </wps:txbx>
                      <wps:bodyPr rot="0" vert="horz" wrap="square" lIns="91440" tIns="45720" rIns="91440" bIns="45720" anchor="t" anchorCtr="false" upright="true">
                        <a:noAutofit/>
                      </wps:bodyPr>
                    </wps:wsp>
                  </a:graphicData>
                </a:graphic>
              </wp:anchor>
            </w:drawing>
          </mc:Choice>
          <mc:Fallback>
            <w:pict>
              <v:shape id="AutoShape 3273" o:spid="_x0000_s1026" o:spt="62" type="#_x0000_t62" style="position:absolute;left:0pt;margin-left:30.2pt;margin-top:283.5pt;height:22.5pt;width:97.45pt;z-index:251641856;mso-width-relative:page;mso-height-relative:page;" filled="f" stroked="t" coordsize="21600,21600" o:gfxdata="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FgAAAGRycy9QSwECFAAUAAAA&#10;CACHTuJAKTwFm9UAAAAKAQAADwAAAAAAAAABACAAAAA4AAAAZHJzL2Rvd25yZXYueG1sUEsBAhQA&#10;FAAAAAgAh07iQDdWCDpRAgAAnAQAAA4AAAAAAAAAAQAgAAAAOgEAAGRycy9lMm9Eb2MueG1sUEsF&#10;BgAAAAAGAAYAWQEAAP0FAAAAAA==&#10;" adj="29779,65232,14400">
                <v:fill on="f" focussize="0,0"/>
                <v:stroke color="#FF0000" miterlimit="8" joinstyle="miter"/>
                <v:imagedata o:title=""/>
                <o:lock v:ext="edit" aspectratio="f"/>
                <v:textbox>
                  <w:txbxContent>
                    <w:p>
                      <w:pPr>
                        <w:ind w:firstLine="0" w:firstLineChars="0"/>
                        <w:rPr>
                          <w:color w:val="0000FF"/>
                          <w:sz w:val="18"/>
                          <w:szCs w:val="18"/>
                          <w:highlight w:val="yellow"/>
                        </w:rPr>
                      </w:pPr>
                      <w:r>
                        <w:rPr>
                          <w:rFonts w:hint="eastAsia"/>
                          <w:color w:val="0000FF"/>
                          <w:sz w:val="18"/>
                          <w:szCs w:val="18"/>
                          <w:highlight w:val="yellow"/>
                        </w:rPr>
                        <w:t>水下疏浚方抛泥区</w:t>
                      </w:r>
                    </w:p>
                  </w:txbxContent>
                </v:textbox>
              </v:shape>
            </w:pict>
          </mc:Fallback>
        </mc:AlternateContent>
      </w:r>
      <w:r>
        <w:t xml:space="preserve"> </w:t>
      </w:r>
      <w:r>
        <w:rPr>
          <w:rFonts w:ascii="Times New Roman" w:hAnsi="Times New Roman" w:cs="Times New Roman"/>
          <w:b/>
          <w:bCs/>
          <w:sz w:val="22"/>
        </w:rPr>
        <w:t xml:space="preserve"> </w:t>
      </w:r>
      <w:r>
        <w:rPr>
          <w:rFonts w:ascii="Times New Roman" w:hAnsi="Times New Roman" w:cs="Times New Roman"/>
          <w:color w:val="auto"/>
          <w:szCs w:val="24"/>
          <w:shd w:val="clear" w:color="auto" w:fill="FFFFFF"/>
        </w:rPr>
        <w:t>2、生活垃圾</w:t>
      </w:r>
    </w:p>
    <w:p>
      <w:pPr>
        <w:pStyle w:val="25"/>
        <w:spacing w:line="360" w:lineRule="auto"/>
        <w:ind w:firstLine="480"/>
        <w:rPr>
          <w:rFonts w:ascii="Times New Roman" w:hAnsi="Times New Roman" w:cs="Times New Roman"/>
          <w:color w:val="FF0000"/>
        </w:rPr>
      </w:pPr>
      <w:r>
        <w:rPr>
          <w:rFonts w:ascii="Times New Roman" w:hAnsi="Times New Roman" w:cs="Times New Roman"/>
          <w:color w:val="auto"/>
          <w:szCs w:val="24"/>
          <w:shd w:val="clear" w:color="auto" w:fill="FFFFFF"/>
        </w:rPr>
        <w:t>本工程施工期约600d，施工人员共约130人（包括施工船舶人员），按人均每天产生活垃圾0.5kg预测，共约产生54t生活垃圾。生活垃圾可集中堆放后由环卫部门及时清运处置，减轻对环境的影响。</w:t>
      </w:r>
    </w:p>
    <w:p>
      <w:pPr>
        <w:pStyle w:val="3550"/>
        <w:spacing w:before="0" w:after="0"/>
        <w:ind w:firstLine="480" w:firstLineChars="200"/>
        <w:rPr>
          <w:rFonts w:ascii="Times New Roman" w:hAnsi="Times New Roman" w:cs="Times New Roman"/>
          <w:color w:val="auto"/>
          <w:kern w:val="2"/>
          <w:sz w:val="24"/>
          <w:szCs w:val="22"/>
        </w:rPr>
      </w:pPr>
      <w:r>
        <w:rPr>
          <w:rFonts w:ascii="Times New Roman" w:hAnsi="Times New Roman" w:cs="Times New Roman"/>
          <w:color w:val="auto"/>
          <w:kern w:val="2"/>
          <w:sz w:val="24"/>
          <w:szCs w:val="22"/>
        </w:rPr>
        <w:t>施工期严格落实相关环保措施，严禁将各类废水、废液、废渣排入店埠河水体，不会对店埠河及下游水生态环境产生不利影响。</w:t>
      </w:r>
    </w:p>
    <w:p>
      <w:pPr>
        <w:pStyle w:val="4"/>
        <w:rPr>
          <w:rFonts w:ascii="Times New Roman" w:hAnsi="Times New Roman" w:cs="Times New Roman"/>
          <w:color w:val="FF0000"/>
          <w:szCs w:val="24"/>
        </w:rPr>
      </w:pPr>
      <w:bookmarkStart w:id="387" w:name="_Toc102984363"/>
      <w:bookmarkStart w:id="388" w:name="_Toc104733394"/>
      <w:r>
        <w:rPr>
          <w:rFonts w:ascii="Times New Roman" w:hAnsi="Times New Roman" w:cs="Times New Roman"/>
          <w:color w:val="FF0000"/>
          <w:szCs w:val="24"/>
        </w:rPr>
        <w:t>5.1.5施工期生态影响</w:t>
      </w:r>
      <w:bookmarkEnd w:id="387"/>
      <w:bookmarkEnd w:id="388"/>
    </w:p>
    <w:p>
      <w:pPr>
        <w:pStyle w:val="5"/>
        <w:numPr>
          <w:ilvl w:val="0"/>
          <w:numId w:val="0"/>
        </w:numPr>
        <w:spacing w:after="0" w:line="360" w:lineRule="auto"/>
        <w:rPr>
          <w:rFonts w:ascii="Times New Roman" w:hAnsi="Times New Roman" w:cs="Times New Roman"/>
          <w:color w:val="FF0000"/>
          <w:sz w:val="24"/>
          <w:szCs w:val="21"/>
        </w:rPr>
      </w:pPr>
      <w:r>
        <w:rPr>
          <w:rFonts w:ascii="Times New Roman" w:hAnsi="Times New Roman" w:cs="Times New Roman"/>
          <w:color w:val="FF0000"/>
          <w:sz w:val="24"/>
          <w:szCs w:val="21"/>
        </w:rPr>
        <w:t>5.1.5.1施工期陆域生态影响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（1）陆域生态影响分析</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工程占用陆域用地为河滩地、荒地、藕塘，</w:t>
      </w:r>
      <w:r>
        <w:rPr>
          <w:rFonts w:ascii="Times New Roman" w:hAnsi="Times New Roman" w:cs="Times New Roman"/>
          <w:color w:val="auto"/>
          <w:szCs w:val="24"/>
          <w:shd w:val="clear" w:color="auto" w:fill="FFFFFF"/>
          <w:lang w:val="en-GB"/>
        </w:rPr>
        <w:t>工程永久用地施工将扰动原地</w:t>
      </w:r>
      <w:r>
        <w:rPr>
          <w:rFonts w:ascii="Times New Roman" w:hAnsi="Times New Roman" w:cs="Times New Roman"/>
          <w:color w:val="auto"/>
          <w:szCs w:val="24"/>
          <w:shd w:val="clear" w:color="auto" w:fill="FFFFFF"/>
        </w:rPr>
        <w:t>表面积为270亩</w:t>
      </w:r>
      <w:r>
        <w:rPr>
          <w:rFonts w:ascii="Times New Roman" w:hAnsi="Times New Roman" w:cs="Times New Roman"/>
          <w:color w:val="FF0000"/>
          <w:szCs w:val="24"/>
          <w:shd w:val="clear" w:color="auto" w:fill="FFFFFF"/>
        </w:rPr>
        <w:t>（180000m</w:t>
      </w:r>
      <w:r>
        <w:rPr>
          <w:rFonts w:ascii="Times New Roman" w:hAnsi="Times New Roman" w:cs="Times New Roman"/>
          <w:color w:val="FF0000"/>
          <w:szCs w:val="24"/>
          <w:shd w:val="clear" w:color="auto" w:fill="FFFFFF"/>
          <w:vertAlign w:val="superscript"/>
        </w:rPr>
        <w:t>2</w:t>
      </w:r>
      <w:r>
        <w:rPr>
          <w:rFonts w:ascii="Times New Roman" w:hAnsi="Times New Roman" w:cs="Times New Roman"/>
          <w:color w:val="FF0000"/>
          <w:szCs w:val="24"/>
          <w:shd w:val="clear" w:color="auto" w:fill="FFFFFF"/>
        </w:rPr>
        <w:t>）</w:t>
      </w:r>
      <w:r>
        <w:rPr>
          <w:rFonts w:ascii="Times New Roman" w:hAnsi="Times New Roman" w:cs="Times New Roman"/>
          <w:color w:val="auto"/>
          <w:szCs w:val="24"/>
          <w:shd w:val="clear" w:color="auto" w:fill="FFFFFF"/>
        </w:rPr>
        <w:t>，抛泥区临时用地扰动地表面积为100000m</w:t>
      </w:r>
      <w:r>
        <w:rPr>
          <w:rFonts w:ascii="Times New Roman" w:hAnsi="Times New Roman" w:cs="Times New Roman"/>
          <w:color w:val="auto"/>
          <w:szCs w:val="24"/>
          <w:shd w:val="clear" w:color="auto" w:fill="FFFFFF"/>
          <w:vertAlign w:val="superscript"/>
        </w:rPr>
        <w:t>2</w:t>
      </w:r>
      <w:r>
        <w:rPr>
          <w:rFonts w:ascii="Times New Roman" w:hAnsi="Times New Roman" w:cs="Times New Roman"/>
          <w:color w:val="auto"/>
          <w:szCs w:val="24"/>
          <w:shd w:val="clear" w:color="auto" w:fill="FFFFFF"/>
          <w:lang w:val="en-GB"/>
        </w:rPr>
        <w:t>。</w:t>
      </w:r>
      <w:r>
        <w:rPr>
          <w:rFonts w:ascii="Times New Roman" w:hAnsi="Times New Roman" w:cs="Times New Roman"/>
          <w:color w:val="auto"/>
          <w:szCs w:val="24"/>
          <w:shd w:val="clear" w:color="auto" w:fill="FFFFFF"/>
        </w:rPr>
        <w:t>本工程的建设施工会造成部分陆域生态环境损失，主要包括店埠河两岸常见树种意杨、</w:t>
      </w:r>
      <w:r>
        <w:rPr>
          <w:rFonts w:hint="eastAsia" w:ascii="Times New Roman" w:hAnsi="Times New Roman" w:cs="Times New Roman"/>
          <w:color w:val="auto"/>
          <w:szCs w:val="24"/>
          <w:shd w:val="clear" w:color="auto" w:fill="FFFFFF"/>
        </w:rPr>
        <w:t>构树、</w:t>
      </w:r>
      <w:r>
        <w:rPr>
          <w:rFonts w:ascii="Times New Roman" w:hAnsi="Times New Roman" w:cs="Times New Roman"/>
          <w:color w:val="auto"/>
          <w:szCs w:val="24"/>
          <w:shd w:val="clear" w:color="auto" w:fill="FFFFFF"/>
        </w:rPr>
        <w:t>柳树和少量自然生长的</w:t>
      </w:r>
      <w:r>
        <w:rPr>
          <w:rFonts w:hint="eastAsia" w:ascii="Times New Roman" w:hAnsi="Times New Roman" w:cs="Times New Roman"/>
          <w:color w:val="auto"/>
          <w:szCs w:val="24"/>
          <w:shd w:val="clear" w:color="auto" w:fill="FFFFFF"/>
        </w:rPr>
        <w:t>灌木</w:t>
      </w:r>
      <w:r>
        <w:rPr>
          <w:rFonts w:ascii="Times New Roman" w:hAnsi="Times New Roman" w:cs="Times New Roman"/>
          <w:color w:val="auto"/>
          <w:szCs w:val="24"/>
          <w:shd w:val="clear" w:color="auto" w:fill="FFFFFF"/>
        </w:rPr>
        <w:t>杂草。项目占地范围内均</w:t>
      </w:r>
      <w:r>
        <w:rPr>
          <w:rFonts w:hint="eastAsia" w:ascii="Times New Roman" w:hAnsi="Times New Roman" w:cs="Times New Roman"/>
          <w:color w:val="auto"/>
          <w:szCs w:val="24"/>
          <w:shd w:val="clear" w:color="auto" w:fill="FFFFFF"/>
        </w:rPr>
        <w:t>现状为</w:t>
      </w:r>
      <w:r>
        <w:rPr>
          <w:rFonts w:ascii="Times New Roman" w:hAnsi="Times New Roman" w:cs="Times New Roman"/>
          <w:color w:val="auto"/>
          <w:szCs w:val="24"/>
          <w:shd w:val="clear" w:color="auto" w:fill="FFFFFF"/>
        </w:rPr>
        <w:t>建设用地</w:t>
      </w:r>
      <w:r>
        <w:rPr>
          <w:rFonts w:hint="eastAsia" w:ascii="Times New Roman" w:hAnsi="Times New Roman" w:cs="Times New Roman"/>
          <w:color w:val="auto"/>
          <w:szCs w:val="24"/>
          <w:shd w:val="clear" w:color="auto" w:fill="FFFFFF"/>
        </w:rPr>
        <w:t>及少量耕地，不占用基本农田</w:t>
      </w:r>
      <w:r>
        <w:rPr>
          <w:rFonts w:ascii="Times New Roman" w:hAnsi="Times New Roman" w:cs="Times New Roman"/>
          <w:color w:val="auto"/>
          <w:szCs w:val="24"/>
          <w:shd w:val="clear" w:color="auto" w:fill="FFFFFF"/>
        </w:rPr>
        <w:t>，</w:t>
      </w:r>
      <w:r>
        <w:rPr>
          <w:rFonts w:hint="eastAsia" w:ascii="Times New Roman" w:hAnsi="Times New Roman" w:cs="Times New Roman"/>
          <w:color w:val="auto"/>
          <w:szCs w:val="24"/>
          <w:shd w:val="clear" w:color="auto" w:fill="FFFFFF"/>
        </w:rPr>
        <w:t>由于本项目属于合肥循环经济示范园的规划范围；项目建设对</w:t>
      </w:r>
      <w:r>
        <w:rPr>
          <w:rFonts w:ascii="Times New Roman" w:hAnsi="Times New Roman" w:cs="Times New Roman"/>
          <w:color w:val="auto"/>
          <w:szCs w:val="24"/>
          <w:shd w:val="clear" w:color="auto" w:fill="FFFFFF"/>
        </w:rPr>
        <w:t>陆域农业生态</w:t>
      </w:r>
      <w:r>
        <w:rPr>
          <w:rFonts w:hint="eastAsia" w:ascii="Times New Roman" w:hAnsi="Times New Roman" w:cs="Times New Roman"/>
          <w:color w:val="auto"/>
          <w:szCs w:val="24"/>
          <w:shd w:val="clear" w:color="auto" w:fill="FFFFFF"/>
        </w:rPr>
        <w:t>的影响很小</w:t>
      </w:r>
      <w:r>
        <w:rPr>
          <w:rFonts w:ascii="Times New Roman" w:hAnsi="Times New Roman" w:cs="Times New Roman"/>
          <w:color w:val="auto"/>
          <w:szCs w:val="24"/>
          <w:shd w:val="clear" w:color="auto" w:fill="FFFFFF"/>
        </w:rPr>
        <w:t>。</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工程施工不可避免对工程所在区域地表植被造成破坏，工程区域主要为杨树、柳树等当地一般性常见树种，无珍稀名贵古树名木。工程所在地受人类活动开发的影响，无</w:t>
      </w:r>
      <w:r>
        <w:rPr>
          <w:rFonts w:hint="eastAsia" w:ascii="Times New Roman" w:hAnsi="Times New Roman" w:cs="Times New Roman"/>
          <w:color w:val="auto"/>
          <w:szCs w:val="24"/>
          <w:shd w:val="clear" w:color="auto" w:fill="FFFFFF"/>
        </w:rPr>
        <w:t>珍稀</w:t>
      </w:r>
      <w:r>
        <w:rPr>
          <w:rFonts w:ascii="Times New Roman" w:hAnsi="Times New Roman" w:cs="Times New Roman"/>
          <w:color w:val="auto"/>
          <w:szCs w:val="24"/>
          <w:shd w:val="clear" w:color="auto" w:fill="FFFFFF"/>
        </w:rPr>
        <w:t>陆生动物的栖息地。</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（2）水下土石方工程对生态环境的影响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根据工程设计资料，本工程码头区需要通过切堤开挖，码头前沿停泊水域局部水深不满足要求，需进行疏浚，水下疏浚</w:t>
      </w:r>
      <w:r>
        <w:rPr>
          <w:rFonts w:ascii="Times New Roman" w:hAnsi="Times New Roman" w:cs="Times New Roman"/>
          <w:bCs/>
          <w:color w:val="auto"/>
          <w:szCs w:val="24"/>
          <w:shd w:val="clear" w:color="auto" w:fill="FFFFFF"/>
        </w:rPr>
        <w:t>土方量约为23.55万m</w:t>
      </w:r>
      <w:r>
        <w:rPr>
          <w:rFonts w:ascii="Times New Roman" w:hAnsi="Times New Roman" w:cs="Times New Roman"/>
          <w:bCs/>
          <w:color w:val="auto"/>
          <w:szCs w:val="24"/>
          <w:shd w:val="clear" w:color="auto" w:fill="FFFFFF"/>
          <w:vertAlign w:val="superscript"/>
        </w:rPr>
        <w:t>3</w:t>
      </w:r>
      <w:r>
        <w:rPr>
          <w:rFonts w:ascii="Times New Roman" w:hAnsi="Times New Roman" w:cs="Times New Roman"/>
          <w:bCs/>
          <w:color w:val="auto"/>
          <w:szCs w:val="24"/>
          <w:shd w:val="clear" w:color="auto" w:fill="FFFFFF"/>
        </w:rPr>
        <w:t>。</w:t>
      </w:r>
      <w:r>
        <w:rPr>
          <w:rFonts w:ascii="Times New Roman" w:hAnsi="Times New Roman" w:cs="Times New Roman"/>
          <w:color w:val="auto"/>
          <w:szCs w:val="24"/>
          <w:shd w:val="clear" w:color="auto" w:fill="FFFFFF"/>
        </w:rPr>
        <w:t>根据调查，店埠河无珍稀水生生物“三场”等生态敏感区，涉水施工作业对店埠河水生生态影响</w:t>
      </w:r>
      <w:r>
        <w:rPr>
          <w:rFonts w:hint="eastAsia" w:ascii="Times New Roman" w:hAnsi="Times New Roman" w:cs="Times New Roman"/>
          <w:color w:val="auto"/>
          <w:szCs w:val="24"/>
          <w:shd w:val="clear" w:color="auto" w:fill="FFFFFF"/>
        </w:rPr>
        <w:t>较小</w:t>
      </w:r>
      <w:r>
        <w:rPr>
          <w:rFonts w:ascii="Times New Roman" w:hAnsi="Times New Roman" w:cs="Times New Roman"/>
          <w:color w:val="auto"/>
          <w:szCs w:val="24"/>
          <w:shd w:val="clear" w:color="auto" w:fill="FFFFFF"/>
        </w:rPr>
        <w:t>。总体而言，项目水下土石方工程量不大，对生态环境影响较小。</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（3）工程对水土流失的影响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根据本工程施工特点，工程建设对项目区水土流失影响属于人为活动的影响，施工过程中，人为活动将使地表结构被破坏，在降雨、地表径流等自然因子的综合影响下，导致项目区水土流失增加，主要表现为：施工过程中因开挖扰动地表，原有表土与植被之间的平衡关系失调，表土层抗蚀能力减弱，在雨滴打击和水流冲刷以及风蚀作用下易产生水土流失，是本工程水土流失发生的主要区域。</w:t>
      </w:r>
    </w:p>
    <w:p>
      <w:pPr>
        <w:pStyle w:val="5"/>
        <w:numPr>
          <w:ilvl w:val="0"/>
          <w:numId w:val="0"/>
        </w:numPr>
        <w:spacing w:after="0" w:line="360" w:lineRule="auto"/>
        <w:rPr>
          <w:rFonts w:ascii="Times New Roman" w:hAnsi="Times New Roman" w:cs="Times New Roman"/>
          <w:color w:val="FF0000"/>
          <w:sz w:val="24"/>
          <w:szCs w:val="24"/>
        </w:rPr>
      </w:pPr>
      <w:r>
        <w:rPr>
          <w:rFonts w:ascii="Times New Roman" w:hAnsi="Times New Roman" w:cs="Times New Roman"/>
          <w:color w:val="FF0000"/>
          <w:sz w:val="24"/>
          <w:szCs w:val="24"/>
        </w:rPr>
        <w:t>5.1.5.2施工期水生生态影响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（1）水生生态影响类型和范围判定</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工程建设对水生生态的影响主要发生在施工期，施工期水生生态影响包括直接影响和间接影响两个方面。直接影响主要限定在构筑物施工范围之内。</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直接影响主要是水工构筑物的施工作业过程，将直接破坏底栖生物生境，掩埋底栖生物栖息地；间接影响则是由于水下施工扰动使得施工局部水域的悬浮物浓度增加以及施工行动的干扰等。</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施工活动直接、间接生态影响判定表见表5.1-4。</w:t>
      </w:r>
    </w:p>
    <w:p>
      <w:pPr>
        <w:ind w:firstLine="422"/>
        <w:jc w:val="center"/>
        <w:rPr>
          <w:rFonts w:ascii="Times New Roman" w:hAnsi="Times New Roman" w:cs="Times New Roman"/>
          <w:b/>
          <w:color w:val="auto"/>
          <w:kern w:val="0"/>
          <w:sz w:val="21"/>
          <w:szCs w:val="21"/>
        </w:rPr>
      </w:pPr>
      <w:r>
        <w:rPr>
          <w:rFonts w:ascii="Times New Roman" w:hAnsi="Times New Roman" w:cs="Times New Roman"/>
          <w:b/>
          <w:color w:val="auto"/>
          <w:kern w:val="0"/>
          <w:sz w:val="21"/>
          <w:szCs w:val="21"/>
        </w:rPr>
        <w:t>表5.1-4   施工期直接、间接影响判定</w:t>
      </w:r>
    </w:p>
    <w:tbl>
      <w:tblPr>
        <w:tblStyle w:val="62"/>
        <w:tblW w:w="900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68"/>
        <w:gridCol w:w="1510"/>
        <w:gridCol w:w="1373"/>
        <w:gridCol w:w="1283"/>
        <w:gridCol w:w="37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1068" w:type="dxa"/>
            <w:vAlign w:val="center"/>
          </w:tcPr>
          <w:p>
            <w:pPr>
              <w:widowControl/>
              <w:adjustRightInd/>
              <w:spacing w:line="240" w:lineRule="auto"/>
              <w:ind w:firstLine="0" w:firstLineChars="0"/>
              <w:jc w:val="center"/>
              <w:rPr>
                <w:rFonts w:ascii="Times New Roman" w:hAnsi="Times New Roman" w:cs="Times New Roman"/>
                <w:b/>
                <w:color w:val="auto"/>
                <w:sz w:val="18"/>
                <w:szCs w:val="15"/>
                <w:shd w:val="clear" w:color="auto" w:fill="FFFFFF"/>
              </w:rPr>
            </w:pPr>
            <w:r>
              <w:rPr>
                <w:rFonts w:ascii="Times New Roman" w:hAnsi="Times New Roman" w:cs="Times New Roman"/>
                <w:b/>
                <w:color w:val="auto"/>
                <w:sz w:val="18"/>
                <w:szCs w:val="15"/>
                <w:shd w:val="clear" w:color="auto" w:fill="FFFFFF"/>
              </w:rPr>
              <w:t>影响类型</w:t>
            </w:r>
          </w:p>
        </w:tc>
        <w:tc>
          <w:tcPr>
            <w:tcW w:w="1510" w:type="dxa"/>
            <w:vAlign w:val="center"/>
          </w:tcPr>
          <w:p>
            <w:pPr>
              <w:widowControl/>
              <w:adjustRightInd/>
              <w:spacing w:line="240" w:lineRule="auto"/>
              <w:ind w:firstLine="0" w:firstLineChars="0"/>
              <w:jc w:val="center"/>
              <w:rPr>
                <w:rFonts w:ascii="Times New Roman" w:hAnsi="Times New Roman" w:cs="Times New Roman"/>
                <w:b/>
                <w:color w:val="auto"/>
                <w:sz w:val="18"/>
                <w:szCs w:val="15"/>
                <w:shd w:val="clear" w:color="auto" w:fill="FFFFFF"/>
              </w:rPr>
            </w:pPr>
            <w:r>
              <w:rPr>
                <w:rFonts w:ascii="Times New Roman" w:hAnsi="Times New Roman" w:cs="Times New Roman"/>
                <w:b/>
                <w:color w:val="auto"/>
                <w:sz w:val="18"/>
                <w:szCs w:val="15"/>
                <w:shd w:val="clear" w:color="auto" w:fill="FFFFFF"/>
              </w:rPr>
              <w:t>影响区域</w:t>
            </w:r>
          </w:p>
        </w:tc>
        <w:tc>
          <w:tcPr>
            <w:tcW w:w="1373" w:type="dxa"/>
            <w:vAlign w:val="center"/>
          </w:tcPr>
          <w:p>
            <w:pPr>
              <w:widowControl/>
              <w:adjustRightInd/>
              <w:spacing w:line="240" w:lineRule="auto"/>
              <w:ind w:firstLine="0" w:firstLineChars="0"/>
              <w:jc w:val="center"/>
              <w:rPr>
                <w:rFonts w:ascii="Times New Roman" w:hAnsi="Times New Roman" w:cs="Times New Roman"/>
                <w:b/>
                <w:color w:val="auto"/>
                <w:sz w:val="18"/>
                <w:szCs w:val="15"/>
                <w:shd w:val="clear" w:color="auto" w:fill="FFFFFF"/>
              </w:rPr>
            </w:pPr>
            <w:r>
              <w:rPr>
                <w:rFonts w:ascii="Times New Roman" w:hAnsi="Times New Roman" w:cs="Times New Roman"/>
                <w:b/>
                <w:color w:val="auto"/>
                <w:sz w:val="18"/>
                <w:szCs w:val="15"/>
                <w:shd w:val="clear" w:color="auto" w:fill="FFFFFF"/>
              </w:rPr>
              <w:t>影响原因</w:t>
            </w:r>
          </w:p>
        </w:tc>
        <w:tc>
          <w:tcPr>
            <w:tcW w:w="1283" w:type="dxa"/>
            <w:vAlign w:val="center"/>
          </w:tcPr>
          <w:p>
            <w:pPr>
              <w:widowControl/>
              <w:adjustRightInd/>
              <w:spacing w:line="240" w:lineRule="auto"/>
              <w:ind w:firstLine="0" w:firstLineChars="0"/>
              <w:jc w:val="center"/>
              <w:rPr>
                <w:rFonts w:ascii="Times New Roman" w:hAnsi="Times New Roman" w:cs="Times New Roman"/>
                <w:b/>
                <w:color w:val="auto"/>
                <w:sz w:val="18"/>
                <w:szCs w:val="15"/>
                <w:shd w:val="clear" w:color="auto" w:fill="FFFFFF"/>
              </w:rPr>
            </w:pPr>
            <w:r>
              <w:rPr>
                <w:rFonts w:ascii="Times New Roman" w:hAnsi="Times New Roman" w:cs="Times New Roman"/>
                <w:b/>
                <w:color w:val="auto"/>
                <w:sz w:val="18"/>
                <w:szCs w:val="15"/>
                <w:shd w:val="clear" w:color="auto" w:fill="FFFFFF"/>
              </w:rPr>
              <w:t>恢复可能性</w:t>
            </w:r>
          </w:p>
        </w:tc>
        <w:tc>
          <w:tcPr>
            <w:tcW w:w="3766" w:type="dxa"/>
            <w:vAlign w:val="center"/>
          </w:tcPr>
          <w:p>
            <w:pPr>
              <w:widowControl/>
              <w:adjustRightInd/>
              <w:spacing w:line="240" w:lineRule="auto"/>
              <w:ind w:firstLine="0" w:firstLineChars="0"/>
              <w:jc w:val="center"/>
              <w:rPr>
                <w:rFonts w:ascii="Times New Roman" w:hAnsi="Times New Roman" w:cs="Times New Roman"/>
                <w:b/>
                <w:color w:val="auto"/>
                <w:sz w:val="18"/>
                <w:szCs w:val="15"/>
                <w:shd w:val="clear" w:color="auto" w:fill="FFFFFF"/>
              </w:rPr>
            </w:pPr>
            <w:r>
              <w:rPr>
                <w:rFonts w:ascii="Times New Roman" w:hAnsi="Times New Roman" w:cs="Times New Roman"/>
                <w:b/>
                <w:color w:val="auto"/>
                <w:sz w:val="18"/>
                <w:szCs w:val="15"/>
                <w:shd w:val="clear" w:color="auto" w:fill="FFFFFF"/>
              </w:rPr>
              <w:t>生物表现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1068"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直接影响</w:t>
            </w:r>
          </w:p>
        </w:tc>
        <w:tc>
          <w:tcPr>
            <w:tcW w:w="1510"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水工构筑物</w:t>
            </w:r>
          </w:p>
        </w:tc>
        <w:tc>
          <w:tcPr>
            <w:tcW w:w="1373"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侵占、扰动</w:t>
            </w:r>
          </w:p>
        </w:tc>
        <w:tc>
          <w:tcPr>
            <w:tcW w:w="1283"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不可恢复</w:t>
            </w:r>
          </w:p>
        </w:tc>
        <w:tc>
          <w:tcPr>
            <w:tcW w:w="3766"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河底生物全部消失，但影响面积较小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0" w:hRule="atLeast"/>
          <w:jc w:val="center"/>
        </w:trPr>
        <w:tc>
          <w:tcPr>
            <w:tcW w:w="1068"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间接影响</w:t>
            </w:r>
          </w:p>
        </w:tc>
        <w:tc>
          <w:tcPr>
            <w:tcW w:w="1510"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施工悬浮物增量扩散</w:t>
            </w:r>
          </w:p>
        </w:tc>
        <w:tc>
          <w:tcPr>
            <w:tcW w:w="1373"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透明度降低</w:t>
            </w:r>
          </w:p>
        </w:tc>
        <w:tc>
          <w:tcPr>
            <w:tcW w:w="1283"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可以恢复</w:t>
            </w:r>
          </w:p>
        </w:tc>
        <w:tc>
          <w:tcPr>
            <w:tcW w:w="3766"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以受SS影响为主的水域生物部分受损</w:t>
            </w:r>
          </w:p>
        </w:tc>
      </w:tr>
    </w:tbl>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（2）水下施工作业产生的悬浮物对水生生态的影响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码头水下疏浚作业将使水体悬浮物浓度增加，增加局部水体的浑浊度，降低透光率，阻碍浮游植物的光合作用，降低单位水体内浮游植物的数量，最终导致附近水域初级生产力水平的下降。打破靠光线强弱而进行垂直迁移的某些浮游动物的生活规律，某些滤食性浮游动物，只有分辨颗粒大小的能力，只要粒径合适就可摄人体内，如果摄入的是泥沙，动物有可能因饥饿而死亡；通过呼吸，悬浮物可以阻塞鱼类的鳃组织，造成呼吸困难。由于本工程各水下施工作业的SS污染影响范围一般为作业点100～200m范围内，加之水生生物本身的适应能力较强，对河流水生生物的数量、质量及功能的影响属暂时性、可逆性，因此水下施工引起水体悬浮物浓度升高对水生生物的影响不大，并且这种影响将随着施工的结束而消失。</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施工活动对水体中鱼类等水生动物的生活环境将造成一定的影响，但由于本码头为重力式结构，且码头区需要通过切堤退让开挖，直接占用河道的施工面较小，施工垂直影响范围在60m左右，长度影响范围在100-200m，施工活动对店埠河水体的扰动影响有限，不会对生态系统产生明显影响。</w:t>
      </w:r>
    </w:p>
    <w:p>
      <w:pPr>
        <w:adjustRightInd/>
        <w:ind w:firstLine="482"/>
        <w:rPr>
          <w:rFonts w:ascii="Times New Roman" w:hAnsi="Times New Roman" w:cs="Times New Roman"/>
          <w:b/>
          <w:bCs/>
          <w:color w:val="auto"/>
          <w:szCs w:val="24"/>
          <w:shd w:val="clear" w:color="auto" w:fill="FFFFFF"/>
        </w:rPr>
      </w:pPr>
      <w:r>
        <w:rPr>
          <w:rFonts w:ascii="Times New Roman" w:hAnsi="Times New Roman" w:cs="Times New Roman"/>
          <w:b/>
          <w:bCs/>
          <w:color w:val="auto"/>
          <w:szCs w:val="24"/>
          <w:shd w:val="clear" w:color="auto" w:fill="FFFFFF"/>
        </w:rPr>
        <w:t>（3）施工期对水生动物的影响</w:t>
      </w:r>
    </w:p>
    <w:p>
      <w:pPr>
        <w:adjustRightInd/>
        <w:ind w:firstLine="482"/>
        <w:rPr>
          <w:rFonts w:ascii="Times New Roman" w:hAnsi="Times New Roman" w:cs="Times New Roman"/>
          <w:color w:val="auto"/>
          <w:szCs w:val="24"/>
          <w:shd w:val="clear" w:color="auto" w:fill="FFFFFF"/>
        </w:rPr>
      </w:pPr>
      <w:r>
        <w:rPr>
          <w:rFonts w:ascii="Times New Roman" w:hAnsi="Times New Roman" w:cs="Times New Roman"/>
          <w:b/>
          <w:bCs/>
          <w:color w:val="auto"/>
          <w:szCs w:val="24"/>
          <w:shd w:val="clear" w:color="auto" w:fill="FFFFFF"/>
        </w:rPr>
        <w:t>对一般鱼类和水生生物的影响：</w:t>
      </w:r>
      <w:r>
        <w:rPr>
          <w:rFonts w:ascii="Times New Roman" w:hAnsi="Times New Roman" w:cs="Times New Roman"/>
          <w:color w:val="auto"/>
          <w:szCs w:val="24"/>
          <w:shd w:val="clear" w:color="auto" w:fill="FFFFFF"/>
        </w:rPr>
        <w:t>码头水域施工主要为港池的水下疏浚及近岸施工过程，施工水域范围小，码头前沿水下作业将对作业地点100-200m范围内水生生物造成影响。同时，施工期间噪声和人群活动会对鱼类有驱赶作用，驱使鱼群等水生生物远离施工点。</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中科院南海水产研究所根据国内外文献资料整理的关于悬浮物对某些水生生物种类的致死浓度和明显影响浓度见表5.1-5。</w:t>
      </w:r>
    </w:p>
    <w:p>
      <w:pPr>
        <w:spacing w:line="240" w:lineRule="auto"/>
        <w:ind w:firstLine="422"/>
        <w:jc w:val="center"/>
        <w:rPr>
          <w:rFonts w:ascii="Times New Roman" w:hAnsi="Times New Roman" w:cs="Times New Roman"/>
          <w:b/>
          <w:color w:val="auto"/>
          <w:kern w:val="0"/>
          <w:sz w:val="21"/>
          <w:szCs w:val="21"/>
        </w:rPr>
      </w:pPr>
      <w:r>
        <w:rPr>
          <w:rFonts w:ascii="Times New Roman" w:hAnsi="Times New Roman" w:cs="Times New Roman"/>
          <w:b/>
          <w:color w:val="auto"/>
          <w:kern w:val="0"/>
          <w:sz w:val="21"/>
          <w:szCs w:val="21"/>
        </w:rPr>
        <w:t>表5.1-5   悬浮物对水生生物的致死浓度和明显影响浓度（mg/L）</w:t>
      </w:r>
    </w:p>
    <w:tbl>
      <w:tblPr>
        <w:tblStyle w:val="62"/>
        <w:tblW w:w="918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57"/>
        <w:gridCol w:w="1784"/>
        <w:gridCol w:w="1785"/>
        <w:gridCol w:w="1784"/>
        <w:gridCol w:w="197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1857" w:type="dxa"/>
            <w:vMerge w:val="restart"/>
            <w:vAlign w:val="center"/>
          </w:tcPr>
          <w:p>
            <w:pPr>
              <w:widowControl/>
              <w:adjustRightInd/>
              <w:spacing w:line="240" w:lineRule="auto"/>
              <w:ind w:firstLine="0" w:firstLineChars="0"/>
              <w:jc w:val="center"/>
              <w:rPr>
                <w:rFonts w:ascii="Times New Roman" w:hAnsi="Times New Roman" w:cs="Times New Roman"/>
                <w:b/>
                <w:color w:val="auto"/>
                <w:sz w:val="18"/>
                <w:szCs w:val="15"/>
                <w:shd w:val="clear" w:color="auto" w:fill="FFFFFF"/>
              </w:rPr>
            </w:pPr>
            <w:r>
              <w:rPr>
                <w:rFonts w:ascii="Times New Roman" w:hAnsi="Times New Roman" w:cs="Times New Roman"/>
                <w:b/>
                <w:color w:val="auto"/>
                <w:sz w:val="18"/>
                <w:szCs w:val="15"/>
                <w:shd w:val="clear" w:color="auto" w:fill="FFFFFF"/>
              </w:rPr>
              <w:t>种类</w:t>
            </w:r>
          </w:p>
        </w:tc>
        <w:tc>
          <w:tcPr>
            <w:tcW w:w="3569" w:type="dxa"/>
            <w:gridSpan w:val="2"/>
            <w:vAlign w:val="center"/>
          </w:tcPr>
          <w:p>
            <w:pPr>
              <w:widowControl/>
              <w:adjustRightInd/>
              <w:spacing w:line="240" w:lineRule="auto"/>
              <w:ind w:firstLine="0" w:firstLineChars="0"/>
              <w:jc w:val="center"/>
              <w:rPr>
                <w:rFonts w:ascii="Times New Roman" w:hAnsi="Times New Roman" w:cs="Times New Roman"/>
                <w:b/>
                <w:color w:val="auto"/>
                <w:sz w:val="18"/>
                <w:szCs w:val="15"/>
                <w:shd w:val="clear" w:color="auto" w:fill="FFFFFF"/>
              </w:rPr>
            </w:pPr>
            <w:r>
              <w:rPr>
                <w:rFonts w:ascii="Times New Roman" w:hAnsi="Times New Roman" w:cs="Times New Roman"/>
                <w:b/>
                <w:color w:val="auto"/>
                <w:sz w:val="18"/>
                <w:szCs w:val="15"/>
                <w:shd w:val="clear" w:color="auto" w:fill="FFFFFF"/>
              </w:rPr>
              <w:t>成体</w:t>
            </w:r>
          </w:p>
        </w:tc>
        <w:tc>
          <w:tcPr>
            <w:tcW w:w="3754" w:type="dxa"/>
            <w:gridSpan w:val="2"/>
            <w:vAlign w:val="center"/>
          </w:tcPr>
          <w:p>
            <w:pPr>
              <w:widowControl/>
              <w:adjustRightInd/>
              <w:spacing w:line="240" w:lineRule="auto"/>
              <w:ind w:firstLine="0" w:firstLineChars="0"/>
              <w:jc w:val="center"/>
              <w:rPr>
                <w:rFonts w:ascii="Times New Roman" w:hAnsi="Times New Roman" w:cs="Times New Roman"/>
                <w:b/>
                <w:color w:val="auto"/>
                <w:sz w:val="18"/>
                <w:szCs w:val="15"/>
                <w:shd w:val="clear" w:color="auto" w:fill="FFFFFF"/>
              </w:rPr>
            </w:pPr>
            <w:r>
              <w:rPr>
                <w:rFonts w:ascii="Times New Roman" w:hAnsi="Times New Roman" w:cs="Times New Roman"/>
                <w:b/>
                <w:color w:val="auto"/>
                <w:sz w:val="18"/>
                <w:szCs w:val="15"/>
                <w:shd w:val="clear" w:color="auto" w:fill="FFFFFF"/>
              </w:rPr>
              <w:t>幼体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1857" w:type="dxa"/>
            <w:vMerge w:val="continue"/>
            <w:vAlign w:val="center"/>
          </w:tcPr>
          <w:p>
            <w:pPr>
              <w:widowControl/>
              <w:adjustRightInd/>
              <w:spacing w:line="240" w:lineRule="auto"/>
              <w:ind w:firstLine="0" w:firstLineChars="0"/>
              <w:jc w:val="center"/>
              <w:rPr>
                <w:rFonts w:ascii="Times New Roman" w:hAnsi="Times New Roman" w:cs="Times New Roman"/>
                <w:b/>
                <w:color w:val="auto"/>
                <w:sz w:val="18"/>
                <w:szCs w:val="15"/>
                <w:shd w:val="clear" w:color="auto" w:fill="FFFFFF"/>
              </w:rPr>
            </w:pPr>
          </w:p>
        </w:tc>
        <w:tc>
          <w:tcPr>
            <w:tcW w:w="1784" w:type="dxa"/>
            <w:vAlign w:val="center"/>
          </w:tcPr>
          <w:p>
            <w:pPr>
              <w:widowControl/>
              <w:adjustRightInd/>
              <w:spacing w:line="240" w:lineRule="auto"/>
              <w:ind w:firstLine="0" w:firstLineChars="0"/>
              <w:jc w:val="center"/>
              <w:rPr>
                <w:rFonts w:ascii="Times New Roman" w:hAnsi="Times New Roman" w:cs="Times New Roman"/>
                <w:b/>
                <w:color w:val="auto"/>
                <w:sz w:val="18"/>
                <w:szCs w:val="15"/>
                <w:shd w:val="clear" w:color="auto" w:fill="FFFFFF"/>
              </w:rPr>
            </w:pPr>
            <w:r>
              <w:rPr>
                <w:rFonts w:ascii="Times New Roman" w:hAnsi="Times New Roman" w:cs="Times New Roman"/>
                <w:b/>
                <w:color w:val="auto"/>
                <w:sz w:val="18"/>
                <w:szCs w:val="15"/>
                <w:shd w:val="clear" w:color="auto" w:fill="FFFFFF"/>
              </w:rPr>
              <w:t>致死浓度</w:t>
            </w:r>
          </w:p>
        </w:tc>
        <w:tc>
          <w:tcPr>
            <w:tcW w:w="1785" w:type="dxa"/>
            <w:vAlign w:val="center"/>
          </w:tcPr>
          <w:p>
            <w:pPr>
              <w:widowControl/>
              <w:adjustRightInd/>
              <w:spacing w:line="240" w:lineRule="auto"/>
              <w:ind w:firstLine="0" w:firstLineChars="0"/>
              <w:jc w:val="center"/>
              <w:rPr>
                <w:rFonts w:ascii="Times New Roman" w:hAnsi="Times New Roman" w:cs="Times New Roman"/>
                <w:b/>
                <w:color w:val="auto"/>
                <w:sz w:val="18"/>
                <w:szCs w:val="15"/>
                <w:shd w:val="clear" w:color="auto" w:fill="FFFFFF"/>
              </w:rPr>
            </w:pPr>
            <w:r>
              <w:rPr>
                <w:rFonts w:ascii="Times New Roman" w:hAnsi="Times New Roman" w:cs="Times New Roman"/>
                <w:b/>
                <w:color w:val="auto"/>
                <w:sz w:val="18"/>
                <w:szCs w:val="15"/>
                <w:shd w:val="clear" w:color="auto" w:fill="FFFFFF"/>
              </w:rPr>
              <w:t>明显影响浓度</w:t>
            </w:r>
          </w:p>
        </w:tc>
        <w:tc>
          <w:tcPr>
            <w:tcW w:w="1784" w:type="dxa"/>
            <w:vAlign w:val="center"/>
          </w:tcPr>
          <w:p>
            <w:pPr>
              <w:widowControl/>
              <w:adjustRightInd/>
              <w:spacing w:line="240" w:lineRule="auto"/>
              <w:ind w:firstLine="0" w:firstLineChars="0"/>
              <w:jc w:val="center"/>
              <w:rPr>
                <w:rFonts w:ascii="Times New Roman" w:hAnsi="Times New Roman" w:cs="Times New Roman"/>
                <w:b/>
                <w:color w:val="auto"/>
                <w:sz w:val="18"/>
                <w:szCs w:val="15"/>
                <w:shd w:val="clear" w:color="auto" w:fill="FFFFFF"/>
              </w:rPr>
            </w:pPr>
            <w:r>
              <w:rPr>
                <w:rFonts w:ascii="Times New Roman" w:hAnsi="Times New Roman" w:cs="Times New Roman"/>
                <w:b/>
                <w:color w:val="auto"/>
                <w:sz w:val="18"/>
                <w:szCs w:val="15"/>
                <w:shd w:val="clear" w:color="auto" w:fill="FFFFFF"/>
              </w:rPr>
              <w:t>致死浓度</w:t>
            </w:r>
          </w:p>
        </w:tc>
        <w:tc>
          <w:tcPr>
            <w:tcW w:w="1970" w:type="dxa"/>
            <w:vAlign w:val="center"/>
          </w:tcPr>
          <w:p>
            <w:pPr>
              <w:widowControl/>
              <w:adjustRightInd/>
              <w:spacing w:line="240" w:lineRule="auto"/>
              <w:ind w:firstLine="0" w:firstLineChars="0"/>
              <w:jc w:val="center"/>
              <w:rPr>
                <w:rFonts w:ascii="Times New Roman" w:hAnsi="Times New Roman" w:cs="Times New Roman"/>
                <w:b/>
                <w:color w:val="auto"/>
                <w:sz w:val="18"/>
                <w:szCs w:val="15"/>
                <w:shd w:val="clear" w:color="auto" w:fill="FFFFFF"/>
              </w:rPr>
            </w:pPr>
            <w:r>
              <w:rPr>
                <w:rFonts w:ascii="Times New Roman" w:hAnsi="Times New Roman" w:cs="Times New Roman"/>
                <w:b/>
                <w:color w:val="auto"/>
                <w:sz w:val="18"/>
                <w:szCs w:val="15"/>
                <w:shd w:val="clear" w:color="auto" w:fill="FFFFFF"/>
              </w:rPr>
              <w:t>明显影响浓度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1857"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鱼类</w:t>
            </w:r>
          </w:p>
        </w:tc>
        <w:tc>
          <w:tcPr>
            <w:tcW w:w="1784"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52000</w:t>
            </w:r>
          </w:p>
        </w:tc>
        <w:tc>
          <w:tcPr>
            <w:tcW w:w="1785"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500</w:t>
            </w:r>
          </w:p>
        </w:tc>
        <w:tc>
          <w:tcPr>
            <w:tcW w:w="1784"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250</w:t>
            </w:r>
          </w:p>
        </w:tc>
        <w:tc>
          <w:tcPr>
            <w:tcW w:w="1970"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125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857"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虾类</w:t>
            </w:r>
          </w:p>
        </w:tc>
        <w:tc>
          <w:tcPr>
            <w:tcW w:w="1784"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8000</w:t>
            </w:r>
          </w:p>
        </w:tc>
        <w:tc>
          <w:tcPr>
            <w:tcW w:w="1785"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500</w:t>
            </w:r>
          </w:p>
        </w:tc>
        <w:tc>
          <w:tcPr>
            <w:tcW w:w="1784"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400</w:t>
            </w:r>
          </w:p>
        </w:tc>
        <w:tc>
          <w:tcPr>
            <w:tcW w:w="1970"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125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1857"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蟹类</w:t>
            </w:r>
          </w:p>
        </w:tc>
        <w:tc>
          <w:tcPr>
            <w:tcW w:w="1784"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9200</w:t>
            </w:r>
          </w:p>
        </w:tc>
        <w:tc>
          <w:tcPr>
            <w:tcW w:w="1785"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4300</w:t>
            </w:r>
          </w:p>
        </w:tc>
        <w:tc>
          <w:tcPr>
            <w:tcW w:w="1784"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700</w:t>
            </w:r>
          </w:p>
        </w:tc>
        <w:tc>
          <w:tcPr>
            <w:tcW w:w="1970"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125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jc w:val="center"/>
        </w:trPr>
        <w:tc>
          <w:tcPr>
            <w:tcW w:w="1857"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贝类</w:t>
            </w:r>
          </w:p>
        </w:tc>
        <w:tc>
          <w:tcPr>
            <w:tcW w:w="1784"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700</w:t>
            </w:r>
          </w:p>
        </w:tc>
        <w:tc>
          <w:tcPr>
            <w:tcW w:w="1785"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500</w:t>
            </w:r>
          </w:p>
        </w:tc>
        <w:tc>
          <w:tcPr>
            <w:tcW w:w="1784"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250</w:t>
            </w:r>
          </w:p>
        </w:tc>
        <w:tc>
          <w:tcPr>
            <w:tcW w:w="1970" w:type="dxa"/>
            <w:vAlign w:val="center"/>
          </w:tcPr>
          <w:p>
            <w:pPr>
              <w:widowControl/>
              <w:adjustRightInd/>
              <w:spacing w:line="240" w:lineRule="auto"/>
              <w:ind w:firstLine="0" w:firstLineChars="0"/>
              <w:jc w:val="center"/>
              <w:rPr>
                <w:rFonts w:ascii="Times New Roman" w:hAnsi="Times New Roman" w:cs="Times New Roman"/>
                <w:color w:val="auto"/>
                <w:sz w:val="18"/>
                <w:szCs w:val="15"/>
                <w:shd w:val="clear" w:color="auto" w:fill="FFFFFF"/>
              </w:rPr>
            </w:pPr>
            <w:r>
              <w:rPr>
                <w:rFonts w:ascii="Times New Roman" w:hAnsi="Times New Roman" w:cs="Times New Roman"/>
                <w:color w:val="auto"/>
                <w:sz w:val="18"/>
                <w:szCs w:val="15"/>
                <w:shd w:val="clear" w:color="auto" w:fill="FFFFFF"/>
              </w:rPr>
              <w:t>125</w:t>
            </w:r>
          </w:p>
        </w:tc>
      </w:tr>
    </w:tbl>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一般认为，在悬浮颗粒物质含量为200mg/L的水体中鱼类等水生生物不会直接死亡。码头水下疏浚作业仅作业点有限的范围区域SS浓度超过150mg/L，为此其总体影响较小。</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为减小对店埠河内鱼类觅食和育肥可能产生潜在的不利影响，码头水下疏浚施工应避开鱼类产卵繁殖期及鱼苗摄食育肥期（4月～6月），选择在枯水季节（10月～2月）进行施工，这期间鱼类处于越冬期，大多栖息于深水区，可以有效避免工程施工对鱼类的不利影响。由于本工程码头水工建筑以及疏浚工程的施工量不大，水下疏浚施工工期短，码头施工对鱼类及鱼苗的不利影响较轻微。</w:t>
      </w:r>
    </w:p>
    <w:p>
      <w:pPr>
        <w:adjustRightInd/>
        <w:ind w:firstLine="480"/>
        <w:rPr>
          <w:rFonts w:ascii="Times New Roman" w:hAnsi="Times New Roman" w:cs="Times New Roman"/>
          <w:b/>
          <w:color w:val="auto"/>
          <w:szCs w:val="24"/>
          <w:shd w:val="clear" w:color="auto" w:fill="FFFFFF"/>
        </w:rPr>
      </w:pPr>
      <w:r>
        <w:rPr>
          <w:rFonts w:ascii="Times New Roman" w:hAnsi="Times New Roman" w:cs="Times New Roman"/>
          <w:color w:val="auto"/>
          <w:szCs w:val="24"/>
          <w:shd w:val="clear" w:color="auto" w:fill="FFFFFF"/>
        </w:rPr>
        <w:t>（4）</w:t>
      </w:r>
      <w:r>
        <w:rPr>
          <w:rFonts w:ascii="Times New Roman" w:hAnsi="Times New Roman" w:cs="Times New Roman"/>
          <w:b/>
          <w:color w:val="auto"/>
          <w:szCs w:val="24"/>
          <w:shd w:val="clear" w:color="auto" w:fill="FFFFFF"/>
        </w:rPr>
        <w:t>对底栖动物的影响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多数底栖动物长期生活在底泥中，具有区域性强，迁移能力弱等特点，对于环境变化通常缺少回避能力，其群落的破坏和重建需要相对较长的时间。施工期间，水下疏浚等施工内容将直接破坏底质，对以此为栖息生境的底栖动物具有毁灭性的破坏。悬浮物扩散还将导致临近水域底栖动物资源受损，降低其生物量。同时，水下施工将改变施工水域及临近水域生境，底栖动物物种组成也会发生变化，如蚬类、贝类、多毛类等种群数量将减少，但另一些附着性贝类(如淡水壳菜)及螺蛳等短期内数量将有所下降，运营期种群数量则可能增加。</w:t>
      </w:r>
    </w:p>
    <w:p>
      <w:pPr>
        <w:pStyle w:val="5"/>
        <w:numPr>
          <w:ilvl w:val="0"/>
          <w:numId w:val="0"/>
        </w:numPr>
        <w:spacing w:after="0" w:line="360" w:lineRule="auto"/>
        <w:rPr>
          <w:rFonts w:ascii="Times New Roman" w:hAnsi="Times New Roman" w:cs="Times New Roman"/>
          <w:color w:val="FF0000"/>
          <w:sz w:val="24"/>
          <w:szCs w:val="21"/>
        </w:rPr>
      </w:pPr>
      <w:r>
        <w:rPr>
          <w:rFonts w:ascii="Times New Roman" w:hAnsi="Times New Roman" w:cs="Times New Roman"/>
          <w:color w:val="FF0000"/>
          <w:sz w:val="24"/>
          <w:szCs w:val="21"/>
        </w:rPr>
        <w:t>5.1.5.3施工期损失生物量</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施工期造成的生物量损失主要包括施工活动造成的悬浮物增量造成的浮游生物损失，以及码头</w:t>
      </w:r>
      <w:r>
        <w:rPr>
          <w:rFonts w:ascii="Times New Roman" w:hAnsi="Times New Roman" w:cs="Times New Roman"/>
          <w:snapToGrid w:val="0"/>
          <w:color w:val="auto"/>
          <w:kern w:val="0"/>
          <w:szCs w:val="24"/>
          <w:shd w:val="clear" w:color="auto" w:fill="FFFFFF"/>
        </w:rPr>
        <w:t>直接占用的河床造成的</w:t>
      </w:r>
      <w:r>
        <w:rPr>
          <w:rFonts w:ascii="Times New Roman" w:hAnsi="Times New Roman" w:cs="Times New Roman"/>
          <w:color w:val="auto"/>
          <w:szCs w:val="24"/>
          <w:shd w:val="clear" w:color="auto" w:fill="FFFFFF"/>
        </w:rPr>
        <w:t>底栖动物损失。</w:t>
      </w:r>
    </w:p>
    <w:p>
      <w:pPr>
        <w:adjustRightInd/>
        <w:ind w:firstLine="480"/>
        <w:rPr>
          <w:rFonts w:ascii="Times New Roman" w:hAnsi="Times New Roman" w:cs="Times New Roman"/>
          <w:color w:val="auto"/>
          <w:szCs w:val="24"/>
          <w:shd w:val="clear" w:color="auto" w:fill="FFFFFF"/>
        </w:rPr>
      </w:pPr>
      <w:r>
        <w:rPr>
          <w:rFonts w:hint="eastAsia" w:ascii="宋体" w:hAnsi="宋体" w:cs="宋体"/>
          <w:color w:val="auto"/>
          <w:szCs w:val="24"/>
          <w:shd w:val="clear" w:color="auto" w:fill="FFFFFF"/>
        </w:rPr>
        <w:t>①</w:t>
      </w:r>
      <w:r>
        <w:rPr>
          <w:rFonts w:ascii="Times New Roman" w:hAnsi="Times New Roman" w:cs="Times New Roman"/>
          <w:color w:val="auto"/>
          <w:szCs w:val="24"/>
          <w:shd w:val="clear" w:color="auto" w:fill="FFFFFF"/>
        </w:rPr>
        <w:t>浮游生物损失量</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根据有关调查分析，悬浮物增量在10mg/L以下对水生生物基本不会产生影响，因此，评价按照施工活动造成的悬浮物增量SS&gt;10mg/L的面积估计浮游生物受影响区域，并据此计算浮游生物损失量。</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结合店埠河水文资料，通过调查相关研究资料，内河中小型河流码头水下疏浚施工造成悬浮物增量达到10mg/L以下一般在施工区域以及下游200m左右，本项目对浮游生物造成不利影响的长度约为200m，宽度在50m左右，总影响面积约为10000m</w:t>
      </w:r>
      <w:r>
        <w:rPr>
          <w:rFonts w:ascii="Times New Roman" w:hAnsi="Times New Roman" w:cs="Times New Roman"/>
          <w:color w:val="auto"/>
          <w:szCs w:val="24"/>
          <w:shd w:val="clear" w:color="auto" w:fill="FFFFFF"/>
          <w:vertAlign w:val="superscript"/>
        </w:rPr>
        <w:t>2</w:t>
      </w:r>
      <w:r>
        <w:rPr>
          <w:rFonts w:ascii="Times New Roman" w:hAnsi="Times New Roman" w:cs="Times New Roman"/>
          <w:color w:val="auto"/>
          <w:szCs w:val="24"/>
          <w:shd w:val="clear" w:color="auto" w:fill="FFFFFF"/>
        </w:rPr>
        <w:t>左右。本项目按平均水深按3m计算。根据现状调查结果，评价区店埠河水域浮游生物平均生物量为0.1093mg/L，按工程对浮游生物量损失100%计算，损失的浮游生物量为10000×3×0.1093/1000=3.28kg。</w:t>
      </w:r>
    </w:p>
    <w:p>
      <w:pPr>
        <w:adjustRightInd/>
        <w:ind w:firstLine="480"/>
        <w:rPr>
          <w:rFonts w:ascii="Times New Roman" w:hAnsi="Times New Roman" w:cs="Times New Roman"/>
          <w:color w:val="auto"/>
          <w:szCs w:val="24"/>
          <w:shd w:val="clear" w:color="auto" w:fill="FFFFFF"/>
        </w:rPr>
      </w:pPr>
      <w:r>
        <w:rPr>
          <w:rFonts w:hint="eastAsia" w:ascii="宋体" w:hAnsi="宋体" w:cs="宋体"/>
          <w:color w:val="auto"/>
          <w:szCs w:val="24"/>
          <w:shd w:val="clear" w:color="auto" w:fill="FFFFFF"/>
        </w:rPr>
        <w:t>②</w:t>
      </w:r>
      <w:r>
        <w:rPr>
          <w:rFonts w:ascii="Times New Roman" w:hAnsi="Times New Roman" w:cs="Times New Roman"/>
          <w:color w:val="auto"/>
          <w:szCs w:val="24"/>
          <w:shd w:val="clear" w:color="auto" w:fill="FFFFFF"/>
        </w:rPr>
        <w:t>底栖生物损失量</w:t>
      </w:r>
    </w:p>
    <w:p>
      <w:pPr>
        <w:adjustRightInd/>
        <w:ind w:firstLine="480"/>
        <w:rPr>
          <w:rFonts w:ascii="Times New Roman" w:hAnsi="Times New Roman" w:cs="Times New Roman"/>
          <w:snapToGrid w:val="0"/>
          <w:color w:val="auto"/>
          <w:kern w:val="0"/>
          <w:szCs w:val="24"/>
          <w:shd w:val="clear" w:color="auto" w:fill="FFFFFF"/>
        </w:rPr>
      </w:pPr>
      <w:r>
        <w:rPr>
          <w:rFonts w:ascii="Times New Roman" w:hAnsi="Times New Roman" w:cs="Times New Roman"/>
          <w:color w:val="auto"/>
          <w:szCs w:val="24"/>
          <w:shd w:val="clear" w:color="auto" w:fill="FFFFFF"/>
        </w:rPr>
        <w:t>本工程</w:t>
      </w:r>
      <w:r>
        <w:rPr>
          <w:rFonts w:hint="eastAsia" w:ascii="Times New Roman" w:hAnsi="Times New Roman" w:cs="Times New Roman"/>
          <w:color w:val="auto"/>
          <w:szCs w:val="24"/>
          <w:shd w:val="clear" w:color="auto" w:fill="FFFFFF"/>
        </w:rPr>
        <w:t>港池开挖、</w:t>
      </w:r>
      <w:r>
        <w:rPr>
          <w:rFonts w:ascii="Times New Roman" w:hAnsi="Times New Roman" w:cs="Times New Roman"/>
          <w:color w:val="auto"/>
          <w:szCs w:val="24"/>
          <w:shd w:val="clear" w:color="auto" w:fill="FFFFFF"/>
        </w:rPr>
        <w:t>码头</w:t>
      </w:r>
      <w:r>
        <w:rPr>
          <w:rFonts w:ascii="Times New Roman" w:hAnsi="Times New Roman" w:cs="Times New Roman"/>
          <w:snapToGrid w:val="0"/>
          <w:color w:val="auto"/>
          <w:kern w:val="0"/>
          <w:szCs w:val="24"/>
          <w:shd w:val="clear" w:color="auto" w:fill="FFFFFF"/>
        </w:rPr>
        <w:t>结构施工及水下疏浚工程施工扰动面积共约为</w:t>
      </w:r>
      <w:r>
        <w:rPr>
          <w:rFonts w:ascii="Times New Roman" w:hAnsi="Times New Roman" w:cs="Times New Roman"/>
          <w:color w:val="auto"/>
          <w:szCs w:val="24"/>
          <w:shd w:val="clear" w:color="auto" w:fill="FFFFFF"/>
        </w:rPr>
        <w:t>100000</w:t>
      </w:r>
      <w:r>
        <w:rPr>
          <w:rFonts w:ascii="Times New Roman" w:hAnsi="Times New Roman" w:cs="Times New Roman"/>
          <w:snapToGrid w:val="0"/>
          <w:color w:val="auto"/>
          <w:kern w:val="0"/>
          <w:szCs w:val="24"/>
          <w:shd w:val="clear" w:color="auto" w:fill="FFFFFF"/>
        </w:rPr>
        <w:t>m</w:t>
      </w:r>
      <w:r>
        <w:rPr>
          <w:rFonts w:ascii="Times New Roman" w:hAnsi="Times New Roman" w:cs="Times New Roman"/>
          <w:snapToGrid w:val="0"/>
          <w:color w:val="auto"/>
          <w:kern w:val="0"/>
          <w:szCs w:val="24"/>
          <w:shd w:val="clear" w:color="auto" w:fill="FFFFFF"/>
          <w:vertAlign w:val="superscript"/>
        </w:rPr>
        <w:t>2</w:t>
      </w:r>
      <w:r>
        <w:rPr>
          <w:rFonts w:ascii="Times New Roman" w:hAnsi="Times New Roman" w:cs="Times New Roman"/>
          <w:snapToGrid w:val="0"/>
          <w:color w:val="auto"/>
          <w:kern w:val="0"/>
          <w:szCs w:val="24"/>
          <w:shd w:val="clear" w:color="auto" w:fill="FFFFFF"/>
        </w:rPr>
        <w:t>，该范围内底栖生物损失率按100%计算。疏浚工程施工下游SS浓度</w:t>
      </w:r>
      <w:r>
        <w:rPr>
          <w:rFonts w:ascii="Times New Roman" w:hAnsi="Times New Roman" w:cs="Times New Roman"/>
          <w:color w:val="auto"/>
          <w:szCs w:val="24"/>
          <w:shd w:val="clear" w:color="auto" w:fill="FFFFFF"/>
        </w:rPr>
        <w:t>&gt;</w:t>
      </w:r>
      <w:r>
        <w:rPr>
          <w:rFonts w:ascii="Times New Roman" w:hAnsi="Times New Roman" w:cs="Times New Roman"/>
          <w:snapToGrid w:val="0"/>
          <w:color w:val="auto"/>
          <w:kern w:val="0"/>
          <w:szCs w:val="24"/>
          <w:shd w:val="clear" w:color="auto" w:fill="FFFFFF"/>
        </w:rPr>
        <w:t>100mg范围一般在100m范围内，最大宽度按50m计，则SS超过100mg/l范围为5000m</w:t>
      </w:r>
      <w:r>
        <w:rPr>
          <w:rFonts w:ascii="Times New Roman" w:hAnsi="Times New Roman" w:cs="Times New Roman"/>
          <w:snapToGrid w:val="0"/>
          <w:color w:val="auto"/>
          <w:kern w:val="0"/>
          <w:szCs w:val="24"/>
          <w:shd w:val="clear" w:color="auto" w:fill="FFFFFF"/>
          <w:vertAlign w:val="superscript"/>
        </w:rPr>
        <w:t>2</w:t>
      </w:r>
      <w:r>
        <w:rPr>
          <w:rFonts w:ascii="Times New Roman" w:hAnsi="Times New Roman" w:cs="Times New Roman"/>
          <w:snapToGrid w:val="0"/>
          <w:color w:val="auto"/>
          <w:kern w:val="0"/>
          <w:szCs w:val="24"/>
          <w:shd w:val="clear" w:color="auto" w:fill="FFFFFF"/>
        </w:rPr>
        <w:t>，</w:t>
      </w:r>
      <w:r>
        <w:rPr>
          <w:rFonts w:ascii="Times New Roman" w:hAnsi="Times New Roman" w:cs="Times New Roman"/>
          <w:color w:val="auto"/>
          <w:szCs w:val="24"/>
          <w:shd w:val="clear" w:color="auto" w:fill="FFFFFF"/>
        </w:rPr>
        <w:t>取底栖生物在SS浓度&gt;100mg/L时最大死亡率为50%计算。评价区店埠河底栖动物平均密度为39ind/m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，平均生物量为16.1g/m</w:t>
      </w:r>
      <w:r>
        <w:rPr>
          <w:rFonts w:ascii="Times New Roman" w:hAnsi="Times New Roman" w:cs="Times New Roman"/>
          <w:color w:val="auto"/>
          <w:szCs w:val="24"/>
          <w:shd w:val="clear" w:color="auto" w:fill="FFFFFF"/>
          <w:vertAlign w:val="superscript"/>
        </w:rPr>
        <w:t>2</w:t>
      </w:r>
      <w:r>
        <w:rPr>
          <w:rFonts w:ascii="Times New Roman" w:hAnsi="Times New Roman" w:cs="Times New Roman"/>
          <w:color w:val="auto"/>
          <w:szCs w:val="24"/>
          <w:shd w:val="clear" w:color="auto" w:fill="FFFFFF"/>
        </w:rPr>
        <w:t>。码头施工及疏浚造成的底栖动物损失量为：（100000×16.1+</w:t>
      </w:r>
      <w:r>
        <w:rPr>
          <w:rFonts w:ascii="Times New Roman" w:hAnsi="Times New Roman" w:cs="Times New Roman"/>
          <w:snapToGrid w:val="0"/>
          <w:color w:val="auto"/>
          <w:kern w:val="0"/>
          <w:szCs w:val="24"/>
          <w:shd w:val="clear" w:color="auto" w:fill="FFFFFF"/>
        </w:rPr>
        <w:t>5000</w:t>
      </w:r>
      <w:r>
        <w:rPr>
          <w:rFonts w:ascii="Times New Roman" w:hAnsi="Times New Roman" w:cs="Times New Roman"/>
          <w:color w:val="auto"/>
          <w:szCs w:val="24"/>
          <w:shd w:val="clear" w:color="auto" w:fill="FFFFFF"/>
        </w:rPr>
        <w:t>×16.1×50%）/1000=1650.25kg。</w:t>
      </w:r>
    </w:p>
    <w:p>
      <w:pPr>
        <w:adjustRightInd/>
        <w:ind w:firstLine="480"/>
        <w:rPr>
          <w:rFonts w:ascii="Times New Roman" w:hAnsi="Times New Roman" w:cs="Times New Roman"/>
          <w:color w:val="auto"/>
          <w:szCs w:val="24"/>
          <w:shd w:val="clear" w:color="auto" w:fill="FFFFFF"/>
        </w:rPr>
      </w:pPr>
      <w:r>
        <w:rPr>
          <w:rFonts w:hint="eastAsia" w:ascii="宋体" w:hAnsi="宋体" w:cs="宋体"/>
          <w:color w:val="auto"/>
          <w:szCs w:val="24"/>
          <w:shd w:val="clear" w:color="auto" w:fill="FFFFFF"/>
        </w:rPr>
        <w:t>③</w:t>
      </w:r>
      <w:r>
        <w:rPr>
          <w:rFonts w:ascii="Times New Roman" w:hAnsi="Times New Roman" w:cs="Times New Roman"/>
          <w:color w:val="auto"/>
          <w:szCs w:val="24"/>
          <w:shd w:val="clear" w:color="auto" w:fill="FFFFFF"/>
        </w:rPr>
        <w:t>鱼卵、</w:t>
      </w:r>
      <w:r>
        <w:rPr>
          <w:rFonts w:hint="eastAsia" w:ascii="Times New Roman" w:hAnsi="Times New Roman" w:cs="Times New Roman"/>
          <w:color w:val="auto"/>
          <w:szCs w:val="24"/>
          <w:shd w:val="clear" w:color="auto" w:fill="FFFFFF"/>
        </w:rPr>
        <w:t>鱼类幼苗</w:t>
      </w:r>
      <w:r>
        <w:rPr>
          <w:rFonts w:ascii="Times New Roman" w:hAnsi="Times New Roman" w:cs="Times New Roman"/>
          <w:color w:val="auto"/>
          <w:szCs w:val="24"/>
          <w:shd w:val="clear" w:color="auto" w:fill="FFFFFF"/>
        </w:rPr>
        <w:t>损失量</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生物损失：根据渔业水质标准要求，人为增加悬浮物浓度大于100mg/L，对鱼类生长造成的影响，鱼卵、仔鱼因高浓度的含沙量死亡，幼体也将受到一定的影响。</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损失计算公式为：</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position w:val="-30"/>
          <w:szCs w:val="24"/>
          <w:shd w:val="clear" w:color="auto" w:fill="FFFFFF"/>
        </w:rPr>
        <w:drawing>
          <wp:inline distT="0" distB="0" distL="0" distR="0">
            <wp:extent cx="1254760" cy="425450"/>
            <wp:effectExtent l="0" t="0" r="0" b="0"/>
            <wp:docPr id="87" name="图片 8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true" noChangeArrowheads="true"/>
                    </pic:cNvPicPr>
                  </pic:nvPicPr>
                  <pic:blipFill>
                    <a:blip r:embed="rId163" cstate="print"/>
                    <a:srcRect/>
                    <a:stretch>
                      <a:fillRect/>
                    </a:stretch>
                  </pic:blipFill>
                  <pic:spPr>
                    <a:xfrm>
                      <a:off x="0" y="0"/>
                      <a:ext cx="1254760" cy="425450"/>
                    </a:xfrm>
                    <a:prstGeom prst="rect">
                      <a:avLst/>
                    </a:prstGeom>
                    <a:noFill/>
                    <a:ln>
                      <a:noFill/>
                    </a:ln>
                  </pic:spPr>
                </pic:pic>
              </a:graphicData>
            </a:graphic>
          </wp:inline>
        </w:drawing>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式中：</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W</w:t>
      </w:r>
      <w:r>
        <w:rPr>
          <w:rFonts w:ascii="Times New Roman" w:hAnsi="Times New Roman" w:cs="Times New Roman"/>
          <w:color w:val="auto"/>
          <w:szCs w:val="24"/>
          <w:shd w:val="clear" w:color="auto" w:fill="FFFFFF"/>
          <w:vertAlign w:val="subscript"/>
        </w:rPr>
        <w:t>i</w:t>
      </w:r>
      <w:r>
        <w:rPr>
          <w:rFonts w:ascii="Times New Roman" w:hAnsi="Times New Roman" w:cs="Times New Roman"/>
          <w:color w:val="auto"/>
          <w:szCs w:val="24"/>
          <w:shd w:val="clear" w:color="auto" w:fill="FFFFFF"/>
        </w:rPr>
        <w:t>——第i种生物资源一次性平均损失，尾、个、kg；</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D</w:t>
      </w:r>
      <w:r>
        <w:rPr>
          <w:rFonts w:ascii="Times New Roman" w:hAnsi="Times New Roman" w:cs="Times New Roman"/>
          <w:color w:val="auto"/>
          <w:szCs w:val="24"/>
          <w:shd w:val="clear" w:color="auto" w:fill="FFFFFF"/>
          <w:vertAlign w:val="subscript"/>
        </w:rPr>
        <w:t>ij</w:t>
      </w:r>
      <w:r>
        <w:rPr>
          <w:rFonts w:ascii="Times New Roman" w:hAnsi="Times New Roman" w:cs="Times New Roman"/>
          <w:color w:val="auto"/>
          <w:szCs w:val="24"/>
          <w:shd w:val="clear" w:color="auto" w:fill="FFFFFF"/>
        </w:rPr>
        <w:t>——某污染物第j类浓度增加区第i种生物资源密度，尾/km</w:t>
      </w:r>
      <w:r>
        <w:rPr>
          <w:rFonts w:ascii="Times New Roman" w:hAnsi="Times New Roman" w:cs="Times New Roman"/>
          <w:color w:val="auto"/>
          <w:szCs w:val="24"/>
          <w:shd w:val="clear" w:color="auto" w:fill="FFFFFF"/>
          <w:vertAlign w:val="superscript"/>
        </w:rPr>
        <w:t>2</w:t>
      </w:r>
      <w:r>
        <w:rPr>
          <w:rFonts w:ascii="Times New Roman" w:hAnsi="Times New Roman" w:cs="Times New Roman"/>
          <w:color w:val="auto"/>
          <w:szCs w:val="24"/>
          <w:shd w:val="clear" w:color="auto" w:fill="FFFFFF"/>
        </w:rPr>
        <w:t>、个/km</w:t>
      </w:r>
      <w:r>
        <w:rPr>
          <w:rFonts w:ascii="Times New Roman" w:hAnsi="Times New Roman" w:cs="Times New Roman"/>
          <w:color w:val="auto"/>
          <w:szCs w:val="24"/>
          <w:shd w:val="clear" w:color="auto" w:fill="FFFFFF"/>
          <w:vertAlign w:val="superscript"/>
        </w:rPr>
        <w:t>2</w:t>
      </w:r>
      <w:r>
        <w:rPr>
          <w:rFonts w:ascii="Times New Roman" w:hAnsi="Times New Roman" w:cs="Times New Roman"/>
          <w:color w:val="auto"/>
          <w:szCs w:val="24"/>
          <w:shd w:val="clear" w:color="auto" w:fill="FFFFFF"/>
        </w:rPr>
        <w:t>、kg/km</w:t>
      </w:r>
      <w:r>
        <w:rPr>
          <w:rFonts w:ascii="Times New Roman" w:hAnsi="Times New Roman" w:cs="Times New Roman"/>
          <w:color w:val="auto"/>
          <w:szCs w:val="24"/>
          <w:shd w:val="clear" w:color="auto" w:fill="FFFFFF"/>
          <w:vertAlign w:val="superscript"/>
        </w:rPr>
        <w:t>2</w:t>
      </w:r>
      <w:r>
        <w:rPr>
          <w:rFonts w:ascii="Times New Roman" w:hAnsi="Times New Roman" w:cs="Times New Roman"/>
          <w:color w:val="auto"/>
          <w:szCs w:val="24"/>
          <w:shd w:val="clear" w:color="auto" w:fill="FFFFFF"/>
        </w:rPr>
        <w:t>；</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S</w:t>
      </w:r>
      <w:r>
        <w:rPr>
          <w:rFonts w:ascii="Times New Roman" w:hAnsi="Times New Roman" w:cs="Times New Roman"/>
          <w:color w:val="auto"/>
          <w:szCs w:val="24"/>
          <w:shd w:val="clear" w:color="auto" w:fill="FFFFFF"/>
          <w:vertAlign w:val="subscript"/>
        </w:rPr>
        <w:t>j</w:t>
      </w:r>
      <w:r>
        <w:rPr>
          <w:rFonts w:ascii="Times New Roman" w:hAnsi="Times New Roman" w:cs="Times New Roman"/>
          <w:color w:val="auto"/>
          <w:szCs w:val="24"/>
          <w:shd w:val="clear" w:color="auto" w:fill="FFFFFF"/>
        </w:rPr>
        <w:t>——某污染物第j类浓度增加区面积，km</w:t>
      </w:r>
      <w:r>
        <w:rPr>
          <w:rFonts w:ascii="Times New Roman" w:hAnsi="Times New Roman" w:cs="Times New Roman"/>
          <w:color w:val="auto"/>
          <w:szCs w:val="24"/>
          <w:shd w:val="clear" w:color="auto" w:fill="FFFFFF"/>
          <w:vertAlign w:val="superscript"/>
        </w:rPr>
        <w:t>2</w:t>
      </w:r>
      <w:r>
        <w:rPr>
          <w:rFonts w:ascii="Times New Roman" w:hAnsi="Times New Roman" w:cs="Times New Roman"/>
          <w:color w:val="auto"/>
          <w:szCs w:val="24"/>
          <w:shd w:val="clear" w:color="auto" w:fill="FFFFFF"/>
        </w:rPr>
        <w:t>；</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K</w:t>
      </w:r>
      <w:r>
        <w:rPr>
          <w:rFonts w:ascii="Times New Roman" w:hAnsi="Times New Roman" w:cs="Times New Roman"/>
          <w:color w:val="auto"/>
          <w:szCs w:val="24"/>
          <w:shd w:val="clear" w:color="auto" w:fill="FFFFFF"/>
          <w:vertAlign w:val="subscript"/>
        </w:rPr>
        <w:t>ij</w:t>
      </w:r>
      <w:r>
        <w:rPr>
          <w:rFonts w:ascii="Times New Roman" w:hAnsi="Times New Roman" w:cs="Times New Roman"/>
          <w:color w:val="auto"/>
          <w:szCs w:val="24"/>
          <w:shd w:val="clear" w:color="auto" w:fill="FFFFFF"/>
        </w:rPr>
        <w:t>——某污染物第j类浓度区第i种生物资源损失率，%；</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n——某污染浓度增加分区总数。</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当污染物浓度增加区域存在时间超过15天时，应计算生物资源的累计损害量。生物资源的累计损害量按下式计算：</w:t>
      </w:r>
    </w:p>
    <w:p>
      <w:pPr>
        <w:adjustRightInd/>
        <w:ind w:firstLine="480"/>
        <w:rPr>
          <w:rFonts w:ascii="Times New Roman" w:hAnsi="Times New Roman" w:cs="Times New Roman"/>
          <w:color w:val="auto"/>
          <w:position w:val="-12"/>
          <w:szCs w:val="24"/>
          <w:shd w:val="clear" w:color="auto" w:fill="FFFFFF"/>
        </w:rPr>
      </w:pPr>
      <w:r>
        <w:rPr>
          <w:rFonts w:ascii="Times New Roman" w:hAnsi="Times New Roman" w:cs="Times New Roman"/>
          <w:color w:val="auto"/>
          <w:position w:val="-12"/>
          <w:szCs w:val="24"/>
          <w:shd w:val="clear" w:color="auto" w:fill="FFFFFF"/>
        </w:rPr>
        <w:drawing>
          <wp:inline distT="0" distB="0" distL="0" distR="0">
            <wp:extent cx="775970" cy="233680"/>
            <wp:effectExtent l="0" t="0" r="0" b="0"/>
            <wp:docPr id="88" name="图片 8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true" noChangeArrowheads="true"/>
                    </pic:cNvPicPr>
                  </pic:nvPicPr>
                  <pic:blipFill>
                    <a:blip r:embed="rId164" cstate="print"/>
                    <a:srcRect/>
                    <a:stretch>
                      <a:fillRect/>
                    </a:stretch>
                  </pic:blipFill>
                  <pic:spPr>
                    <a:xfrm>
                      <a:off x="0" y="0"/>
                      <a:ext cx="775970" cy="233680"/>
                    </a:xfrm>
                    <a:prstGeom prst="rect">
                      <a:avLst/>
                    </a:prstGeom>
                    <a:noFill/>
                    <a:ln>
                      <a:noFill/>
                    </a:ln>
                  </pic:spPr>
                </pic:pic>
              </a:graphicData>
            </a:graphic>
          </wp:inline>
        </w:drawing>
      </w:r>
    </w:p>
    <w:p>
      <w:pPr>
        <w:adjustRightInd/>
        <w:ind w:firstLine="480"/>
        <w:rPr>
          <w:rFonts w:ascii="Times New Roman" w:hAnsi="Times New Roman" w:cs="Times New Roman"/>
          <w:color w:val="auto"/>
          <w:position w:val="-12"/>
          <w:szCs w:val="24"/>
          <w:shd w:val="clear" w:color="auto" w:fill="FFFFFF"/>
        </w:rPr>
      </w:pPr>
      <w:r>
        <w:rPr>
          <w:rFonts w:ascii="Times New Roman" w:hAnsi="Times New Roman" w:cs="Times New Roman"/>
          <w:color w:val="auto"/>
          <w:position w:val="-12"/>
          <w:szCs w:val="24"/>
          <w:shd w:val="clear" w:color="auto" w:fill="FFFFFF"/>
        </w:rPr>
        <w:t>式中：</w:t>
      </w:r>
    </w:p>
    <w:p>
      <w:pPr>
        <w:adjustRightInd/>
        <w:ind w:firstLine="480"/>
        <w:rPr>
          <w:rFonts w:ascii="Times New Roman" w:hAnsi="Times New Roman" w:cs="Times New Roman"/>
          <w:color w:val="auto"/>
          <w:position w:val="-12"/>
          <w:szCs w:val="24"/>
          <w:shd w:val="clear" w:color="auto" w:fill="FFFFFF"/>
        </w:rPr>
      </w:pPr>
      <w:r>
        <w:rPr>
          <w:rFonts w:ascii="Times New Roman" w:hAnsi="Times New Roman" w:cs="Times New Roman"/>
          <w:color w:val="auto"/>
          <w:position w:val="-12"/>
          <w:szCs w:val="24"/>
          <w:shd w:val="clear" w:color="auto" w:fill="FFFFFF"/>
        </w:rPr>
        <w:t>M</w:t>
      </w:r>
      <w:r>
        <w:rPr>
          <w:rFonts w:ascii="Times New Roman" w:hAnsi="Times New Roman" w:cs="Times New Roman"/>
          <w:color w:val="auto"/>
          <w:position w:val="-12"/>
          <w:szCs w:val="24"/>
          <w:shd w:val="clear" w:color="auto" w:fill="FFFFFF"/>
          <w:vertAlign w:val="subscript"/>
        </w:rPr>
        <w:t>i</w:t>
      </w:r>
      <w:r>
        <w:rPr>
          <w:rFonts w:ascii="Times New Roman" w:hAnsi="Times New Roman" w:cs="Times New Roman"/>
          <w:color w:val="auto"/>
          <w:position w:val="-12"/>
          <w:szCs w:val="24"/>
          <w:shd w:val="clear" w:color="auto" w:fill="FFFFFF"/>
        </w:rPr>
        <w:t>——第i种类生物资源累计损害量，单位为尾、个、kg；</w:t>
      </w:r>
    </w:p>
    <w:p>
      <w:pPr>
        <w:adjustRightInd/>
        <w:ind w:firstLine="480"/>
        <w:rPr>
          <w:rFonts w:ascii="Times New Roman" w:hAnsi="Times New Roman" w:cs="Times New Roman"/>
          <w:color w:val="auto"/>
          <w:position w:val="-12"/>
          <w:szCs w:val="24"/>
          <w:shd w:val="clear" w:color="auto" w:fill="FFFFFF"/>
        </w:rPr>
      </w:pPr>
      <w:r>
        <w:rPr>
          <w:rFonts w:ascii="Times New Roman" w:hAnsi="Times New Roman" w:cs="Times New Roman"/>
          <w:color w:val="auto"/>
          <w:position w:val="-12"/>
          <w:szCs w:val="24"/>
          <w:shd w:val="clear" w:color="auto" w:fill="FFFFFF"/>
        </w:rPr>
        <w:t>W</w:t>
      </w:r>
      <w:r>
        <w:rPr>
          <w:rFonts w:ascii="Times New Roman" w:hAnsi="Times New Roman" w:cs="Times New Roman"/>
          <w:color w:val="auto"/>
          <w:position w:val="-12"/>
          <w:szCs w:val="24"/>
          <w:shd w:val="clear" w:color="auto" w:fill="FFFFFF"/>
          <w:vertAlign w:val="subscript"/>
        </w:rPr>
        <w:t>i</w:t>
      </w:r>
      <w:r>
        <w:rPr>
          <w:rFonts w:ascii="Times New Roman" w:hAnsi="Times New Roman" w:cs="Times New Roman"/>
          <w:color w:val="auto"/>
          <w:position w:val="-12"/>
          <w:szCs w:val="24"/>
          <w:shd w:val="clear" w:color="auto" w:fill="FFFFFF"/>
        </w:rPr>
        <w:t>——第i中生物资源一次性平均损害量，单位为尾、个、kg；</w:t>
      </w:r>
    </w:p>
    <w:p>
      <w:pPr>
        <w:adjustRightInd/>
        <w:ind w:firstLine="480"/>
        <w:rPr>
          <w:rFonts w:ascii="Times New Roman" w:hAnsi="Times New Roman" w:cs="Times New Roman"/>
          <w:color w:val="auto"/>
          <w:position w:val="-12"/>
          <w:szCs w:val="24"/>
          <w:shd w:val="clear" w:color="auto" w:fill="FFFFFF"/>
        </w:rPr>
      </w:pPr>
      <w:r>
        <w:rPr>
          <w:rFonts w:ascii="Times New Roman" w:hAnsi="Times New Roman" w:cs="Times New Roman"/>
          <w:color w:val="auto"/>
          <w:position w:val="-12"/>
          <w:szCs w:val="24"/>
          <w:shd w:val="clear" w:color="auto" w:fill="FFFFFF"/>
        </w:rPr>
        <w:t>T——污染物浓度影响持续周数（年实际天数除以15），个。</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本项目施工活动造成的悬浮物增量SS&gt;100mg/L的面积为</w:t>
      </w:r>
      <w:r>
        <w:rPr>
          <w:rFonts w:ascii="Times New Roman" w:hAnsi="Times New Roman" w:cs="Times New Roman"/>
          <w:snapToGrid w:val="0"/>
          <w:color w:val="auto"/>
          <w:kern w:val="0"/>
          <w:szCs w:val="24"/>
          <w:shd w:val="clear" w:color="auto" w:fill="FFFFFF"/>
        </w:rPr>
        <w:t>疏浚工程施工扰动面积及施工下游影响面积组成，</w:t>
      </w:r>
      <w:r>
        <w:rPr>
          <w:rFonts w:ascii="Times New Roman" w:hAnsi="Times New Roman" w:cs="Times New Roman"/>
          <w:color w:val="auto"/>
          <w:szCs w:val="24"/>
          <w:shd w:val="clear" w:color="auto" w:fill="FFFFFF"/>
        </w:rPr>
        <w:t>共约为105000m</w:t>
      </w:r>
      <w:r>
        <w:rPr>
          <w:rFonts w:ascii="Times New Roman" w:hAnsi="Times New Roman" w:cs="Times New Roman"/>
          <w:color w:val="auto"/>
          <w:szCs w:val="24"/>
          <w:shd w:val="clear" w:color="auto" w:fill="FFFFFF"/>
          <w:vertAlign w:val="superscript"/>
        </w:rPr>
        <w:t>2</w:t>
      </w:r>
      <w:r>
        <w:rPr>
          <w:rFonts w:ascii="Times New Roman" w:hAnsi="Times New Roman" w:cs="Times New Roman"/>
          <w:color w:val="auto"/>
          <w:szCs w:val="24"/>
          <w:shd w:val="clear" w:color="auto" w:fill="FFFFFF"/>
        </w:rPr>
        <w:t>左右。根据同类报告，取鱼卵和仔鱼在SS浓度&gt;100mg/L时死亡率为50%计算。</w:t>
      </w:r>
      <w:r>
        <w:rPr>
          <w:rFonts w:hint="eastAsia" w:ascii="Times New Roman" w:hAnsi="Times New Roman" w:cs="Times New Roman"/>
          <w:color w:val="auto"/>
          <w:szCs w:val="24"/>
          <w:shd w:val="clear" w:color="auto" w:fill="FFFFFF"/>
        </w:rPr>
        <w:t>本项目水下疏浚施工工期约3个月；</w:t>
      </w:r>
      <w:r>
        <w:rPr>
          <w:rFonts w:ascii="Times New Roman" w:hAnsi="Times New Roman" w:cs="Times New Roman"/>
          <w:color w:val="auto"/>
          <w:szCs w:val="24"/>
          <w:shd w:val="clear" w:color="auto" w:fill="FFFFFF"/>
        </w:rPr>
        <w:t>水工建筑施工工期为9-12个月。由于鱼卵仔鱼和幼体在水体中具有流动性，取店埠河调查段平均值进行计算。个特征浓度影响面积取作业区典型计算点相应浓度最大值进行计算。计算情况见下表：</w:t>
      </w:r>
    </w:p>
    <w:p>
      <w:pPr>
        <w:ind w:firstLine="422"/>
        <w:jc w:val="center"/>
        <w:rPr>
          <w:rFonts w:ascii="Times New Roman" w:hAnsi="Times New Roman" w:cs="Times New Roman"/>
          <w:b/>
          <w:color w:val="auto"/>
          <w:kern w:val="0"/>
          <w:sz w:val="21"/>
          <w:szCs w:val="21"/>
        </w:rPr>
      </w:pPr>
      <w:r>
        <w:rPr>
          <w:rFonts w:ascii="Times New Roman" w:hAnsi="Times New Roman" w:cs="Times New Roman"/>
          <w:b/>
          <w:color w:val="auto"/>
          <w:kern w:val="0"/>
          <w:sz w:val="21"/>
          <w:szCs w:val="21"/>
        </w:rPr>
        <w:t>表5.1-6      鱼卵仔鱼生物量损失</w:t>
      </w:r>
    </w:p>
    <w:tbl>
      <w:tblPr>
        <w:tblStyle w:val="62"/>
        <w:tblW w:w="914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60"/>
        <w:gridCol w:w="992"/>
        <w:gridCol w:w="1134"/>
        <w:gridCol w:w="1726"/>
        <w:gridCol w:w="838"/>
        <w:gridCol w:w="1026"/>
        <w:gridCol w:w="937"/>
        <w:gridCol w:w="93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560" w:type="dxa"/>
            <w:vAlign w:val="center"/>
          </w:tcPr>
          <w:p>
            <w:pPr>
              <w:widowControl/>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影响源</w:t>
            </w:r>
          </w:p>
        </w:tc>
        <w:tc>
          <w:tcPr>
            <w:tcW w:w="992" w:type="dxa"/>
            <w:vAlign w:val="center"/>
          </w:tcPr>
          <w:p>
            <w:pPr>
              <w:widowControl/>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影响</w:t>
            </w:r>
          </w:p>
          <w:p>
            <w:pPr>
              <w:widowControl/>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对象</w:t>
            </w:r>
          </w:p>
        </w:tc>
        <w:tc>
          <w:tcPr>
            <w:tcW w:w="1134" w:type="dxa"/>
            <w:vAlign w:val="center"/>
          </w:tcPr>
          <w:p>
            <w:pPr>
              <w:widowControl/>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平均密度</w:t>
            </w:r>
          </w:p>
          <w:p>
            <w:pPr>
              <w:widowControl/>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(个/m</w:t>
            </w:r>
            <w:r>
              <w:rPr>
                <w:rFonts w:ascii="Times New Roman" w:hAnsi="Times New Roman" w:cs="Times New Roman"/>
                <w:color w:val="auto"/>
                <w:sz w:val="18"/>
                <w:szCs w:val="18"/>
                <w:shd w:val="clear" w:color="auto" w:fill="FFFFFF"/>
                <w:vertAlign w:val="superscript"/>
              </w:rPr>
              <w:t>2</w:t>
            </w:r>
            <w:r>
              <w:rPr>
                <w:rFonts w:ascii="Times New Roman" w:hAnsi="Times New Roman" w:cs="Times New Roman"/>
                <w:color w:val="auto"/>
                <w:sz w:val="18"/>
                <w:szCs w:val="18"/>
                <w:shd w:val="clear" w:color="auto" w:fill="FFFFFF"/>
              </w:rPr>
              <w:t>)</w:t>
            </w:r>
          </w:p>
        </w:tc>
        <w:tc>
          <w:tcPr>
            <w:tcW w:w="1726" w:type="dxa"/>
            <w:vAlign w:val="center"/>
          </w:tcPr>
          <w:p>
            <w:pPr>
              <w:widowControl/>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影响累计面积SS浓度&gt;100mg/L（m</w:t>
            </w:r>
            <w:r>
              <w:rPr>
                <w:rFonts w:ascii="Times New Roman" w:hAnsi="Times New Roman" w:cs="Times New Roman"/>
                <w:color w:val="auto"/>
                <w:sz w:val="18"/>
                <w:szCs w:val="18"/>
                <w:shd w:val="clear" w:color="auto" w:fill="FFFFFF"/>
                <w:vertAlign w:val="superscript"/>
              </w:rPr>
              <w:t>2</w:t>
            </w:r>
            <w:r>
              <w:rPr>
                <w:rFonts w:ascii="Times New Roman" w:hAnsi="Times New Roman" w:cs="Times New Roman"/>
                <w:color w:val="auto"/>
                <w:sz w:val="18"/>
                <w:szCs w:val="18"/>
                <w:shd w:val="clear" w:color="auto" w:fill="FFFFFF"/>
              </w:rPr>
              <w:t>）</w:t>
            </w:r>
          </w:p>
        </w:tc>
        <w:tc>
          <w:tcPr>
            <w:tcW w:w="838" w:type="dxa"/>
            <w:vAlign w:val="center"/>
          </w:tcPr>
          <w:p>
            <w:pPr>
              <w:widowControl/>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折成鱼苗比例</w:t>
            </w:r>
          </w:p>
        </w:tc>
        <w:tc>
          <w:tcPr>
            <w:tcW w:w="1026" w:type="dxa"/>
            <w:vAlign w:val="center"/>
          </w:tcPr>
          <w:p>
            <w:pPr>
              <w:widowControl/>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损失量</w:t>
            </w:r>
          </w:p>
          <w:p>
            <w:pPr>
              <w:widowControl/>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（尾）</w:t>
            </w:r>
          </w:p>
        </w:tc>
        <w:tc>
          <w:tcPr>
            <w:tcW w:w="937" w:type="dxa"/>
            <w:vAlign w:val="center"/>
          </w:tcPr>
          <w:p>
            <w:pPr>
              <w:widowControl/>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作业时间（天）</w:t>
            </w:r>
          </w:p>
        </w:tc>
        <w:tc>
          <w:tcPr>
            <w:tcW w:w="935" w:type="dxa"/>
            <w:vAlign w:val="center"/>
          </w:tcPr>
          <w:p>
            <w:pPr>
              <w:widowControl/>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累计损失（尾）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2" w:hRule="atLeast"/>
          <w:jc w:val="center"/>
        </w:trPr>
        <w:tc>
          <w:tcPr>
            <w:tcW w:w="1560" w:type="dxa"/>
            <w:vMerge w:val="restart"/>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hint="eastAsia" w:ascii="Times New Roman" w:hAnsi="Times New Roman" w:cs="Times New Roman"/>
                <w:color w:val="auto"/>
                <w:sz w:val="18"/>
                <w:szCs w:val="18"/>
                <w:shd w:val="clear" w:color="auto" w:fill="FFFFFF"/>
              </w:rPr>
              <w:t>水下疏浚及</w:t>
            </w:r>
            <w:r>
              <w:rPr>
                <w:rFonts w:ascii="Times New Roman" w:hAnsi="Times New Roman" w:cs="Times New Roman"/>
                <w:color w:val="auto"/>
                <w:sz w:val="18"/>
                <w:szCs w:val="18"/>
                <w:shd w:val="clear" w:color="auto" w:fill="FFFFFF"/>
              </w:rPr>
              <w:t>水工建筑施工导致的SS浓度增加</w:t>
            </w:r>
          </w:p>
        </w:tc>
        <w:tc>
          <w:tcPr>
            <w:tcW w:w="992"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鱼卵</w:t>
            </w:r>
          </w:p>
        </w:tc>
        <w:tc>
          <w:tcPr>
            <w:tcW w:w="1134"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0.55</w:t>
            </w:r>
          </w:p>
        </w:tc>
        <w:tc>
          <w:tcPr>
            <w:tcW w:w="1726" w:type="dxa"/>
            <w:vMerge w:val="restart"/>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105000</w:t>
            </w:r>
          </w:p>
        </w:tc>
        <w:tc>
          <w:tcPr>
            <w:tcW w:w="838"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1%</w:t>
            </w:r>
          </w:p>
        </w:tc>
        <w:tc>
          <w:tcPr>
            <w:tcW w:w="1026"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80</w:t>
            </w:r>
          </w:p>
        </w:tc>
        <w:tc>
          <w:tcPr>
            <w:tcW w:w="937"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180</w:t>
            </w:r>
          </w:p>
        </w:tc>
        <w:tc>
          <w:tcPr>
            <w:tcW w:w="935"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960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4" w:hRule="atLeast"/>
          <w:jc w:val="center"/>
        </w:trPr>
        <w:tc>
          <w:tcPr>
            <w:tcW w:w="1560" w:type="dxa"/>
            <w:vMerge w:val="continue"/>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p>
        </w:tc>
        <w:tc>
          <w:tcPr>
            <w:tcW w:w="992"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仔鱼</w:t>
            </w:r>
          </w:p>
        </w:tc>
        <w:tc>
          <w:tcPr>
            <w:tcW w:w="1134"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2.83</w:t>
            </w:r>
          </w:p>
        </w:tc>
        <w:tc>
          <w:tcPr>
            <w:tcW w:w="1726" w:type="dxa"/>
            <w:vMerge w:val="continue"/>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p>
        </w:tc>
        <w:tc>
          <w:tcPr>
            <w:tcW w:w="838"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1%</w:t>
            </w:r>
          </w:p>
        </w:tc>
        <w:tc>
          <w:tcPr>
            <w:tcW w:w="1026"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411</w:t>
            </w:r>
          </w:p>
        </w:tc>
        <w:tc>
          <w:tcPr>
            <w:tcW w:w="937"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180</w:t>
            </w:r>
          </w:p>
        </w:tc>
        <w:tc>
          <w:tcPr>
            <w:tcW w:w="935"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4932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2" w:hRule="atLeast"/>
          <w:jc w:val="center"/>
        </w:trPr>
        <w:tc>
          <w:tcPr>
            <w:tcW w:w="1560"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合计</w:t>
            </w:r>
          </w:p>
        </w:tc>
        <w:tc>
          <w:tcPr>
            <w:tcW w:w="992"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w:t>
            </w:r>
          </w:p>
        </w:tc>
        <w:tc>
          <w:tcPr>
            <w:tcW w:w="1134"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w:t>
            </w:r>
          </w:p>
        </w:tc>
        <w:tc>
          <w:tcPr>
            <w:tcW w:w="1726"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w:t>
            </w:r>
          </w:p>
        </w:tc>
        <w:tc>
          <w:tcPr>
            <w:tcW w:w="838"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w:t>
            </w:r>
          </w:p>
        </w:tc>
        <w:tc>
          <w:tcPr>
            <w:tcW w:w="1026"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w:t>
            </w:r>
          </w:p>
        </w:tc>
        <w:tc>
          <w:tcPr>
            <w:tcW w:w="937"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w:t>
            </w:r>
          </w:p>
        </w:tc>
        <w:tc>
          <w:tcPr>
            <w:tcW w:w="935" w:type="dxa"/>
            <w:vAlign w:val="center"/>
          </w:tcPr>
          <w:p>
            <w:pPr>
              <w:adjustRightInd/>
              <w:spacing w:line="240" w:lineRule="auto"/>
              <w:ind w:firstLine="0" w:firstLineChars="0"/>
              <w:jc w:val="center"/>
              <w:rPr>
                <w:rFonts w:ascii="Times New Roman" w:hAnsi="Times New Roman" w:cs="Times New Roman"/>
                <w:color w:val="auto"/>
                <w:sz w:val="18"/>
                <w:szCs w:val="18"/>
                <w:shd w:val="clear" w:color="auto" w:fill="FFFFFF"/>
              </w:rPr>
            </w:pPr>
            <w:r>
              <w:rPr>
                <w:rFonts w:ascii="Times New Roman" w:hAnsi="Times New Roman" w:cs="Times New Roman"/>
                <w:color w:val="auto"/>
                <w:sz w:val="18"/>
                <w:szCs w:val="18"/>
                <w:shd w:val="clear" w:color="auto" w:fill="FFFFFF"/>
              </w:rPr>
              <w:t>5892</w:t>
            </w:r>
          </w:p>
        </w:tc>
      </w:tr>
      <w:bookmarkEnd w:id="386"/>
    </w:tbl>
    <w:p>
      <w:pPr>
        <w:pStyle w:val="3"/>
        <w:numPr>
          <w:ilvl w:val="0"/>
          <w:numId w:val="0"/>
        </w:numPr>
        <w:spacing w:before="0" w:after="0"/>
        <w:rPr>
          <w:rFonts w:ascii="Times New Roman" w:hAnsi="Times New Roman" w:cs="Times New Roman"/>
        </w:rPr>
      </w:pPr>
      <w:bookmarkStart w:id="389" w:name="_Toc104733395"/>
      <w:bookmarkStart w:id="390" w:name="_Toc102979834"/>
      <w:r>
        <w:rPr>
          <w:rFonts w:ascii="Times New Roman" w:hAnsi="Times New Roman" w:cs="Times New Roman"/>
          <w:color w:val="auto"/>
        </w:rPr>
        <w:t>5.2 营运期大气环境影响预测与评价</w:t>
      </w:r>
      <w:bookmarkEnd w:id="381"/>
      <w:bookmarkEnd w:id="382"/>
      <w:bookmarkEnd w:id="383"/>
      <w:bookmarkEnd w:id="389"/>
      <w:bookmarkEnd w:id="390"/>
    </w:p>
    <w:p>
      <w:pPr>
        <w:pStyle w:val="4"/>
        <w:rPr>
          <w:rFonts w:ascii="Times New Roman" w:hAnsi="Times New Roman" w:cs="Times New Roman"/>
          <w:color w:val="auto"/>
          <w:szCs w:val="24"/>
        </w:rPr>
      </w:pPr>
      <w:bookmarkStart w:id="391" w:name="_Toc104733396"/>
      <w:bookmarkStart w:id="392" w:name="_Toc102984365"/>
      <w:r>
        <w:rPr>
          <w:rFonts w:ascii="Times New Roman" w:hAnsi="Times New Roman" w:cs="Times New Roman"/>
          <w:color w:val="auto"/>
          <w:szCs w:val="24"/>
        </w:rPr>
        <w:t>5.2.1气象特征</w:t>
      </w:r>
      <w:bookmarkEnd w:id="391"/>
      <w:bookmarkEnd w:id="392"/>
    </w:p>
    <w:p>
      <w:pPr>
        <w:widowControl/>
        <w:spacing w:line="500" w:lineRule="exact"/>
        <w:ind w:firstLine="520"/>
        <w:rPr>
          <w:rFonts w:ascii="Times New Roman" w:hAnsi="Times New Roman" w:cs="Times New Roman"/>
          <w:bCs/>
          <w:color w:val="auto"/>
          <w:spacing w:val="10"/>
          <w:kern w:val="0"/>
          <w:szCs w:val="20"/>
        </w:rPr>
      </w:pPr>
      <w:bookmarkStart w:id="393" w:name="_Toc194758044"/>
      <w:bookmarkStart w:id="394" w:name="_Toc194758519"/>
      <w:bookmarkStart w:id="395" w:name="_Toc194758282"/>
      <w:bookmarkStart w:id="396" w:name="_Toc86044190"/>
      <w:bookmarkStart w:id="397" w:name="_Toc194482376"/>
      <w:bookmarkStart w:id="398" w:name="_Toc194758045"/>
      <w:bookmarkStart w:id="399" w:name="_Toc194758283"/>
      <w:bookmarkStart w:id="400" w:name="_Toc194758520"/>
      <w:r>
        <w:rPr>
          <w:rFonts w:ascii="Times New Roman" w:hAnsi="Times New Roman" w:cs="Times New Roman"/>
          <w:color w:val="auto"/>
          <w:spacing w:val="10"/>
          <w:kern w:val="0"/>
          <w:szCs w:val="20"/>
        </w:rPr>
        <w:t>根据合肥市气象站近二十年(2001年~2020年)的气象资料统计，分析本地区污染气象。</w:t>
      </w:r>
      <w:r>
        <w:rPr>
          <w:rFonts w:ascii="Times New Roman" w:hAnsi="Times New Roman" w:cs="Times New Roman"/>
          <w:kern w:val="0"/>
        </w:rPr>
        <w:t>站台编号为58321，海拔高度为27m，站点经纬度为</w:t>
      </w:r>
      <w:r>
        <w:rPr>
          <w:rFonts w:ascii="Times New Roman" w:hAnsi="Times New Roman" w:cs="Times New Roman"/>
        </w:rPr>
        <w:t>经度为117.0572°E</w:t>
      </w:r>
      <w:r>
        <w:rPr>
          <w:rFonts w:ascii="Times New Roman" w:hAnsi="Times New Roman" w:cs="Times New Roman"/>
          <w:bCs/>
        </w:rPr>
        <w:t>，纬度为</w:t>
      </w:r>
      <w:r>
        <w:rPr>
          <w:rFonts w:ascii="Times New Roman" w:hAnsi="Times New Roman" w:cs="Times New Roman"/>
        </w:rPr>
        <w:t>31.9556°N</w:t>
      </w:r>
      <w:r>
        <w:rPr>
          <w:rFonts w:ascii="Times New Roman" w:hAnsi="Times New Roman" w:cs="Times New Roman"/>
          <w:kern w:val="0"/>
        </w:rPr>
        <w:t>；合肥气象站距离本工程41km</w:t>
      </w:r>
      <w:r>
        <w:rPr>
          <w:rFonts w:ascii="Times New Roman" w:hAnsi="Times New Roman" w:cs="Times New Roman"/>
          <w:bCs/>
          <w:color w:val="auto"/>
          <w:spacing w:val="10"/>
          <w:kern w:val="0"/>
          <w:szCs w:val="20"/>
        </w:rPr>
        <w:t>。</w:t>
      </w:r>
    </w:p>
    <w:p>
      <w:pPr>
        <w:widowControl/>
        <w:spacing w:line="500" w:lineRule="exact"/>
        <w:ind w:firstLine="520"/>
        <w:rPr>
          <w:rFonts w:ascii="Times New Roman" w:hAnsi="Times New Roman" w:cs="Times New Roman"/>
          <w:color w:val="auto"/>
          <w:spacing w:val="10"/>
          <w:kern w:val="0"/>
          <w:szCs w:val="20"/>
        </w:rPr>
      </w:pPr>
      <w:r>
        <w:rPr>
          <w:rFonts w:ascii="Times New Roman" w:hAnsi="Times New Roman" w:cs="Times New Roman"/>
          <w:color w:val="auto"/>
          <w:spacing w:val="10"/>
          <w:kern w:val="0"/>
          <w:szCs w:val="20"/>
        </w:rPr>
        <w:t>1、气候特征</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项目地区气候特征属北亚热带湿润季风气候区，气候温和，雨量适中，光照充足，无霜期长，春季(3~5月)气温回暖迅速，雨水明显增多，时晴时雨，时冷时暖，常有寒流入侵，有时有低温连阴雨，倒春寒，晚霜冻。夏季(6~8月)日照强，温度高，水份蒸发快，降雨集中，多雷暴雨，间有台风，龙卷风，冰雹，有些年份被副热带高压控制，酷热少雨，造成干旱。秋季(9~11月)多晴天，降温快，雨量骤减，常有秋旱，有时也有阴雨连绵。冬季(12~2月)北方冷空气入侵频繁，雨雪偏少，多干冷。</w:t>
      </w:r>
    </w:p>
    <w:bookmarkEnd w:id="393"/>
    <w:bookmarkEnd w:id="394"/>
    <w:bookmarkEnd w:id="395"/>
    <w:p>
      <w:pPr>
        <w:widowControl/>
        <w:spacing w:line="500" w:lineRule="exact"/>
        <w:ind w:firstLine="520"/>
        <w:rPr>
          <w:rFonts w:ascii="Times New Roman" w:hAnsi="Times New Roman" w:cs="Times New Roman"/>
          <w:color w:val="auto"/>
          <w:spacing w:val="10"/>
          <w:kern w:val="0"/>
          <w:szCs w:val="20"/>
        </w:rPr>
      </w:pPr>
      <w:r>
        <w:rPr>
          <w:rFonts w:ascii="Times New Roman" w:hAnsi="Times New Roman" w:cs="Times New Roman"/>
          <w:color w:val="auto"/>
          <w:spacing w:val="10"/>
          <w:kern w:val="0"/>
          <w:szCs w:val="20"/>
        </w:rPr>
        <w:t>2、温度</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合肥市年平均温度的月变化情况见表5.2-1。</w:t>
      </w:r>
    </w:p>
    <w:p>
      <w:pPr>
        <w:spacing w:before="166" w:beforeLines="50"/>
        <w:ind w:firstLine="422"/>
        <w:jc w:val="center"/>
        <w:rPr>
          <w:rFonts w:ascii="Times New Roman" w:hAnsi="Times New Roman" w:cs="Times New Roman"/>
          <w:b/>
          <w:bCs/>
          <w:color w:val="auto"/>
          <w:sz w:val="21"/>
          <w:szCs w:val="21"/>
          <w:lang w:val="en-GB"/>
        </w:rPr>
      </w:pPr>
      <w:r>
        <w:rPr>
          <w:rFonts w:ascii="Times New Roman" w:hAnsi="Times New Roman" w:cs="Times New Roman"/>
          <w:b/>
          <w:bCs/>
          <w:color w:val="auto"/>
          <w:sz w:val="21"/>
          <w:szCs w:val="21"/>
          <w:lang w:val="en-GB"/>
        </w:rPr>
        <w:t>表5.2-1  合肥市年平均温度的月变化统计表  单位：℃</w:t>
      </w:r>
    </w:p>
    <w:tbl>
      <w:tblPr>
        <w:tblStyle w:val="62"/>
        <w:tblW w:w="922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21"/>
        <w:gridCol w:w="512"/>
        <w:gridCol w:w="577"/>
        <w:gridCol w:w="653"/>
        <w:gridCol w:w="653"/>
        <w:gridCol w:w="653"/>
        <w:gridCol w:w="653"/>
        <w:gridCol w:w="653"/>
        <w:gridCol w:w="653"/>
        <w:gridCol w:w="653"/>
        <w:gridCol w:w="764"/>
        <w:gridCol w:w="756"/>
        <w:gridCol w:w="671"/>
        <w:gridCol w:w="55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7" w:hRule="atLeast"/>
          <w:jc w:val="center"/>
        </w:trPr>
        <w:tc>
          <w:tcPr>
            <w:tcW w:w="821"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月份</w:t>
            </w:r>
          </w:p>
        </w:tc>
        <w:tc>
          <w:tcPr>
            <w:tcW w:w="512"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1月</w:t>
            </w:r>
          </w:p>
        </w:tc>
        <w:tc>
          <w:tcPr>
            <w:tcW w:w="577"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2月</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3月</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4月</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5月</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6月</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7月</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8月</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9月</w:t>
            </w:r>
          </w:p>
        </w:tc>
        <w:tc>
          <w:tcPr>
            <w:tcW w:w="76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10月</w:t>
            </w:r>
          </w:p>
        </w:tc>
        <w:tc>
          <w:tcPr>
            <w:tcW w:w="756"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11月</w:t>
            </w:r>
          </w:p>
        </w:tc>
        <w:tc>
          <w:tcPr>
            <w:tcW w:w="671"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12月</w:t>
            </w:r>
          </w:p>
        </w:tc>
        <w:tc>
          <w:tcPr>
            <w:tcW w:w="55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8" w:hRule="atLeast"/>
          <w:jc w:val="center"/>
        </w:trPr>
        <w:tc>
          <w:tcPr>
            <w:tcW w:w="821"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温度℃</w:t>
            </w:r>
          </w:p>
        </w:tc>
        <w:tc>
          <w:tcPr>
            <w:tcW w:w="512"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3.0</w:t>
            </w:r>
          </w:p>
        </w:tc>
        <w:tc>
          <w:tcPr>
            <w:tcW w:w="577"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5.6</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10.3</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16.6</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21.9</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25.5</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28.6</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27.6</w:t>
            </w:r>
          </w:p>
        </w:tc>
        <w:tc>
          <w:tcPr>
            <w:tcW w:w="653"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23.6</w:t>
            </w:r>
          </w:p>
        </w:tc>
        <w:tc>
          <w:tcPr>
            <w:tcW w:w="76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17.9</w:t>
            </w:r>
          </w:p>
        </w:tc>
        <w:tc>
          <w:tcPr>
            <w:tcW w:w="756"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11.3</w:t>
            </w:r>
          </w:p>
        </w:tc>
        <w:tc>
          <w:tcPr>
            <w:tcW w:w="671"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5.5</w:t>
            </w:r>
          </w:p>
        </w:tc>
        <w:tc>
          <w:tcPr>
            <w:tcW w:w="55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16.5</w:t>
            </w:r>
          </w:p>
        </w:tc>
      </w:tr>
    </w:tbl>
    <w:p>
      <w:pPr>
        <w:widowControl/>
        <w:ind w:firstLine="480" w:firstLineChars="0"/>
        <w:rPr>
          <w:rFonts w:ascii="Times New Roman" w:hAnsi="Times New Roman" w:cs="Times New Roman"/>
          <w:color w:val="auto"/>
          <w:spacing w:val="10"/>
          <w:kern w:val="0"/>
          <w:szCs w:val="20"/>
        </w:rPr>
      </w:pPr>
      <w:r>
        <w:rPr>
          <w:rFonts w:ascii="Times New Roman" w:hAnsi="Times New Roman" w:cs="Times New Roman"/>
        </w:rPr>
        <w:drawing>
          <wp:inline distT="0" distB="0" distL="0" distR="0">
            <wp:extent cx="4465955" cy="2402840"/>
            <wp:effectExtent l="0" t="0" r="0" b="0"/>
            <wp:docPr id="89" name="图片 8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true" noChangeArrowheads="true"/>
                    </pic:cNvPicPr>
                  </pic:nvPicPr>
                  <pic:blipFill>
                    <a:blip r:embed="rId165"/>
                    <a:srcRect/>
                    <a:stretch>
                      <a:fillRect/>
                    </a:stretch>
                  </pic:blipFill>
                  <pic:spPr>
                    <a:xfrm>
                      <a:off x="0" y="0"/>
                      <a:ext cx="4465955" cy="2402840"/>
                    </a:xfrm>
                    <a:prstGeom prst="rect">
                      <a:avLst/>
                    </a:prstGeom>
                    <a:noFill/>
                    <a:ln>
                      <a:noFill/>
                    </a:ln>
                  </pic:spPr>
                </pic:pic>
              </a:graphicData>
            </a:graphic>
          </wp:inline>
        </w:drawing>
      </w:r>
    </w:p>
    <w:p>
      <w:pPr>
        <w:spacing w:before="166" w:beforeLines="50"/>
        <w:ind w:firstLine="422"/>
        <w:jc w:val="center"/>
        <w:rPr>
          <w:rFonts w:ascii="Times New Roman" w:hAnsi="Times New Roman" w:cs="Times New Roman"/>
          <w:b/>
          <w:bCs/>
          <w:color w:val="auto"/>
          <w:sz w:val="21"/>
          <w:szCs w:val="21"/>
          <w:lang w:val="en-GB"/>
        </w:rPr>
      </w:pPr>
      <w:r>
        <w:rPr>
          <w:rFonts w:ascii="Times New Roman" w:hAnsi="Times New Roman" w:cs="Times New Roman"/>
          <w:b/>
          <w:bCs/>
          <w:color w:val="auto"/>
          <w:sz w:val="21"/>
          <w:szCs w:val="21"/>
          <w:lang w:val="en-GB"/>
        </w:rPr>
        <w:t>图5.2-1 合肥市温度变化图</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从表5.2-1和图5.2-1可知，全年平均气温为16.5℃，其中夏季气温明显高于其余季节，其中以7月温度最高，平均为28.6℃，1月温度最低，平均为3.0℃。</w:t>
      </w:r>
    </w:p>
    <w:p>
      <w:pPr>
        <w:widowControl/>
        <w:spacing w:line="500" w:lineRule="exact"/>
        <w:ind w:firstLine="520"/>
        <w:rPr>
          <w:rFonts w:ascii="Times New Roman" w:hAnsi="Times New Roman" w:cs="Times New Roman"/>
          <w:color w:val="auto"/>
          <w:spacing w:val="10"/>
          <w:kern w:val="0"/>
          <w:szCs w:val="20"/>
        </w:rPr>
      </w:pPr>
      <w:r>
        <w:rPr>
          <w:rFonts w:ascii="Times New Roman" w:hAnsi="Times New Roman" w:cs="Times New Roman"/>
          <w:color w:val="auto"/>
          <w:spacing w:val="10"/>
          <w:kern w:val="0"/>
          <w:szCs w:val="20"/>
        </w:rPr>
        <w:t>3、风速</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合肥市平均风速日变化和风速的月份变化统计见表5.2-2。</w:t>
      </w:r>
    </w:p>
    <w:p>
      <w:pPr>
        <w:spacing w:before="166" w:beforeLines="50"/>
        <w:ind w:firstLine="422"/>
        <w:jc w:val="center"/>
        <w:rPr>
          <w:rFonts w:ascii="Times New Roman" w:hAnsi="Times New Roman" w:cs="Times New Roman"/>
          <w:b/>
          <w:bCs/>
          <w:color w:val="auto"/>
          <w:sz w:val="21"/>
          <w:szCs w:val="21"/>
          <w:lang w:val="en-GB"/>
        </w:rPr>
      </w:pPr>
      <w:r>
        <w:rPr>
          <w:rFonts w:ascii="Times New Roman" w:hAnsi="Times New Roman" w:cs="Times New Roman"/>
          <w:b/>
          <w:bCs/>
          <w:color w:val="auto"/>
          <w:sz w:val="21"/>
          <w:szCs w:val="21"/>
          <w:lang w:val="en-GB"/>
        </w:rPr>
        <w:t>表5.2-2    年平均风速的变化  单位：m/s</w:t>
      </w:r>
    </w:p>
    <w:tbl>
      <w:tblPr>
        <w:tblStyle w:val="62"/>
        <w:tblW w:w="914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11"/>
        <w:gridCol w:w="684"/>
        <w:gridCol w:w="684"/>
        <w:gridCol w:w="684"/>
        <w:gridCol w:w="684"/>
        <w:gridCol w:w="684"/>
        <w:gridCol w:w="684"/>
        <w:gridCol w:w="684"/>
        <w:gridCol w:w="684"/>
        <w:gridCol w:w="684"/>
        <w:gridCol w:w="607"/>
        <w:gridCol w:w="607"/>
        <w:gridCol w:w="607"/>
        <w:gridCol w:w="55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611"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月份</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1月</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2月</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3月</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4月</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5月</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6月</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7月</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8月</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9月</w:t>
            </w:r>
          </w:p>
        </w:tc>
        <w:tc>
          <w:tcPr>
            <w:tcW w:w="607"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10月</w:t>
            </w:r>
          </w:p>
        </w:tc>
        <w:tc>
          <w:tcPr>
            <w:tcW w:w="607"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11月</w:t>
            </w:r>
          </w:p>
        </w:tc>
        <w:tc>
          <w:tcPr>
            <w:tcW w:w="607"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12月</w:t>
            </w:r>
          </w:p>
        </w:tc>
        <w:tc>
          <w:tcPr>
            <w:tcW w:w="556"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611"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风速</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3.0</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2.9</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2.9</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2.7</w:t>
            </w:r>
          </w:p>
        </w:tc>
        <w:tc>
          <w:tcPr>
            <w:tcW w:w="684"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c>
          <w:tcPr>
            <w:tcW w:w="607"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607"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607"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556" w:type="dxa"/>
            <w:vAlign w:val="center"/>
          </w:tcPr>
          <w:p>
            <w:pPr>
              <w:adjustRightInd/>
              <w:snapToGri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w:t>
            </w:r>
          </w:p>
        </w:tc>
      </w:tr>
    </w:tbl>
    <w:p>
      <w:pPr>
        <w:adjustRightInd/>
        <w:snapToGrid/>
        <w:spacing w:line="240" w:lineRule="auto"/>
        <w:ind w:firstLine="0" w:firstLineChars="0"/>
        <w:rPr>
          <w:rFonts w:ascii="Times New Roman" w:hAnsi="Times New Roman" w:cs="Times New Roman"/>
          <w:color w:val="auto"/>
          <w:sz w:val="21"/>
          <w:szCs w:val="24"/>
        </w:rPr>
      </w:pPr>
      <w:r>
        <w:rPr>
          <w:rFonts w:ascii="Times New Roman" w:hAnsi="Times New Roman" w:cs="Times New Roman"/>
          <w:color w:val="auto"/>
          <w:sz w:val="21"/>
          <w:szCs w:val="24"/>
        </w:rPr>
        <w:drawing>
          <wp:anchor distT="0" distB="0" distL="114300" distR="114300" simplePos="0" relativeHeight="251642880" behindDoc="0" locked="0" layoutInCell="1" allowOverlap="1">
            <wp:simplePos x="0" y="0"/>
            <wp:positionH relativeFrom="column">
              <wp:posOffset>342900</wp:posOffset>
            </wp:positionH>
            <wp:positionV relativeFrom="paragraph">
              <wp:posOffset>168910</wp:posOffset>
            </wp:positionV>
            <wp:extent cx="4791075" cy="2571750"/>
            <wp:effectExtent l="0" t="0" r="0" b="0"/>
            <wp:wrapNone/>
            <wp:docPr id="1957" name="Picture 1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57" name="Picture 103"/>
                    <pic:cNvPicPr>
                      <a:picLocks noChangeAspect="true" noChangeArrowheads="true"/>
                    </pic:cNvPicPr>
                  </pic:nvPicPr>
                  <pic:blipFill>
                    <a:blip r:embed="rId166"/>
                    <a:srcRect/>
                    <a:stretch>
                      <a:fillRect/>
                    </a:stretch>
                  </pic:blipFill>
                  <pic:spPr>
                    <a:xfrm>
                      <a:off x="0" y="0"/>
                      <a:ext cx="4791075" cy="2571750"/>
                    </a:xfrm>
                    <a:prstGeom prst="rect">
                      <a:avLst/>
                    </a:prstGeom>
                    <a:noFill/>
                  </pic:spPr>
                </pic:pic>
              </a:graphicData>
            </a:graphic>
          </wp:anchor>
        </w:drawing>
      </w:r>
    </w:p>
    <w:p>
      <w:pPr>
        <w:adjustRightInd/>
        <w:snapToGrid/>
        <w:spacing w:line="480" w:lineRule="exact"/>
        <w:ind w:firstLine="420"/>
        <w:rPr>
          <w:rFonts w:ascii="Times New Roman" w:hAnsi="Times New Roman" w:cs="Times New Roman"/>
          <w:color w:val="auto"/>
          <w:sz w:val="21"/>
          <w:szCs w:val="24"/>
        </w:rPr>
      </w:pPr>
    </w:p>
    <w:p>
      <w:pPr>
        <w:adjustRightInd/>
        <w:snapToGrid/>
        <w:spacing w:line="480" w:lineRule="exact"/>
        <w:ind w:firstLine="420"/>
        <w:rPr>
          <w:rFonts w:ascii="Times New Roman" w:hAnsi="Times New Roman" w:cs="Times New Roman"/>
          <w:color w:val="auto"/>
          <w:sz w:val="21"/>
          <w:szCs w:val="24"/>
        </w:rPr>
      </w:pPr>
    </w:p>
    <w:p>
      <w:pPr>
        <w:adjustRightInd/>
        <w:snapToGrid/>
        <w:spacing w:line="480" w:lineRule="exact"/>
        <w:ind w:firstLine="420"/>
        <w:rPr>
          <w:rFonts w:ascii="Times New Roman" w:hAnsi="Times New Roman" w:cs="Times New Roman"/>
          <w:color w:val="auto"/>
          <w:sz w:val="21"/>
          <w:szCs w:val="24"/>
        </w:rPr>
      </w:pPr>
    </w:p>
    <w:p>
      <w:pPr>
        <w:adjustRightInd/>
        <w:snapToGrid/>
        <w:spacing w:line="480" w:lineRule="exact"/>
        <w:ind w:firstLine="420"/>
        <w:rPr>
          <w:rFonts w:ascii="Times New Roman" w:hAnsi="Times New Roman" w:cs="Times New Roman"/>
          <w:color w:val="auto"/>
          <w:sz w:val="21"/>
          <w:szCs w:val="24"/>
        </w:rPr>
      </w:pPr>
    </w:p>
    <w:p>
      <w:pPr>
        <w:adjustRightInd/>
        <w:snapToGrid/>
        <w:spacing w:line="480" w:lineRule="exact"/>
        <w:ind w:firstLine="420"/>
        <w:rPr>
          <w:rFonts w:ascii="Times New Roman" w:hAnsi="Times New Roman" w:cs="Times New Roman"/>
          <w:color w:val="auto"/>
          <w:sz w:val="21"/>
          <w:szCs w:val="24"/>
        </w:rPr>
      </w:pPr>
    </w:p>
    <w:p>
      <w:pPr>
        <w:adjustRightInd/>
        <w:snapToGrid/>
        <w:spacing w:line="480" w:lineRule="exact"/>
        <w:ind w:firstLine="420"/>
        <w:rPr>
          <w:rFonts w:ascii="Times New Roman" w:hAnsi="Times New Roman" w:cs="Times New Roman"/>
          <w:color w:val="auto"/>
          <w:sz w:val="21"/>
          <w:szCs w:val="24"/>
        </w:rPr>
      </w:pPr>
    </w:p>
    <w:p>
      <w:pPr>
        <w:adjustRightInd/>
        <w:snapToGrid/>
        <w:spacing w:line="480" w:lineRule="exact"/>
        <w:ind w:firstLine="420"/>
        <w:rPr>
          <w:rFonts w:ascii="Times New Roman" w:hAnsi="Times New Roman" w:cs="Times New Roman"/>
          <w:color w:val="auto"/>
          <w:sz w:val="21"/>
          <w:szCs w:val="24"/>
        </w:rPr>
      </w:pPr>
    </w:p>
    <w:p>
      <w:pPr>
        <w:adjustRightInd/>
        <w:snapToGrid/>
        <w:spacing w:line="480" w:lineRule="exact"/>
        <w:ind w:firstLine="420"/>
        <w:rPr>
          <w:rFonts w:ascii="Times New Roman" w:hAnsi="Times New Roman" w:cs="Times New Roman"/>
          <w:color w:val="auto"/>
          <w:sz w:val="21"/>
          <w:szCs w:val="24"/>
        </w:rPr>
      </w:pPr>
    </w:p>
    <w:p>
      <w:pPr>
        <w:adjustRightInd/>
        <w:snapToGrid/>
        <w:spacing w:line="240" w:lineRule="auto"/>
        <w:ind w:firstLine="420"/>
        <w:rPr>
          <w:rFonts w:ascii="Times New Roman" w:hAnsi="Times New Roman" w:cs="Times New Roman"/>
          <w:color w:val="auto"/>
          <w:sz w:val="21"/>
          <w:szCs w:val="24"/>
        </w:rPr>
      </w:pPr>
    </w:p>
    <w:p>
      <w:pPr>
        <w:spacing w:before="166" w:beforeLines="50"/>
        <w:ind w:firstLine="422"/>
        <w:jc w:val="center"/>
        <w:rPr>
          <w:rFonts w:ascii="Times New Roman" w:hAnsi="Times New Roman" w:cs="Times New Roman"/>
          <w:b/>
          <w:bCs/>
          <w:color w:val="auto"/>
          <w:sz w:val="21"/>
          <w:szCs w:val="21"/>
          <w:lang w:val="en-GB"/>
        </w:rPr>
      </w:pPr>
      <w:r>
        <w:rPr>
          <w:rFonts w:ascii="Times New Roman" w:hAnsi="Times New Roman" w:cs="Times New Roman"/>
          <w:b/>
          <w:bCs/>
          <w:color w:val="auto"/>
          <w:sz w:val="21"/>
          <w:szCs w:val="21"/>
          <w:lang w:val="en-GB"/>
        </w:rPr>
        <w:t>图5.2-2    合肥地面风速日变化和月变化图</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合肥市年季小时平均风速的日变化见表5.2-3。</w:t>
      </w:r>
    </w:p>
    <w:p>
      <w:pPr>
        <w:spacing w:before="166" w:beforeLines="50"/>
        <w:ind w:firstLine="422"/>
        <w:jc w:val="center"/>
        <w:rPr>
          <w:rFonts w:ascii="Times New Roman" w:hAnsi="Times New Roman" w:cs="Times New Roman"/>
          <w:b/>
          <w:bCs/>
          <w:color w:val="auto"/>
          <w:sz w:val="21"/>
          <w:szCs w:val="21"/>
          <w:lang w:val="en-GB"/>
        </w:rPr>
      </w:pPr>
      <w:r>
        <w:rPr>
          <w:rFonts w:ascii="Times New Roman" w:hAnsi="Times New Roman" w:cs="Times New Roman"/>
          <w:b/>
          <w:bCs/>
          <w:color w:val="auto"/>
          <w:sz w:val="21"/>
          <w:szCs w:val="21"/>
          <w:lang w:val="en-GB"/>
        </w:rPr>
        <w:t>表5.2-3   2000-2020年季小时平均风速的日变化</w:t>
      </w:r>
    </w:p>
    <w:tbl>
      <w:tblPr>
        <w:tblStyle w:val="62"/>
        <w:tblW w:w="928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98"/>
        <w:gridCol w:w="641"/>
        <w:gridCol w:w="641"/>
        <w:gridCol w:w="641"/>
        <w:gridCol w:w="639"/>
        <w:gridCol w:w="639"/>
        <w:gridCol w:w="641"/>
        <w:gridCol w:w="643"/>
        <w:gridCol w:w="643"/>
        <w:gridCol w:w="643"/>
        <w:gridCol w:w="643"/>
        <w:gridCol w:w="643"/>
        <w:gridCol w:w="6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98" w:type="dxa"/>
          </w:tcPr>
          <w:p>
            <w:pPr>
              <w:adjustRightInd/>
              <w:snapToGrid/>
              <w:spacing w:line="260" w:lineRule="exact"/>
              <w:ind w:firstLine="0" w:firstLineChars="0"/>
              <w:jc w:val="right"/>
              <w:rPr>
                <w:rFonts w:ascii="Times New Roman" w:hAnsi="Times New Roman" w:cs="Times New Roman"/>
                <w:color w:val="auto"/>
                <w:sz w:val="18"/>
                <w:szCs w:val="18"/>
              </w:rPr>
            </w:pPr>
            <w:r>
              <w:rPr>
                <w:rFonts w:ascii="Times New Roman" w:hAnsi="Times New Roman" w:cs="Times New Roman"/>
                <w:color w:val="auto"/>
                <w:sz w:val="18"/>
                <w:szCs w:val="18"/>
              </w:rPr>
              <w:t>小时（h）</w:t>
            </w:r>
          </w:p>
          <w:p>
            <w:pPr>
              <w:adjustRightInd/>
              <w:snapToGrid/>
              <w:spacing w:line="260" w:lineRule="exact"/>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风速（m/s）</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63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98"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春季</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2.9</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3.6</w:t>
            </w:r>
          </w:p>
        </w:tc>
        <w:tc>
          <w:tcPr>
            <w:tcW w:w="63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98"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夏季</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2.2</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2.2</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2.7</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3.4</w:t>
            </w:r>
          </w:p>
        </w:tc>
        <w:tc>
          <w:tcPr>
            <w:tcW w:w="63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1598"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秋季</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2.2</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2.2</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2.2</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2.9</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w:t>
            </w:r>
          </w:p>
        </w:tc>
        <w:tc>
          <w:tcPr>
            <w:tcW w:w="63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98"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冬季</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2.2</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2.2</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2.9</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63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98" w:type="dxa"/>
          </w:tcPr>
          <w:p>
            <w:pPr>
              <w:adjustRightInd/>
              <w:snapToGrid/>
              <w:spacing w:line="260" w:lineRule="exact"/>
              <w:ind w:firstLine="0" w:firstLineChars="0"/>
              <w:jc w:val="right"/>
              <w:rPr>
                <w:rFonts w:ascii="Times New Roman" w:hAnsi="Times New Roman" w:cs="Times New Roman"/>
                <w:color w:val="auto"/>
                <w:sz w:val="18"/>
                <w:szCs w:val="18"/>
              </w:rPr>
            </w:pPr>
            <w:r>
              <w:rPr>
                <w:rFonts w:ascii="Times New Roman" w:hAnsi="Times New Roman" w:cs="Times New Roman"/>
                <w:color w:val="auto"/>
                <w:sz w:val="18"/>
                <w:szCs w:val="18"/>
              </w:rPr>
              <w:t>小时（h）</w:t>
            </w:r>
          </w:p>
          <w:p>
            <w:pPr>
              <w:adjustRightInd/>
              <w:snapToGrid/>
              <w:spacing w:line="260" w:lineRule="exact"/>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风速（m/s）</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13</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14</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17</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18</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19</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22</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63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98"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春季</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3.9</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3.8</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3.9</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3.8</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3.6</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3.3</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2.9</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2.9</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2.9</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63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1598"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夏季</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3.6</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3.7</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3.6</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3.3</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2.9</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2.7</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2.7</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63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98"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秋季</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2.2</w:t>
            </w:r>
          </w:p>
        </w:tc>
        <w:tc>
          <w:tcPr>
            <w:tcW w:w="63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598"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冬季</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3.3</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3.3</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3.4</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w:t>
            </w:r>
          </w:p>
        </w:tc>
        <w:tc>
          <w:tcPr>
            <w:tcW w:w="639"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641"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64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633" w:type="dxa"/>
            <w:vAlign w:val="center"/>
          </w:tcPr>
          <w:p>
            <w:pPr>
              <w:adjustRightInd/>
              <w:snapToGrid/>
              <w:spacing w:line="26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r>
    </w:tbl>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由表5.2-2可以看出，合肥市年平均风速为2.8m/s，该区域地面各月风速变化较为规律，春季和秋季风速最高，冬季风速最低，一年中以10月份风速最小，3、4月份风速最大；由表5.2-3可知，平均风速日变化较为规律，日出后风速逐渐增大，到中午达到风速最大，然后风速逐渐减小，到凌晨风速达到最小，风速最小白天风速明显大于夜间，这说明该区域白天更有利于大气污染物扩散。</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4、风向和风频</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合肥市年均风频的月变化见表5.2-4，年均风频季节变化及年变化见表5.2-5。由表5.2-5绘出年、季风向频率玫瑰图。</w:t>
      </w:r>
    </w:p>
    <w:p>
      <w:pPr>
        <w:spacing w:before="166" w:beforeLines="50"/>
        <w:ind w:firstLine="0" w:firstLineChars="0"/>
        <w:jc w:val="center"/>
        <w:rPr>
          <w:rFonts w:ascii="Times New Roman" w:hAnsi="Times New Roman" w:cs="Times New Roman"/>
          <w:b/>
          <w:bCs/>
          <w:color w:val="auto"/>
          <w:sz w:val="21"/>
          <w:szCs w:val="21"/>
          <w:lang w:val="en-GB"/>
        </w:rPr>
      </w:pPr>
      <w:r>
        <w:rPr>
          <w:rFonts w:ascii="Times New Roman" w:hAnsi="Times New Roman" w:cs="Times New Roman"/>
        </w:rPr>
        <w:drawing>
          <wp:inline distT="0" distB="0" distL="0" distR="0">
            <wp:extent cx="5762625" cy="4731385"/>
            <wp:effectExtent l="0" t="0" r="0" b="0"/>
            <wp:docPr id="90" name="图片 9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true" noChangeArrowheads="true"/>
                    </pic:cNvPicPr>
                  </pic:nvPicPr>
                  <pic:blipFill>
                    <a:blip r:embed="rId167"/>
                    <a:srcRect/>
                    <a:stretch>
                      <a:fillRect/>
                    </a:stretch>
                  </pic:blipFill>
                  <pic:spPr>
                    <a:xfrm>
                      <a:off x="0" y="0"/>
                      <a:ext cx="5762625" cy="4731385"/>
                    </a:xfrm>
                    <a:prstGeom prst="rect">
                      <a:avLst/>
                    </a:prstGeom>
                    <a:noFill/>
                    <a:ln>
                      <a:noFill/>
                    </a:ln>
                  </pic:spPr>
                </pic:pic>
              </a:graphicData>
            </a:graphic>
          </wp:inline>
        </w:drawing>
      </w:r>
      <w:r>
        <w:rPr>
          <w:rFonts w:ascii="Times New Roman" w:hAnsi="Times New Roman" w:cs="Times New Roman"/>
          <w:b/>
          <w:bCs/>
          <w:color w:val="auto"/>
          <w:sz w:val="21"/>
          <w:szCs w:val="21"/>
          <w:lang w:val="en-GB"/>
        </w:rPr>
        <w:t>图5.2-3   区域年、季风向频率玫瑰图</w:t>
      </w:r>
    </w:p>
    <w:p>
      <w:pPr>
        <w:adjustRightInd/>
        <w:snapToGrid/>
        <w:ind w:firstLine="480"/>
        <w:rPr>
          <w:rFonts w:ascii="Times New Roman" w:hAnsi="Times New Roman" w:cs="Times New Roman"/>
          <w:color w:val="auto"/>
          <w:szCs w:val="24"/>
        </w:rPr>
      </w:pPr>
      <w:r>
        <w:rPr>
          <w:rFonts w:ascii="Times New Roman" w:hAnsi="Times New Roman" w:cs="Times New Roman"/>
          <w:color w:val="auto"/>
          <w:szCs w:val="24"/>
        </w:rPr>
        <w:t>由表5.2-3及区域年、季风向频率玫瑰图所示，全年风频最大的风向是E风（风频为11.6%），ESE风（风频为8.8%），SE风（风频为8.2%）。由于全年连续三个风向角.的风频之和小于30%（风频之和为28.2%），所以评价区域主导风向不明显。</w:t>
      </w:r>
    </w:p>
    <w:bookmarkEnd w:id="396"/>
    <w:bookmarkEnd w:id="397"/>
    <w:bookmarkEnd w:id="398"/>
    <w:bookmarkEnd w:id="399"/>
    <w:bookmarkEnd w:id="400"/>
    <w:p>
      <w:pPr>
        <w:spacing w:before="166" w:beforeLines="50"/>
        <w:ind w:firstLine="422"/>
        <w:jc w:val="center"/>
        <w:rPr>
          <w:rFonts w:ascii="Times New Roman" w:hAnsi="Times New Roman" w:cs="Times New Roman"/>
          <w:b/>
          <w:bCs/>
          <w:color w:val="auto"/>
          <w:sz w:val="21"/>
          <w:szCs w:val="21"/>
          <w:lang w:val="en-GB"/>
        </w:rPr>
        <w:sectPr>
          <w:headerReference r:id="rId19" w:type="default"/>
          <w:pgSz w:w="11906" w:h="16838"/>
          <w:pgMar w:top="1417" w:right="1417" w:bottom="1417" w:left="1417" w:header="850" w:footer="992" w:gutter="0"/>
          <w:cols w:space="720" w:num="1"/>
          <w:docGrid w:type="lines" w:linePitch="333" w:charSpace="0"/>
        </w:sectPr>
      </w:pPr>
    </w:p>
    <w:p>
      <w:pPr>
        <w:spacing w:before="166" w:beforeLines="50"/>
        <w:ind w:firstLine="422"/>
        <w:jc w:val="center"/>
        <w:rPr>
          <w:rFonts w:ascii="Times New Roman" w:hAnsi="Times New Roman" w:cs="Times New Roman"/>
          <w:b/>
          <w:bCs/>
          <w:color w:val="auto"/>
          <w:sz w:val="21"/>
          <w:szCs w:val="21"/>
          <w:lang w:val="en-GB"/>
        </w:rPr>
      </w:pPr>
      <w:r>
        <w:rPr>
          <w:rFonts w:ascii="Times New Roman" w:hAnsi="Times New Roman" w:cs="Times New Roman"/>
          <w:b/>
          <w:bCs/>
          <w:color w:val="auto"/>
          <w:sz w:val="21"/>
          <w:szCs w:val="21"/>
          <w:lang w:val="en-GB"/>
        </w:rPr>
        <w:t>表5.2-4  年均风频的月变化  单位：%</w:t>
      </w:r>
    </w:p>
    <w:tbl>
      <w:tblPr>
        <w:tblStyle w:val="62"/>
        <w:tblW w:w="1517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05"/>
        <w:gridCol w:w="672"/>
        <w:gridCol w:w="893"/>
        <w:gridCol w:w="802"/>
        <w:gridCol w:w="863"/>
        <w:gridCol w:w="808"/>
        <w:gridCol w:w="819"/>
        <w:gridCol w:w="807"/>
        <w:gridCol w:w="807"/>
        <w:gridCol w:w="807"/>
        <w:gridCol w:w="895"/>
        <w:gridCol w:w="740"/>
        <w:gridCol w:w="998"/>
        <w:gridCol w:w="671"/>
        <w:gridCol w:w="1044"/>
        <w:gridCol w:w="786"/>
        <w:gridCol w:w="983"/>
        <w:gridCol w:w="6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16" w:hRule="atLeast"/>
          <w:jc w:val="center"/>
        </w:trPr>
        <w:tc>
          <w:tcPr>
            <w:tcW w:w="110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 xml:space="preserve">    风向</w:t>
            </w:r>
          </w:p>
          <w:p>
            <w:pPr>
              <w:adjustRightInd/>
              <w:snapToGrid/>
              <w:spacing w:line="300" w:lineRule="exact"/>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风频（%）</w:t>
            </w:r>
          </w:p>
        </w:tc>
        <w:tc>
          <w:tcPr>
            <w:tcW w:w="67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w:t>
            </w:r>
          </w:p>
        </w:tc>
        <w:tc>
          <w:tcPr>
            <w:tcW w:w="89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NNE</w:t>
            </w:r>
          </w:p>
        </w:tc>
        <w:tc>
          <w:tcPr>
            <w:tcW w:w="80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NE</w:t>
            </w:r>
          </w:p>
        </w:tc>
        <w:tc>
          <w:tcPr>
            <w:tcW w:w="86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ENE</w:t>
            </w:r>
          </w:p>
        </w:tc>
        <w:tc>
          <w:tcPr>
            <w:tcW w:w="80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w:t>
            </w:r>
          </w:p>
        </w:tc>
        <w:tc>
          <w:tcPr>
            <w:tcW w:w="819"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ESE</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SE</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SSE</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w:t>
            </w:r>
          </w:p>
        </w:tc>
        <w:tc>
          <w:tcPr>
            <w:tcW w:w="89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SSW</w:t>
            </w:r>
          </w:p>
        </w:tc>
        <w:tc>
          <w:tcPr>
            <w:tcW w:w="74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SW</w:t>
            </w:r>
          </w:p>
        </w:tc>
        <w:tc>
          <w:tcPr>
            <w:tcW w:w="99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WSW</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w:t>
            </w:r>
          </w:p>
        </w:tc>
        <w:tc>
          <w:tcPr>
            <w:tcW w:w="104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WNW</w:t>
            </w:r>
          </w:p>
        </w:tc>
        <w:tc>
          <w:tcPr>
            <w:tcW w:w="786"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NW</w:t>
            </w:r>
          </w:p>
        </w:tc>
        <w:tc>
          <w:tcPr>
            <w:tcW w:w="98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NNW</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C</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8" w:hRule="atLeast"/>
          <w:jc w:val="center"/>
        </w:trPr>
        <w:tc>
          <w:tcPr>
            <w:tcW w:w="110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一月</w:t>
            </w:r>
          </w:p>
        </w:tc>
        <w:tc>
          <w:tcPr>
            <w:tcW w:w="67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7.2</w:t>
            </w:r>
          </w:p>
        </w:tc>
        <w:tc>
          <w:tcPr>
            <w:tcW w:w="89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7.6</w:t>
            </w:r>
          </w:p>
        </w:tc>
        <w:tc>
          <w:tcPr>
            <w:tcW w:w="80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8.0</w:t>
            </w:r>
          </w:p>
        </w:tc>
        <w:tc>
          <w:tcPr>
            <w:tcW w:w="86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8.7</w:t>
            </w:r>
          </w:p>
        </w:tc>
        <w:tc>
          <w:tcPr>
            <w:tcW w:w="80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819"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6.8</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6.3</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4.4</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3.4</w:t>
            </w:r>
          </w:p>
        </w:tc>
        <w:tc>
          <w:tcPr>
            <w:tcW w:w="89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w:t>
            </w:r>
          </w:p>
        </w:tc>
        <w:tc>
          <w:tcPr>
            <w:tcW w:w="74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99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3.9</w:t>
            </w:r>
          </w:p>
        </w:tc>
        <w:tc>
          <w:tcPr>
            <w:tcW w:w="104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6.1</w:t>
            </w:r>
          </w:p>
        </w:tc>
        <w:tc>
          <w:tcPr>
            <w:tcW w:w="786"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9.3</w:t>
            </w:r>
          </w:p>
        </w:tc>
        <w:tc>
          <w:tcPr>
            <w:tcW w:w="98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9.2</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8" w:hRule="atLeast"/>
          <w:jc w:val="center"/>
        </w:trPr>
        <w:tc>
          <w:tcPr>
            <w:tcW w:w="110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二月</w:t>
            </w:r>
          </w:p>
        </w:tc>
        <w:tc>
          <w:tcPr>
            <w:tcW w:w="67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6.1</w:t>
            </w:r>
          </w:p>
        </w:tc>
        <w:tc>
          <w:tcPr>
            <w:tcW w:w="89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4.7</w:t>
            </w:r>
          </w:p>
        </w:tc>
        <w:tc>
          <w:tcPr>
            <w:tcW w:w="80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8.2</w:t>
            </w:r>
          </w:p>
        </w:tc>
        <w:tc>
          <w:tcPr>
            <w:tcW w:w="86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10.3</w:t>
            </w:r>
          </w:p>
        </w:tc>
        <w:tc>
          <w:tcPr>
            <w:tcW w:w="80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12.6</w:t>
            </w:r>
          </w:p>
        </w:tc>
        <w:tc>
          <w:tcPr>
            <w:tcW w:w="819"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9.3</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6.7</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5.5</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4.2</w:t>
            </w:r>
          </w:p>
        </w:tc>
        <w:tc>
          <w:tcPr>
            <w:tcW w:w="89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w:t>
            </w:r>
          </w:p>
        </w:tc>
        <w:tc>
          <w:tcPr>
            <w:tcW w:w="74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w:t>
            </w:r>
          </w:p>
        </w:tc>
        <w:tc>
          <w:tcPr>
            <w:tcW w:w="99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2.7</w:t>
            </w:r>
          </w:p>
        </w:tc>
        <w:tc>
          <w:tcPr>
            <w:tcW w:w="104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5.0</w:t>
            </w:r>
          </w:p>
        </w:tc>
        <w:tc>
          <w:tcPr>
            <w:tcW w:w="786"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7.9</w:t>
            </w:r>
          </w:p>
        </w:tc>
        <w:tc>
          <w:tcPr>
            <w:tcW w:w="98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8.0</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8" w:hRule="atLeast"/>
          <w:jc w:val="center"/>
        </w:trPr>
        <w:tc>
          <w:tcPr>
            <w:tcW w:w="110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三月</w:t>
            </w:r>
          </w:p>
        </w:tc>
        <w:tc>
          <w:tcPr>
            <w:tcW w:w="67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5.7</w:t>
            </w:r>
          </w:p>
        </w:tc>
        <w:tc>
          <w:tcPr>
            <w:tcW w:w="89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4.8</w:t>
            </w:r>
          </w:p>
        </w:tc>
        <w:tc>
          <w:tcPr>
            <w:tcW w:w="80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6.3</w:t>
            </w:r>
          </w:p>
        </w:tc>
        <w:tc>
          <w:tcPr>
            <w:tcW w:w="86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8.6</w:t>
            </w:r>
          </w:p>
        </w:tc>
        <w:tc>
          <w:tcPr>
            <w:tcW w:w="80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13.0</w:t>
            </w:r>
          </w:p>
        </w:tc>
        <w:tc>
          <w:tcPr>
            <w:tcW w:w="819"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10.1</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9.5</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7.2</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5.9</w:t>
            </w:r>
          </w:p>
        </w:tc>
        <w:tc>
          <w:tcPr>
            <w:tcW w:w="89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4.3</w:t>
            </w:r>
          </w:p>
        </w:tc>
        <w:tc>
          <w:tcPr>
            <w:tcW w:w="74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99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1.3</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104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4.4</w:t>
            </w:r>
          </w:p>
        </w:tc>
        <w:tc>
          <w:tcPr>
            <w:tcW w:w="786"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6.2</w:t>
            </w:r>
          </w:p>
        </w:tc>
        <w:tc>
          <w:tcPr>
            <w:tcW w:w="98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6.6</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8" w:hRule="atLeast"/>
          <w:jc w:val="center"/>
        </w:trPr>
        <w:tc>
          <w:tcPr>
            <w:tcW w:w="110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四月</w:t>
            </w:r>
          </w:p>
        </w:tc>
        <w:tc>
          <w:tcPr>
            <w:tcW w:w="67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4.9</w:t>
            </w:r>
          </w:p>
        </w:tc>
        <w:tc>
          <w:tcPr>
            <w:tcW w:w="89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w:t>
            </w:r>
          </w:p>
        </w:tc>
        <w:tc>
          <w:tcPr>
            <w:tcW w:w="80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5.1</w:t>
            </w:r>
          </w:p>
        </w:tc>
        <w:tc>
          <w:tcPr>
            <w:tcW w:w="86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7.0</w:t>
            </w:r>
          </w:p>
        </w:tc>
        <w:tc>
          <w:tcPr>
            <w:tcW w:w="80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11.3</w:t>
            </w:r>
          </w:p>
        </w:tc>
        <w:tc>
          <w:tcPr>
            <w:tcW w:w="819"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10.7</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10.3</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9.3</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8.6</w:t>
            </w:r>
          </w:p>
        </w:tc>
        <w:tc>
          <w:tcPr>
            <w:tcW w:w="89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5.0</w:t>
            </w:r>
          </w:p>
        </w:tc>
        <w:tc>
          <w:tcPr>
            <w:tcW w:w="74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99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104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4.1</w:t>
            </w:r>
          </w:p>
        </w:tc>
        <w:tc>
          <w:tcPr>
            <w:tcW w:w="786"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6.2</w:t>
            </w:r>
          </w:p>
        </w:tc>
        <w:tc>
          <w:tcPr>
            <w:tcW w:w="98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6.5</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8" w:hRule="atLeast"/>
          <w:jc w:val="center"/>
        </w:trPr>
        <w:tc>
          <w:tcPr>
            <w:tcW w:w="110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五月</w:t>
            </w:r>
          </w:p>
        </w:tc>
        <w:tc>
          <w:tcPr>
            <w:tcW w:w="67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5.2</w:t>
            </w:r>
          </w:p>
        </w:tc>
        <w:tc>
          <w:tcPr>
            <w:tcW w:w="89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c>
          <w:tcPr>
            <w:tcW w:w="80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4.5</w:t>
            </w:r>
          </w:p>
        </w:tc>
        <w:tc>
          <w:tcPr>
            <w:tcW w:w="86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5.5</w:t>
            </w:r>
          </w:p>
        </w:tc>
        <w:tc>
          <w:tcPr>
            <w:tcW w:w="80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10.9</w:t>
            </w:r>
          </w:p>
        </w:tc>
        <w:tc>
          <w:tcPr>
            <w:tcW w:w="819"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9.7</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10.8</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9.2</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8.4</w:t>
            </w:r>
          </w:p>
        </w:tc>
        <w:tc>
          <w:tcPr>
            <w:tcW w:w="89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6.3</w:t>
            </w:r>
          </w:p>
        </w:tc>
        <w:tc>
          <w:tcPr>
            <w:tcW w:w="74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2.9</w:t>
            </w:r>
          </w:p>
        </w:tc>
        <w:tc>
          <w:tcPr>
            <w:tcW w:w="99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w:t>
            </w:r>
          </w:p>
        </w:tc>
        <w:tc>
          <w:tcPr>
            <w:tcW w:w="104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5.0</w:t>
            </w:r>
          </w:p>
        </w:tc>
        <w:tc>
          <w:tcPr>
            <w:tcW w:w="786"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6.9</w:t>
            </w:r>
          </w:p>
        </w:tc>
        <w:tc>
          <w:tcPr>
            <w:tcW w:w="98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5.4</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8" w:hRule="atLeast"/>
          <w:jc w:val="center"/>
        </w:trPr>
        <w:tc>
          <w:tcPr>
            <w:tcW w:w="110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六月</w:t>
            </w:r>
          </w:p>
        </w:tc>
        <w:tc>
          <w:tcPr>
            <w:tcW w:w="67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89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w:t>
            </w:r>
          </w:p>
        </w:tc>
        <w:tc>
          <w:tcPr>
            <w:tcW w:w="80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4.9</w:t>
            </w:r>
          </w:p>
        </w:tc>
        <w:tc>
          <w:tcPr>
            <w:tcW w:w="86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5.7</w:t>
            </w:r>
          </w:p>
        </w:tc>
        <w:tc>
          <w:tcPr>
            <w:tcW w:w="80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12.5</w:t>
            </w:r>
          </w:p>
        </w:tc>
        <w:tc>
          <w:tcPr>
            <w:tcW w:w="819"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12.0</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12.3</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9.3</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10.8</w:t>
            </w:r>
          </w:p>
        </w:tc>
        <w:tc>
          <w:tcPr>
            <w:tcW w:w="89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7.6</w:t>
            </w:r>
          </w:p>
        </w:tc>
        <w:tc>
          <w:tcPr>
            <w:tcW w:w="74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2.7</w:t>
            </w:r>
          </w:p>
        </w:tc>
        <w:tc>
          <w:tcPr>
            <w:tcW w:w="99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1.8</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104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3.4</w:t>
            </w:r>
          </w:p>
        </w:tc>
        <w:tc>
          <w:tcPr>
            <w:tcW w:w="786"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4.5</w:t>
            </w:r>
          </w:p>
        </w:tc>
        <w:tc>
          <w:tcPr>
            <w:tcW w:w="98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3.9</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8" w:hRule="atLeast"/>
          <w:jc w:val="center"/>
        </w:trPr>
        <w:tc>
          <w:tcPr>
            <w:tcW w:w="110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七月</w:t>
            </w:r>
          </w:p>
        </w:tc>
        <w:tc>
          <w:tcPr>
            <w:tcW w:w="67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89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1.9</w:t>
            </w:r>
          </w:p>
        </w:tc>
        <w:tc>
          <w:tcPr>
            <w:tcW w:w="80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w:t>
            </w:r>
          </w:p>
        </w:tc>
        <w:tc>
          <w:tcPr>
            <w:tcW w:w="86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5.2</w:t>
            </w:r>
          </w:p>
        </w:tc>
        <w:tc>
          <w:tcPr>
            <w:tcW w:w="80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10.8</w:t>
            </w:r>
          </w:p>
        </w:tc>
        <w:tc>
          <w:tcPr>
            <w:tcW w:w="819"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9.0</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9.7</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14.9</w:t>
            </w:r>
          </w:p>
        </w:tc>
        <w:tc>
          <w:tcPr>
            <w:tcW w:w="89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11.2</w:t>
            </w:r>
          </w:p>
        </w:tc>
        <w:tc>
          <w:tcPr>
            <w:tcW w:w="74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w:t>
            </w:r>
          </w:p>
        </w:tc>
        <w:tc>
          <w:tcPr>
            <w:tcW w:w="99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1.9</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c>
          <w:tcPr>
            <w:tcW w:w="104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w:t>
            </w:r>
          </w:p>
        </w:tc>
        <w:tc>
          <w:tcPr>
            <w:tcW w:w="786"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4.5</w:t>
            </w:r>
          </w:p>
        </w:tc>
        <w:tc>
          <w:tcPr>
            <w:tcW w:w="98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4.2</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8" w:hRule="atLeast"/>
          <w:jc w:val="center"/>
        </w:trPr>
        <w:tc>
          <w:tcPr>
            <w:tcW w:w="110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八月</w:t>
            </w:r>
          </w:p>
        </w:tc>
        <w:tc>
          <w:tcPr>
            <w:tcW w:w="67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8.0</w:t>
            </w:r>
          </w:p>
        </w:tc>
        <w:tc>
          <w:tcPr>
            <w:tcW w:w="89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5.0</w:t>
            </w:r>
          </w:p>
        </w:tc>
        <w:tc>
          <w:tcPr>
            <w:tcW w:w="80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9.4</w:t>
            </w:r>
          </w:p>
        </w:tc>
        <w:tc>
          <w:tcPr>
            <w:tcW w:w="86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9.1</w:t>
            </w:r>
          </w:p>
        </w:tc>
        <w:tc>
          <w:tcPr>
            <w:tcW w:w="80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13.3</w:t>
            </w:r>
          </w:p>
        </w:tc>
        <w:tc>
          <w:tcPr>
            <w:tcW w:w="819"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7.8</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6.5</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4.5</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6.0</w:t>
            </w:r>
          </w:p>
        </w:tc>
        <w:tc>
          <w:tcPr>
            <w:tcW w:w="89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4.6</w:t>
            </w:r>
          </w:p>
        </w:tc>
        <w:tc>
          <w:tcPr>
            <w:tcW w:w="74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2.2</w:t>
            </w:r>
          </w:p>
        </w:tc>
        <w:tc>
          <w:tcPr>
            <w:tcW w:w="99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1.7</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104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3.3</w:t>
            </w:r>
          </w:p>
        </w:tc>
        <w:tc>
          <w:tcPr>
            <w:tcW w:w="786"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6.5</w:t>
            </w:r>
          </w:p>
        </w:tc>
        <w:tc>
          <w:tcPr>
            <w:tcW w:w="98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8.0</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8" w:hRule="atLeast"/>
          <w:jc w:val="center"/>
        </w:trPr>
        <w:tc>
          <w:tcPr>
            <w:tcW w:w="110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九月</w:t>
            </w:r>
          </w:p>
        </w:tc>
        <w:tc>
          <w:tcPr>
            <w:tcW w:w="67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8.9</w:t>
            </w:r>
          </w:p>
        </w:tc>
        <w:tc>
          <w:tcPr>
            <w:tcW w:w="89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6.3</w:t>
            </w:r>
          </w:p>
        </w:tc>
        <w:tc>
          <w:tcPr>
            <w:tcW w:w="80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11.2</w:t>
            </w:r>
          </w:p>
        </w:tc>
        <w:tc>
          <w:tcPr>
            <w:tcW w:w="86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10.9</w:t>
            </w:r>
          </w:p>
        </w:tc>
        <w:tc>
          <w:tcPr>
            <w:tcW w:w="80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14.1</w:t>
            </w:r>
          </w:p>
        </w:tc>
        <w:tc>
          <w:tcPr>
            <w:tcW w:w="819"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7.9</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5.8</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89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74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w:t>
            </w:r>
          </w:p>
        </w:tc>
        <w:tc>
          <w:tcPr>
            <w:tcW w:w="99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2.7</w:t>
            </w:r>
          </w:p>
        </w:tc>
        <w:tc>
          <w:tcPr>
            <w:tcW w:w="104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3.6</w:t>
            </w:r>
          </w:p>
        </w:tc>
        <w:tc>
          <w:tcPr>
            <w:tcW w:w="786"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6.4</w:t>
            </w:r>
          </w:p>
        </w:tc>
        <w:tc>
          <w:tcPr>
            <w:tcW w:w="98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8.8</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8" w:hRule="atLeast"/>
          <w:jc w:val="center"/>
        </w:trPr>
        <w:tc>
          <w:tcPr>
            <w:tcW w:w="110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十月</w:t>
            </w:r>
          </w:p>
        </w:tc>
        <w:tc>
          <w:tcPr>
            <w:tcW w:w="67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7.6</w:t>
            </w:r>
          </w:p>
        </w:tc>
        <w:tc>
          <w:tcPr>
            <w:tcW w:w="89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5.1</w:t>
            </w:r>
          </w:p>
        </w:tc>
        <w:tc>
          <w:tcPr>
            <w:tcW w:w="80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7.2</w:t>
            </w:r>
          </w:p>
        </w:tc>
        <w:tc>
          <w:tcPr>
            <w:tcW w:w="86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8.6</w:t>
            </w:r>
          </w:p>
        </w:tc>
        <w:tc>
          <w:tcPr>
            <w:tcW w:w="80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12.4</w:t>
            </w:r>
          </w:p>
        </w:tc>
        <w:tc>
          <w:tcPr>
            <w:tcW w:w="819"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7.8</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5.3</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4.9</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4.0</w:t>
            </w:r>
          </w:p>
        </w:tc>
        <w:tc>
          <w:tcPr>
            <w:tcW w:w="89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3.6</w:t>
            </w:r>
          </w:p>
        </w:tc>
        <w:tc>
          <w:tcPr>
            <w:tcW w:w="74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w:t>
            </w:r>
          </w:p>
        </w:tc>
        <w:tc>
          <w:tcPr>
            <w:tcW w:w="99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1.7</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w:t>
            </w:r>
          </w:p>
        </w:tc>
        <w:tc>
          <w:tcPr>
            <w:tcW w:w="104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5.0</w:t>
            </w:r>
          </w:p>
        </w:tc>
        <w:tc>
          <w:tcPr>
            <w:tcW w:w="786"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98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9.1</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8" w:hRule="atLeast"/>
          <w:jc w:val="center"/>
        </w:trPr>
        <w:tc>
          <w:tcPr>
            <w:tcW w:w="110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十一月</w:t>
            </w:r>
          </w:p>
        </w:tc>
        <w:tc>
          <w:tcPr>
            <w:tcW w:w="67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6.8</w:t>
            </w:r>
          </w:p>
        </w:tc>
        <w:tc>
          <w:tcPr>
            <w:tcW w:w="89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4.7</w:t>
            </w:r>
          </w:p>
        </w:tc>
        <w:tc>
          <w:tcPr>
            <w:tcW w:w="80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6.2</w:t>
            </w:r>
          </w:p>
        </w:tc>
        <w:tc>
          <w:tcPr>
            <w:tcW w:w="86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6.6</w:t>
            </w:r>
          </w:p>
        </w:tc>
        <w:tc>
          <w:tcPr>
            <w:tcW w:w="80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8.9</w:t>
            </w:r>
          </w:p>
        </w:tc>
        <w:tc>
          <w:tcPr>
            <w:tcW w:w="819"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8.2</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7.8</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6.2</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5.0</w:t>
            </w:r>
          </w:p>
        </w:tc>
        <w:tc>
          <w:tcPr>
            <w:tcW w:w="89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3.6</w:t>
            </w:r>
          </w:p>
        </w:tc>
        <w:tc>
          <w:tcPr>
            <w:tcW w:w="74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99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3.8</w:t>
            </w:r>
          </w:p>
        </w:tc>
        <w:tc>
          <w:tcPr>
            <w:tcW w:w="104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5.9</w:t>
            </w:r>
          </w:p>
        </w:tc>
        <w:tc>
          <w:tcPr>
            <w:tcW w:w="786"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9.4</w:t>
            </w:r>
          </w:p>
        </w:tc>
        <w:tc>
          <w:tcPr>
            <w:tcW w:w="98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9.1</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8" w:hRule="atLeast"/>
          <w:jc w:val="center"/>
        </w:trPr>
        <w:tc>
          <w:tcPr>
            <w:tcW w:w="110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十二月</w:t>
            </w:r>
          </w:p>
        </w:tc>
        <w:tc>
          <w:tcPr>
            <w:tcW w:w="67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7.8</w:t>
            </w:r>
          </w:p>
        </w:tc>
        <w:tc>
          <w:tcPr>
            <w:tcW w:w="89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4.9</w:t>
            </w:r>
          </w:p>
        </w:tc>
        <w:tc>
          <w:tcPr>
            <w:tcW w:w="80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5.9</w:t>
            </w:r>
          </w:p>
        </w:tc>
        <w:tc>
          <w:tcPr>
            <w:tcW w:w="86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7.0</w:t>
            </w:r>
          </w:p>
        </w:tc>
        <w:tc>
          <w:tcPr>
            <w:tcW w:w="80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9.6</w:t>
            </w:r>
          </w:p>
        </w:tc>
        <w:tc>
          <w:tcPr>
            <w:tcW w:w="819"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6.2</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7.2</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6.4</w:t>
            </w:r>
          </w:p>
        </w:tc>
        <w:tc>
          <w:tcPr>
            <w:tcW w:w="80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4.4</w:t>
            </w:r>
          </w:p>
        </w:tc>
        <w:tc>
          <w:tcPr>
            <w:tcW w:w="89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3.5</w:t>
            </w:r>
          </w:p>
        </w:tc>
        <w:tc>
          <w:tcPr>
            <w:tcW w:w="74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w:t>
            </w:r>
          </w:p>
        </w:tc>
        <w:tc>
          <w:tcPr>
            <w:tcW w:w="99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4.2</w:t>
            </w:r>
          </w:p>
        </w:tc>
        <w:tc>
          <w:tcPr>
            <w:tcW w:w="104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6.8</w:t>
            </w:r>
          </w:p>
        </w:tc>
        <w:tc>
          <w:tcPr>
            <w:tcW w:w="786"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9.8</w:t>
            </w:r>
          </w:p>
        </w:tc>
        <w:tc>
          <w:tcPr>
            <w:tcW w:w="98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9.5</w:t>
            </w:r>
          </w:p>
        </w:tc>
        <w:tc>
          <w:tcPr>
            <w:tcW w:w="67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w:t>
            </w:r>
          </w:p>
        </w:tc>
      </w:tr>
    </w:tbl>
    <w:p>
      <w:pPr>
        <w:spacing w:before="166" w:beforeLines="50"/>
        <w:ind w:firstLine="422"/>
        <w:jc w:val="center"/>
        <w:rPr>
          <w:rFonts w:ascii="Times New Roman" w:hAnsi="Times New Roman" w:cs="Times New Roman"/>
          <w:b/>
          <w:bCs/>
          <w:color w:val="auto"/>
          <w:sz w:val="21"/>
          <w:szCs w:val="21"/>
          <w:lang w:val="en-GB"/>
        </w:rPr>
      </w:pPr>
      <w:r>
        <w:rPr>
          <w:rFonts w:ascii="Times New Roman" w:hAnsi="Times New Roman" w:cs="Times New Roman"/>
          <w:b/>
          <w:bCs/>
          <w:color w:val="auto"/>
          <w:sz w:val="21"/>
          <w:szCs w:val="21"/>
          <w:lang w:val="en-GB"/>
        </w:rPr>
        <w:t>表5.2-5  年均风频的季变化及年均风频</w:t>
      </w:r>
    </w:p>
    <w:tbl>
      <w:tblPr>
        <w:tblStyle w:val="62"/>
        <w:tblW w:w="1532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65"/>
        <w:gridCol w:w="657"/>
        <w:gridCol w:w="892"/>
        <w:gridCol w:w="682"/>
        <w:gridCol w:w="860"/>
        <w:gridCol w:w="803"/>
        <w:gridCol w:w="810"/>
        <w:gridCol w:w="803"/>
        <w:gridCol w:w="794"/>
        <w:gridCol w:w="803"/>
        <w:gridCol w:w="892"/>
        <w:gridCol w:w="731"/>
        <w:gridCol w:w="1003"/>
        <w:gridCol w:w="657"/>
        <w:gridCol w:w="1053"/>
        <w:gridCol w:w="778"/>
        <w:gridCol w:w="987"/>
        <w:gridCol w:w="65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0" w:hRule="atLeast"/>
          <w:jc w:val="center"/>
        </w:trPr>
        <w:tc>
          <w:tcPr>
            <w:tcW w:w="146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风向</w:t>
            </w:r>
          </w:p>
          <w:p>
            <w:pPr>
              <w:adjustRightInd/>
              <w:snapToGrid/>
              <w:spacing w:line="300" w:lineRule="exact"/>
              <w:ind w:firstLine="0" w:firstLineChars="0"/>
              <w:jc w:val="left"/>
              <w:rPr>
                <w:rFonts w:ascii="Times New Roman" w:hAnsi="Times New Roman" w:cs="Times New Roman"/>
                <w:color w:val="auto"/>
                <w:sz w:val="18"/>
                <w:szCs w:val="18"/>
              </w:rPr>
            </w:pPr>
            <w:r>
              <w:rPr>
                <w:rFonts w:ascii="Times New Roman" w:hAnsi="Times New Roman" w:cs="Times New Roman"/>
                <w:color w:val="auto"/>
                <w:sz w:val="18"/>
                <w:szCs w:val="18"/>
              </w:rPr>
              <w:t>风频（%）</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w:t>
            </w:r>
          </w:p>
        </w:tc>
        <w:tc>
          <w:tcPr>
            <w:tcW w:w="89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NNE</w:t>
            </w:r>
          </w:p>
        </w:tc>
        <w:tc>
          <w:tcPr>
            <w:tcW w:w="68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NE</w:t>
            </w:r>
          </w:p>
        </w:tc>
        <w:tc>
          <w:tcPr>
            <w:tcW w:w="86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ENE</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w:t>
            </w:r>
          </w:p>
        </w:tc>
        <w:tc>
          <w:tcPr>
            <w:tcW w:w="81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ESE</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SE</w:t>
            </w:r>
          </w:p>
        </w:tc>
        <w:tc>
          <w:tcPr>
            <w:tcW w:w="79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SSE</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w:t>
            </w:r>
          </w:p>
        </w:tc>
        <w:tc>
          <w:tcPr>
            <w:tcW w:w="89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SSW</w:t>
            </w:r>
          </w:p>
        </w:tc>
        <w:tc>
          <w:tcPr>
            <w:tcW w:w="73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SW</w:t>
            </w:r>
          </w:p>
        </w:tc>
        <w:tc>
          <w:tcPr>
            <w:tcW w:w="10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WSW</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w:t>
            </w:r>
          </w:p>
        </w:tc>
        <w:tc>
          <w:tcPr>
            <w:tcW w:w="105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WNW</w:t>
            </w:r>
          </w:p>
        </w:tc>
        <w:tc>
          <w:tcPr>
            <w:tcW w:w="77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NW</w:t>
            </w:r>
          </w:p>
        </w:tc>
        <w:tc>
          <w:tcPr>
            <w:tcW w:w="98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NNW</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C</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146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春季</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5.3</w:t>
            </w:r>
          </w:p>
        </w:tc>
        <w:tc>
          <w:tcPr>
            <w:tcW w:w="89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3.7</w:t>
            </w:r>
          </w:p>
        </w:tc>
        <w:tc>
          <w:tcPr>
            <w:tcW w:w="68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5.3</w:t>
            </w:r>
          </w:p>
        </w:tc>
        <w:tc>
          <w:tcPr>
            <w:tcW w:w="86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11.7</w:t>
            </w:r>
          </w:p>
        </w:tc>
        <w:tc>
          <w:tcPr>
            <w:tcW w:w="81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10.2</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10.2</w:t>
            </w:r>
          </w:p>
        </w:tc>
        <w:tc>
          <w:tcPr>
            <w:tcW w:w="79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8.6</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7.6</w:t>
            </w:r>
          </w:p>
        </w:tc>
        <w:tc>
          <w:tcPr>
            <w:tcW w:w="89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5.2</w:t>
            </w:r>
          </w:p>
        </w:tc>
        <w:tc>
          <w:tcPr>
            <w:tcW w:w="73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c>
          <w:tcPr>
            <w:tcW w:w="10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105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4.5</w:t>
            </w:r>
          </w:p>
        </w:tc>
        <w:tc>
          <w:tcPr>
            <w:tcW w:w="77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6.4</w:t>
            </w:r>
          </w:p>
        </w:tc>
        <w:tc>
          <w:tcPr>
            <w:tcW w:w="98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6.2</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146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夏季</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4.5</w:t>
            </w:r>
          </w:p>
        </w:tc>
        <w:tc>
          <w:tcPr>
            <w:tcW w:w="89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68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w:t>
            </w:r>
          </w:p>
        </w:tc>
        <w:tc>
          <w:tcPr>
            <w:tcW w:w="86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6.7</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12.2</w:t>
            </w:r>
          </w:p>
        </w:tc>
        <w:tc>
          <w:tcPr>
            <w:tcW w:w="81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9.6</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9.5</w:t>
            </w:r>
          </w:p>
        </w:tc>
        <w:tc>
          <w:tcPr>
            <w:tcW w:w="79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7.9</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10.6</w:t>
            </w:r>
          </w:p>
        </w:tc>
        <w:tc>
          <w:tcPr>
            <w:tcW w:w="89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7.8</w:t>
            </w:r>
          </w:p>
        </w:tc>
        <w:tc>
          <w:tcPr>
            <w:tcW w:w="73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w:t>
            </w:r>
          </w:p>
        </w:tc>
        <w:tc>
          <w:tcPr>
            <w:tcW w:w="10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1.8</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c>
          <w:tcPr>
            <w:tcW w:w="105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3.3</w:t>
            </w:r>
          </w:p>
        </w:tc>
        <w:tc>
          <w:tcPr>
            <w:tcW w:w="77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5.1</w:t>
            </w:r>
          </w:p>
        </w:tc>
        <w:tc>
          <w:tcPr>
            <w:tcW w:w="98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5.4</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75" w:hRule="atLeast"/>
          <w:jc w:val="center"/>
        </w:trPr>
        <w:tc>
          <w:tcPr>
            <w:tcW w:w="146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秋季</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7.7</w:t>
            </w:r>
          </w:p>
        </w:tc>
        <w:tc>
          <w:tcPr>
            <w:tcW w:w="89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5.4</w:t>
            </w:r>
          </w:p>
        </w:tc>
        <w:tc>
          <w:tcPr>
            <w:tcW w:w="68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8.2</w:t>
            </w:r>
          </w:p>
        </w:tc>
        <w:tc>
          <w:tcPr>
            <w:tcW w:w="86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8.7</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11.8</w:t>
            </w:r>
          </w:p>
        </w:tc>
        <w:tc>
          <w:tcPr>
            <w:tcW w:w="81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6.3</w:t>
            </w:r>
          </w:p>
        </w:tc>
        <w:tc>
          <w:tcPr>
            <w:tcW w:w="79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4.9</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3.9</w:t>
            </w:r>
          </w:p>
        </w:tc>
        <w:tc>
          <w:tcPr>
            <w:tcW w:w="89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w:t>
            </w:r>
          </w:p>
        </w:tc>
        <w:tc>
          <w:tcPr>
            <w:tcW w:w="73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0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3.4</w:t>
            </w:r>
          </w:p>
        </w:tc>
        <w:tc>
          <w:tcPr>
            <w:tcW w:w="105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4.8</w:t>
            </w:r>
          </w:p>
        </w:tc>
        <w:tc>
          <w:tcPr>
            <w:tcW w:w="77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8.1</w:t>
            </w:r>
          </w:p>
        </w:tc>
        <w:tc>
          <w:tcPr>
            <w:tcW w:w="98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146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冬季</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7.1</w:t>
            </w:r>
          </w:p>
        </w:tc>
        <w:tc>
          <w:tcPr>
            <w:tcW w:w="89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5.8</w:t>
            </w:r>
          </w:p>
        </w:tc>
        <w:tc>
          <w:tcPr>
            <w:tcW w:w="68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7.3</w:t>
            </w:r>
          </w:p>
        </w:tc>
        <w:tc>
          <w:tcPr>
            <w:tcW w:w="86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8.6</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10.7</w:t>
            </w:r>
          </w:p>
        </w:tc>
        <w:tc>
          <w:tcPr>
            <w:tcW w:w="81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7.4</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6.8</w:t>
            </w:r>
          </w:p>
        </w:tc>
        <w:tc>
          <w:tcPr>
            <w:tcW w:w="79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5.4</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89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w:t>
            </w:r>
          </w:p>
        </w:tc>
        <w:tc>
          <w:tcPr>
            <w:tcW w:w="73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0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3.6</w:t>
            </w:r>
          </w:p>
        </w:tc>
        <w:tc>
          <w:tcPr>
            <w:tcW w:w="105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w:t>
            </w:r>
          </w:p>
        </w:tc>
        <w:tc>
          <w:tcPr>
            <w:tcW w:w="77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9</w:t>
            </w:r>
          </w:p>
        </w:tc>
        <w:tc>
          <w:tcPr>
            <w:tcW w:w="98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8.9</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1465"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年平均</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6.1</w:t>
            </w:r>
          </w:p>
        </w:tc>
        <w:tc>
          <w:tcPr>
            <w:tcW w:w="89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4.4</w:t>
            </w:r>
          </w:p>
        </w:tc>
        <w:tc>
          <w:tcPr>
            <w:tcW w:w="68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6.7</w:t>
            </w:r>
          </w:p>
        </w:tc>
        <w:tc>
          <w:tcPr>
            <w:tcW w:w="86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7.8</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11.6</w:t>
            </w:r>
          </w:p>
        </w:tc>
        <w:tc>
          <w:tcPr>
            <w:tcW w:w="810"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8.8</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8.2</w:t>
            </w:r>
          </w:p>
        </w:tc>
        <w:tc>
          <w:tcPr>
            <w:tcW w:w="794"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6.7</w:t>
            </w:r>
          </w:p>
        </w:tc>
        <w:tc>
          <w:tcPr>
            <w:tcW w:w="8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6.5</w:t>
            </w:r>
          </w:p>
        </w:tc>
        <w:tc>
          <w:tcPr>
            <w:tcW w:w="892"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4.9</w:t>
            </w:r>
          </w:p>
        </w:tc>
        <w:tc>
          <w:tcPr>
            <w:tcW w:w="731"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100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3.1</w:t>
            </w:r>
          </w:p>
        </w:tc>
        <w:tc>
          <w:tcPr>
            <w:tcW w:w="1053"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4.7</w:t>
            </w:r>
          </w:p>
        </w:tc>
        <w:tc>
          <w:tcPr>
            <w:tcW w:w="778"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7.2</w:t>
            </w:r>
          </w:p>
        </w:tc>
        <w:tc>
          <w:tcPr>
            <w:tcW w:w="98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7.4</w:t>
            </w:r>
          </w:p>
        </w:tc>
        <w:tc>
          <w:tcPr>
            <w:tcW w:w="657" w:type="dxa"/>
            <w:vAlign w:val="center"/>
          </w:tcPr>
          <w:p>
            <w:pPr>
              <w:adjustRightInd/>
              <w:snapToGrid/>
              <w:spacing w:line="300" w:lineRule="exact"/>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w:t>
            </w:r>
          </w:p>
        </w:tc>
      </w:tr>
    </w:tbl>
    <w:p>
      <w:pPr>
        <w:spacing w:line="240" w:lineRule="auto"/>
        <w:ind w:firstLine="0" w:firstLineChars="0"/>
        <w:jc w:val="center"/>
        <w:rPr>
          <w:rFonts w:ascii="Times New Roman" w:hAnsi="Times New Roman" w:cs="Times New Roman"/>
          <w:b/>
          <w:bCs/>
          <w:color w:val="auto"/>
          <w:sz w:val="21"/>
          <w:szCs w:val="21"/>
          <w:lang w:val="en-GB"/>
        </w:rPr>
        <w:sectPr>
          <w:pgSz w:w="16838" w:h="11906" w:orient="landscape"/>
          <w:pgMar w:top="1418" w:right="1418" w:bottom="1418" w:left="1418" w:header="851" w:footer="992" w:gutter="0"/>
          <w:cols w:space="720" w:num="1"/>
          <w:docGrid w:type="linesAndChars" w:linePitch="333" w:charSpace="0"/>
        </w:sectPr>
      </w:pPr>
    </w:p>
    <w:p>
      <w:pPr>
        <w:adjustRightInd/>
        <w:snapToGrid/>
        <w:ind w:firstLine="0" w:firstLineChars="0"/>
        <w:rPr>
          <w:rFonts w:ascii="Times New Roman" w:hAnsi="Times New Roman" w:cs="Times New Roman"/>
          <w:b/>
          <w:bCs/>
          <w:color w:val="auto"/>
          <w:szCs w:val="24"/>
        </w:rPr>
      </w:pPr>
      <w:bookmarkStart w:id="401" w:name="_Toc102984366"/>
      <w:bookmarkStart w:id="402" w:name="_Toc104733397"/>
      <w:r>
        <w:rPr>
          <w:rFonts w:ascii="Times New Roman" w:hAnsi="Times New Roman" w:cs="Times New Roman"/>
          <w:b/>
          <w:bCs/>
          <w:color w:val="auto"/>
          <w:szCs w:val="24"/>
        </w:rPr>
        <w:t>5.2.2评价基准年气象资料统计</w:t>
      </w:r>
    </w:p>
    <w:p>
      <w:pPr>
        <w:adjustRightInd/>
        <w:snapToGrid/>
        <w:ind w:firstLine="480" w:firstLineChars="0"/>
        <w:rPr>
          <w:rFonts w:ascii="Times New Roman" w:hAnsi="Times New Roman" w:cs="Times New Roman"/>
          <w:color w:val="FF0000"/>
          <w:szCs w:val="24"/>
          <w:lang w:val="zh-CN"/>
        </w:rPr>
      </w:pPr>
      <w:r>
        <w:rPr>
          <w:rFonts w:ascii="Times New Roman" w:hAnsi="Times New Roman" w:cs="Times New Roman"/>
          <w:color w:val="FF0000"/>
          <w:szCs w:val="24"/>
          <w:lang w:val="zh-CN"/>
        </w:rPr>
        <w:t>本项目的大气环境影响评价等级为一级，预测范围为5×5km</w:t>
      </w:r>
      <w:r>
        <w:rPr>
          <w:rFonts w:ascii="Times New Roman" w:hAnsi="Times New Roman" w:cs="Times New Roman"/>
          <w:color w:val="FF0000"/>
          <w:szCs w:val="24"/>
          <w:vertAlign w:val="superscript"/>
          <w:lang w:val="zh-CN"/>
        </w:rPr>
        <w:t>2</w:t>
      </w:r>
      <w:r>
        <w:rPr>
          <w:rFonts w:ascii="Times New Roman" w:hAnsi="Times New Roman" w:cs="Times New Roman"/>
          <w:color w:val="FF0000"/>
          <w:szCs w:val="24"/>
          <w:lang w:val="zh-CN"/>
        </w:rPr>
        <w:t>，根据《环境影响评价技术导则》（HJ2.2-2018)，评价基准年可选择近3年中数据相对完整的1个日历年作为评价基准年，本评价选择2021年为评价基准年。</w:t>
      </w:r>
    </w:p>
    <w:p>
      <w:pPr>
        <w:adjustRightInd/>
        <w:snapToGrid/>
        <w:ind w:firstLine="480" w:firstLineChars="0"/>
        <w:rPr>
          <w:rFonts w:ascii="Times New Roman" w:hAnsi="Times New Roman" w:cs="Times New Roman"/>
          <w:color w:val="FF0000"/>
          <w:szCs w:val="24"/>
          <w:lang w:val="zh-CN"/>
        </w:rPr>
      </w:pPr>
      <w:r>
        <w:rPr>
          <w:rFonts w:ascii="Times New Roman" w:hAnsi="Times New Roman" w:cs="Times New Roman"/>
          <w:color w:val="FF0000"/>
          <w:szCs w:val="24"/>
          <w:lang w:val="zh-CN"/>
        </w:rPr>
        <w:t>本次评价采用</w:t>
      </w:r>
      <w:r>
        <w:rPr>
          <w:rFonts w:hint="eastAsia" w:ascii="Times New Roman" w:hAnsi="Times New Roman" w:cs="Times New Roman"/>
          <w:color w:val="FF0000"/>
          <w:szCs w:val="24"/>
          <w:lang w:val="zh-CN"/>
        </w:rPr>
        <w:t>合肥市</w:t>
      </w:r>
      <w:r>
        <w:rPr>
          <w:rFonts w:ascii="Times New Roman" w:hAnsi="Times New Roman" w:cs="Times New Roman"/>
          <w:color w:val="FF0000"/>
          <w:szCs w:val="24"/>
          <w:lang w:val="zh-CN"/>
        </w:rPr>
        <w:t>气象站 2021年全年逐日、逐时的地面资料，</w:t>
      </w:r>
      <w:r>
        <w:rPr>
          <w:rFonts w:hint="eastAsia" w:ascii="Times New Roman" w:hAnsi="Times New Roman" w:cs="Times New Roman"/>
          <w:color w:val="FF0000"/>
          <w:szCs w:val="24"/>
          <w:lang w:val="zh-CN"/>
        </w:rPr>
        <w:t>合肥气象站</w:t>
      </w:r>
      <w:r>
        <w:rPr>
          <w:rFonts w:ascii="Times New Roman" w:hAnsi="Times New Roman" w:cs="Times New Roman"/>
          <w:color w:val="FF0000"/>
          <w:szCs w:val="24"/>
          <w:lang w:val="zh-CN"/>
        </w:rPr>
        <w:t>站点性质为基本站</w:t>
      </w:r>
      <w:r>
        <w:rPr>
          <w:rFonts w:hint="eastAsia" w:ascii="Times New Roman" w:hAnsi="Times New Roman" w:cs="Times New Roman"/>
          <w:color w:val="FF0000"/>
          <w:szCs w:val="24"/>
          <w:lang w:val="zh-CN"/>
        </w:rPr>
        <w:t>，站台编号为</w:t>
      </w:r>
      <w:r>
        <w:rPr>
          <w:rFonts w:ascii="Times New Roman" w:hAnsi="Times New Roman" w:cs="Times New Roman"/>
          <w:color w:val="FF0000"/>
          <w:szCs w:val="24"/>
          <w:lang w:val="zh-CN"/>
        </w:rPr>
        <w:t>58321</w:t>
      </w:r>
      <w:r>
        <w:rPr>
          <w:rFonts w:hint="eastAsia" w:ascii="Times New Roman" w:hAnsi="Times New Roman" w:cs="Times New Roman"/>
          <w:color w:val="FF0000"/>
          <w:szCs w:val="24"/>
          <w:lang w:val="zh-CN"/>
        </w:rPr>
        <w:t>，海拔高度为</w:t>
      </w:r>
      <w:r>
        <w:rPr>
          <w:rFonts w:ascii="Times New Roman" w:hAnsi="Times New Roman" w:cs="Times New Roman"/>
          <w:color w:val="FF0000"/>
          <w:szCs w:val="24"/>
          <w:lang w:val="zh-CN"/>
        </w:rPr>
        <w:t>27m</w:t>
      </w:r>
      <w:r>
        <w:rPr>
          <w:rFonts w:hint="eastAsia" w:ascii="Times New Roman" w:hAnsi="Times New Roman" w:cs="Times New Roman"/>
          <w:color w:val="FF0000"/>
          <w:szCs w:val="24"/>
          <w:lang w:val="zh-CN"/>
        </w:rPr>
        <w:t>，站点经纬度为经度为</w:t>
      </w:r>
      <w:r>
        <w:rPr>
          <w:rFonts w:ascii="Times New Roman" w:hAnsi="Times New Roman" w:cs="Times New Roman"/>
          <w:color w:val="FF0000"/>
          <w:szCs w:val="24"/>
          <w:lang w:val="zh-CN"/>
        </w:rPr>
        <w:t>117.0572°E</w:t>
      </w:r>
      <w:r>
        <w:rPr>
          <w:rFonts w:hint="eastAsia" w:ascii="Times New Roman" w:hAnsi="Times New Roman" w:cs="Times New Roman"/>
          <w:color w:val="FF0000"/>
          <w:szCs w:val="24"/>
          <w:lang w:val="zh-CN"/>
        </w:rPr>
        <w:t>，纬度为</w:t>
      </w:r>
      <w:r>
        <w:rPr>
          <w:rFonts w:ascii="Times New Roman" w:hAnsi="Times New Roman" w:cs="Times New Roman"/>
          <w:color w:val="FF0000"/>
          <w:szCs w:val="24"/>
          <w:lang w:val="zh-CN"/>
        </w:rPr>
        <w:t>31.9556°N。2021年区域主导风向是E风，这与当地20年气象统计资料具有较好的一致性。因此，评价预测选用2021年的气象资料是合理的。</w:t>
      </w:r>
    </w:p>
    <w:p>
      <w:pPr>
        <w:adjustRightInd/>
        <w:snapToGrid/>
        <w:ind w:firstLine="0" w:firstLineChars="0"/>
        <w:jc w:val="center"/>
        <w:rPr>
          <w:rFonts w:eastAsia="黑体" w:cs="Times New Roman"/>
          <w:color w:val="auto"/>
          <w:kern w:val="0"/>
          <w:szCs w:val="24"/>
        </w:rPr>
      </w:pPr>
      <w:r>
        <w:drawing>
          <wp:inline distT="0" distB="0" distL="0" distR="0">
            <wp:extent cx="2475865" cy="2847340"/>
            <wp:effectExtent l="0" t="0" r="635" b="0"/>
            <wp:docPr id="1982" name="图片 198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82" name="图片 1982"/>
                    <pic:cNvPicPr>
                      <a:picLocks noChangeAspect="true"/>
                    </pic:cNvPicPr>
                  </pic:nvPicPr>
                  <pic:blipFill>
                    <a:blip r:embed="rId168"/>
                    <a:stretch>
                      <a:fillRect/>
                    </a:stretch>
                  </pic:blipFill>
                  <pic:spPr>
                    <a:xfrm>
                      <a:off x="0" y="0"/>
                      <a:ext cx="2476190" cy="2847619"/>
                    </a:xfrm>
                    <a:prstGeom prst="rect">
                      <a:avLst/>
                    </a:prstGeom>
                  </pic:spPr>
                </pic:pic>
              </a:graphicData>
            </a:graphic>
          </wp:inline>
        </w:drawing>
      </w:r>
      <w:r>
        <w:t xml:space="preserve"> </w:t>
      </w:r>
      <w:r>
        <w:drawing>
          <wp:inline distT="0" distB="0" distL="0" distR="0">
            <wp:extent cx="2466340" cy="2799715"/>
            <wp:effectExtent l="0" t="0" r="0" b="635"/>
            <wp:docPr id="896" name="图片 89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6" name="图片 896"/>
                    <pic:cNvPicPr>
                      <a:picLocks noChangeAspect="true"/>
                    </pic:cNvPicPr>
                  </pic:nvPicPr>
                  <pic:blipFill>
                    <a:blip r:embed="rId169"/>
                    <a:stretch>
                      <a:fillRect/>
                    </a:stretch>
                  </pic:blipFill>
                  <pic:spPr>
                    <a:xfrm>
                      <a:off x="0" y="0"/>
                      <a:ext cx="2466667" cy="2800000"/>
                    </a:xfrm>
                    <a:prstGeom prst="rect">
                      <a:avLst/>
                    </a:prstGeom>
                  </pic:spPr>
                </pic:pic>
              </a:graphicData>
            </a:graphic>
          </wp:inline>
        </w:drawing>
      </w:r>
    </w:p>
    <w:p>
      <w:pPr>
        <w:widowControl/>
        <w:tabs>
          <w:tab w:val="left" w:pos="360"/>
        </w:tabs>
        <w:adjustRightInd/>
        <w:ind w:left="360" w:hanging="360" w:firstLineChars="0"/>
        <w:jc w:val="center"/>
        <w:rPr>
          <w:rFonts w:ascii="Times New Roman" w:hAnsi="Times New Roman" w:eastAsia="黑体" w:cs="Times New Roman"/>
          <w:b/>
          <w:bCs/>
          <w:snapToGrid w:val="0"/>
          <w:color w:val="auto"/>
          <w:szCs w:val="20"/>
        </w:rPr>
      </w:pPr>
      <w:bookmarkStart w:id="403" w:name="_Ref431541532"/>
      <w:r>
        <w:rPr>
          <w:rFonts w:ascii="Times New Roman" w:hAnsi="Times New Roman" w:eastAsia="黑体" w:cs="Times New Roman"/>
          <w:b/>
          <w:bCs/>
          <w:snapToGrid w:val="0"/>
          <w:color w:val="auto"/>
          <w:szCs w:val="24"/>
        </w:rPr>
        <w:t>图</w:t>
      </w:r>
      <w:bookmarkEnd w:id="403"/>
      <w:r>
        <w:rPr>
          <w:rFonts w:ascii="Times New Roman" w:hAnsi="Times New Roman" w:eastAsia="黑体" w:cs="Times New Roman"/>
          <w:b/>
          <w:bCs/>
          <w:snapToGrid w:val="0"/>
          <w:color w:val="auto"/>
          <w:szCs w:val="24"/>
        </w:rPr>
        <w:t>5.2-4  2021年风向频率玫瑰</w:t>
      </w:r>
      <w:r>
        <w:rPr>
          <w:rFonts w:hint="eastAsia" w:ascii="Times New Roman" w:hAnsi="Times New Roman" w:eastAsia="黑体" w:cs="Times New Roman"/>
          <w:b/>
          <w:bCs/>
          <w:snapToGrid w:val="0"/>
          <w:color w:val="auto"/>
          <w:szCs w:val="24"/>
        </w:rPr>
        <w:t>图</w:t>
      </w:r>
    </w:p>
    <w:p>
      <w:pPr>
        <w:widowControl/>
        <w:adjustRightInd/>
        <w:snapToGrid/>
        <w:ind w:firstLine="0" w:firstLineChars="0"/>
        <w:outlineLvl w:val="3"/>
        <w:rPr>
          <w:rFonts w:ascii="Times New Roman" w:hAnsi="Times New Roman" w:cs="Times New Roman"/>
          <w:b/>
          <w:bCs/>
          <w:color w:val="FF0000"/>
          <w:szCs w:val="24"/>
        </w:rPr>
      </w:pPr>
      <w:r>
        <w:rPr>
          <w:rFonts w:ascii="Times New Roman" w:hAnsi="Times New Roman" w:cs="Times New Roman"/>
          <w:b/>
          <w:bCs/>
          <w:color w:val="FF0000"/>
          <w:szCs w:val="24"/>
        </w:rPr>
        <w:t>5.2.3高空气象数据</w:t>
      </w:r>
    </w:p>
    <w:p>
      <w:pPr>
        <w:overflowPunct w:val="0"/>
        <w:autoSpaceDE w:val="0"/>
        <w:autoSpaceDN w:val="0"/>
        <w:adjustRightInd/>
        <w:snapToGrid/>
        <w:ind w:firstLine="480"/>
        <w:textAlignment w:val="baseline"/>
        <w:rPr>
          <w:rFonts w:ascii="Times New Roman" w:hAnsi="Times New Roman" w:cs="Times New Roman"/>
          <w:color w:val="FF0000"/>
          <w:szCs w:val="24"/>
        </w:rPr>
      </w:pPr>
      <w:r>
        <w:rPr>
          <w:rFonts w:hint="eastAsia" w:ascii="Times New Roman" w:hAnsi="Times New Roman" w:cs="Times New Roman"/>
          <w:color w:val="FF0000"/>
          <w:szCs w:val="24"/>
        </w:rPr>
        <w:t>本项目采用的高空气象数据基于合肥市气象站</w:t>
      </w:r>
      <w:r>
        <w:rPr>
          <w:rFonts w:ascii="Times New Roman" w:hAnsi="Times New Roman" w:cs="Times New Roman"/>
          <w:color w:val="FF0000"/>
          <w:szCs w:val="24"/>
          <w:lang w:val="zh-CN"/>
        </w:rPr>
        <w:t>（站点编号：</w:t>
      </w:r>
      <w:r>
        <w:rPr>
          <w:rFonts w:hint="eastAsia" w:ascii="Times New Roman" w:hAnsi="Times New Roman" w:cs="Times New Roman"/>
          <w:color w:val="FF0000"/>
          <w:spacing w:val="10"/>
          <w:kern w:val="0"/>
          <w:szCs w:val="20"/>
        </w:rPr>
        <w:t>5</w:t>
      </w:r>
      <w:r>
        <w:rPr>
          <w:rFonts w:ascii="Times New Roman" w:hAnsi="Times New Roman" w:cs="Times New Roman"/>
          <w:color w:val="FF0000"/>
          <w:spacing w:val="10"/>
          <w:kern w:val="0"/>
          <w:szCs w:val="20"/>
        </w:rPr>
        <w:t>8321</w:t>
      </w:r>
      <w:r>
        <w:rPr>
          <w:rFonts w:ascii="Times New Roman" w:hAnsi="Times New Roman" w:cs="Times New Roman"/>
          <w:color w:val="FF0000"/>
          <w:szCs w:val="24"/>
          <w:lang w:val="zh-CN"/>
        </w:rPr>
        <w:t>）</w:t>
      </w:r>
      <w:r>
        <w:rPr>
          <w:rFonts w:hint="eastAsia" w:ascii="Times New Roman" w:hAnsi="Times New Roman" w:cs="Times New Roman"/>
          <w:color w:val="FF0000"/>
          <w:szCs w:val="24"/>
          <w:lang w:val="zh-CN"/>
        </w:rPr>
        <w:t>的</w:t>
      </w:r>
      <w:r>
        <w:rPr>
          <w:rFonts w:ascii="Times New Roman" w:hAnsi="Times New Roman" w:cs="Times New Roman"/>
          <w:color w:val="FF0000"/>
          <w:kern w:val="0"/>
          <w:szCs w:val="24"/>
          <w:lang w:val="zh-CN"/>
        </w:rPr>
        <w:t>中尺度模拟数据</w:t>
      </w:r>
      <w:r>
        <w:rPr>
          <w:rFonts w:hint="eastAsia" w:ascii="Times New Roman" w:hAnsi="Times New Roman" w:cs="Times New Roman"/>
          <w:color w:val="FF0000"/>
          <w:kern w:val="0"/>
          <w:szCs w:val="24"/>
          <w:lang w:val="zh-CN"/>
        </w:rPr>
        <w:t>；由</w:t>
      </w:r>
      <w:r>
        <w:rPr>
          <w:rFonts w:hint="eastAsia" w:ascii="Times New Roman" w:hAnsi="Times New Roman" w:cs="Times New Roman"/>
          <w:color w:val="FF0000"/>
          <w:szCs w:val="24"/>
        </w:rPr>
        <w:t>中国气象局国家气象信息中心基于国际上前沿的模式与同化方案(GFS/GSI)，建成全球大气再分析系统(CRAS)，通过多层次循环同化试验，不断强化中国特有观测资料的同化应用出的“中国全球大气再分析中间产品(CRA-Interim，2009-2020年)”，时间分辨率为6小时，水平分辨率为34公里，垂直层次64层。提取37个层次的高空模拟气象数据，层次为1000～100hPa每间隔25hPa为一个层次。高空气象因子包括气压、离地高度、干球温度、露点温度、风向和风速。</w:t>
      </w:r>
      <w:r>
        <w:rPr>
          <w:rFonts w:ascii="Times New Roman" w:hAnsi="Times New Roman" w:cs="Times New Roman"/>
          <w:color w:val="FF0000"/>
          <w:szCs w:val="24"/>
        </w:rPr>
        <w:t>各文件中所包括的高空气象数据内容见表5.2-6。</w:t>
      </w:r>
    </w:p>
    <w:p>
      <w:pPr>
        <w:topLinePunct/>
        <w:autoSpaceDE w:val="0"/>
        <w:spacing w:line="240" w:lineRule="auto"/>
        <w:ind w:firstLine="0" w:firstLineChars="0"/>
        <w:jc w:val="center"/>
        <w:rPr>
          <w:rFonts w:ascii="Times New Roman" w:hAnsi="Times New Roman" w:cs="Times New Roman"/>
          <w:b/>
          <w:bCs/>
          <w:color w:val="FF0000"/>
          <w:sz w:val="21"/>
          <w:szCs w:val="21"/>
          <w:lang w:val="en-GB"/>
        </w:rPr>
      </w:pPr>
    </w:p>
    <w:p>
      <w:pPr>
        <w:topLinePunct/>
        <w:autoSpaceDE w:val="0"/>
        <w:spacing w:line="240" w:lineRule="auto"/>
        <w:ind w:firstLine="0" w:firstLineChars="0"/>
        <w:jc w:val="center"/>
        <w:rPr>
          <w:rFonts w:ascii="Times New Roman" w:hAnsi="Times New Roman" w:cs="Times New Roman"/>
          <w:b/>
          <w:bCs/>
          <w:color w:val="FF0000"/>
          <w:sz w:val="21"/>
          <w:szCs w:val="21"/>
          <w:lang w:val="en-GB"/>
        </w:rPr>
      </w:pPr>
      <w:r>
        <w:rPr>
          <w:rFonts w:ascii="Times New Roman" w:hAnsi="Times New Roman" w:cs="Times New Roman"/>
          <w:b/>
          <w:bCs/>
          <w:color w:val="FF0000"/>
          <w:sz w:val="21"/>
          <w:szCs w:val="21"/>
          <w:lang w:val="en-GB"/>
        </w:rPr>
        <w:t>表5.2-6</w:t>
      </w:r>
      <w:r>
        <w:rPr>
          <w:rFonts w:hint="eastAsia" w:ascii="Times New Roman" w:hAnsi="Times New Roman" w:cs="Times New Roman"/>
          <w:b/>
          <w:bCs/>
          <w:color w:val="FF0000"/>
          <w:sz w:val="21"/>
          <w:szCs w:val="21"/>
          <w:lang w:val="en-GB"/>
        </w:rPr>
        <w:t xml:space="preserve"> </w:t>
      </w:r>
      <w:r>
        <w:rPr>
          <w:rFonts w:ascii="Times New Roman" w:hAnsi="Times New Roman" w:cs="Times New Roman"/>
          <w:b/>
          <w:bCs/>
          <w:color w:val="FF0000"/>
          <w:sz w:val="21"/>
          <w:szCs w:val="21"/>
          <w:lang w:val="en-GB"/>
        </w:rPr>
        <w:t xml:space="preserve">  高空气象数据内容</w:t>
      </w:r>
    </w:p>
    <w:tbl>
      <w:tblPr>
        <w:tblStyle w:val="62"/>
        <w:tblW w:w="911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31"/>
        <w:gridCol w:w="2402"/>
        <w:gridCol w:w="1731"/>
        <w:gridCol w:w="324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trPr>
        <w:tc>
          <w:tcPr>
            <w:tcW w:w="1731"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名称</w:t>
            </w:r>
          </w:p>
        </w:tc>
        <w:tc>
          <w:tcPr>
            <w:tcW w:w="2402"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单位</w:t>
            </w:r>
          </w:p>
        </w:tc>
        <w:tc>
          <w:tcPr>
            <w:tcW w:w="1731"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名称</w:t>
            </w:r>
          </w:p>
        </w:tc>
        <w:tc>
          <w:tcPr>
            <w:tcW w:w="3248"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单位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trPr>
        <w:tc>
          <w:tcPr>
            <w:tcW w:w="1731"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年月日时</w:t>
            </w:r>
          </w:p>
        </w:tc>
        <w:tc>
          <w:tcPr>
            <w:tcW w:w="2402"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w:t>
            </w:r>
          </w:p>
        </w:tc>
        <w:tc>
          <w:tcPr>
            <w:tcW w:w="1731"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干球温度</w:t>
            </w:r>
          </w:p>
        </w:tc>
        <w:tc>
          <w:tcPr>
            <w:tcW w:w="3248"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trPr>
        <w:tc>
          <w:tcPr>
            <w:tcW w:w="1731"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探空数据层数</w:t>
            </w:r>
          </w:p>
        </w:tc>
        <w:tc>
          <w:tcPr>
            <w:tcW w:w="2402"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w:t>
            </w:r>
          </w:p>
        </w:tc>
        <w:tc>
          <w:tcPr>
            <w:tcW w:w="1731"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露点温度</w:t>
            </w:r>
          </w:p>
        </w:tc>
        <w:tc>
          <w:tcPr>
            <w:tcW w:w="3248"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trPr>
        <w:tc>
          <w:tcPr>
            <w:tcW w:w="1731"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气压</w:t>
            </w:r>
          </w:p>
        </w:tc>
        <w:tc>
          <w:tcPr>
            <w:tcW w:w="2402"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Millibars*10</w:t>
            </w:r>
          </w:p>
        </w:tc>
        <w:tc>
          <w:tcPr>
            <w:tcW w:w="1731"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风速</w:t>
            </w:r>
          </w:p>
        </w:tc>
        <w:tc>
          <w:tcPr>
            <w:tcW w:w="3248"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Meters/second*10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6" w:hRule="atLeast"/>
        </w:trPr>
        <w:tc>
          <w:tcPr>
            <w:tcW w:w="1731"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高度</w:t>
            </w:r>
          </w:p>
        </w:tc>
        <w:tc>
          <w:tcPr>
            <w:tcW w:w="2402"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meters</w:t>
            </w:r>
          </w:p>
        </w:tc>
        <w:tc>
          <w:tcPr>
            <w:tcW w:w="1731"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风向</w:t>
            </w:r>
          </w:p>
        </w:tc>
        <w:tc>
          <w:tcPr>
            <w:tcW w:w="3248" w:type="dxa"/>
          </w:tcPr>
          <w:p>
            <w:pPr>
              <w:tabs>
                <w:tab w:val="left" w:pos="567"/>
                <w:tab w:val="left" w:pos="1134"/>
                <w:tab w:val="right" w:leader="middleDot" w:pos="7938"/>
              </w:tabs>
              <w:adjustRightInd/>
              <w:spacing w:line="240" w:lineRule="auto"/>
              <w:ind w:firstLine="0" w:firstLineChars="0"/>
              <w:jc w:val="center"/>
              <w:rPr>
                <w:rFonts w:ascii="Times New Roman" w:hAnsi="Times New Roman" w:cs="Times New Roman"/>
                <w:color w:val="FF0000"/>
                <w:kern w:val="0"/>
                <w:sz w:val="18"/>
                <w:szCs w:val="18"/>
              </w:rPr>
            </w:pPr>
            <w:r>
              <w:rPr>
                <w:rFonts w:ascii="Times New Roman" w:hAnsi="Times New Roman" w:cs="Times New Roman"/>
                <w:color w:val="FF0000"/>
                <w:kern w:val="0"/>
                <w:sz w:val="18"/>
                <w:szCs w:val="18"/>
              </w:rPr>
              <w:t>——</w:t>
            </w:r>
          </w:p>
        </w:tc>
      </w:tr>
    </w:tbl>
    <w:p>
      <w:pPr>
        <w:pStyle w:val="4"/>
        <w:rPr>
          <w:rFonts w:ascii="Times New Roman" w:hAnsi="Times New Roman" w:cs="Times New Roman"/>
          <w:color w:val="auto"/>
          <w:szCs w:val="24"/>
        </w:rPr>
      </w:pPr>
      <w:r>
        <w:rPr>
          <w:rFonts w:ascii="Times New Roman" w:hAnsi="Times New Roman" w:cs="Times New Roman"/>
          <w:color w:val="auto"/>
          <w:szCs w:val="24"/>
        </w:rPr>
        <w:t>5.2.4预测因子</w:t>
      </w:r>
      <w:bookmarkEnd w:id="401"/>
      <w:bookmarkEnd w:id="402"/>
    </w:p>
    <w:p>
      <w:pPr>
        <w:ind w:firstLine="600" w:firstLineChars="250"/>
        <w:rPr>
          <w:rFonts w:ascii="Times New Roman" w:hAnsi="Times New Roman" w:cs="Times New Roman"/>
          <w:color w:val="auto"/>
        </w:rPr>
      </w:pPr>
      <w:r>
        <w:rPr>
          <w:rFonts w:ascii="Times New Roman" w:hAnsi="Times New Roman" w:cs="Times New Roman"/>
          <w:color w:val="auto"/>
        </w:rPr>
        <w:t>根据《环境影响评价技术导则大气环境》（HJ2.2-2018）要求，本次评价选择硫酸雾及非甲烷总烃等作为预测因子，详见表5.2-7。</w:t>
      </w:r>
    </w:p>
    <w:p>
      <w:pPr>
        <w:pStyle w:val="2461"/>
        <w:overflowPunct w:val="0"/>
        <w:adjustRightInd/>
        <w:snapToGrid/>
        <w:spacing w:line="240" w:lineRule="auto"/>
        <w:ind w:firstLine="0" w:firstLineChars="0"/>
        <w:rPr>
          <w:rFonts w:cs="Times New Roman"/>
          <w:color w:val="auto"/>
          <w:sz w:val="21"/>
          <w:szCs w:val="21"/>
        </w:rPr>
      </w:pPr>
      <w:r>
        <w:rPr>
          <w:rFonts w:eastAsia="宋体" w:cs="Times New Roman"/>
          <w:color w:val="auto"/>
          <w:sz w:val="21"/>
          <w:szCs w:val="21"/>
        </w:rPr>
        <w:t>表</w:t>
      </w:r>
      <w:r>
        <w:rPr>
          <w:rFonts w:cs="Times New Roman"/>
          <w:color w:val="auto"/>
          <w:sz w:val="21"/>
          <w:szCs w:val="21"/>
        </w:rPr>
        <w:t>5.2-7</w:t>
      </w:r>
      <w:r>
        <w:rPr>
          <w:rFonts w:cs="Times New Roman"/>
          <w:color w:val="auto"/>
          <w:sz w:val="21"/>
          <w:szCs w:val="21"/>
          <w:lang w:val="en-US"/>
        </w:rPr>
        <w:t xml:space="preserve"> </w:t>
      </w:r>
      <w:r>
        <w:rPr>
          <w:rFonts w:eastAsia="宋体" w:cs="Times New Roman"/>
          <w:color w:val="auto"/>
          <w:sz w:val="21"/>
          <w:szCs w:val="21"/>
        </w:rPr>
        <w:t>预测因子和评价标准</w:t>
      </w:r>
      <w:r>
        <w:rPr>
          <w:rFonts w:cs="Times New Roman"/>
          <w:color w:val="auto"/>
          <w:sz w:val="21"/>
          <w:szCs w:val="21"/>
          <w:lang w:val="en-US"/>
        </w:rPr>
        <w:t xml:space="preserve">   </w:t>
      </w:r>
      <w:r>
        <w:rPr>
          <w:rFonts w:eastAsia="宋体" w:cs="Times New Roman"/>
          <w:color w:val="auto"/>
          <w:sz w:val="21"/>
          <w:szCs w:val="21"/>
        </w:rPr>
        <w:t>单位：</w:t>
      </w:r>
      <w:r>
        <w:rPr>
          <w:rFonts w:cs="Times New Roman"/>
          <w:color w:val="auto"/>
          <w:sz w:val="21"/>
          <w:szCs w:val="21"/>
        </w:rPr>
        <w:t>μg/m</w:t>
      </w:r>
      <w:r>
        <w:rPr>
          <w:rFonts w:cs="Times New Roman"/>
          <w:color w:val="auto"/>
          <w:sz w:val="21"/>
          <w:szCs w:val="21"/>
          <w:vertAlign w:val="superscript"/>
        </w:rPr>
        <w:t>3</w:t>
      </w:r>
    </w:p>
    <w:tbl>
      <w:tblPr>
        <w:tblStyle w:val="62"/>
        <w:tblW w:w="90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245"/>
        <w:gridCol w:w="1977"/>
        <w:gridCol w:w="1094"/>
        <w:gridCol w:w="32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491" w:type="dxa"/>
            <w:vMerge w:val="restart"/>
            <w:vAlign w:val="center"/>
          </w:tcPr>
          <w:p>
            <w:pPr>
              <w:pStyle w:val="861"/>
              <w:rPr>
                <w:kern w:val="2"/>
                <w:szCs w:val="18"/>
              </w:rPr>
            </w:pPr>
            <w:r>
              <w:rPr>
                <w:kern w:val="2"/>
                <w:szCs w:val="18"/>
              </w:rPr>
              <w:t>污染物名称</w:t>
            </w:r>
          </w:p>
        </w:tc>
        <w:tc>
          <w:tcPr>
            <w:tcW w:w="4316" w:type="dxa"/>
            <w:gridSpan w:val="3"/>
            <w:vAlign w:val="center"/>
          </w:tcPr>
          <w:p>
            <w:pPr>
              <w:pStyle w:val="861"/>
              <w:rPr>
                <w:kern w:val="2"/>
                <w:szCs w:val="18"/>
              </w:rPr>
            </w:pPr>
            <w:r>
              <w:rPr>
                <w:kern w:val="2"/>
                <w:szCs w:val="18"/>
              </w:rPr>
              <w:t>浓度限值（μg/m</w:t>
            </w:r>
            <w:r>
              <w:rPr>
                <w:kern w:val="2"/>
                <w:szCs w:val="18"/>
                <w:vertAlign w:val="superscript"/>
              </w:rPr>
              <w:t>3</w:t>
            </w:r>
            <w:r>
              <w:rPr>
                <w:kern w:val="2"/>
                <w:szCs w:val="18"/>
              </w:rPr>
              <w:t>）</w:t>
            </w:r>
          </w:p>
        </w:tc>
        <w:tc>
          <w:tcPr>
            <w:tcW w:w="3210" w:type="dxa"/>
            <w:vMerge w:val="restart"/>
            <w:vAlign w:val="center"/>
          </w:tcPr>
          <w:p>
            <w:pPr>
              <w:pStyle w:val="861"/>
              <w:rPr>
                <w:kern w:val="2"/>
                <w:szCs w:val="18"/>
              </w:rPr>
            </w:pPr>
            <w:r>
              <w:rPr>
                <w:kern w:val="2"/>
                <w:szCs w:val="18"/>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491" w:type="dxa"/>
            <w:vMerge w:val="continue"/>
            <w:vAlign w:val="center"/>
          </w:tcPr>
          <w:p>
            <w:pPr>
              <w:pStyle w:val="861"/>
              <w:rPr>
                <w:kern w:val="2"/>
                <w:szCs w:val="18"/>
              </w:rPr>
            </w:pPr>
          </w:p>
        </w:tc>
        <w:tc>
          <w:tcPr>
            <w:tcW w:w="1245" w:type="dxa"/>
            <w:vAlign w:val="center"/>
          </w:tcPr>
          <w:p>
            <w:pPr>
              <w:pStyle w:val="861"/>
              <w:rPr>
                <w:kern w:val="2"/>
                <w:szCs w:val="18"/>
              </w:rPr>
            </w:pPr>
            <w:r>
              <w:rPr>
                <w:kern w:val="2"/>
                <w:szCs w:val="18"/>
              </w:rPr>
              <w:t>小时平均</w:t>
            </w:r>
          </w:p>
        </w:tc>
        <w:tc>
          <w:tcPr>
            <w:tcW w:w="1977" w:type="dxa"/>
            <w:vAlign w:val="center"/>
          </w:tcPr>
          <w:p>
            <w:pPr>
              <w:pStyle w:val="861"/>
              <w:rPr>
                <w:kern w:val="2"/>
                <w:szCs w:val="18"/>
              </w:rPr>
            </w:pPr>
            <w:r>
              <w:rPr>
                <w:kern w:val="2"/>
                <w:szCs w:val="18"/>
              </w:rPr>
              <w:t>日平均</w:t>
            </w:r>
          </w:p>
        </w:tc>
        <w:tc>
          <w:tcPr>
            <w:tcW w:w="1094" w:type="dxa"/>
            <w:vAlign w:val="center"/>
          </w:tcPr>
          <w:p>
            <w:pPr>
              <w:pStyle w:val="861"/>
              <w:rPr>
                <w:kern w:val="2"/>
                <w:szCs w:val="18"/>
              </w:rPr>
            </w:pPr>
            <w:r>
              <w:rPr>
                <w:kern w:val="2"/>
                <w:szCs w:val="18"/>
              </w:rPr>
              <w:t>年平均</w:t>
            </w:r>
          </w:p>
        </w:tc>
        <w:tc>
          <w:tcPr>
            <w:tcW w:w="3210" w:type="dxa"/>
            <w:vMerge w:val="continue"/>
            <w:vAlign w:val="center"/>
          </w:tcPr>
          <w:p>
            <w:pPr>
              <w:pStyle w:val="861"/>
              <w:rPr>
                <w:kern w:val="2"/>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491" w:type="dxa"/>
            <w:vAlign w:val="center"/>
          </w:tcPr>
          <w:p>
            <w:pPr>
              <w:pStyle w:val="861"/>
              <w:rPr>
                <w:kern w:val="2"/>
                <w:szCs w:val="18"/>
              </w:rPr>
            </w:pPr>
            <w:r>
              <w:rPr>
                <w:kern w:val="2"/>
                <w:szCs w:val="18"/>
              </w:rPr>
              <w:t>硫酸</w:t>
            </w:r>
          </w:p>
        </w:tc>
        <w:tc>
          <w:tcPr>
            <w:tcW w:w="1245" w:type="dxa"/>
            <w:vAlign w:val="center"/>
          </w:tcPr>
          <w:p>
            <w:pPr>
              <w:pStyle w:val="861"/>
              <w:rPr>
                <w:kern w:val="2"/>
                <w:szCs w:val="18"/>
              </w:rPr>
            </w:pPr>
            <w:r>
              <w:rPr>
                <w:kern w:val="2"/>
                <w:szCs w:val="18"/>
              </w:rPr>
              <w:t>300</w:t>
            </w:r>
          </w:p>
        </w:tc>
        <w:tc>
          <w:tcPr>
            <w:tcW w:w="1977" w:type="dxa"/>
            <w:vAlign w:val="center"/>
          </w:tcPr>
          <w:p>
            <w:pPr>
              <w:pStyle w:val="861"/>
              <w:rPr>
                <w:kern w:val="2"/>
                <w:szCs w:val="18"/>
              </w:rPr>
            </w:pPr>
            <w:r>
              <w:rPr>
                <w:kern w:val="2"/>
                <w:szCs w:val="18"/>
              </w:rPr>
              <w:t>100</w:t>
            </w:r>
          </w:p>
        </w:tc>
        <w:tc>
          <w:tcPr>
            <w:tcW w:w="1094" w:type="dxa"/>
            <w:vAlign w:val="center"/>
          </w:tcPr>
          <w:p>
            <w:pPr>
              <w:pStyle w:val="861"/>
              <w:rPr>
                <w:kern w:val="2"/>
                <w:szCs w:val="18"/>
              </w:rPr>
            </w:pPr>
            <w:r>
              <w:rPr>
                <w:kern w:val="2"/>
                <w:szCs w:val="18"/>
              </w:rPr>
              <w:t>/</w:t>
            </w:r>
          </w:p>
        </w:tc>
        <w:tc>
          <w:tcPr>
            <w:tcW w:w="3210" w:type="dxa"/>
            <w:vAlign w:val="center"/>
          </w:tcPr>
          <w:p>
            <w:pPr>
              <w:pStyle w:val="861"/>
              <w:rPr>
                <w:kern w:val="2"/>
                <w:szCs w:val="18"/>
              </w:rPr>
            </w:pPr>
            <w:r>
              <w:rPr>
                <w:kern w:val="2"/>
                <w:szCs w:val="18"/>
              </w:rPr>
              <w:t>《环境影响评价技术导则 大气环境》（HJ2.2-2018）中附录D标准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4" w:hRule="atLeast"/>
          <w:jc w:val="center"/>
        </w:trPr>
        <w:tc>
          <w:tcPr>
            <w:tcW w:w="1491" w:type="dxa"/>
            <w:vAlign w:val="center"/>
          </w:tcPr>
          <w:p>
            <w:pPr>
              <w:pStyle w:val="861"/>
              <w:rPr>
                <w:kern w:val="2"/>
                <w:szCs w:val="18"/>
              </w:rPr>
            </w:pPr>
            <w:r>
              <w:rPr>
                <w:kern w:val="2"/>
                <w:szCs w:val="18"/>
              </w:rPr>
              <w:t>非甲烷总烃</w:t>
            </w:r>
          </w:p>
        </w:tc>
        <w:tc>
          <w:tcPr>
            <w:tcW w:w="1245" w:type="dxa"/>
            <w:vAlign w:val="center"/>
          </w:tcPr>
          <w:p>
            <w:pPr>
              <w:pStyle w:val="861"/>
              <w:rPr>
                <w:kern w:val="2"/>
                <w:szCs w:val="18"/>
              </w:rPr>
            </w:pPr>
            <w:r>
              <w:rPr>
                <w:kern w:val="2"/>
                <w:szCs w:val="18"/>
              </w:rPr>
              <w:t>2000</w:t>
            </w:r>
          </w:p>
        </w:tc>
        <w:tc>
          <w:tcPr>
            <w:tcW w:w="1977" w:type="dxa"/>
            <w:vAlign w:val="center"/>
          </w:tcPr>
          <w:p>
            <w:pPr>
              <w:pStyle w:val="861"/>
              <w:rPr>
                <w:kern w:val="2"/>
                <w:szCs w:val="18"/>
              </w:rPr>
            </w:pPr>
            <w:r>
              <w:rPr>
                <w:kern w:val="2"/>
                <w:szCs w:val="18"/>
              </w:rPr>
              <w:t>/</w:t>
            </w:r>
          </w:p>
        </w:tc>
        <w:tc>
          <w:tcPr>
            <w:tcW w:w="1094" w:type="dxa"/>
            <w:vAlign w:val="center"/>
          </w:tcPr>
          <w:p>
            <w:pPr>
              <w:pStyle w:val="861"/>
              <w:rPr>
                <w:kern w:val="2"/>
                <w:szCs w:val="18"/>
              </w:rPr>
            </w:pPr>
            <w:r>
              <w:rPr>
                <w:kern w:val="2"/>
                <w:szCs w:val="18"/>
              </w:rPr>
              <w:t>/</w:t>
            </w:r>
          </w:p>
        </w:tc>
        <w:tc>
          <w:tcPr>
            <w:tcW w:w="3210" w:type="dxa"/>
            <w:vAlign w:val="center"/>
          </w:tcPr>
          <w:p>
            <w:pPr>
              <w:pStyle w:val="861"/>
              <w:rPr>
                <w:kern w:val="2"/>
                <w:szCs w:val="18"/>
              </w:rPr>
            </w:pPr>
            <w:r>
              <w:rPr>
                <w:kern w:val="2"/>
                <w:szCs w:val="18"/>
              </w:rPr>
              <w:t>大气综标详解</w:t>
            </w:r>
          </w:p>
        </w:tc>
      </w:tr>
    </w:tbl>
    <w:p>
      <w:pPr>
        <w:pStyle w:val="4"/>
        <w:rPr>
          <w:rFonts w:ascii="Times New Roman" w:hAnsi="Times New Roman" w:cs="Times New Roman"/>
          <w:color w:val="auto"/>
          <w:szCs w:val="24"/>
        </w:rPr>
      </w:pPr>
      <w:bookmarkStart w:id="404" w:name="_Toc104733398"/>
      <w:bookmarkStart w:id="405" w:name="_Toc102984367"/>
      <w:r>
        <w:rPr>
          <w:rFonts w:ascii="Times New Roman" w:hAnsi="Times New Roman" w:cs="Times New Roman"/>
          <w:color w:val="auto"/>
          <w:szCs w:val="24"/>
        </w:rPr>
        <w:t>5.2.5预测范围</w:t>
      </w:r>
      <w:bookmarkEnd w:id="404"/>
    </w:p>
    <w:p>
      <w:pPr>
        <w:ind w:firstLine="600" w:firstLineChars="250"/>
        <w:rPr>
          <w:rFonts w:ascii="Times New Roman" w:hAnsi="Times New Roman" w:cs="Times New Roman"/>
          <w:color w:val="FF0000"/>
          <w:lang w:val="zh-CN"/>
        </w:rPr>
      </w:pPr>
      <w:r>
        <w:rPr>
          <w:rFonts w:ascii="Times New Roman" w:hAnsi="Times New Roman" w:cs="Times New Roman"/>
          <w:color w:val="FF0000"/>
          <w:lang w:val="zh-CN"/>
        </w:rPr>
        <w:t>根据《大气环境影响评价技术导则大气环境》（HJ 2.2-2018）中推荐的AERSCREEN估算模式进行计算，</w:t>
      </w:r>
      <w:r>
        <w:rPr>
          <w:rFonts w:hint="eastAsia" w:ascii="Times New Roman" w:hAnsi="Times New Roman" w:cs="Times New Roman"/>
          <w:color w:val="FF0000"/>
          <w:lang w:val="zh-CN"/>
        </w:rPr>
        <w:t>本项目占标率10%的最远距离D10%为775m (柴油固定顶的非甲烷总烃)；</w:t>
      </w:r>
      <w:r>
        <w:rPr>
          <w:rFonts w:ascii="Times New Roman" w:hAnsi="Times New Roman" w:cs="Times New Roman"/>
          <w:color w:val="FF0000"/>
          <w:lang w:val="zh-CN"/>
        </w:rPr>
        <w:t>评价范围以项目区为中心边长5</w:t>
      </w:r>
      <w:r>
        <w:rPr>
          <w:rFonts w:ascii="Times New Roman" w:hAnsi="Times New Roman" w:cs="Times New Roman"/>
          <w:color w:val="FF0000"/>
        </w:rPr>
        <w:t>km</w:t>
      </w:r>
      <w:r>
        <w:rPr>
          <w:rFonts w:ascii="Times New Roman" w:hAnsi="Times New Roman" w:cs="Times New Roman"/>
          <w:color w:val="FF0000"/>
          <w:lang w:val="zh-CN"/>
        </w:rPr>
        <w:t>的矩形范围。因此，本次环境影响预测范围为项目区为中心边长5.0km的矩形范围。</w:t>
      </w:r>
    </w:p>
    <w:p>
      <w:pPr>
        <w:pStyle w:val="4"/>
        <w:rPr>
          <w:rFonts w:ascii="Times New Roman" w:hAnsi="Times New Roman" w:cs="Times New Roman"/>
          <w:color w:val="auto"/>
          <w:szCs w:val="24"/>
        </w:rPr>
      </w:pPr>
      <w:bookmarkStart w:id="406" w:name="_Toc104733399"/>
      <w:r>
        <w:rPr>
          <w:rFonts w:ascii="Times New Roman" w:hAnsi="Times New Roman" w:cs="Times New Roman"/>
          <w:color w:val="auto"/>
          <w:szCs w:val="24"/>
        </w:rPr>
        <w:t>5.2.6地形高程</w:t>
      </w:r>
      <w:bookmarkEnd w:id="406"/>
    </w:p>
    <w:p>
      <w:pPr>
        <w:overflowPunct w:val="0"/>
        <w:autoSpaceDE w:val="0"/>
        <w:autoSpaceDN w:val="0"/>
        <w:adjustRightInd/>
        <w:ind w:firstLine="480"/>
        <w:jc w:val="left"/>
        <w:textAlignment w:val="baseline"/>
        <w:rPr>
          <w:rFonts w:ascii="Times New Roman" w:hAnsi="Times New Roman" w:cs="Times New Roman"/>
          <w:color w:val="auto"/>
          <w:lang w:val="zh-CN"/>
        </w:rPr>
      </w:pPr>
      <w:r>
        <w:rPr>
          <w:rFonts w:ascii="Times New Roman" w:hAnsi="Times New Roman" w:cs="Times New Roman"/>
          <w:color w:val="auto"/>
          <w:lang w:val="zh-CN"/>
        </w:rPr>
        <w:t>本次评价采用的地形数据为美国网站提供的SRTM地形数据，分辨率为90×90m，本项目厂址所在区域地形高程见图5.2-1。由高程图可知，评价范围内地面高程在8.0m~20.0m之间，平均为13.1m。</w:t>
      </w:r>
    </w:p>
    <w:p>
      <w:pPr>
        <w:overflowPunct w:val="0"/>
        <w:autoSpaceDE w:val="0"/>
        <w:autoSpaceDN w:val="0"/>
        <w:adjustRightInd/>
        <w:ind w:firstLine="141" w:firstLineChars="59"/>
        <w:jc w:val="center"/>
        <w:textAlignment w:val="baseline"/>
        <w:rPr>
          <w:rFonts w:ascii="Times New Roman" w:hAnsi="Times New Roman" w:cs="Times New Roman"/>
          <w:b/>
          <w:color w:val="auto"/>
          <w:sz w:val="21"/>
          <w:szCs w:val="21"/>
        </w:rPr>
      </w:pPr>
      <w:r>
        <w:rPr>
          <w:rFonts w:ascii="Times New Roman" w:hAnsi="Times New Roman" w:cs="Times New Roman"/>
        </w:rPr>
        <w:drawing>
          <wp:inline distT="0" distB="0" distL="0" distR="0">
            <wp:extent cx="5762625" cy="3328035"/>
            <wp:effectExtent l="0" t="0" r="0" b="0"/>
            <wp:docPr id="91" name="图片 9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true" noChangeArrowheads="true"/>
                    </pic:cNvPicPr>
                  </pic:nvPicPr>
                  <pic:blipFill>
                    <a:blip r:embed="rId170"/>
                    <a:srcRect/>
                    <a:stretch>
                      <a:fillRect/>
                    </a:stretch>
                  </pic:blipFill>
                  <pic:spPr>
                    <a:xfrm>
                      <a:off x="0" y="0"/>
                      <a:ext cx="5762625" cy="3328035"/>
                    </a:xfrm>
                    <a:prstGeom prst="rect">
                      <a:avLst/>
                    </a:prstGeom>
                    <a:noFill/>
                    <a:ln>
                      <a:noFill/>
                    </a:ln>
                  </pic:spPr>
                </pic:pic>
              </a:graphicData>
            </a:graphic>
          </wp:inline>
        </w:drawing>
      </w:r>
    </w:p>
    <w:p>
      <w:pPr>
        <w:topLinePunct/>
        <w:autoSpaceDE w:val="0"/>
        <w:ind w:firstLine="198" w:firstLineChars="90"/>
        <w:jc w:val="center"/>
        <w:rPr>
          <w:rFonts w:ascii="Times New Roman" w:hAnsi="Times New Roman" w:eastAsia="黑体" w:cs="Times New Roman"/>
          <w:b/>
          <w:color w:val="auto"/>
          <w:sz w:val="22"/>
        </w:rPr>
      </w:pPr>
      <w:r>
        <w:rPr>
          <w:rFonts w:ascii="Times New Roman" w:hAnsi="Times New Roman" w:eastAsia="黑体" w:cs="Times New Roman"/>
          <w:b/>
          <w:color w:val="auto"/>
          <w:sz w:val="22"/>
        </w:rPr>
        <w:t>图5.2-1  评价范围地形高程</w:t>
      </w:r>
    </w:p>
    <w:p>
      <w:pPr>
        <w:pStyle w:val="4"/>
        <w:spacing w:before="166" w:beforeLines="50"/>
        <w:rPr>
          <w:rFonts w:ascii="Times New Roman" w:hAnsi="Times New Roman" w:cs="Times New Roman"/>
          <w:color w:val="auto"/>
          <w:szCs w:val="24"/>
        </w:rPr>
      </w:pPr>
      <w:bookmarkStart w:id="407" w:name="_Toc104733400"/>
      <w:r>
        <w:rPr>
          <w:rFonts w:ascii="Times New Roman" w:hAnsi="Times New Roman" w:cs="Times New Roman"/>
          <w:color w:val="auto"/>
          <w:szCs w:val="24"/>
        </w:rPr>
        <w:t>5.2.5污染源源强</w:t>
      </w:r>
      <w:bookmarkEnd w:id="407"/>
    </w:p>
    <w:p>
      <w:pPr>
        <w:pStyle w:val="2461"/>
        <w:overflowPunct w:val="0"/>
        <w:adjustRightInd/>
        <w:snapToGrid/>
        <w:spacing w:line="240" w:lineRule="auto"/>
        <w:ind w:firstLine="0" w:firstLineChars="0"/>
        <w:rPr>
          <w:rFonts w:eastAsia="宋体" w:cs="Times New Roman"/>
          <w:color w:val="auto"/>
          <w:sz w:val="21"/>
          <w:szCs w:val="21"/>
        </w:rPr>
      </w:pPr>
    </w:p>
    <w:p>
      <w:pPr>
        <w:pStyle w:val="2461"/>
        <w:overflowPunct w:val="0"/>
        <w:adjustRightInd/>
        <w:snapToGrid/>
        <w:spacing w:line="240" w:lineRule="auto"/>
        <w:ind w:firstLine="0" w:firstLineChars="0"/>
        <w:rPr>
          <w:rFonts w:eastAsia="宋体" w:cs="Times New Roman"/>
          <w:color w:val="auto"/>
          <w:sz w:val="21"/>
          <w:szCs w:val="21"/>
        </w:rPr>
        <w:sectPr>
          <w:pgSz w:w="11906" w:h="16838"/>
          <w:pgMar w:top="1417" w:right="1417" w:bottom="1417" w:left="1417" w:header="850" w:footer="992" w:gutter="0"/>
          <w:cols w:space="720" w:num="1"/>
          <w:docGrid w:type="lines" w:linePitch="333" w:charSpace="0"/>
        </w:sectPr>
      </w:pPr>
    </w:p>
    <w:p>
      <w:pPr>
        <w:pStyle w:val="2461"/>
        <w:overflowPunct w:val="0"/>
        <w:adjustRightInd/>
        <w:snapToGrid/>
        <w:spacing w:line="240" w:lineRule="auto"/>
        <w:ind w:firstLine="0" w:firstLineChars="0"/>
        <w:rPr>
          <w:rFonts w:eastAsia="宋体" w:cs="Times New Roman"/>
          <w:color w:val="auto"/>
          <w:sz w:val="21"/>
          <w:szCs w:val="21"/>
        </w:rPr>
      </w:pPr>
      <w:r>
        <w:rPr>
          <w:rFonts w:eastAsia="宋体" w:cs="Times New Roman"/>
          <w:color w:val="auto"/>
          <w:sz w:val="21"/>
          <w:szCs w:val="21"/>
        </w:rPr>
        <w:t>表5.2-8      项目正常工况点源参数</w:t>
      </w:r>
    </w:p>
    <w:tbl>
      <w:tblPr>
        <w:tblStyle w:val="62"/>
        <w:tblW w:w="1410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44"/>
        <w:gridCol w:w="1945"/>
        <w:gridCol w:w="545"/>
        <w:gridCol w:w="606"/>
        <w:gridCol w:w="1095"/>
        <w:gridCol w:w="1095"/>
        <w:gridCol w:w="1095"/>
        <w:gridCol w:w="1095"/>
        <w:gridCol w:w="1095"/>
        <w:gridCol w:w="1095"/>
        <w:gridCol w:w="973"/>
        <w:gridCol w:w="1041"/>
        <w:gridCol w:w="1083"/>
        <w:gridCol w:w="9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 w:hRule="atLeast"/>
        </w:trPr>
        <w:tc>
          <w:tcPr>
            <w:tcW w:w="444"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编号</w:t>
            </w:r>
          </w:p>
        </w:tc>
        <w:tc>
          <w:tcPr>
            <w:tcW w:w="1945"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名称</w:t>
            </w:r>
          </w:p>
        </w:tc>
        <w:tc>
          <w:tcPr>
            <w:tcW w:w="1151" w:type="dxa"/>
            <w:gridSpan w:val="2"/>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排气筒底部坐标</w:t>
            </w:r>
          </w:p>
        </w:tc>
        <w:tc>
          <w:tcPr>
            <w:tcW w:w="1095"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排气筒底部海拔高度m</w:t>
            </w:r>
          </w:p>
        </w:tc>
        <w:tc>
          <w:tcPr>
            <w:tcW w:w="1095"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排气筒高度m</w:t>
            </w:r>
          </w:p>
        </w:tc>
        <w:tc>
          <w:tcPr>
            <w:tcW w:w="1095"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排气筒</w:t>
            </w:r>
            <w:r>
              <w:rPr>
                <w:rFonts w:hint="eastAsia" w:ascii="Times New Roman" w:hAnsi="Times New Roman" w:cs="Times New Roman"/>
                <w:color w:val="auto"/>
                <w:sz w:val="18"/>
                <w:szCs w:val="18"/>
              </w:rPr>
              <w:t>出口</w:t>
            </w:r>
            <w:r>
              <w:rPr>
                <w:rFonts w:ascii="Times New Roman" w:hAnsi="Times New Roman" w:cs="Times New Roman"/>
                <w:color w:val="auto"/>
                <w:sz w:val="18"/>
                <w:szCs w:val="18"/>
              </w:rPr>
              <w:t>内径m</w:t>
            </w:r>
          </w:p>
        </w:tc>
        <w:tc>
          <w:tcPr>
            <w:tcW w:w="1095"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sz w:val="18"/>
                <w:szCs w:val="18"/>
                <w:lang w:val="zh-CN"/>
              </w:rPr>
              <w:t>烟气流速m/s</w:t>
            </w:r>
          </w:p>
        </w:tc>
        <w:tc>
          <w:tcPr>
            <w:tcW w:w="1095"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烟气量</w:t>
            </w:r>
          </w:p>
          <w:p>
            <w:pPr>
              <w:pStyle w:val="25"/>
              <w:ind w:firstLine="0" w:firstLineChars="0"/>
              <w:jc w:val="center"/>
              <w:rPr>
                <w:rFonts w:ascii="Times New Roman" w:hAnsi="Times New Roman" w:cs="Times New Roman"/>
                <w:sz w:val="18"/>
                <w:szCs w:val="18"/>
              </w:rPr>
            </w:pPr>
            <w:r>
              <w:rPr>
                <w:rFonts w:ascii="Times New Roman" w:hAnsi="Times New Roman" w:cs="Times New Roman"/>
                <w:sz w:val="18"/>
                <w:szCs w:val="18"/>
              </w:rPr>
              <w:t>（m</w:t>
            </w:r>
            <w:r>
              <w:rPr>
                <w:rFonts w:ascii="Times New Roman" w:hAnsi="Times New Roman" w:cs="Times New Roman"/>
                <w:sz w:val="18"/>
                <w:szCs w:val="18"/>
                <w:vertAlign w:val="superscript"/>
              </w:rPr>
              <w:t>3</w:t>
            </w:r>
            <w:r>
              <w:rPr>
                <w:rFonts w:ascii="Times New Roman" w:hAnsi="Times New Roman" w:cs="Times New Roman"/>
                <w:sz w:val="18"/>
                <w:szCs w:val="18"/>
              </w:rPr>
              <w:t>/h）</w:t>
            </w:r>
          </w:p>
        </w:tc>
        <w:tc>
          <w:tcPr>
            <w:tcW w:w="1095"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烟气温度</w:t>
            </w:r>
          </w:p>
          <w:p>
            <w:pPr>
              <w:pStyle w:val="25"/>
              <w:ind w:firstLine="0" w:firstLineChars="0"/>
              <w:jc w:val="center"/>
              <w:rPr>
                <w:rFonts w:ascii="Times New Roman" w:hAnsi="Times New Roman" w:cs="Times New Roman"/>
                <w:sz w:val="18"/>
                <w:szCs w:val="18"/>
              </w:rPr>
            </w:pPr>
            <w:r>
              <w:rPr>
                <w:rFonts w:ascii="Times New Roman" w:hAnsi="Times New Roman" w:cs="Times New Roman"/>
                <w:sz w:val="18"/>
                <w:szCs w:val="18"/>
              </w:rPr>
              <w:t>/℃</w:t>
            </w:r>
          </w:p>
        </w:tc>
        <w:tc>
          <w:tcPr>
            <w:tcW w:w="973"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年排放小时数h</w:t>
            </w:r>
          </w:p>
        </w:tc>
        <w:tc>
          <w:tcPr>
            <w:tcW w:w="1041"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排放工况</w:t>
            </w:r>
          </w:p>
        </w:tc>
        <w:tc>
          <w:tcPr>
            <w:tcW w:w="1985" w:type="dxa"/>
            <w:gridSpan w:val="2"/>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污染物排放速率kg/h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 w:hRule="atLeast"/>
        </w:trPr>
        <w:tc>
          <w:tcPr>
            <w:tcW w:w="444"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94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54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X</w:t>
            </w:r>
          </w:p>
        </w:tc>
        <w:tc>
          <w:tcPr>
            <w:tcW w:w="606"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Y</w:t>
            </w: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095"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973"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041"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0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非甲烷总烃</w:t>
            </w:r>
          </w:p>
        </w:tc>
        <w:tc>
          <w:tcPr>
            <w:tcW w:w="902"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硫酸雾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 w:hRule="atLeast"/>
        </w:trPr>
        <w:tc>
          <w:tcPr>
            <w:tcW w:w="44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94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装船油气回收装置排气筒DA001</w:t>
            </w:r>
          </w:p>
        </w:tc>
        <w:tc>
          <w:tcPr>
            <w:tcW w:w="54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337</w:t>
            </w:r>
          </w:p>
        </w:tc>
        <w:tc>
          <w:tcPr>
            <w:tcW w:w="606"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337</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0.2</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3.6</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250</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97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7200</w:t>
            </w:r>
          </w:p>
        </w:tc>
        <w:tc>
          <w:tcPr>
            <w:tcW w:w="1041"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正常连续排放</w:t>
            </w:r>
          </w:p>
        </w:tc>
        <w:tc>
          <w:tcPr>
            <w:tcW w:w="10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1.08</w:t>
            </w:r>
          </w:p>
        </w:tc>
        <w:tc>
          <w:tcPr>
            <w:tcW w:w="902"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 w:hRule="atLeast"/>
        </w:trPr>
        <w:tc>
          <w:tcPr>
            <w:tcW w:w="44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94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装车油气回收装置排气筒DA002</w:t>
            </w:r>
          </w:p>
        </w:tc>
        <w:tc>
          <w:tcPr>
            <w:tcW w:w="54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329</w:t>
            </w:r>
          </w:p>
        </w:tc>
        <w:tc>
          <w:tcPr>
            <w:tcW w:w="606"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164</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0.3</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4.2</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880</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97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7200</w:t>
            </w:r>
          </w:p>
        </w:tc>
        <w:tc>
          <w:tcPr>
            <w:tcW w:w="1041"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正常连续排放</w:t>
            </w:r>
          </w:p>
        </w:tc>
        <w:tc>
          <w:tcPr>
            <w:tcW w:w="10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1.24</w:t>
            </w:r>
          </w:p>
        </w:tc>
        <w:tc>
          <w:tcPr>
            <w:tcW w:w="902"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 w:hRule="atLeast"/>
        </w:trPr>
        <w:tc>
          <w:tcPr>
            <w:tcW w:w="44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94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硫酸装车及储罐碱液中和罐装置排气筒DA003</w:t>
            </w:r>
          </w:p>
        </w:tc>
        <w:tc>
          <w:tcPr>
            <w:tcW w:w="54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534</w:t>
            </w:r>
          </w:p>
        </w:tc>
        <w:tc>
          <w:tcPr>
            <w:tcW w:w="606"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156</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0.3</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1</w:t>
            </w:r>
            <w:r>
              <w:rPr>
                <w:rFonts w:ascii="Times New Roman" w:hAnsi="Times New Roman" w:cs="Times New Roman"/>
                <w:color w:val="auto"/>
                <w:sz w:val="18"/>
                <w:szCs w:val="18"/>
              </w:rPr>
              <w:t>5.0</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1000</w:t>
            </w:r>
          </w:p>
        </w:tc>
        <w:tc>
          <w:tcPr>
            <w:tcW w:w="1095"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30</w:t>
            </w:r>
          </w:p>
        </w:tc>
        <w:tc>
          <w:tcPr>
            <w:tcW w:w="97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7200</w:t>
            </w:r>
          </w:p>
        </w:tc>
        <w:tc>
          <w:tcPr>
            <w:tcW w:w="1041"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正常连续排放</w:t>
            </w:r>
          </w:p>
        </w:tc>
        <w:tc>
          <w:tcPr>
            <w:tcW w:w="1083"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02"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0.017</w:t>
            </w:r>
          </w:p>
        </w:tc>
      </w:tr>
    </w:tbl>
    <w:p>
      <w:pPr>
        <w:pStyle w:val="2461"/>
        <w:overflowPunct w:val="0"/>
        <w:adjustRightInd/>
        <w:snapToGrid/>
        <w:spacing w:line="240" w:lineRule="auto"/>
        <w:ind w:firstLine="0" w:firstLineChars="0"/>
        <w:rPr>
          <w:rFonts w:eastAsia="宋体" w:cs="Times New Roman"/>
          <w:color w:val="auto"/>
          <w:sz w:val="21"/>
          <w:szCs w:val="21"/>
        </w:rPr>
      </w:pPr>
      <w:r>
        <w:rPr>
          <w:rFonts w:eastAsia="宋体" w:cs="Times New Roman"/>
          <w:color w:val="auto"/>
          <w:sz w:val="21"/>
          <w:szCs w:val="21"/>
        </w:rPr>
        <w:t>表5.2-9    项目正常工况矩形面源参数</w:t>
      </w:r>
    </w:p>
    <w:tbl>
      <w:tblPr>
        <w:tblStyle w:val="62"/>
        <w:tblW w:w="14210"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483"/>
        <w:gridCol w:w="1926"/>
        <w:gridCol w:w="720"/>
        <w:gridCol w:w="735"/>
        <w:gridCol w:w="1455"/>
        <w:gridCol w:w="1212"/>
        <w:gridCol w:w="1212"/>
        <w:gridCol w:w="1212"/>
        <w:gridCol w:w="1376"/>
        <w:gridCol w:w="1401"/>
        <w:gridCol w:w="709"/>
        <w:gridCol w:w="176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8" w:hRule="atLeast"/>
        </w:trPr>
        <w:tc>
          <w:tcPr>
            <w:tcW w:w="483" w:type="dxa"/>
            <w:vMerge w:val="restart"/>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编号</w:t>
            </w:r>
          </w:p>
        </w:tc>
        <w:tc>
          <w:tcPr>
            <w:tcW w:w="1926" w:type="dxa"/>
            <w:vMerge w:val="restart"/>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名称</w:t>
            </w:r>
          </w:p>
        </w:tc>
        <w:tc>
          <w:tcPr>
            <w:tcW w:w="1455" w:type="dxa"/>
            <w:gridSpan w:val="2"/>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面源中心点</w:t>
            </w:r>
          </w:p>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坐标</w:t>
            </w:r>
          </w:p>
        </w:tc>
        <w:tc>
          <w:tcPr>
            <w:tcW w:w="1455" w:type="dxa"/>
            <w:vMerge w:val="restart"/>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面源海拔高度/m</w:t>
            </w:r>
          </w:p>
        </w:tc>
        <w:tc>
          <w:tcPr>
            <w:tcW w:w="1212" w:type="dxa"/>
            <w:vMerge w:val="restart"/>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面源长度/m</w:t>
            </w:r>
          </w:p>
        </w:tc>
        <w:tc>
          <w:tcPr>
            <w:tcW w:w="1212" w:type="dxa"/>
            <w:vMerge w:val="restart"/>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面源宽度/m</w:t>
            </w:r>
          </w:p>
        </w:tc>
        <w:tc>
          <w:tcPr>
            <w:tcW w:w="1212" w:type="dxa"/>
            <w:vMerge w:val="restart"/>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与正北向夹角/°</w:t>
            </w:r>
          </w:p>
        </w:tc>
        <w:tc>
          <w:tcPr>
            <w:tcW w:w="1376" w:type="dxa"/>
            <w:vMerge w:val="restart"/>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面源有效排放高度/m</w:t>
            </w:r>
          </w:p>
        </w:tc>
        <w:tc>
          <w:tcPr>
            <w:tcW w:w="1401" w:type="dxa"/>
            <w:vMerge w:val="restart"/>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年排放小时数/h</w:t>
            </w:r>
          </w:p>
        </w:tc>
        <w:tc>
          <w:tcPr>
            <w:tcW w:w="709" w:type="dxa"/>
            <w:vMerge w:val="restart"/>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排放工况</w:t>
            </w:r>
          </w:p>
        </w:tc>
        <w:tc>
          <w:tcPr>
            <w:tcW w:w="1769"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污染物排放量/(kg/h)</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3" w:hRule="atLeast"/>
        </w:trPr>
        <w:tc>
          <w:tcPr>
            <w:tcW w:w="483" w:type="dxa"/>
            <w:vMerge w:val="continue"/>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p>
        </w:tc>
        <w:tc>
          <w:tcPr>
            <w:tcW w:w="1926" w:type="dxa"/>
            <w:vMerge w:val="continue"/>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p>
        </w:tc>
        <w:tc>
          <w:tcPr>
            <w:tcW w:w="720" w:type="dxa"/>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X</w:t>
            </w:r>
          </w:p>
        </w:tc>
        <w:tc>
          <w:tcPr>
            <w:tcW w:w="735" w:type="dxa"/>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Y</w:t>
            </w:r>
          </w:p>
        </w:tc>
        <w:tc>
          <w:tcPr>
            <w:tcW w:w="1455" w:type="dxa"/>
            <w:vMerge w:val="continue"/>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p>
        </w:tc>
        <w:tc>
          <w:tcPr>
            <w:tcW w:w="1212" w:type="dxa"/>
            <w:vMerge w:val="continue"/>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p>
        </w:tc>
        <w:tc>
          <w:tcPr>
            <w:tcW w:w="1212" w:type="dxa"/>
            <w:vMerge w:val="continue"/>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p>
        </w:tc>
        <w:tc>
          <w:tcPr>
            <w:tcW w:w="1212" w:type="dxa"/>
            <w:vMerge w:val="continue"/>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p>
        </w:tc>
        <w:tc>
          <w:tcPr>
            <w:tcW w:w="1376" w:type="dxa"/>
            <w:vMerge w:val="continue"/>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p>
        </w:tc>
        <w:tc>
          <w:tcPr>
            <w:tcW w:w="1401" w:type="dxa"/>
            <w:vMerge w:val="continue"/>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p>
        </w:tc>
        <w:tc>
          <w:tcPr>
            <w:tcW w:w="709" w:type="dxa"/>
            <w:vMerge w:val="continue"/>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p>
        </w:tc>
        <w:tc>
          <w:tcPr>
            <w:tcW w:w="1769"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kern w:val="0"/>
                <w:sz w:val="18"/>
                <w:szCs w:val="18"/>
              </w:rPr>
              <w:t>非甲烷总烃</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8" w:hRule="atLeast"/>
        </w:trPr>
        <w:tc>
          <w:tcPr>
            <w:tcW w:w="483"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926"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snapToGrid w:val="0"/>
                <w:color w:val="auto"/>
                <w:kern w:val="0"/>
                <w:sz w:val="18"/>
                <w:szCs w:val="18"/>
              </w:rPr>
            </w:pPr>
            <w:r>
              <w:rPr>
                <w:rFonts w:ascii="Times New Roman" w:hAnsi="Times New Roman" w:cs="Times New Roman"/>
                <w:color w:val="auto"/>
                <w:sz w:val="18"/>
                <w:szCs w:val="18"/>
              </w:rPr>
              <w:t>柴油固定顶储罐区</w:t>
            </w:r>
          </w:p>
        </w:tc>
        <w:tc>
          <w:tcPr>
            <w:tcW w:w="720" w:type="dxa"/>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510</w:t>
            </w:r>
          </w:p>
        </w:tc>
        <w:tc>
          <w:tcPr>
            <w:tcW w:w="735" w:type="dxa"/>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395</w:t>
            </w:r>
          </w:p>
        </w:tc>
        <w:tc>
          <w:tcPr>
            <w:tcW w:w="1455"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1212"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200</w:t>
            </w:r>
          </w:p>
        </w:tc>
        <w:tc>
          <w:tcPr>
            <w:tcW w:w="1212"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212"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1376"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17.84</w:t>
            </w:r>
          </w:p>
        </w:tc>
        <w:tc>
          <w:tcPr>
            <w:tcW w:w="1401"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8400</w:t>
            </w:r>
          </w:p>
        </w:tc>
        <w:tc>
          <w:tcPr>
            <w:tcW w:w="709"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正常</w:t>
            </w:r>
          </w:p>
        </w:tc>
        <w:tc>
          <w:tcPr>
            <w:tcW w:w="1769"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4.70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8" w:hRule="atLeast"/>
        </w:trPr>
        <w:tc>
          <w:tcPr>
            <w:tcW w:w="483"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926"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snapToGrid w:val="0"/>
                <w:color w:val="auto"/>
                <w:kern w:val="0"/>
                <w:sz w:val="18"/>
                <w:szCs w:val="18"/>
              </w:rPr>
              <w:t>汽油、航空煤油、乙醇内浮顶储罐区</w:t>
            </w:r>
          </w:p>
        </w:tc>
        <w:tc>
          <w:tcPr>
            <w:tcW w:w="720" w:type="dxa"/>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477</w:t>
            </w:r>
          </w:p>
        </w:tc>
        <w:tc>
          <w:tcPr>
            <w:tcW w:w="735" w:type="dxa"/>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230</w:t>
            </w:r>
          </w:p>
        </w:tc>
        <w:tc>
          <w:tcPr>
            <w:tcW w:w="1455"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1212"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200</w:t>
            </w:r>
          </w:p>
        </w:tc>
        <w:tc>
          <w:tcPr>
            <w:tcW w:w="1212"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100</w:t>
            </w:r>
          </w:p>
        </w:tc>
        <w:tc>
          <w:tcPr>
            <w:tcW w:w="1212"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5</w:t>
            </w:r>
          </w:p>
        </w:tc>
        <w:tc>
          <w:tcPr>
            <w:tcW w:w="1376"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15.86/11.88/9.92</w:t>
            </w:r>
          </w:p>
        </w:tc>
        <w:tc>
          <w:tcPr>
            <w:tcW w:w="1401"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8400</w:t>
            </w:r>
          </w:p>
        </w:tc>
        <w:tc>
          <w:tcPr>
            <w:tcW w:w="709" w:type="dxa"/>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color w:val="auto"/>
                <w:sz w:val="18"/>
                <w:szCs w:val="18"/>
              </w:rPr>
            </w:pPr>
            <w:r>
              <w:rPr>
                <w:rFonts w:ascii="Times New Roman" w:hAnsi="Times New Roman" w:cs="Times New Roman"/>
                <w:color w:val="auto"/>
                <w:sz w:val="18"/>
                <w:szCs w:val="18"/>
              </w:rPr>
              <w:t>正常</w:t>
            </w:r>
          </w:p>
        </w:tc>
        <w:tc>
          <w:tcPr>
            <w:tcW w:w="1769" w:type="dxa"/>
            <w:shd w:val="clear" w:color="auto" w:fill="auto"/>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3.66</w:t>
            </w:r>
          </w:p>
        </w:tc>
      </w:tr>
      <w:bookmarkEnd w:id="405"/>
    </w:tbl>
    <w:p>
      <w:pPr>
        <w:pStyle w:val="2461"/>
        <w:overflowPunct w:val="0"/>
        <w:adjustRightInd/>
        <w:snapToGrid/>
        <w:spacing w:line="240" w:lineRule="auto"/>
        <w:ind w:firstLine="0" w:firstLineChars="0"/>
        <w:rPr>
          <w:rFonts w:eastAsia="宋体" w:cs="Times New Roman"/>
          <w:color w:val="auto"/>
          <w:sz w:val="21"/>
          <w:szCs w:val="21"/>
        </w:rPr>
      </w:pPr>
      <w:bookmarkStart w:id="408" w:name="_Toc104733401"/>
      <w:bookmarkStart w:id="409" w:name="_Toc102984368"/>
      <w:r>
        <w:rPr>
          <w:rFonts w:eastAsia="宋体" w:cs="Times New Roman"/>
          <w:color w:val="auto"/>
          <w:sz w:val="21"/>
          <w:szCs w:val="21"/>
        </w:rPr>
        <w:t>表5.2-10     项目非正常工况点源参数</w:t>
      </w:r>
    </w:p>
    <w:tbl>
      <w:tblPr>
        <w:tblStyle w:val="62"/>
        <w:tblW w:w="14235"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50"/>
        <w:gridCol w:w="1970"/>
        <w:gridCol w:w="552"/>
        <w:gridCol w:w="614"/>
        <w:gridCol w:w="1109"/>
        <w:gridCol w:w="1109"/>
        <w:gridCol w:w="1109"/>
        <w:gridCol w:w="1109"/>
        <w:gridCol w:w="1109"/>
        <w:gridCol w:w="986"/>
        <w:gridCol w:w="1054"/>
        <w:gridCol w:w="1054"/>
        <w:gridCol w:w="1096"/>
        <w:gridCol w:w="91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 w:hRule="atLeast"/>
        </w:trPr>
        <w:tc>
          <w:tcPr>
            <w:tcW w:w="450"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编号</w:t>
            </w:r>
          </w:p>
        </w:tc>
        <w:tc>
          <w:tcPr>
            <w:tcW w:w="1970"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名称</w:t>
            </w:r>
          </w:p>
        </w:tc>
        <w:tc>
          <w:tcPr>
            <w:tcW w:w="1166" w:type="dxa"/>
            <w:gridSpan w:val="2"/>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排气筒底部坐标</w:t>
            </w:r>
          </w:p>
        </w:tc>
        <w:tc>
          <w:tcPr>
            <w:tcW w:w="1109"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排气筒底部海拔高度m</w:t>
            </w:r>
          </w:p>
        </w:tc>
        <w:tc>
          <w:tcPr>
            <w:tcW w:w="1109"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排气筒高度m</w:t>
            </w:r>
          </w:p>
        </w:tc>
        <w:tc>
          <w:tcPr>
            <w:tcW w:w="1109"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排气筒</w:t>
            </w:r>
            <w:r>
              <w:rPr>
                <w:rFonts w:hint="eastAsia" w:ascii="Times New Roman" w:hAnsi="Times New Roman" w:cs="Times New Roman"/>
                <w:color w:val="auto"/>
                <w:sz w:val="18"/>
                <w:szCs w:val="18"/>
              </w:rPr>
              <w:t>出口</w:t>
            </w:r>
            <w:r>
              <w:rPr>
                <w:rFonts w:ascii="Times New Roman" w:hAnsi="Times New Roman" w:cs="Times New Roman"/>
                <w:color w:val="auto"/>
                <w:sz w:val="18"/>
                <w:szCs w:val="18"/>
              </w:rPr>
              <w:t>内径m</w:t>
            </w:r>
          </w:p>
        </w:tc>
        <w:tc>
          <w:tcPr>
            <w:tcW w:w="1109"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烟气量</w:t>
            </w:r>
          </w:p>
          <w:p>
            <w:pPr>
              <w:pStyle w:val="25"/>
              <w:ind w:firstLine="0" w:firstLineChars="0"/>
              <w:jc w:val="center"/>
              <w:rPr>
                <w:rFonts w:ascii="Times New Roman" w:hAnsi="Times New Roman" w:cs="Times New Roman"/>
                <w:sz w:val="18"/>
                <w:szCs w:val="18"/>
              </w:rPr>
            </w:pPr>
            <w:r>
              <w:rPr>
                <w:rFonts w:ascii="Times New Roman" w:hAnsi="Times New Roman" w:cs="Times New Roman"/>
                <w:sz w:val="18"/>
                <w:szCs w:val="18"/>
              </w:rPr>
              <w:t>（m</w:t>
            </w:r>
            <w:r>
              <w:rPr>
                <w:rFonts w:ascii="Times New Roman" w:hAnsi="Times New Roman" w:cs="Times New Roman"/>
                <w:sz w:val="18"/>
                <w:szCs w:val="18"/>
                <w:vertAlign w:val="superscript"/>
              </w:rPr>
              <w:t>3</w:t>
            </w:r>
            <w:r>
              <w:rPr>
                <w:rFonts w:ascii="Times New Roman" w:hAnsi="Times New Roman" w:cs="Times New Roman"/>
                <w:sz w:val="18"/>
                <w:szCs w:val="18"/>
              </w:rPr>
              <w:t>/h）</w:t>
            </w:r>
          </w:p>
        </w:tc>
        <w:tc>
          <w:tcPr>
            <w:tcW w:w="1109"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烟气温度</w:t>
            </w:r>
          </w:p>
          <w:p>
            <w:pPr>
              <w:pStyle w:val="25"/>
              <w:ind w:firstLine="0" w:firstLineChars="0"/>
              <w:jc w:val="center"/>
              <w:rPr>
                <w:rFonts w:ascii="Times New Roman" w:hAnsi="Times New Roman" w:cs="Times New Roman"/>
                <w:sz w:val="18"/>
                <w:szCs w:val="18"/>
              </w:rPr>
            </w:pPr>
            <w:r>
              <w:rPr>
                <w:rFonts w:ascii="Times New Roman" w:hAnsi="Times New Roman" w:cs="Times New Roman"/>
                <w:sz w:val="18"/>
                <w:szCs w:val="18"/>
              </w:rPr>
              <w:t>/℃</w:t>
            </w:r>
          </w:p>
        </w:tc>
        <w:tc>
          <w:tcPr>
            <w:tcW w:w="986"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年排放小时数h</w:t>
            </w:r>
          </w:p>
        </w:tc>
        <w:tc>
          <w:tcPr>
            <w:tcW w:w="1054"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发生频次</w:t>
            </w:r>
          </w:p>
          <w:p>
            <w:pPr>
              <w:pStyle w:val="25"/>
              <w:ind w:firstLine="0" w:firstLineChars="0"/>
              <w:jc w:val="center"/>
              <w:rPr>
                <w:rFonts w:ascii="Times New Roman" w:hAnsi="Times New Roman" w:cs="Times New Roman"/>
              </w:rPr>
            </w:pPr>
            <w:r>
              <w:rPr>
                <w:rFonts w:ascii="Times New Roman" w:hAnsi="Times New Roman" w:cs="Times New Roman"/>
                <w:sz w:val="18"/>
                <w:szCs w:val="18"/>
              </w:rPr>
              <w:t>次/年</w:t>
            </w:r>
          </w:p>
        </w:tc>
        <w:tc>
          <w:tcPr>
            <w:tcW w:w="1054" w:type="dxa"/>
            <w:vMerge w:val="restart"/>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排放工况</w:t>
            </w:r>
          </w:p>
        </w:tc>
        <w:tc>
          <w:tcPr>
            <w:tcW w:w="2010" w:type="dxa"/>
            <w:gridSpan w:val="2"/>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污染物排放速率kg/h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 w:hRule="atLeast"/>
        </w:trPr>
        <w:tc>
          <w:tcPr>
            <w:tcW w:w="450"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970"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552"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X</w:t>
            </w:r>
          </w:p>
        </w:tc>
        <w:tc>
          <w:tcPr>
            <w:tcW w:w="61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Y</w:t>
            </w:r>
          </w:p>
        </w:tc>
        <w:tc>
          <w:tcPr>
            <w:tcW w:w="1109"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109"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109"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109"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109"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986"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054"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054" w:type="dxa"/>
            <w:vMerge w:val="continue"/>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096"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非甲烷总烃</w:t>
            </w:r>
          </w:p>
        </w:tc>
        <w:tc>
          <w:tcPr>
            <w:tcW w:w="91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硫酸雾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 w:hRule="atLeast"/>
        </w:trPr>
        <w:tc>
          <w:tcPr>
            <w:tcW w:w="450"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970"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装船油气回收装置排气筒DA001</w:t>
            </w:r>
          </w:p>
        </w:tc>
        <w:tc>
          <w:tcPr>
            <w:tcW w:w="552"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337</w:t>
            </w:r>
          </w:p>
        </w:tc>
        <w:tc>
          <w:tcPr>
            <w:tcW w:w="61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337</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0.3</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250</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986"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05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05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非正常工况</w:t>
            </w:r>
          </w:p>
        </w:tc>
        <w:tc>
          <w:tcPr>
            <w:tcW w:w="1096"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43.15</w:t>
            </w:r>
          </w:p>
        </w:tc>
        <w:tc>
          <w:tcPr>
            <w:tcW w:w="91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 w:hRule="atLeast"/>
        </w:trPr>
        <w:tc>
          <w:tcPr>
            <w:tcW w:w="450"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970"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装车油气回收装置排气筒DA002</w:t>
            </w:r>
          </w:p>
        </w:tc>
        <w:tc>
          <w:tcPr>
            <w:tcW w:w="552"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329</w:t>
            </w:r>
          </w:p>
        </w:tc>
        <w:tc>
          <w:tcPr>
            <w:tcW w:w="61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164</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0.6</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880</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986"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05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05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非正常工况</w:t>
            </w:r>
          </w:p>
        </w:tc>
        <w:tc>
          <w:tcPr>
            <w:tcW w:w="1096"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1.24</w:t>
            </w:r>
          </w:p>
        </w:tc>
        <w:tc>
          <w:tcPr>
            <w:tcW w:w="91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 w:hRule="atLeast"/>
        </w:trPr>
        <w:tc>
          <w:tcPr>
            <w:tcW w:w="450"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970"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硫酸装车及储罐碱液中和罐装置排气筒DA003</w:t>
            </w:r>
          </w:p>
        </w:tc>
        <w:tc>
          <w:tcPr>
            <w:tcW w:w="552"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534</w:t>
            </w:r>
          </w:p>
        </w:tc>
        <w:tc>
          <w:tcPr>
            <w:tcW w:w="61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156</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15</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0.3</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1000</w:t>
            </w:r>
          </w:p>
        </w:tc>
        <w:tc>
          <w:tcPr>
            <w:tcW w:w="1109"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30</w:t>
            </w:r>
          </w:p>
        </w:tc>
        <w:tc>
          <w:tcPr>
            <w:tcW w:w="986"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05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05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非正常工况</w:t>
            </w:r>
          </w:p>
        </w:tc>
        <w:tc>
          <w:tcPr>
            <w:tcW w:w="1096"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14" w:type="dxa"/>
            <w:vAlign w:val="center"/>
          </w:tcPr>
          <w:p>
            <w:pPr>
              <w:adjustRightInd/>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0.136</w:t>
            </w:r>
          </w:p>
        </w:tc>
      </w:tr>
    </w:tbl>
    <w:p>
      <w:pPr>
        <w:pStyle w:val="1411"/>
        <w:ind w:firstLine="520"/>
        <w:rPr>
          <w:rFonts w:ascii="Times New Roman" w:hAnsi="Times New Roman" w:cs="Times New Roman"/>
          <w:lang w:val="en-GB"/>
        </w:rPr>
      </w:pPr>
    </w:p>
    <w:p>
      <w:pPr>
        <w:adjustRightInd/>
        <w:snapToGrid/>
        <w:spacing w:line="480" w:lineRule="exact"/>
        <w:ind w:firstLine="0" w:firstLineChars="0"/>
        <w:jc w:val="center"/>
        <w:rPr>
          <w:rFonts w:ascii="Times New Roman" w:hAnsi="Times New Roman" w:eastAsia="黑体" w:cs="Times New Roman"/>
          <w:bCs/>
          <w:szCs w:val="24"/>
        </w:rPr>
      </w:pPr>
    </w:p>
    <w:p>
      <w:pPr>
        <w:pStyle w:val="2461"/>
        <w:overflowPunct w:val="0"/>
        <w:adjustRightInd/>
        <w:snapToGrid/>
        <w:spacing w:line="240" w:lineRule="auto"/>
        <w:ind w:firstLine="0" w:firstLineChars="0"/>
        <w:rPr>
          <w:rFonts w:eastAsia="宋体" w:cs="Times New Roman"/>
          <w:color w:val="auto"/>
          <w:sz w:val="21"/>
          <w:szCs w:val="21"/>
        </w:rPr>
      </w:pPr>
    </w:p>
    <w:p>
      <w:pPr>
        <w:pStyle w:val="2461"/>
        <w:overflowPunct w:val="0"/>
        <w:adjustRightInd/>
        <w:snapToGrid/>
        <w:spacing w:line="240" w:lineRule="auto"/>
        <w:ind w:firstLine="0" w:firstLineChars="0"/>
        <w:rPr>
          <w:rFonts w:eastAsia="宋体" w:cs="Times New Roman"/>
          <w:color w:val="auto"/>
          <w:sz w:val="21"/>
          <w:szCs w:val="21"/>
        </w:rPr>
      </w:pPr>
      <w:r>
        <w:rPr>
          <w:rFonts w:eastAsia="宋体" w:cs="Times New Roman"/>
          <w:color w:val="auto"/>
          <w:sz w:val="21"/>
          <w:szCs w:val="21"/>
        </w:rPr>
        <w:t>表5.2-11   区域在建、拟建项目点源污染源排放参数</w:t>
      </w:r>
    </w:p>
    <w:tbl>
      <w:tblPr>
        <w:tblStyle w:val="62"/>
        <w:tblW w:w="145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40"/>
        <w:gridCol w:w="2339"/>
        <w:gridCol w:w="1134"/>
        <w:gridCol w:w="982"/>
        <w:gridCol w:w="939"/>
        <w:gridCol w:w="1266"/>
        <w:gridCol w:w="919"/>
        <w:gridCol w:w="865"/>
        <w:gridCol w:w="1016"/>
        <w:gridCol w:w="1093"/>
        <w:gridCol w:w="1141"/>
        <w:gridCol w:w="1276"/>
        <w:gridCol w:w="96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640"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序号</w:t>
            </w:r>
          </w:p>
        </w:tc>
        <w:tc>
          <w:tcPr>
            <w:tcW w:w="2339"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项目</w:t>
            </w:r>
          </w:p>
        </w:tc>
        <w:tc>
          <w:tcPr>
            <w:tcW w:w="1134"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源标号</w:t>
            </w:r>
          </w:p>
        </w:tc>
        <w:tc>
          <w:tcPr>
            <w:tcW w:w="982"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X坐标</w:t>
            </w:r>
          </w:p>
        </w:tc>
        <w:tc>
          <w:tcPr>
            <w:tcW w:w="939"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Y坐标</w:t>
            </w:r>
          </w:p>
        </w:tc>
        <w:tc>
          <w:tcPr>
            <w:tcW w:w="1266"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排气筒底部海拔高度/m</w:t>
            </w:r>
          </w:p>
        </w:tc>
        <w:tc>
          <w:tcPr>
            <w:tcW w:w="919"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排气筒高度m</w:t>
            </w:r>
          </w:p>
        </w:tc>
        <w:tc>
          <w:tcPr>
            <w:tcW w:w="865"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排气筒</w:t>
            </w:r>
            <w:r>
              <w:rPr>
                <w:rFonts w:hint="eastAsia" w:ascii="Times New Roman" w:hAnsi="Times New Roman" w:cs="Times New Roman"/>
                <w:sz w:val="18"/>
                <w:szCs w:val="18"/>
                <w:lang w:val="zh-CN"/>
              </w:rPr>
              <w:t>出口</w:t>
            </w:r>
            <w:r>
              <w:rPr>
                <w:rFonts w:ascii="Times New Roman" w:hAnsi="Times New Roman" w:cs="Times New Roman"/>
                <w:sz w:val="18"/>
                <w:szCs w:val="18"/>
                <w:lang w:val="zh-CN"/>
              </w:rPr>
              <w:t>内径m</w:t>
            </w:r>
          </w:p>
        </w:tc>
        <w:tc>
          <w:tcPr>
            <w:tcW w:w="1016"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烟气流速m/s</w:t>
            </w:r>
          </w:p>
        </w:tc>
        <w:tc>
          <w:tcPr>
            <w:tcW w:w="1093"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烟气出口温度℃</w:t>
            </w:r>
          </w:p>
        </w:tc>
        <w:tc>
          <w:tcPr>
            <w:tcW w:w="1141"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年排放小时数/h</w:t>
            </w:r>
          </w:p>
        </w:tc>
        <w:tc>
          <w:tcPr>
            <w:tcW w:w="2238" w:type="dxa"/>
            <w:gridSpan w:val="2"/>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lang w:val="zh-CN"/>
              </w:rPr>
              <w:t>污染物排放速率</w:t>
            </w:r>
            <w:r>
              <w:rPr>
                <w:rFonts w:ascii="Times New Roman" w:hAnsi="Times New Roman" w:cs="Times New Roman"/>
                <w:sz w:val="18"/>
                <w:szCs w:val="18"/>
              </w:rPr>
              <w:t>kg/h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1" w:hRule="atLeast"/>
          <w:jc w:val="center"/>
        </w:trPr>
        <w:tc>
          <w:tcPr>
            <w:tcW w:w="640"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rPr>
            </w:pPr>
          </w:p>
        </w:tc>
        <w:tc>
          <w:tcPr>
            <w:tcW w:w="2339"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rPr>
            </w:pPr>
          </w:p>
        </w:tc>
        <w:tc>
          <w:tcPr>
            <w:tcW w:w="1134"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rPr>
            </w:pPr>
          </w:p>
        </w:tc>
        <w:tc>
          <w:tcPr>
            <w:tcW w:w="982"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rPr>
            </w:pPr>
          </w:p>
        </w:tc>
        <w:tc>
          <w:tcPr>
            <w:tcW w:w="939"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rPr>
            </w:pPr>
          </w:p>
        </w:tc>
        <w:tc>
          <w:tcPr>
            <w:tcW w:w="1266"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rPr>
            </w:pPr>
          </w:p>
        </w:tc>
        <w:tc>
          <w:tcPr>
            <w:tcW w:w="919"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rPr>
            </w:pPr>
          </w:p>
        </w:tc>
        <w:tc>
          <w:tcPr>
            <w:tcW w:w="865"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rPr>
            </w:pPr>
          </w:p>
        </w:tc>
        <w:tc>
          <w:tcPr>
            <w:tcW w:w="1016"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rPr>
            </w:pPr>
          </w:p>
        </w:tc>
        <w:tc>
          <w:tcPr>
            <w:tcW w:w="1093"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rPr>
            </w:pPr>
          </w:p>
        </w:tc>
        <w:tc>
          <w:tcPr>
            <w:tcW w:w="1141"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rPr>
            </w:pPr>
          </w:p>
        </w:tc>
        <w:tc>
          <w:tcPr>
            <w:tcW w:w="1276"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非甲烷总烃</w:t>
            </w:r>
          </w:p>
        </w:tc>
        <w:tc>
          <w:tcPr>
            <w:tcW w:w="962"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硫酸雾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640"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1</w:t>
            </w:r>
          </w:p>
        </w:tc>
        <w:tc>
          <w:tcPr>
            <w:tcW w:w="2339"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中盐安徽红四方肥业股份有限公司扩建5万吨/年经济作物用专用优质钾肥及配套工程项目</w:t>
            </w:r>
          </w:p>
        </w:tc>
        <w:tc>
          <w:tcPr>
            <w:tcW w:w="1134"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2#排气筒</w:t>
            </w:r>
          </w:p>
        </w:tc>
        <w:tc>
          <w:tcPr>
            <w:tcW w:w="982"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4406</w:t>
            </w:r>
          </w:p>
        </w:tc>
        <w:tc>
          <w:tcPr>
            <w:tcW w:w="939"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-1726</w:t>
            </w:r>
          </w:p>
        </w:tc>
        <w:tc>
          <w:tcPr>
            <w:tcW w:w="1266"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22</w:t>
            </w:r>
          </w:p>
        </w:tc>
        <w:tc>
          <w:tcPr>
            <w:tcW w:w="919"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15</w:t>
            </w:r>
          </w:p>
        </w:tc>
        <w:tc>
          <w:tcPr>
            <w:tcW w:w="865"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1.0</w:t>
            </w:r>
          </w:p>
        </w:tc>
        <w:tc>
          <w:tcPr>
            <w:tcW w:w="101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18.4</w:t>
            </w:r>
          </w:p>
        </w:tc>
        <w:tc>
          <w:tcPr>
            <w:tcW w:w="1093"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25</w:t>
            </w:r>
          </w:p>
        </w:tc>
        <w:tc>
          <w:tcPr>
            <w:tcW w:w="1141"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7200</w:t>
            </w:r>
          </w:p>
        </w:tc>
        <w:tc>
          <w:tcPr>
            <w:tcW w:w="127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w:t>
            </w:r>
          </w:p>
        </w:tc>
        <w:tc>
          <w:tcPr>
            <w:tcW w:w="962"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0.106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4" w:hRule="atLeast"/>
          <w:jc w:val="center"/>
        </w:trPr>
        <w:tc>
          <w:tcPr>
            <w:tcW w:w="640"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2339"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1134"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3#排气筒</w:t>
            </w:r>
          </w:p>
        </w:tc>
        <w:tc>
          <w:tcPr>
            <w:tcW w:w="982"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4601</w:t>
            </w:r>
          </w:p>
        </w:tc>
        <w:tc>
          <w:tcPr>
            <w:tcW w:w="939"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-1767</w:t>
            </w:r>
          </w:p>
        </w:tc>
        <w:tc>
          <w:tcPr>
            <w:tcW w:w="1266"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22</w:t>
            </w:r>
          </w:p>
        </w:tc>
        <w:tc>
          <w:tcPr>
            <w:tcW w:w="919"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15</w:t>
            </w:r>
          </w:p>
        </w:tc>
        <w:tc>
          <w:tcPr>
            <w:tcW w:w="865"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1.0</w:t>
            </w:r>
          </w:p>
        </w:tc>
        <w:tc>
          <w:tcPr>
            <w:tcW w:w="101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14.2</w:t>
            </w:r>
          </w:p>
        </w:tc>
        <w:tc>
          <w:tcPr>
            <w:tcW w:w="1093"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25</w:t>
            </w:r>
          </w:p>
        </w:tc>
        <w:tc>
          <w:tcPr>
            <w:tcW w:w="1141"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7200</w:t>
            </w:r>
          </w:p>
        </w:tc>
        <w:tc>
          <w:tcPr>
            <w:tcW w:w="1276" w:type="dxa"/>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w:t>
            </w:r>
          </w:p>
        </w:tc>
        <w:tc>
          <w:tcPr>
            <w:tcW w:w="962"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0.106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640"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2339"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1134"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4#排气筒</w:t>
            </w:r>
          </w:p>
        </w:tc>
        <w:tc>
          <w:tcPr>
            <w:tcW w:w="982"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4555</w:t>
            </w:r>
          </w:p>
        </w:tc>
        <w:tc>
          <w:tcPr>
            <w:tcW w:w="939"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-1692</w:t>
            </w:r>
          </w:p>
        </w:tc>
        <w:tc>
          <w:tcPr>
            <w:tcW w:w="1266"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22</w:t>
            </w:r>
          </w:p>
        </w:tc>
        <w:tc>
          <w:tcPr>
            <w:tcW w:w="919"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15</w:t>
            </w:r>
          </w:p>
        </w:tc>
        <w:tc>
          <w:tcPr>
            <w:tcW w:w="865"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1.0</w:t>
            </w:r>
          </w:p>
        </w:tc>
        <w:tc>
          <w:tcPr>
            <w:tcW w:w="101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14.8</w:t>
            </w:r>
          </w:p>
        </w:tc>
        <w:tc>
          <w:tcPr>
            <w:tcW w:w="1093"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25</w:t>
            </w:r>
          </w:p>
        </w:tc>
        <w:tc>
          <w:tcPr>
            <w:tcW w:w="1141"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7200</w:t>
            </w:r>
          </w:p>
        </w:tc>
        <w:tc>
          <w:tcPr>
            <w:tcW w:w="1276" w:type="dxa"/>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w:t>
            </w:r>
          </w:p>
        </w:tc>
        <w:tc>
          <w:tcPr>
            <w:tcW w:w="962"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0.528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1" w:hRule="atLeast"/>
          <w:jc w:val="center"/>
        </w:trPr>
        <w:tc>
          <w:tcPr>
            <w:tcW w:w="640"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2339"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1134"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6#排气筒</w:t>
            </w:r>
          </w:p>
        </w:tc>
        <w:tc>
          <w:tcPr>
            <w:tcW w:w="982"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4784</w:t>
            </w:r>
          </w:p>
        </w:tc>
        <w:tc>
          <w:tcPr>
            <w:tcW w:w="939"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-1756</w:t>
            </w:r>
          </w:p>
        </w:tc>
        <w:tc>
          <w:tcPr>
            <w:tcW w:w="1266"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22</w:t>
            </w:r>
          </w:p>
        </w:tc>
        <w:tc>
          <w:tcPr>
            <w:tcW w:w="919"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15</w:t>
            </w:r>
          </w:p>
        </w:tc>
        <w:tc>
          <w:tcPr>
            <w:tcW w:w="865"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0.6</w:t>
            </w:r>
          </w:p>
        </w:tc>
        <w:tc>
          <w:tcPr>
            <w:tcW w:w="101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16.7</w:t>
            </w:r>
          </w:p>
        </w:tc>
        <w:tc>
          <w:tcPr>
            <w:tcW w:w="1093"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25</w:t>
            </w:r>
          </w:p>
        </w:tc>
        <w:tc>
          <w:tcPr>
            <w:tcW w:w="1141"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7200</w:t>
            </w:r>
          </w:p>
        </w:tc>
        <w:tc>
          <w:tcPr>
            <w:tcW w:w="1276" w:type="dxa"/>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w:t>
            </w:r>
          </w:p>
        </w:tc>
        <w:tc>
          <w:tcPr>
            <w:tcW w:w="962"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0.0268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640"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2</w:t>
            </w:r>
          </w:p>
        </w:tc>
        <w:tc>
          <w:tcPr>
            <w:tcW w:w="2339"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合肥乾锐科技有限公司</w:t>
            </w:r>
          </w:p>
          <w:p>
            <w:pPr>
              <w:widowControl/>
              <w:adjustRightInd/>
              <w:snapToGrid/>
              <w:spacing w:line="240" w:lineRule="auto"/>
              <w:ind w:firstLine="0" w:firstLineChars="0"/>
              <w:jc w:val="center"/>
              <w:rPr>
                <w:rFonts w:ascii="Times New Roman" w:hAnsi="Times New Roman" w:cs="Times New Roman"/>
                <w:sz w:val="18"/>
                <w:szCs w:val="18"/>
                <w:lang w:val="zh-CN"/>
              </w:rPr>
            </w:pPr>
            <w:r>
              <w:rPr>
                <w:rFonts w:hint="eastAsia" w:ascii="Times New Roman" w:hAnsi="Times New Roman" w:cs="Times New Roman"/>
                <w:sz w:val="18"/>
                <w:szCs w:val="18"/>
              </w:rPr>
              <w:t>电解液(一期)项目</w:t>
            </w:r>
          </w:p>
        </w:tc>
        <w:tc>
          <w:tcPr>
            <w:tcW w:w="1134"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1#排气筒</w:t>
            </w:r>
          </w:p>
        </w:tc>
        <w:tc>
          <w:tcPr>
            <w:tcW w:w="982"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2606</w:t>
            </w:r>
          </w:p>
        </w:tc>
        <w:tc>
          <w:tcPr>
            <w:tcW w:w="939"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-1826</w:t>
            </w:r>
          </w:p>
        </w:tc>
        <w:tc>
          <w:tcPr>
            <w:tcW w:w="1266"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22</w:t>
            </w:r>
          </w:p>
        </w:tc>
        <w:tc>
          <w:tcPr>
            <w:tcW w:w="919"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15</w:t>
            </w:r>
          </w:p>
        </w:tc>
        <w:tc>
          <w:tcPr>
            <w:tcW w:w="865"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0.6</w:t>
            </w:r>
          </w:p>
        </w:tc>
        <w:tc>
          <w:tcPr>
            <w:tcW w:w="101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18.4</w:t>
            </w:r>
          </w:p>
        </w:tc>
        <w:tc>
          <w:tcPr>
            <w:tcW w:w="1093"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25</w:t>
            </w:r>
          </w:p>
        </w:tc>
        <w:tc>
          <w:tcPr>
            <w:tcW w:w="1141"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4000</w:t>
            </w:r>
          </w:p>
        </w:tc>
        <w:tc>
          <w:tcPr>
            <w:tcW w:w="127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0.0532</w:t>
            </w:r>
          </w:p>
        </w:tc>
        <w:tc>
          <w:tcPr>
            <w:tcW w:w="962"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4" w:hRule="atLeast"/>
          <w:jc w:val="center"/>
        </w:trPr>
        <w:tc>
          <w:tcPr>
            <w:tcW w:w="640"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2339"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1134"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2#排气筒</w:t>
            </w:r>
          </w:p>
        </w:tc>
        <w:tc>
          <w:tcPr>
            <w:tcW w:w="982"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2699</w:t>
            </w:r>
          </w:p>
        </w:tc>
        <w:tc>
          <w:tcPr>
            <w:tcW w:w="939"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-1867</w:t>
            </w:r>
          </w:p>
        </w:tc>
        <w:tc>
          <w:tcPr>
            <w:tcW w:w="1266"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22</w:t>
            </w:r>
          </w:p>
        </w:tc>
        <w:tc>
          <w:tcPr>
            <w:tcW w:w="919"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15</w:t>
            </w:r>
          </w:p>
        </w:tc>
        <w:tc>
          <w:tcPr>
            <w:tcW w:w="865"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0.4</w:t>
            </w:r>
          </w:p>
        </w:tc>
        <w:tc>
          <w:tcPr>
            <w:tcW w:w="101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14.2</w:t>
            </w:r>
          </w:p>
        </w:tc>
        <w:tc>
          <w:tcPr>
            <w:tcW w:w="1093"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25</w:t>
            </w:r>
          </w:p>
        </w:tc>
        <w:tc>
          <w:tcPr>
            <w:tcW w:w="1141"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4000</w:t>
            </w:r>
          </w:p>
        </w:tc>
        <w:tc>
          <w:tcPr>
            <w:tcW w:w="1276" w:type="dxa"/>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0.22</w:t>
            </w:r>
          </w:p>
        </w:tc>
        <w:tc>
          <w:tcPr>
            <w:tcW w:w="962" w:type="dxa"/>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640"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3</w:t>
            </w:r>
          </w:p>
        </w:tc>
        <w:tc>
          <w:tcPr>
            <w:tcW w:w="2339" w:type="dxa"/>
            <w:vMerge w:val="restart"/>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安徽丰乐香料有限责任</w:t>
            </w:r>
          </w:p>
          <w:p>
            <w:pPr>
              <w:widowControl/>
              <w:adjustRightInd/>
              <w:snapToGri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公司年产5000吨天然</w:t>
            </w:r>
          </w:p>
          <w:p>
            <w:pPr>
              <w:widowControl/>
              <w:adjustRightInd/>
              <w:snapToGri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薄荷脑、薄荷素油等系列天然香料及合成香料</w:t>
            </w:r>
          </w:p>
          <w:p>
            <w:pPr>
              <w:widowControl/>
              <w:adjustRightInd/>
              <w:snapToGrid/>
              <w:spacing w:line="240" w:lineRule="auto"/>
              <w:ind w:firstLine="0" w:firstLineChars="0"/>
              <w:jc w:val="center"/>
              <w:rPr>
                <w:rFonts w:ascii="Times New Roman" w:hAnsi="Times New Roman" w:cs="Times New Roman"/>
                <w:sz w:val="18"/>
                <w:szCs w:val="18"/>
                <w:lang w:val="zh-CN"/>
              </w:rPr>
            </w:pPr>
            <w:r>
              <w:rPr>
                <w:rFonts w:hint="eastAsia" w:ascii="Times New Roman" w:hAnsi="Times New Roman" w:cs="Times New Roman"/>
                <w:sz w:val="18"/>
                <w:szCs w:val="18"/>
              </w:rPr>
              <w:t>建设项目</w:t>
            </w:r>
          </w:p>
        </w:tc>
        <w:tc>
          <w:tcPr>
            <w:tcW w:w="1134"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1#排气筒</w:t>
            </w:r>
          </w:p>
        </w:tc>
        <w:tc>
          <w:tcPr>
            <w:tcW w:w="982"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4555</w:t>
            </w:r>
          </w:p>
        </w:tc>
        <w:tc>
          <w:tcPr>
            <w:tcW w:w="939"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-2692</w:t>
            </w:r>
          </w:p>
        </w:tc>
        <w:tc>
          <w:tcPr>
            <w:tcW w:w="1266"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22</w:t>
            </w:r>
          </w:p>
        </w:tc>
        <w:tc>
          <w:tcPr>
            <w:tcW w:w="919"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15</w:t>
            </w:r>
          </w:p>
        </w:tc>
        <w:tc>
          <w:tcPr>
            <w:tcW w:w="865"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0.9</w:t>
            </w:r>
          </w:p>
        </w:tc>
        <w:tc>
          <w:tcPr>
            <w:tcW w:w="101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18.4</w:t>
            </w:r>
          </w:p>
        </w:tc>
        <w:tc>
          <w:tcPr>
            <w:tcW w:w="1093"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25</w:t>
            </w:r>
          </w:p>
        </w:tc>
        <w:tc>
          <w:tcPr>
            <w:tcW w:w="1141"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7200</w:t>
            </w:r>
          </w:p>
        </w:tc>
        <w:tc>
          <w:tcPr>
            <w:tcW w:w="127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0.79</w:t>
            </w:r>
          </w:p>
        </w:tc>
        <w:tc>
          <w:tcPr>
            <w:tcW w:w="962" w:type="dxa"/>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4" w:hRule="atLeast"/>
          <w:jc w:val="center"/>
        </w:trPr>
        <w:tc>
          <w:tcPr>
            <w:tcW w:w="640"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2339"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1134"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2#排气筒</w:t>
            </w:r>
          </w:p>
        </w:tc>
        <w:tc>
          <w:tcPr>
            <w:tcW w:w="982"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4633</w:t>
            </w:r>
          </w:p>
        </w:tc>
        <w:tc>
          <w:tcPr>
            <w:tcW w:w="939"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-2767</w:t>
            </w:r>
          </w:p>
        </w:tc>
        <w:tc>
          <w:tcPr>
            <w:tcW w:w="1266"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22</w:t>
            </w:r>
          </w:p>
        </w:tc>
        <w:tc>
          <w:tcPr>
            <w:tcW w:w="919"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15</w:t>
            </w:r>
          </w:p>
        </w:tc>
        <w:tc>
          <w:tcPr>
            <w:tcW w:w="865"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0.3</w:t>
            </w:r>
          </w:p>
        </w:tc>
        <w:tc>
          <w:tcPr>
            <w:tcW w:w="101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14.2</w:t>
            </w:r>
          </w:p>
        </w:tc>
        <w:tc>
          <w:tcPr>
            <w:tcW w:w="1093"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25</w:t>
            </w:r>
          </w:p>
        </w:tc>
        <w:tc>
          <w:tcPr>
            <w:tcW w:w="1141"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7200</w:t>
            </w:r>
          </w:p>
        </w:tc>
        <w:tc>
          <w:tcPr>
            <w:tcW w:w="1276" w:type="dxa"/>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0.015</w:t>
            </w:r>
          </w:p>
        </w:tc>
        <w:tc>
          <w:tcPr>
            <w:tcW w:w="962" w:type="dxa"/>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640"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2339"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1134"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3#排气筒</w:t>
            </w:r>
          </w:p>
        </w:tc>
        <w:tc>
          <w:tcPr>
            <w:tcW w:w="982"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4357</w:t>
            </w:r>
          </w:p>
        </w:tc>
        <w:tc>
          <w:tcPr>
            <w:tcW w:w="939"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-2692</w:t>
            </w:r>
          </w:p>
        </w:tc>
        <w:tc>
          <w:tcPr>
            <w:tcW w:w="1266"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22</w:t>
            </w:r>
          </w:p>
        </w:tc>
        <w:tc>
          <w:tcPr>
            <w:tcW w:w="919"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15</w:t>
            </w:r>
          </w:p>
        </w:tc>
        <w:tc>
          <w:tcPr>
            <w:tcW w:w="865"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0.5</w:t>
            </w:r>
          </w:p>
        </w:tc>
        <w:tc>
          <w:tcPr>
            <w:tcW w:w="101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14.8</w:t>
            </w:r>
          </w:p>
        </w:tc>
        <w:tc>
          <w:tcPr>
            <w:tcW w:w="1093"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25</w:t>
            </w:r>
          </w:p>
        </w:tc>
        <w:tc>
          <w:tcPr>
            <w:tcW w:w="1141"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7200</w:t>
            </w:r>
          </w:p>
        </w:tc>
        <w:tc>
          <w:tcPr>
            <w:tcW w:w="1276" w:type="dxa"/>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0.025</w:t>
            </w:r>
          </w:p>
        </w:tc>
        <w:tc>
          <w:tcPr>
            <w:tcW w:w="962" w:type="dxa"/>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1" w:hRule="atLeast"/>
          <w:jc w:val="center"/>
        </w:trPr>
        <w:tc>
          <w:tcPr>
            <w:tcW w:w="640"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2339"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1134"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5#排气筒</w:t>
            </w:r>
          </w:p>
        </w:tc>
        <w:tc>
          <w:tcPr>
            <w:tcW w:w="982"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4352</w:t>
            </w:r>
          </w:p>
        </w:tc>
        <w:tc>
          <w:tcPr>
            <w:tcW w:w="939"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-2556</w:t>
            </w:r>
          </w:p>
        </w:tc>
        <w:tc>
          <w:tcPr>
            <w:tcW w:w="1266"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22</w:t>
            </w:r>
          </w:p>
        </w:tc>
        <w:tc>
          <w:tcPr>
            <w:tcW w:w="919"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15</w:t>
            </w:r>
          </w:p>
        </w:tc>
        <w:tc>
          <w:tcPr>
            <w:tcW w:w="865"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0.15</w:t>
            </w:r>
          </w:p>
        </w:tc>
        <w:tc>
          <w:tcPr>
            <w:tcW w:w="101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16.7</w:t>
            </w:r>
          </w:p>
        </w:tc>
        <w:tc>
          <w:tcPr>
            <w:tcW w:w="1093" w:type="dxa"/>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25</w:t>
            </w:r>
          </w:p>
        </w:tc>
        <w:tc>
          <w:tcPr>
            <w:tcW w:w="1141"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7200</w:t>
            </w:r>
          </w:p>
        </w:tc>
        <w:tc>
          <w:tcPr>
            <w:tcW w:w="1276" w:type="dxa"/>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0.01</w:t>
            </w:r>
          </w:p>
        </w:tc>
        <w:tc>
          <w:tcPr>
            <w:tcW w:w="962" w:type="dxa"/>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640"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2339"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1134"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6#排气筒</w:t>
            </w:r>
          </w:p>
        </w:tc>
        <w:tc>
          <w:tcPr>
            <w:tcW w:w="982"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630</w:t>
            </w:r>
          </w:p>
        </w:tc>
        <w:tc>
          <w:tcPr>
            <w:tcW w:w="939"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w:t>
            </w:r>
            <w:r>
              <w:rPr>
                <w:rFonts w:ascii="Times New Roman" w:hAnsi="Times New Roman" w:cs="Times New Roman"/>
                <w:sz w:val="18"/>
                <w:szCs w:val="18"/>
              </w:rPr>
              <w:t>2777</w:t>
            </w:r>
          </w:p>
        </w:tc>
        <w:tc>
          <w:tcPr>
            <w:tcW w:w="1266"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22</w:t>
            </w:r>
          </w:p>
        </w:tc>
        <w:tc>
          <w:tcPr>
            <w:tcW w:w="919" w:type="dxa"/>
            <w:vAlign w:val="center"/>
          </w:tcPr>
          <w:p>
            <w:pPr>
              <w:adjustRightInd/>
              <w:snapToGri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5</w:t>
            </w:r>
          </w:p>
        </w:tc>
        <w:tc>
          <w:tcPr>
            <w:tcW w:w="865" w:type="dxa"/>
            <w:vAlign w:val="center"/>
          </w:tcPr>
          <w:p>
            <w:pPr>
              <w:adjustRightInd/>
              <w:snapToGri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0</w:t>
            </w:r>
            <w:r>
              <w:rPr>
                <w:rFonts w:ascii="Times New Roman" w:hAnsi="Times New Roman" w:cs="Times New Roman"/>
                <w:sz w:val="18"/>
                <w:szCs w:val="18"/>
              </w:rPr>
              <w:t>.5</w:t>
            </w:r>
          </w:p>
        </w:tc>
        <w:tc>
          <w:tcPr>
            <w:tcW w:w="101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14.2</w:t>
            </w:r>
          </w:p>
        </w:tc>
        <w:tc>
          <w:tcPr>
            <w:tcW w:w="1093"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25</w:t>
            </w:r>
          </w:p>
        </w:tc>
        <w:tc>
          <w:tcPr>
            <w:tcW w:w="1141"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7200</w:t>
            </w:r>
          </w:p>
        </w:tc>
        <w:tc>
          <w:tcPr>
            <w:tcW w:w="1276" w:type="dxa"/>
          </w:tcPr>
          <w:p>
            <w:pPr>
              <w:adjustRightInd/>
              <w:snapToGri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0</w:t>
            </w:r>
            <w:r>
              <w:rPr>
                <w:rFonts w:ascii="Times New Roman" w:hAnsi="Times New Roman" w:cs="Times New Roman"/>
                <w:sz w:val="18"/>
                <w:szCs w:val="18"/>
              </w:rPr>
              <w:t>.117</w:t>
            </w:r>
          </w:p>
        </w:tc>
        <w:tc>
          <w:tcPr>
            <w:tcW w:w="962" w:type="dxa"/>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1" w:hRule="atLeast"/>
          <w:jc w:val="center"/>
        </w:trPr>
        <w:tc>
          <w:tcPr>
            <w:tcW w:w="640"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2339" w:type="dxa"/>
            <w:vMerge w:val="continue"/>
            <w:vAlign w:val="center"/>
          </w:tcPr>
          <w:p>
            <w:pPr>
              <w:widowControl/>
              <w:adjustRightInd/>
              <w:snapToGrid/>
              <w:spacing w:line="240" w:lineRule="auto"/>
              <w:ind w:firstLine="0" w:firstLineChars="0"/>
              <w:jc w:val="center"/>
              <w:rPr>
                <w:rFonts w:ascii="Times New Roman" w:hAnsi="Times New Roman" w:cs="Times New Roman"/>
                <w:sz w:val="18"/>
                <w:szCs w:val="18"/>
                <w:lang w:val="zh-CN"/>
              </w:rPr>
            </w:pPr>
          </w:p>
        </w:tc>
        <w:tc>
          <w:tcPr>
            <w:tcW w:w="1134"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7#排气筒</w:t>
            </w:r>
          </w:p>
        </w:tc>
        <w:tc>
          <w:tcPr>
            <w:tcW w:w="982"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437</w:t>
            </w:r>
          </w:p>
        </w:tc>
        <w:tc>
          <w:tcPr>
            <w:tcW w:w="939"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-2641</w:t>
            </w:r>
          </w:p>
        </w:tc>
        <w:tc>
          <w:tcPr>
            <w:tcW w:w="1266"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22</w:t>
            </w:r>
          </w:p>
        </w:tc>
        <w:tc>
          <w:tcPr>
            <w:tcW w:w="919" w:type="dxa"/>
            <w:vAlign w:val="center"/>
          </w:tcPr>
          <w:p>
            <w:pPr>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15</w:t>
            </w:r>
          </w:p>
        </w:tc>
        <w:tc>
          <w:tcPr>
            <w:tcW w:w="865" w:type="dxa"/>
            <w:vAlign w:val="center"/>
          </w:tcPr>
          <w:p>
            <w:pPr>
              <w:adjustRightInd/>
              <w:snapToGri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0</w:t>
            </w:r>
            <w:r>
              <w:rPr>
                <w:rFonts w:ascii="Times New Roman" w:hAnsi="Times New Roman" w:cs="Times New Roman"/>
                <w:sz w:val="18"/>
                <w:szCs w:val="18"/>
              </w:rPr>
              <w:t>.5</w:t>
            </w:r>
          </w:p>
        </w:tc>
        <w:tc>
          <w:tcPr>
            <w:tcW w:w="1016" w:type="dxa"/>
            <w:vAlign w:val="center"/>
          </w:tcPr>
          <w:p>
            <w:pPr>
              <w:adjustRightInd/>
              <w:snapToGri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rPr>
              <w:t>14.2</w:t>
            </w:r>
          </w:p>
        </w:tc>
        <w:tc>
          <w:tcPr>
            <w:tcW w:w="1093"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25</w:t>
            </w:r>
          </w:p>
        </w:tc>
        <w:tc>
          <w:tcPr>
            <w:tcW w:w="1141" w:type="dxa"/>
            <w:vAlign w:val="center"/>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7200</w:t>
            </w:r>
          </w:p>
        </w:tc>
        <w:tc>
          <w:tcPr>
            <w:tcW w:w="1276" w:type="dxa"/>
          </w:tcPr>
          <w:p>
            <w:pPr>
              <w:adjustRightInd/>
              <w:snapToGri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0</w:t>
            </w:r>
            <w:r>
              <w:rPr>
                <w:rFonts w:ascii="Times New Roman" w:hAnsi="Times New Roman" w:cs="Times New Roman"/>
                <w:sz w:val="18"/>
                <w:szCs w:val="18"/>
              </w:rPr>
              <w:t>.022</w:t>
            </w:r>
          </w:p>
        </w:tc>
        <w:tc>
          <w:tcPr>
            <w:tcW w:w="962" w:type="dxa"/>
          </w:tcPr>
          <w:p>
            <w:pPr>
              <w:widowControl/>
              <w:adjustRightInd/>
              <w:snapToGri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w:t>
            </w:r>
          </w:p>
        </w:tc>
      </w:tr>
    </w:tbl>
    <w:p>
      <w:pPr>
        <w:pStyle w:val="4"/>
        <w:rPr>
          <w:rFonts w:ascii="Times New Roman" w:hAnsi="Times New Roman" w:cs="Times New Roman"/>
          <w:color w:val="auto"/>
          <w:szCs w:val="24"/>
        </w:rPr>
        <w:sectPr>
          <w:pgSz w:w="16838" w:h="11906" w:orient="landscape"/>
          <w:pgMar w:top="1418" w:right="1418" w:bottom="1418" w:left="1418" w:header="851" w:footer="992" w:gutter="0"/>
          <w:cols w:space="720" w:num="1"/>
          <w:docGrid w:type="linesAndChars" w:linePitch="333" w:charSpace="0"/>
        </w:sectPr>
      </w:pPr>
    </w:p>
    <w:p>
      <w:pPr>
        <w:pStyle w:val="4"/>
        <w:rPr>
          <w:rFonts w:ascii="Times New Roman" w:hAnsi="Times New Roman" w:cs="Times New Roman"/>
          <w:color w:val="auto"/>
          <w:szCs w:val="24"/>
        </w:rPr>
      </w:pPr>
      <w:r>
        <w:rPr>
          <w:rFonts w:ascii="Times New Roman" w:hAnsi="Times New Roman" w:cs="Times New Roman"/>
          <w:color w:val="auto"/>
          <w:szCs w:val="24"/>
        </w:rPr>
        <w:t>5.2.6预测参数设置</w:t>
      </w:r>
      <w:bookmarkEnd w:id="408"/>
      <w:bookmarkEnd w:id="409"/>
    </w:p>
    <w:p>
      <w:pPr>
        <w:tabs>
          <w:tab w:val="left" w:pos="567"/>
        </w:tabs>
        <w:adjustRightInd/>
        <w:ind w:firstLine="482"/>
        <w:rPr>
          <w:rFonts w:ascii="Times New Roman" w:hAnsi="Times New Roman" w:cs="Times New Roman"/>
          <w:b/>
          <w:bCs/>
          <w:color w:val="auto"/>
          <w:lang w:val="zh-CN"/>
        </w:rPr>
      </w:pPr>
      <w:r>
        <w:rPr>
          <w:rFonts w:hint="eastAsia" w:ascii="Times New Roman" w:hAnsi="Times New Roman" w:cs="Times New Roman"/>
          <w:b/>
          <w:bCs/>
          <w:color w:val="auto"/>
          <w:lang w:val="zh-CN"/>
        </w:rPr>
        <w:t>1、预测模型</w:t>
      </w:r>
    </w:p>
    <w:p>
      <w:pPr>
        <w:tabs>
          <w:tab w:val="left" w:pos="567"/>
        </w:tabs>
        <w:adjustRightInd/>
        <w:ind w:firstLine="480"/>
        <w:rPr>
          <w:rFonts w:ascii="Times New Roman" w:hAnsi="Times New Roman" w:cs="Times New Roman"/>
          <w:color w:val="auto"/>
          <w:lang w:val="zh-CN"/>
        </w:rPr>
      </w:pPr>
      <w:r>
        <w:rPr>
          <w:rFonts w:ascii="Times New Roman" w:hAnsi="Times New Roman" w:cs="Times New Roman"/>
          <w:color w:val="auto"/>
          <w:lang w:val="zh-CN"/>
        </w:rPr>
        <w:t>本次评价预测模式为《环境影响评价技术导则—大气环境》（HJ2.2-2018）中推荐的AERMOD模式，计算软件采用六五软件工作室EIAProA2018版本。</w:t>
      </w:r>
    </w:p>
    <w:p>
      <w:pPr>
        <w:ind w:firstLine="480"/>
        <w:rPr>
          <w:rFonts w:ascii="Times New Roman" w:hAnsi="Times New Roman" w:cs="Times New Roman"/>
          <w:color w:val="auto"/>
          <w:lang w:val="zh-CN"/>
        </w:rPr>
      </w:pPr>
      <w:r>
        <w:rPr>
          <w:rFonts w:ascii="Times New Roman" w:hAnsi="Times New Roman" w:cs="Times New Roman"/>
          <w:color w:val="auto"/>
          <w:lang w:val="zh-CN"/>
        </w:rPr>
        <w:t>根据《环境影响评价技术导则大气环境》（HJ2.2-2018），推荐的大气污染影响预测模式清单中的模型有AERMOD、ADMS。AERMOD、ADMS属于静态烟羽模型，适用于评价范围较小，且气场稳定的区域的污染物扩散模拟。</w:t>
      </w:r>
    </w:p>
    <w:p>
      <w:pPr>
        <w:pStyle w:val="25"/>
        <w:spacing w:line="360" w:lineRule="auto"/>
        <w:ind w:firstLine="480"/>
        <w:rPr>
          <w:rFonts w:ascii="Times New Roman" w:hAnsi="Times New Roman" w:cs="Times New Roman"/>
          <w:lang w:val="zh-CN"/>
        </w:rPr>
      </w:pPr>
      <w:r>
        <w:rPr>
          <w:rFonts w:ascii="Times New Roman" w:hAnsi="Times New Roman" w:cs="Times New Roman"/>
          <w:lang w:val="zh-CN"/>
        </w:rPr>
        <w:t>AERMOD 模式是美国国家环保署与美国气象学会联合开发的新扩散模型，主要包括三个模块：AERMOD（AERMIC 扩散模型）、AERMAP（AERMOD 地形预处理）和AERMET（AERMOD 气象预处理）。</w:t>
      </w:r>
    </w:p>
    <w:p>
      <w:pPr>
        <w:pStyle w:val="25"/>
        <w:spacing w:line="360" w:lineRule="auto"/>
        <w:ind w:firstLine="480"/>
        <w:rPr>
          <w:rFonts w:ascii="Times New Roman" w:hAnsi="Times New Roman" w:cs="Times New Roman"/>
          <w:lang w:val="zh-CN"/>
        </w:rPr>
      </w:pPr>
      <w:r>
        <w:rPr>
          <w:rFonts w:ascii="Times New Roman" w:hAnsi="Times New Roman" w:cs="Times New Roman"/>
          <w:lang w:val="zh-CN"/>
        </w:rPr>
        <w:t>AERMOD 是一个稳态烟羽扩散模式，可基于大气边界层数据特征模拟点源、面源、体源等排放出的污染物在短期（小时平均、日平均）、长期（年平均）的浓度分布，适用于农村或城市地区、简单或复杂地形。AERMOD考虑了建筑物尾流的影响，即烟羽下洗。模式使用每小时连续预处理气象数据模拟大于等于1小时平均时间的浓度分布。AERMOD包括两个预处理模式，即AERMET气象预处理和AERMAP地形预处理模式。</w:t>
      </w:r>
    </w:p>
    <w:p>
      <w:pPr>
        <w:tabs>
          <w:tab w:val="left" w:pos="567"/>
        </w:tabs>
        <w:adjustRightInd/>
        <w:ind w:firstLine="482"/>
        <w:rPr>
          <w:rFonts w:ascii="Times New Roman" w:hAnsi="Times New Roman" w:cs="Times New Roman"/>
          <w:b/>
          <w:bCs/>
          <w:color w:val="auto"/>
          <w:lang w:val="zh-CN"/>
        </w:rPr>
      </w:pPr>
      <w:r>
        <w:rPr>
          <w:rFonts w:ascii="Times New Roman" w:hAnsi="Times New Roman" w:cs="Times New Roman"/>
          <w:b/>
          <w:bCs/>
          <w:color w:val="auto"/>
          <w:lang w:val="zh-CN"/>
        </w:rPr>
        <w:t>2、地面特征参数</w:t>
      </w:r>
    </w:p>
    <w:p>
      <w:pPr>
        <w:tabs>
          <w:tab w:val="left" w:pos="567"/>
        </w:tabs>
        <w:adjustRightInd/>
        <w:ind w:firstLine="480"/>
        <w:rPr>
          <w:rFonts w:ascii="Times New Roman" w:hAnsi="Times New Roman" w:cs="Times New Roman"/>
        </w:rPr>
      </w:pPr>
      <w:r>
        <w:rPr>
          <w:rFonts w:ascii="Times New Roman" w:hAnsi="Times New Roman" w:cs="Times New Roman"/>
        </w:rPr>
        <w:t>根据评价范围内项目周围的地面特征，地表类型分为2个扇形区域，分别为城市（0-180）和农作地(180-360)，预测模式中的地表参数下表。</w:t>
      </w:r>
    </w:p>
    <w:p>
      <w:pPr>
        <w:pStyle w:val="2461"/>
        <w:overflowPunct w:val="0"/>
        <w:adjustRightInd/>
        <w:snapToGrid/>
        <w:spacing w:line="240" w:lineRule="auto"/>
        <w:ind w:firstLine="0" w:firstLineChars="0"/>
        <w:rPr>
          <w:rFonts w:eastAsia="宋体" w:cs="Times New Roman"/>
          <w:color w:val="auto"/>
          <w:sz w:val="21"/>
          <w:szCs w:val="21"/>
        </w:rPr>
      </w:pPr>
      <w:r>
        <w:rPr>
          <w:rFonts w:eastAsia="宋体" w:cs="Times New Roman"/>
          <w:color w:val="auto"/>
          <w:sz w:val="21"/>
          <w:szCs w:val="21"/>
        </w:rPr>
        <w:t>表5.2-12    预测模式中地表参数表</w:t>
      </w:r>
    </w:p>
    <w:tbl>
      <w:tblPr>
        <w:tblStyle w:val="62"/>
        <w:tblW w:w="8966"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757"/>
        <w:gridCol w:w="1070"/>
        <w:gridCol w:w="2297"/>
        <w:gridCol w:w="1963"/>
        <w:gridCol w:w="1601"/>
        <w:gridCol w:w="1278"/>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9" w:hRule="atLeast"/>
          <w:jc w:val="center"/>
        </w:trPr>
        <w:tc>
          <w:tcPr>
            <w:tcW w:w="75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序号</w:t>
            </w:r>
          </w:p>
        </w:tc>
        <w:tc>
          <w:tcPr>
            <w:tcW w:w="1070"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扇区</w:t>
            </w:r>
          </w:p>
        </w:tc>
        <w:tc>
          <w:tcPr>
            <w:tcW w:w="229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时段</w:t>
            </w:r>
          </w:p>
        </w:tc>
        <w:tc>
          <w:tcPr>
            <w:tcW w:w="1963"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正午反照率</w:t>
            </w:r>
          </w:p>
        </w:tc>
        <w:tc>
          <w:tcPr>
            <w:tcW w:w="1601"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BOWEN</w:t>
            </w:r>
          </w:p>
        </w:tc>
        <w:tc>
          <w:tcPr>
            <w:tcW w:w="1278"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粗糙度</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9" w:hRule="atLeast"/>
          <w:jc w:val="center"/>
        </w:trPr>
        <w:tc>
          <w:tcPr>
            <w:tcW w:w="75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1</w:t>
            </w:r>
          </w:p>
        </w:tc>
        <w:tc>
          <w:tcPr>
            <w:tcW w:w="1070" w:type="dxa"/>
            <w:vMerge w:val="restart"/>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rPr>
              <w:t>0-180</w:t>
            </w:r>
          </w:p>
        </w:tc>
        <w:tc>
          <w:tcPr>
            <w:tcW w:w="229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冬季(12,1,2月)</w:t>
            </w:r>
          </w:p>
        </w:tc>
        <w:tc>
          <w:tcPr>
            <w:tcW w:w="1963"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0.35</w:t>
            </w:r>
          </w:p>
        </w:tc>
        <w:tc>
          <w:tcPr>
            <w:tcW w:w="1601"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1.5</w:t>
            </w:r>
          </w:p>
        </w:tc>
        <w:tc>
          <w:tcPr>
            <w:tcW w:w="1278"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9" w:hRule="atLeast"/>
          <w:jc w:val="center"/>
        </w:trPr>
        <w:tc>
          <w:tcPr>
            <w:tcW w:w="75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2</w:t>
            </w:r>
          </w:p>
        </w:tc>
        <w:tc>
          <w:tcPr>
            <w:tcW w:w="1070" w:type="dxa"/>
            <w:vMerge w:val="continue"/>
            <w:vAlign w:val="center"/>
          </w:tcPr>
          <w:p>
            <w:pPr>
              <w:widowControl/>
              <w:adjustRightInd/>
              <w:spacing w:line="240" w:lineRule="auto"/>
              <w:ind w:firstLine="0" w:firstLineChars="0"/>
              <w:jc w:val="left"/>
              <w:rPr>
                <w:rFonts w:ascii="Times New Roman" w:hAnsi="Times New Roman" w:cs="Times New Roman"/>
                <w:sz w:val="18"/>
                <w:szCs w:val="18"/>
                <w:lang w:val="zh-CN"/>
              </w:rPr>
            </w:pPr>
          </w:p>
        </w:tc>
        <w:tc>
          <w:tcPr>
            <w:tcW w:w="229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春季(3,4,5月)</w:t>
            </w:r>
          </w:p>
        </w:tc>
        <w:tc>
          <w:tcPr>
            <w:tcW w:w="1963"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0.14</w:t>
            </w:r>
          </w:p>
        </w:tc>
        <w:tc>
          <w:tcPr>
            <w:tcW w:w="1601"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1</w:t>
            </w:r>
          </w:p>
        </w:tc>
        <w:tc>
          <w:tcPr>
            <w:tcW w:w="1278"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9" w:hRule="atLeast"/>
          <w:jc w:val="center"/>
        </w:trPr>
        <w:tc>
          <w:tcPr>
            <w:tcW w:w="75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3</w:t>
            </w:r>
          </w:p>
        </w:tc>
        <w:tc>
          <w:tcPr>
            <w:tcW w:w="1070" w:type="dxa"/>
            <w:vMerge w:val="continue"/>
            <w:vAlign w:val="center"/>
          </w:tcPr>
          <w:p>
            <w:pPr>
              <w:widowControl/>
              <w:adjustRightInd/>
              <w:spacing w:line="240" w:lineRule="auto"/>
              <w:ind w:firstLine="0" w:firstLineChars="0"/>
              <w:jc w:val="left"/>
              <w:rPr>
                <w:rFonts w:ascii="Times New Roman" w:hAnsi="Times New Roman" w:cs="Times New Roman"/>
                <w:sz w:val="18"/>
                <w:szCs w:val="18"/>
                <w:lang w:val="zh-CN"/>
              </w:rPr>
            </w:pPr>
          </w:p>
        </w:tc>
        <w:tc>
          <w:tcPr>
            <w:tcW w:w="229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夏季(6,7,8月)</w:t>
            </w:r>
          </w:p>
        </w:tc>
        <w:tc>
          <w:tcPr>
            <w:tcW w:w="1963"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0.16</w:t>
            </w:r>
          </w:p>
        </w:tc>
        <w:tc>
          <w:tcPr>
            <w:tcW w:w="1601"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2</w:t>
            </w:r>
          </w:p>
        </w:tc>
        <w:tc>
          <w:tcPr>
            <w:tcW w:w="1278"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9" w:hRule="atLeast"/>
          <w:jc w:val="center"/>
        </w:trPr>
        <w:tc>
          <w:tcPr>
            <w:tcW w:w="75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4</w:t>
            </w:r>
          </w:p>
        </w:tc>
        <w:tc>
          <w:tcPr>
            <w:tcW w:w="1070" w:type="dxa"/>
            <w:vMerge w:val="continue"/>
            <w:vAlign w:val="center"/>
          </w:tcPr>
          <w:p>
            <w:pPr>
              <w:widowControl/>
              <w:adjustRightInd/>
              <w:spacing w:line="240" w:lineRule="auto"/>
              <w:ind w:firstLine="0" w:firstLineChars="0"/>
              <w:jc w:val="left"/>
              <w:rPr>
                <w:rFonts w:ascii="Times New Roman" w:hAnsi="Times New Roman" w:cs="Times New Roman"/>
                <w:sz w:val="18"/>
                <w:szCs w:val="18"/>
                <w:lang w:val="zh-CN"/>
              </w:rPr>
            </w:pPr>
          </w:p>
        </w:tc>
        <w:tc>
          <w:tcPr>
            <w:tcW w:w="229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秋季(9,10,11月)</w:t>
            </w:r>
          </w:p>
        </w:tc>
        <w:tc>
          <w:tcPr>
            <w:tcW w:w="1963"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0.18</w:t>
            </w:r>
          </w:p>
        </w:tc>
        <w:tc>
          <w:tcPr>
            <w:tcW w:w="1601"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2</w:t>
            </w:r>
          </w:p>
        </w:tc>
        <w:tc>
          <w:tcPr>
            <w:tcW w:w="1278"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9" w:hRule="atLeast"/>
          <w:jc w:val="center"/>
        </w:trPr>
        <w:tc>
          <w:tcPr>
            <w:tcW w:w="75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5</w:t>
            </w:r>
          </w:p>
        </w:tc>
        <w:tc>
          <w:tcPr>
            <w:tcW w:w="1070" w:type="dxa"/>
            <w:vMerge w:val="restart"/>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rPr>
              <w:t>180-360</w:t>
            </w:r>
          </w:p>
        </w:tc>
        <w:tc>
          <w:tcPr>
            <w:tcW w:w="229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冬季(12,1,2月)</w:t>
            </w:r>
          </w:p>
        </w:tc>
        <w:tc>
          <w:tcPr>
            <w:tcW w:w="1963"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0.6</w:t>
            </w:r>
          </w:p>
        </w:tc>
        <w:tc>
          <w:tcPr>
            <w:tcW w:w="1601"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1.5</w:t>
            </w:r>
          </w:p>
        </w:tc>
        <w:tc>
          <w:tcPr>
            <w:tcW w:w="1278"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9" w:hRule="atLeast"/>
          <w:jc w:val="center"/>
        </w:trPr>
        <w:tc>
          <w:tcPr>
            <w:tcW w:w="75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6</w:t>
            </w:r>
          </w:p>
        </w:tc>
        <w:tc>
          <w:tcPr>
            <w:tcW w:w="1070" w:type="dxa"/>
            <w:vMerge w:val="continue"/>
            <w:vAlign w:val="center"/>
          </w:tcPr>
          <w:p>
            <w:pPr>
              <w:widowControl/>
              <w:adjustRightInd/>
              <w:spacing w:line="240" w:lineRule="auto"/>
              <w:ind w:firstLine="0" w:firstLineChars="0"/>
              <w:jc w:val="left"/>
              <w:rPr>
                <w:rFonts w:ascii="Times New Roman" w:hAnsi="Times New Roman" w:cs="Times New Roman"/>
                <w:sz w:val="18"/>
                <w:szCs w:val="18"/>
                <w:lang w:val="zh-CN"/>
              </w:rPr>
            </w:pPr>
          </w:p>
        </w:tc>
        <w:tc>
          <w:tcPr>
            <w:tcW w:w="229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春季(3,4,5月)</w:t>
            </w:r>
          </w:p>
        </w:tc>
        <w:tc>
          <w:tcPr>
            <w:tcW w:w="1963"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0.14</w:t>
            </w:r>
          </w:p>
        </w:tc>
        <w:tc>
          <w:tcPr>
            <w:tcW w:w="1601"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0.3</w:t>
            </w:r>
          </w:p>
        </w:tc>
        <w:tc>
          <w:tcPr>
            <w:tcW w:w="1278"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0.03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9" w:hRule="atLeast"/>
          <w:jc w:val="center"/>
        </w:trPr>
        <w:tc>
          <w:tcPr>
            <w:tcW w:w="75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7</w:t>
            </w:r>
          </w:p>
        </w:tc>
        <w:tc>
          <w:tcPr>
            <w:tcW w:w="1070" w:type="dxa"/>
            <w:vMerge w:val="continue"/>
            <w:vAlign w:val="center"/>
          </w:tcPr>
          <w:p>
            <w:pPr>
              <w:widowControl/>
              <w:adjustRightInd/>
              <w:spacing w:line="240" w:lineRule="auto"/>
              <w:ind w:firstLine="0" w:firstLineChars="0"/>
              <w:jc w:val="left"/>
              <w:rPr>
                <w:rFonts w:ascii="Times New Roman" w:hAnsi="Times New Roman" w:cs="Times New Roman"/>
                <w:sz w:val="18"/>
                <w:szCs w:val="18"/>
                <w:lang w:val="zh-CN"/>
              </w:rPr>
            </w:pPr>
          </w:p>
        </w:tc>
        <w:tc>
          <w:tcPr>
            <w:tcW w:w="229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夏季(6,7,8月)</w:t>
            </w:r>
          </w:p>
        </w:tc>
        <w:tc>
          <w:tcPr>
            <w:tcW w:w="1963"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0.2</w:t>
            </w:r>
          </w:p>
        </w:tc>
        <w:tc>
          <w:tcPr>
            <w:tcW w:w="1601"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0.5</w:t>
            </w:r>
          </w:p>
        </w:tc>
        <w:tc>
          <w:tcPr>
            <w:tcW w:w="1278"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9" w:hRule="atLeast"/>
          <w:jc w:val="center"/>
        </w:trPr>
        <w:tc>
          <w:tcPr>
            <w:tcW w:w="75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8</w:t>
            </w:r>
          </w:p>
        </w:tc>
        <w:tc>
          <w:tcPr>
            <w:tcW w:w="1070" w:type="dxa"/>
            <w:vMerge w:val="continue"/>
            <w:vAlign w:val="center"/>
          </w:tcPr>
          <w:p>
            <w:pPr>
              <w:widowControl/>
              <w:adjustRightInd/>
              <w:spacing w:line="240" w:lineRule="auto"/>
              <w:ind w:firstLine="0" w:firstLineChars="0"/>
              <w:jc w:val="left"/>
              <w:rPr>
                <w:rFonts w:ascii="Times New Roman" w:hAnsi="Times New Roman" w:cs="Times New Roman"/>
                <w:sz w:val="18"/>
                <w:szCs w:val="18"/>
                <w:lang w:val="zh-CN"/>
              </w:rPr>
            </w:pPr>
          </w:p>
        </w:tc>
        <w:tc>
          <w:tcPr>
            <w:tcW w:w="2297"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秋季(9,10,11月)</w:t>
            </w:r>
          </w:p>
        </w:tc>
        <w:tc>
          <w:tcPr>
            <w:tcW w:w="1963"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0.18</w:t>
            </w:r>
          </w:p>
        </w:tc>
        <w:tc>
          <w:tcPr>
            <w:tcW w:w="1601"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0.7</w:t>
            </w:r>
          </w:p>
        </w:tc>
        <w:tc>
          <w:tcPr>
            <w:tcW w:w="1278" w:type="dxa"/>
            <w:vAlign w:val="center"/>
          </w:tcPr>
          <w:p>
            <w:pPr>
              <w:widowControl/>
              <w:tabs>
                <w:tab w:val="left" w:pos="567"/>
              </w:tabs>
              <w:adjustRightInd/>
              <w:spacing w:line="240" w:lineRule="auto"/>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0.05</w:t>
            </w:r>
          </w:p>
        </w:tc>
      </w:tr>
    </w:tbl>
    <w:p>
      <w:pPr>
        <w:tabs>
          <w:tab w:val="left" w:pos="567"/>
        </w:tabs>
        <w:adjustRightInd/>
        <w:ind w:firstLine="482"/>
        <w:rPr>
          <w:rFonts w:ascii="Times New Roman" w:hAnsi="Times New Roman" w:cs="Times New Roman"/>
          <w:b/>
          <w:bCs/>
        </w:rPr>
      </w:pPr>
      <w:r>
        <w:rPr>
          <w:rFonts w:ascii="Times New Roman" w:hAnsi="Times New Roman" w:cs="Times New Roman"/>
          <w:b/>
          <w:bCs/>
        </w:rPr>
        <w:t>3、预测内容</w:t>
      </w:r>
    </w:p>
    <w:p>
      <w:pPr>
        <w:tabs>
          <w:tab w:val="left" w:pos="567"/>
        </w:tabs>
        <w:adjustRightInd/>
        <w:ind w:firstLine="480"/>
        <w:rPr>
          <w:rFonts w:ascii="Times New Roman" w:hAnsi="Times New Roman" w:cs="Times New Roman"/>
        </w:rPr>
      </w:pPr>
      <w:r>
        <w:rPr>
          <w:rFonts w:ascii="Times New Roman" w:hAnsi="Times New Roman" w:cs="Times New Roman"/>
        </w:rPr>
        <w:t>根据第4章大气环境质量现状评价内容，本项目所在区域</w:t>
      </w:r>
      <w:r>
        <w:rPr>
          <w:rFonts w:hint="eastAsia" w:ascii="Times New Roman" w:hAnsi="Times New Roman" w:cs="Times New Roman"/>
        </w:rPr>
        <w:t>合肥市</w:t>
      </w:r>
      <w:r>
        <w:rPr>
          <w:rFonts w:ascii="Times New Roman" w:hAnsi="Times New Roman" w:cs="Times New Roman"/>
        </w:rPr>
        <w:t>为环境空气质量</w:t>
      </w:r>
      <w:r>
        <w:rPr>
          <w:rFonts w:hint="eastAsia" w:ascii="Times New Roman" w:hAnsi="Times New Roman" w:cs="Times New Roman"/>
        </w:rPr>
        <w:t>为</w:t>
      </w:r>
      <w:r>
        <w:rPr>
          <w:rFonts w:ascii="Times New Roman" w:hAnsi="Times New Roman" w:cs="Times New Roman"/>
        </w:rPr>
        <w:t>达标区。本项目预测情景组合见表5.2-13。</w:t>
      </w:r>
    </w:p>
    <w:p>
      <w:pPr>
        <w:pStyle w:val="2461"/>
        <w:overflowPunct w:val="0"/>
        <w:adjustRightInd/>
        <w:snapToGrid/>
        <w:spacing w:line="240" w:lineRule="auto"/>
        <w:ind w:firstLine="0" w:firstLineChars="0"/>
        <w:rPr>
          <w:rFonts w:eastAsia="宋体" w:cs="Times New Roman"/>
          <w:color w:val="auto"/>
          <w:sz w:val="21"/>
          <w:szCs w:val="21"/>
        </w:rPr>
      </w:pPr>
      <w:r>
        <w:rPr>
          <w:rFonts w:eastAsia="宋体" w:cs="Times New Roman"/>
          <w:color w:val="auto"/>
          <w:sz w:val="21"/>
          <w:szCs w:val="21"/>
        </w:rPr>
        <w:t>表5.2-13   大气环境影响预测情景组合一览表</w:t>
      </w:r>
    </w:p>
    <w:tbl>
      <w:tblPr>
        <w:tblStyle w:val="62"/>
        <w:tblW w:w="911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907"/>
        <w:gridCol w:w="1547"/>
        <w:gridCol w:w="1155"/>
        <w:gridCol w:w="1778"/>
        <w:gridCol w:w="1881"/>
        <w:gridCol w:w="18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89" w:hRule="atLeast"/>
          <w:jc w:val="center"/>
        </w:trPr>
        <w:tc>
          <w:tcPr>
            <w:tcW w:w="907"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评价对象</w:t>
            </w:r>
          </w:p>
        </w:tc>
        <w:tc>
          <w:tcPr>
            <w:tcW w:w="1547"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污染源</w:t>
            </w:r>
          </w:p>
        </w:tc>
        <w:tc>
          <w:tcPr>
            <w:tcW w:w="1155"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污染源排放方式</w:t>
            </w:r>
          </w:p>
        </w:tc>
        <w:tc>
          <w:tcPr>
            <w:tcW w:w="1778"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预测因子</w:t>
            </w:r>
          </w:p>
        </w:tc>
        <w:tc>
          <w:tcPr>
            <w:tcW w:w="1881"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预测内容</w:t>
            </w:r>
          </w:p>
        </w:tc>
        <w:tc>
          <w:tcPr>
            <w:tcW w:w="1843"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评价内容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45" w:hRule="atLeast"/>
          <w:jc w:val="center"/>
        </w:trPr>
        <w:tc>
          <w:tcPr>
            <w:tcW w:w="907" w:type="dxa"/>
            <w:vMerge w:val="restart"/>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达标区</w:t>
            </w:r>
          </w:p>
        </w:tc>
        <w:tc>
          <w:tcPr>
            <w:tcW w:w="1547" w:type="dxa"/>
            <w:vMerge w:val="restart"/>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新增污染源</w:t>
            </w:r>
          </w:p>
        </w:tc>
        <w:tc>
          <w:tcPr>
            <w:tcW w:w="1155" w:type="dxa"/>
            <w:vMerge w:val="restart"/>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正常排放</w:t>
            </w:r>
          </w:p>
        </w:tc>
        <w:tc>
          <w:tcPr>
            <w:tcW w:w="1778"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非甲烷总烃</w:t>
            </w:r>
          </w:p>
        </w:tc>
        <w:tc>
          <w:tcPr>
            <w:tcW w:w="1881" w:type="dxa"/>
            <w:vAlign w:val="center"/>
          </w:tcPr>
          <w:p>
            <w:pPr>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hint="eastAsia" w:ascii="Times New Roman" w:hAnsi="Times New Roman" w:cs="Times New Roman"/>
                <w:sz w:val="18"/>
                <w:szCs w:val="18"/>
                <w:lang w:val="zh-CN"/>
              </w:rPr>
              <w:t>1</w:t>
            </w:r>
            <w:r>
              <w:rPr>
                <w:rFonts w:ascii="Times New Roman" w:hAnsi="Times New Roman" w:cs="Times New Roman"/>
                <w:sz w:val="18"/>
                <w:szCs w:val="18"/>
                <w:lang w:val="zh-CN"/>
              </w:rPr>
              <w:t>小时平均质量浓度</w:t>
            </w:r>
          </w:p>
        </w:tc>
        <w:tc>
          <w:tcPr>
            <w:tcW w:w="1843"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最大浓度占标率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00" w:hRule="atLeast"/>
          <w:jc w:val="center"/>
        </w:trPr>
        <w:tc>
          <w:tcPr>
            <w:tcW w:w="907" w:type="dxa"/>
            <w:vMerge w:val="continue"/>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p>
        </w:tc>
        <w:tc>
          <w:tcPr>
            <w:tcW w:w="1547" w:type="dxa"/>
            <w:vMerge w:val="continue"/>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p>
        </w:tc>
        <w:tc>
          <w:tcPr>
            <w:tcW w:w="1155" w:type="dxa"/>
            <w:vMerge w:val="continue"/>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p>
        </w:tc>
        <w:tc>
          <w:tcPr>
            <w:tcW w:w="1778" w:type="dxa"/>
            <w:vMerge w:val="restart"/>
            <w:vAlign w:val="center"/>
          </w:tcPr>
          <w:p>
            <w:pPr>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hint="eastAsia" w:ascii="Times New Roman" w:hAnsi="Times New Roman" w:cs="Times New Roman"/>
                <w:sz w:val="18"/>
                <w:szCs w:val="18"/>
                <w:lang w:val="zh-CN"/>
              </w:rPr>
              <w:t>硫酸雾</w:t>
            </w:r>
          </w:p>
        </w:tc>
        <w:tc>
          <w:tcPr>
            <w:tcW w:w="1881" w:type="dxa"/>
            <w:vAlign w:val="center"/>
          </w:tcPr>
          <w:p>
            <w:pPr>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hint="eastAsia" w:ascii="Times New Roman" w:hAnsi="Times New Roman" w:cs="Times New Roman"/>
                <w:sz w:val="18"/>
                <w:szCs w:val="18"/>
                <w:lang w:val="zh-CN"/>
              </w:rPr>
              <w:t>1</w:t>
            </w:r>
            <w:r>
              <w:rPr>
                <w:rFonts w:ascii="Times New Roman" w:hAnsi="Times New Roman" w:cs="Times New Roman"/>
                <w:sz w:val="18"/>
                <w:szCs w:val="18"/>
                <w:lang w:val="zh-CN"/>
              </w:rPr>
              <w:t>小时平均质量浓度</w:t>
            </w:r>
          </w:p>
        </w:tc>
        <w:tc>
          <w:tcPr>
            <w:tcW w:w="1843" w:type="dxa"/>
            <w:vAlign w:val="center"/>
          </w:tcPr>
          <w:p>
            <w:pPr>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最大浓度占标率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00" w:hRule="atLeast"/>
          <w:jc w:val="center"/>
        </w:trPr>
        <w:tc>
          <w:tcPr>
            <w:tcW w:w="907" w:type="dxa"/>
            <w:vMerge w:val="continue"/>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p>
        </w:tc>
        <w:tc>
          <w:tcPr>
            <w:tcW w:w="1547" w:type="dxa"/>
            <w:vMerge w:val="continue"/>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p>
        </w:tc>
        <w:tc>
          <w:tcPr>
            <w:tcW w:w="1155" w:type="dxa"/>
            <w:vMerge w:val="continue"/>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p>
        </w:tc>
        <w:tc>
          <w:tcPr>
            <w:tcW w:w="1778" w:type="dxa"/>
            <w:vMerge w:val="continue"/>
            <w:vAlign w:val="center"/>
          </w:tcPr>
          <w:p>
            <w:pPr>
              <w:tabs>
                <w:tab w:val="left" w:pos="567"/>
              </w:tabs>
              <w:adjustRightInd/>
              <w:snapToGrid/>
              <w:spacing w:line="280" w:lineRule="exact"/>
              <w:ind w:firstLine="0" w:firstLineChars="0"/>
              <w:jc w:val="center"/>
              <w:rPr>
                <w:rFonts w:ascii="Times New Roman" w:hAnsi="Times New Roman" w:cs="Times New Roman"/>
                <w:sz w:val="18"/>
                <w:szCs w:val="18"/>
                <w:lang w:val="zh-CN"/>
              </w:rPr>
            </w:pPr>
          </w:p>
        </w:tc>
        <w:tc>
          <w:tcPr>
            <w:tcW w:w="1881" w:type="dxa"/>
            <w:vAlign w:val="center"/>
          </w:tcPr>
          <w:p>
            <w:pPr>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24小时平均质量浓度</w:t>
            </w:r>
          </w:p>
        </w:tc>
        <w:tc>
          <w:tcPr>
            <w:tcW w:w="1843" w:type="dxa"/>
            <w:vAlign w:val="center"/>
          </w:tcPr>
          <w:p>
            <w:pPr>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最大浓度占标率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70" w:hRule="atLeast"/>
          <w:jc w:val="center"/>
        </w:trPr>
        <w:tc>
          <w:tcPr>
            <w:tcW w:w="907" w:type="dxa"/>
            <w:vMerge w:val="continue"/>
            <w:vAlign w:val="center"/>
          </w:tcPr>
          <w:p>
            <w:pPr>
              <w:widowControl/>
              <w:adjustRightInd/>
              <w:snapToGrid/>
              <w:spacing w:line="280" w:lineRule="exact"/>
              <w:ind w:firstLine="0" w:firstLineChars="0"/>
              <w:jc w:val="center"/>
              <w:rPr>
                <w:rFonts w:ascii="Times New Roman" w:hAnsi="Times New Roman" w:cs="Times New Roman"/>
                <w:sz w:val="18"/>
                <w:szCs w:val="18"/>
                <w:lang w:val="zh-CN"/>
              </w:rPr>
            </w:pPr>
          </w:p>
        </w:tc>
        <w:tc>
          <w:tcPr>
            <w:tcW w:w="1547"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新增污染源+拟建在建污染源</w:t>
            </w:r>
          </w:p>
        </w:tc>
        <w:tc>
          <w:tcPr>
            <w:tcW w:w="1155"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正常排放</w:t>
            </w:r>
          </w:p>
        </w:tc>
        <w:tc>
          <w:tcPr>
            <w:tcW w:w="1778"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非甲烷总烃、</w:t>
            </w:r>
            <w:r>
              <w:rPr>
                <w:rFonts w:hint="eastAsia" w:ascii="Times New Roman" w:hAnsi="Times New Roman" w:cs="Times New Roman"/>
                <w:sz w:val="18"/>
                <w:szCs w:val="18"/>
                <w:lang w:val="zh-CN"/>
              </w:rPr>
              <w:t>硫酸雾</w:t>
            </w:r>
          </w:p>
        </w:tc>
        <w:tc>
          <w:tcPr>
            <w:tcW w:w="1881"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hint="eastAsia" w:ascii="Times New Roman" w:hAnsi="Times New Roman" w:cs="Times New Roman"/>
                <w:sz w:val="18"/>
                <w:szCs w:val="18"/>
                <w:lang w:val="zh-CN"/>
              </w:rPr>
              <w:t>1</w:t>
            </w:r>
            <w:r>
              <w:rPr>
                <w:rFonts w:ascii="Times New Roman" w:hAnsi="Times New Roman" w:cs="Times New Roman"/>
                <w:sz w:val="18"/>
                <w:szCs w:val="18"/>
                <w:lang w:val="zh-CN"/>
              </w:rPr>
              <w:t>小时平均质量浓度</w:t>
            </w:r>
          </w:p>
        </w:tc>
        <w:tc>
          <w:tcPr>
            <w:tcW w:w="1843"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叠加环境质量现状浓度后的小时质量浓度的占标率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92" w:hRule="atLeast"/>
          <w:jc w:val="center"/>
        </w:trPr>
        <w:tc>
          <w:tcPr>
            <w:tcW w:w="907" w:type="dxa"/>
            <w:vMerge w:val="continue"/>
            <w:vAlign w:val="center"/>
          </w:tcPr>
          <w:p>
            <w:pPr>
              <w:widowControl/>
              <w:adjustRightInd/>
              <w:snapToGrid/>
              <w:spacing w:line="280" w:lineRule="exact"/>
              <w:ind w:firstLine="0" w:firstLineChars="0"/>
              <w:jc w:val="center"/>
              <w:rPr>
                <w:rFonts w:ascii="Times New Roman" w:hAnsi="Times New Roman" w:cs="Times New Roman"/>
                <w:sz w:val="18"/>
                <w:szCs w:val="18"/>
                <w:lang w:val="zh-CN"/>
              </w:rPr>
            </w:pPr>
          </w:p>
        </w:tc>
        <w:tc>
          <w:tcPr>
            <w:tcW w:w="1547"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新增污染源</w:t>
            </w:r>
          </w:p>
        </w:tc>
        <w:tc>
          <w:tcPr>
            <w:tcW w:w="1155"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非正常排放</w:t>
            </w:r>
          </w:p>
        </w:tc>
        <w:tc>
          <w:tcPr>
            <w:tcW w:w="1778"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非甲烷总烃、</w:t>
            </w:r>
            <w:r>
              <w:rPr>
                <w:rFonts w:hint="eastAsia" w:ascii="Times New Roman" w:hAnsi="Times New Roman" w:cs="Times New Roman"/>
                <w:sz w:val="18"/>
                <w:szCs w:val="18"/>
                <w:lang w:val="zh-CN"/>
              </w:rPr>
              <w:t>硫酸雾</w:t>
            </w:r>
          </w:p>
        </w:tc>
        <w:tc>
          <w:tcPr>
            <w:tcW w:w="1881"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hint="eastAsia" w:ascii="Times New Roman" w:hAnsi="Times New Roman" w:cs="Times New Roman"/>
                <w:sz w:val="18"/>
                <w:szCs w:val="18"/>
                <w:lang w:val="zh-CN"/>
              </w:rPr>
              <w:t>1</w:t>
            </w:r>
            <w:r>
              <w:rPr>
                <w:rFonts w:ascii="Times New Roman" w:hAnsi="Times New Roman" w:cs="Times New Roman"/>
                <w:sz w:val="18"/>
                <w:szCs w:val="18"/>
                <w:lang w:val="zh-CN"/>
              </w:rPr>
              <w:t>小时平均质量浓度</w:t>
            </w:r>
          </w:p>
        </w:tc>
        <w:tc>
          <w:tcPr>
            <w:tcW w:w="1843"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最大浓度占标率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735" w:hRule="atLeast"/>
          <w:jc w:val="center"/>
        </w:trPr>
        <w:tc>
          <w:tcPr>
            <w:tcW w:w="907"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大气环境防护距离</w:t>
            </w:r>
          </w:p>
        </w:tc>
        <w:tc>
          <w:tcPr>
            <w:tcW w:w="1547"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新增污染源</w:t>
            </w:r>
          </w:p>
        </w:tc>
        <w:tc>
          <w:tcPr>
            <w:tcW w:w="1155"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正常排放</w:t>
            </w:r>
          </w:p>
        </w:tc>
        <w:tc>
          <w:tcPr>
            <w:tcW w:w="1778"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非甲烷总烃、</w:t>
            </w:r>
            <w:r>
              <w:rPr>
                <w:rFonts w:hint="eastAsia" w:ascii="Times New Roman" w:hAnsi="Times New Roman" w:cs="Times New Roman"/>
                <w:sz w:val="18"/>
                <w:szCs w:val="18"/>
                <w:lang w:val="zh-CN"/>
              </w:rPr>
              <w:t>硫酸雾</w:t>
            </w:r>
          </w:p>
        </w:tc>
        <w:tc>
          <w:tcPr>
            <w:tcW w:w="1881"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短期浓度</w:t>
            </w:r>
          </w:p>
        </w:tc>
        <w:tc>
          <w:tcPr>
            <w:tcW w:w="1843" w:type="dxa"/>
            <w:vAlign w:val="center"/>
          </w:tcPr>
          <w:p>
            <w:pPr>
              <w:widowControl/>
              <w:tabs>
                <w:tab w:val="left" w:pos="567"/>
              </w:tabs>
              <w:adjustRightInd/>
              <w:snapToGrid/>
              <w:spacing w:line="280" w:lineRule="exact"/>
              <w:ind w:firstLine="0" w:firstLineChars="0"/>
              <w:jc w:val="center"/>
              <w:rPr>
                <w:rFonts w:ascii="Times New Roman" w:hAnsi="Times New Roman" w:cs="Times New Roman"/>
                <w:sz w:val="18"/>
                <w:szCs w:val="18"/>
                <w:lang w:val="zh-CN"/>
              </w:rPr>
            </w:pPr>
            <w:r>
              <w:rPr>
                <w:rFonts w:ascii="Times New Roman" w:hAnsi="Times New Roman" w:cs="Times New Roman"/>
                <w:sz w:val="18"/>
                <w:szCs w:val="18"/>
                <w:lang w:val="zh-CN"/>
              </w:rPr>
              <w:t>大气环境防护距离</w:t>
            </w:r>
          </w:p>
        </w:tc>
      </w:tr>
    </w:tbl>
    <w:p>
      <w:pPr>
        <w:tabs>
          <w:tab w:val="left" w:pos="567"/>
        </w:tabs>
        <w:adjustRightInd/>
        <w:ind w:firstLine="480"/>
        <w:rPr>
          <w:rFonts w:ascii="Times New Roman" w:hAnsi="Times New Roman" w:cs="Times New Roman"/>
        </w:rPr>
      </w:pPr>
      <w:r>
        <w:rPr>
          <w:rFonts w:ascii="Times New Roman" w:hAnsi="Times New Roman" w:cs="Times New Roman"/>
        </w:rPr>
        <w:t>预测内容如下：</w:t>
      </w:r>
    </w:p>
    <w:p>
      <w:pPr>
        <w:tabs>
          <w:tab w:val="left" w:pos="567"/>
        </w:tabs>
        <w:adjustRightInd/>
        <w:ind w:firstLine="480"/>
        <w:rPr>
          <w:rFonts w:ascii="Times New Roman" w:hAnsi="Times New Roman" w:cs="Times New Roman"/>
        </w:rPr>
      </w:pPr>
      <w:r>
        <w:rPr>
          <w:rFonts w:ascii="Times New Roman" w:hAnsi="Times New Roman" w:cs="Times New Roman"/>
        </w:rPr>
        <w:t>A、正常工况下拟建工程污染源污染物对周围环境空气影响</w:t>
      </w:r>
    </w:p>
    <w:p>
      <w:pPr>
        <w:tabs>
          <w:tab w:val="left" w:pos="567"/>
        </w:tabs>
        <w:adjustRightInd/>
        <w:ind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1 \* GB3 </w:instrText>
      </w:r>
      <w:r>
        <w:rPr>
          <w:rFonts w:ascii="Times New Roman" w:hAnsi="Times New Roman" w:cs="Times New Roman"/>
        </w:rPr>
        <w:fldChar w:fldCharType="separate"/>
      </w:r>
      <w:r>
        <w:rPr>
          <w:rFonts w:hint="eastAsia" w:ascii="宋体" w:hAnsi="宋体" w:cs="宋体"/>
        </w:rPr>
        <w:t>①</w:t>
      </w:r>
      <w:r>
        <w:rPr>
          <w:rFonts w:ascii="Times New Roman" w:hAnsi="Times New Roman" w:cs="Times New Roman"/>
        </w:rPr>
        <w:fldChar w:fldCharType="end"/>
      </w:r>
      <w:r>
        <w:rPr>
          <w:rFonts w:ascii="Times New Roman" w:hAnsi="Times New Roman" w:cs="Times New Roman"/>
        </w:rPr>
        <w:t>全年逐次小时气象条件下，环境保护目标、网格点处的地面浓度和评价范围内的非甲烷总烃最大地面</w:t>
      </w:r>
      <w:r>
        <w:rPr>
          <w:rFonts w:hint="eastAsia" w:ascii="Times New Roman" w:hAnsi="Times New Roman" w:cs="Times New Roman"/>
        </w:rPr>
        <w:t>1</w:t>
      </w:r>
      <w:r>
        <w:rPr>
          <w:rFonts w:ascii="Times New Roman" w:hAnsi="Times New Roman" w:cs="Times New Roman"/>
        </w:rPr>
        <w:t>小时浓度。</w:t>
      </w:r>
    </w:p>
    <w:p>
      <w:pPr>
        <w:tabs>
          <w:tab w:val="left" w:pos="567"/>
        </w:tabs>
        <w:adjustRightInd/>
        <w:ind w:firstLine="480"/>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cs="宋体"/>
        </w:rPr>
        <w:t>②</w:t>
      </w:r>
      <w:r>
        <w:rPr>
          <w:rFonts w:ascii="Times New Roman" w:hAnsi="Times New Roman" w:cs="Times New Roman"/>
        </w:rPr>
        <w:fldChar w:fldCharType="end"/>
      </w:r>
      <w:r>
        <w:rPr>
          <w:rFonts w:ascii="Times New Roman" w:hAnsi="Times New Roman" w:cs="Times New Roman"/>
        </w:rPr>
        <w:t>全年逐次小时气象条件下，环境保护目标、网格点处的地面浓度和评价范围内的</w:t>
      </w:r>
      <w:r>
        <w:rPr>
          <w:rFonts w:hint="eastAsia" w:ascii="Times New Roman" w:hAnsi="Times New Roman" w:cs="Times New Roman"/>
        </w:rPr>
        <w:t>硫酸雾</w:t>
      </w:r>
      <w:r>
        <w:rPr>
          <w:rFonts w:ascii="Times New Roman" w:hAnsi="Times New Roman" w:cs="Times New Roman"/>
        </w:rPr>
        <w:t>最大地面小时浓度、最大地面24小时浓度。</w:t>
      </w:r>
    </w:p>
    <w:p>
      <w:pPr>
        <w:tabs>
          <w:tab w:val="left" w:pos="567"/>
        </w:tabs>
        <w:adjustRightInd/>
        <w:ind w:firstLine="480"/>
        <w:rPr>
          <w:rFonts w:ascii="Times New Roman" w:hAnsi="Times New Roman" w:cs="Times New Roman"/>
        </w:rPr>
      </w:pPr>
      <w:r>
        <w:rPr>
          <w:rFonts w:ascii="Times New Roman" w:hAnsi="Times New Roman" w:cs="Times New Roman"/>
        </w:rPr>
        <w:t>B、非正常工况下拟建工程对环境的影响</w:t>
      </w:r>
    </w:p>
    <w:p>
      <w:pPr>
        <w:tabs>
          <w:tab w:val="left" w:pos="567"/>
        </w:tabs>
        <w:adjustRightInd/>
        <w:ind w:firstLine="480"/>
        <w:rPr>
          <w:rFonts w:ascii="Times New Roman" w:hAnsi="Times New Roman" w:cs="Times New Roman"/>
          <w:szCs w:val="24"/>
        </w:rPr>
      </w:pPr>
      <w:r>
        <w:rPr>
          <w:rFonts w:ascii="Times New Roman" w:hAnsi="Times New Roman" w:cs="Times New Roman"/>
        </w:rPr>
        <w:t>分析全年逐时气象条件下，对拟建工程污染</w:t>
      </w:r>
      <w:r>
        <w:rPr>
          <w:rFonts w:ascii="Times New Roman" w:hAnsi="Times New Roman" w:cs="Times New Roman"/>
          <w:szCs w:val="24"/>
        </w:rPr>
        <w:t>物</w:t>
      </w:r>
      <w:r>
        <w:rPr>
          <w:rFonts w:ascii="Times New Roman" w:hAnsi="Times New Roman" w:cs="Times New Roman"/>
          <w:szCs w:val="24"/>
          <w:lang w:val="zh-CN"/>
        </w:rPr>
        <w:t>非甲烷总烃、</w:t>
      </w:r>
      <w:r>
        <w:rPr>
          <w:rFonts w:hint="eastAsia" w:ascii="Times New Roman" w:hAnsi="Times New Roman" w:cs="Times New Roman"/>
        </w:rPr>
        <w:t>硫酸雾</w:t>
      </w:r>
      <w:r>
        <w:rPr>
          <w:rFonts w:ascii="Times New Roman" w:hAnsi="Times New Roman" w:cs="Times New Roman"/>
          <w:szCs w:val="24"/>
        </w:rPr>
        <w:t>地面1小时平均浓度及出现位置进行逐时计算；预测各敏感点最大地面1小时平均贡献浓度及区域网格最大落地浓度。</w:t>
      </w:r>
    </w:p>
    <w:p>
      <w:pPr>
        <w:tabs>
          <w:tab w:val="left" w:pos="567"/>
        </w:tabs>
        <w:adjustRightInd/>
        <w:ind w:firstLine="480"/>
        <w:rPr>
          <w:rFonts w:ascii="Times New Roman" w:hAnsi="Times New Roman" w:cs="Times New Roman"/>
        </w:rPr>
      </w:pPr>
      <w:r>
        <w:rPr>
          <w:rFonts w:ascii="Times New Roman" w:hAnsi="Times New Roman" w:cs="Times New Roman"/>
        </w:rPr>
        <w:t>C、环境影响叠加</w:t>
      </w:r>
    </w:p>
    <w:p>
      <w:pPr>
        <w:autoSpaceDE w:val="0"/>
        <w:autoSpaceDN w:val="0"/>
        <w:ind w:firstLine="480"/>
        <w:jc w:val="left"/>
        <w:rPr>
          <w:rFonts w:ascii="Times New Roman" w:hAnsi="Times New Roman" w:cs="Times New Roman"/>
        </w:rPr>
      </w:pPr>
      <w:r>
        <w:rPr>
          <w:rFonts w:ascii="Times New Roman" w:hAnsi="Times New Roman" w:cs="Times New Roman"/>
        </w:rPr>
        <w:t>2021年全年气象条件下，本项目贡献值叠加其他在建、拟建项目污染源影响，并叠加环境质量现状浓度后的环境质量浓度。</w:t>
      </w:r>
    </w:p>
    <w:p>
      <w:pPr>
        <w:tabs>
          <w:tab w:val="left" w:pos="567"/>
        </w:tabs>
        <w:adjustRightInd/>
        <w:ind w:firstLine="482"/>
        <w:rPr>
          <w:rFonts w:ascii="Times New Roman" w:hAnsi="Times New Roman" w:cs="Times New Roman"/>
          <w:b/>
          <w:bCs/>
        </w:rPr>
      </w:pPr>
      <w:r>
        <w:rPr>
          <w:rFonts w:ascii="Times New Roman" w:hAnsi="Times New Roman" w:cs="Times New Roman"/>
          <w:b/>
          <w:bCs/>
        </w:rPr>
        <w:t>3、</w:t>
      </w:r>
      <w:r>
        <w:rPr>
          <w:rFonts w:hint="eastAsia" w:ascii="Times New Roman" w:hAnsi="Times New Roman" w:cs="Times New Roman"/>
          <w:b/>
          <w:bCs/>
        </w:rPr>
        <w:t>计算点</w:t>
      </w:r>
    </w:p>
    <w:p>
      <w:pPr>
        <w:overflowPunct w:val="0"/>
        <w:autoSpaceDE w:val="0"/>
        <w:autoSpaceDN w:val="0"/>
        <w:adjustRightInd/>
        <w:snapToGrid/>
        <w:ind w:firstLine="480"/>
        <w:textAlignment w:val="baseline"/>
        <w:rPr>
          <w:rFonts w:ascii="Times New Roman" w:hAnsi="Times New Roman" w:cs="Times New Roman"/>
          <w:szCs w:val="24"/>
        </w:rPr>
      </w:pPr>
      <w:r>
        <w:rPr>
          <w:rFonts w:ascii="Times New Roman" w:hAnsi="Times New Roman" w:cs="Times New Roman"/>
          <w:szCs w:val="24"/>
          <w:lang w:val="zh-CN"/>
        </w:rPr>
        <w:t>本次评价采用直角坐标系，根据HJ2.2-2018要求，大气环境影响预测计算点包括环境空气敏感点和网格点，各计算点设置如下：</w:t>
      </w:r>
    </w:p>
    <w:p>
      <w:pPr>
        <w:overflowPunct w:val="0"/>
        <w:autoSpaceDE w:val="0"/>
        <w:autoSpaceDN w:val="0"/>
        <w:adjustRightInd/>
        <w:snapToGrid/>
        <w:ind w:firstLine="480"/>
        <w:textAlignment w:val="baseline"/>
        <w:rPr>
          <w:rFonts w:ascii="Times New Roman" w:hAnsi="Times New Roman" w:cs="Times New Roman"/>
          <w:szCs w:val="24"/>
        </w:rPr>
      </w:pPr>
      <w:r>
        <w:rPr>
          <w:rFonts w:ascii="Times New Roman" w:hAnsi="Times New Roman" w:cs="Times New Roman"/>
          <w:szCs w:val="24"/>
        </w:rPr>
        <w:t>1、环境空气保护目标</w:t>
      </w:r>
    </w:p>
    <w:p>
      <w:pPr>
        <w:overflowPunct w:val="0"/>
        <w:autoSpaceDE w:val="0"/>
        <w:autoSpaceDN w:val="0"/>
        <w:adjustRightInd/>
        <w:snapToGrid/>
        <w:ind w:firstLine="480"/>
        <w:textAlignment w:val="baseline"/>
        <w:rPr>
          <w:rFonts w:ascii="Times New Roman" w:hAnsi="Times New Roman" w:cs="Times New Roman"/>
          <w:szCs w:val="24"/>
        </w:rPr>
      </w:pPr>
      <w:r>
        <w:rPr>
          <w:rFonts w:ascii="Times New Roman" w:hAnsi="Times New Roman" w:cs="Times New Roman"/>
          <w:szCs w:val="24"/>
        </w:rPr>
        <w:t>评价范围内，主要环境空气保护目标如表5.2-14所示。</w:t>
      </w:r>
    </w:p>
    <w:p>
      <w:pPr>
        <w:pStyle w:val="2461"/>
        <w:overflowPunct w:val="0"/>
        <w:adjustRightInd/>
        <w:snapToGrid/>
        <w:spacing w:line="240" w:lineRule="auto"/>
        <w:ind w:firstLine="0" w:firstLineChars="0"/>
        <w:rPr>
          <w:rFonts w:eastAsia="宋体" w:cs="Times New Roman"/>
          <w:color w:val="auto"/>
          <w:sz w:val="21"/>
          <w:szCs w:val="21"/>
        </w:rPr>
      </w:pPr>
      <w:r>
        <w:rPr>
          <w:rFonts w:eastAsia="宋体" w:cs="Times New Roman"/>
          <w:color w:val="auto"/>
          <w:sz w:val="21"/>
          <w:szCs w:val="21"/>
        </w:rPr>
        <w:t>表5.2-14   环境空气保护目标一览表</w:t>
      </w:r>
    </w:p>
    <w:tbl>
      <w:tblPr>
        <w:tblStyle w:val="62"/>
        <w:tblW w:w="8931"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228"/>
        <w:gridCol w:w="2241"/>
        <w:gridCol w:w="2128"/>
        <w:gridCol w:w="1363"/>
        <w:gridCol w:w="197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228" w:type="dxa"/>
            <w:tcBorders>
              <w:bottom w:val="single" w:color="008000" w:sz="6" w:space="0"/>
              <w:tl2br w:val="nil"/>
              <w:tr2bl w:val="nil"/>
            </w:tcBorders>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sz w:val="18"/>
                <w:szCs w:val="18"/>
              </w:rPr>
            </w:pPr>
            <w:r>
              <w:rPr>
                <w:rFonts w:ascii="Times New Roman" w:hAnsi="Times New Roman" w:cs="Times New Roman"/>
                <w:sz w:val="18"/>
                <w:szCs w:val="18"/>
              </w:rPr>
              <w:t>序号</w:t>
            </w:r>
          </w:p>
        </w:tc>
        <w:tc>
          <w:tcPr>
            <w:tcW w:w="2241" w:type="dxa"/>
            <w:tcBorders>
              <w:bottom w:val="single" w:color="008000" w:sz="6" w:space="0"/>
              <w:tl2br w:val="nil"/>
              <w:tr2bl w:val="nil"/>
            </w:tcBorders>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sz w:val="18"/>
                <w:szCs w:val="18"/>
              </w:rPr>
            </w:pPr>
            <w:r>
              <w:rPr>
                <w:rFonts w:ascii="Times New Roman" w:hAnsi="Times New Roman" w:cs="Times New Roman"/>
                <w:sz w:val="18"/>
                <w:szCs w:val="18"/>
              </w:rPr>
              <w:t>名称</w:t>
            </w:r>
          </w:p>
        </w:tc>
        <w:tc>
          <w:tcPr>
            <w:tcW w:w="2128" w:type="dxa"/>
            <w:tcBorders>
              <w:bottom w:val="single" w:color="008000" w:sz="6" w:space="0"/>
              <w:tl2br w:val="nil"/>
              <w:tr2bl w:val="nil"/>
            </w:tcBorders>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sz w:val="18"/>
                <w:szCs w:val="18"/>
              </w:rPr>
            </w:pPr>
            <w:r>
              <w:rPr>
                <w:rFonts w:ascii="Times New Roman" w:hAnsi="Times New Roman" w:cs="Times New Roman"/>
                <w:sz w:val="18"/>
                <w:szCs w:val="18"/>
              </w:rPr>
              <w:t>X</w:t>
            </w:r>
          </w:p>
        </w:tc>
        <w:tc>
          <w:tcPr>
            <w:tcW w:w="1363" w:type="dxa"/>
            <w:tcBorders>
              <w:bottom w:val="single" w:color="008000" w:sz="6" w:space="0"/>
              <w:tl2br w:val="nil"/>
              <w:tr2bl w:val="nil"/>
            </w:tcBorders>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sz w:val="18"/>
                <w:szCs w:val="18"/>
              </w:rPr>
            </w:pPr>
            <w:r>
              <w:rPr>
                <w:rFonts w:ascii="Times New Roman" w:hAnsi="Times New Roman" w:cs="Times New Roman"/>
                <w:sz w:val="18"/>
                <w:szCs w:val="18"/>
              </w:rPr>
              <w:t>Y</w:t>
            </w:r>
          </w:p>
        </w:tc>
        <w:tc>
          <w:tcPr>
            <w:tcW w:w="1971" w:type="dxa"/>
            <w:tcBorders>
              <w:bottom w:val="single" w:color="008000" w:sz="6" w:space="0"/>
              <w:tl2br w:val="nil"/>
              <w:tr2bl w:val="nil"/>
            </w:tcBorders>
            <w:shd w:val="clear" w:color="auto" w:fill="auto"/>
            <w:vAlign w:val="center"/>
          </w:tcPr>
          <w:p>
            <w:pPr>
              <w:tabs>
                <w:tab w:val="left" w:pos="567"/>
                <w:tab w:val="left" w:pos="1134"/>
                <w:tab w:val="right" w:leader="middleDot" w:pos="7938"/>
              </w:tabs>
              <w:overflowPunct w:val="0"/>
              <w:adjustRightInd/>
              <w:spacing w:line="240" w:lineRule="auto"/>
              <w:ind w:firstLine="0" w:firstLineChars="0"/>
              <w:jc w:val="center"/>
              <w:textAlignment w:val="baseline"/>
              <w:rPr>
                <w:rFonts w:ascii="Times New Roman" w:hAnsi="Times New Roman" w:cs="Times New Roman"/>
                <w:sz w:val="18"/>
                <w:szCs w:val="18"/>
              </w:rPr>
            </w:pPr>
            <w:r>
              <w:rPr>
                <w:rFonts w:ascii="Times New Roman" w:hAnsi="Times New Roman" w:cs="Times New Roman"/>
                <w:sz w:val="18"/>
                <w:szCs w:val="18"/>
              </w:rPr>
              <w:t>地面高程(m)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2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w:t>
            </w:r>
          </w:p>
        </w:tc>
        <w:tc>
          <w:tcPr>
            <w:tcW w:w="2241" w:type="dxa"/>
            <w:shd w:val="clear" w:color="auto" w:fill="auto"/>
            <w:vAlign w:val="center"/>
          </w:tcPr>
          <w:p>
            <w:pPr>
              <w:widowControl/>
              <w:adjustRightInd/>
              <w:snapToGrid/>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循环园管委会</w:t>
            </w:r>
          </w:p>
        </w:tc>
        <w:tc>
          <w:tcPr>
            <w:tcW w:w="21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1348</w:t>
            </w:r>
          </w:p>
        </w:tc>
        <w:tc>
          <w:tcPr>
            <w:tcW w:w="1363"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w:t>
            </w:r>
            <w:r>
              <w:rPr>
                <w:rFonts w:ascii="Times New Roman" w:hAnsi="Times New Roman" w:cs="Times New Roman"/>
                <w:sz w:val="18"/>
                <w:szCs w:val="18"/>
              </w:rPr>
              <w:t>189</w:t>
            </w:r>
          </w:p>
        </w:tc>
        <w:tc>
          <w:tcPr>
            <w:tcW w:w="1971"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2.22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6" w:hRule="atLeast"/>
        </w:trPr>
        <w:tc>
          <w:tcPr>
            <w:tcW w:w="12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w:t>
            </w:r>
          </w:p>
        </w:tc>
        <w:tc>
          <w:tcPr>
            <w:tcW w:w="2241" w:type="dxa"/>
            <w:shd w:val="clear" w:color="auto" w:fill="auto"/>
            <w:vAlign w:val="center"/>
          </w:tcPr>
          <w:p>
            <w:pPr>
              <w:widowControl/>
              <w:adjustRightInd/>
              <w:snapToGrid/>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金庵村</w:t>
            </w:r>
          </w:p>
        </w:tc>
        <w:tc>
          <w:tcPr>
            <w:tcW w:w="21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1019</w:t>
            </w:r>
          </w:p>
        </w:tc>
        <w:tc>
          <w:tcPr>
            <w:tcW w:w="1363"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w:t>
            </w:r>
            <w:r>
              <w:rPr>
                <w:rFonts w:ascii="Times New Roman" w:hAnsi="Times New Roman" w:cs="Times New Roman"/>
                <w:sz w:val="18"/>
                <w:szCs w:val="18"/>
              </w:rPr>
              <w:t>855</w:t>
            </w:r>
          </w:p>
        </w:tc>
        <w:tc>
          <w:tcPr>
            <w:tcW w:w="1971"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9</w:t>
            </w:r>
            <w:r>
              <w:rPr>
                <w:rFonts w:ascii="Times New Roman" w:hAnsi="Times New Roman" w:cs="Times New Roman"/>
                <w:sz w:val="18"/>
                <w:szCs w:val="18"/>
              </w:rPr>
              <w:t>.01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2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3</w:t>
            </w:r>
          </w:p>
        </w:tc>
        <w:tc>
          <w:tcPr>
            <w:tcW w:w="2241" w:type="dxa"/>
            <w:shd w:val="clear" w:color="auto" w:fill="auto"/>
            <w:vAlign w:val="center"/>
          </w:tcPr>
          <w:p>
            <w:pPr>
              <w:widowControl/>
              <w:adjustRightInd/>
              <w:snapToGrid/>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邓基</w:t>
            </w:r>
          </w:p>
        </w:tc>
        <w:tc>
          <w:tcPr>
            <w:tcW w:w="21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rPr>
              <w:t>-1447</w:t>
            </w:r>
          </w:p>
        </w:tc>
        <w:tc>
          <w:tcPr>
            <w:tcW w:w="1363"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rPr>
              <w:t>132</w:t>
            </w:r>
          </w:p>
        </w:tc>
        <w:tc>
          <w:tcPr>
            <w:tcW w:w="1971"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5</w:t>
            </w:r>
            <w:r>
              <w:rPr>
                <w:rFonts w:ascii="Times New Roman" w:hAnsi="Times New Roman" w:cs="Times New Roman"/>
                <w:sz w:val="18"/>
                <w:szCs w:val="18"/>
              </w:rPr>
              <w:t>.89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2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4</w:t>
            </w:r>
          </w:p>
        </w:tc>
        <w:tc>
          <w:tcPr>
            <w:tcW w:w="2241" w:type="dxa"/>
            <w:shd w:val="clear" w:color="auto" w:fill="auto"/>
            <w:vAlign w:val="center"/>
          </w:tcPr>
          <w:p>
            <w:pPr>
              <w:widowControl/>
              <w:adjustRightInd/>
              <w:snapToGrid/>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上张村</w:t>
            </w:r>
          </w:p>
        </w:tc>
        <w:tc>
          <w:tcPr>
            <w:tcW w:w="21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w:t>
            </w:r>
            <w:r>
              <w:rPr>
                <w:rFonts w:ascii="Times New Roman" w:hAnsi="Times New Roman" w:cs="Times New Roman"/>
                <w:sz w:val="18"/>
                <w:szCs w:val="18"/>
              </w:rPr>
              <w:t>99</w:t>
            </w:r>
          </w:p>
        </w:tc>
        <w:tc>
          <w:tcPr>
            <w:tcW w:w="1363"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2</w:t>
            </w:r>
            <w:r>
              <w:rPr>
                <w:rFonts w:ascii="Times New Roman" w:hAnsi="Times New Roman" w:cs="Times New Roman"/>
                <w:sz w:val="18"/>
                <w:szCs w:val="18"/>
              </w:rPr>
              <w:t>071</w:t>
            </w:r>
          </w:p>
        </w:tc>
        <w:tc>
          <w:tcPr>
            <w:tcW w:w="1971"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4.16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2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5</w:t>
            </w:r>
          </w:p>
        </w:tc>
        <w:tc>
          <w:tcPr>
            <w:tcW w:w="2241" w:type="dxa"/>
            <w:shd w:val="clear" w:color="auto" w:fill="auto"/>
            <w:vAlign w:val="center"/>
          </w:tcPr>
          <w:p>
            <w:pPr>
              <w:widowControl/>
              <w:adjustRightInd/>
              <w:snapToGrid/>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周大小郢</w:t>
            </w:r>
          </w:p>
        </w:tc>
        <w:tc>
          <w:tcPr>
            <w:tcW w:w="21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w:t>
            </w:r>
            <w:r>
              <w:rPr>
                <w:rFonts w:ascii="Times New Roman" w:hAnsi="Times New Roman" w:cs="Times New Roman"/>
                <w:sz w:val="18"/>
                <w:szCs w:val="18"/>
              </w:rPr>
              <w:t>666</w:t>
            </w:r>
          </w:p>
        </w:tc>
        <w:tc>
          <w:tcPr>
            <w:tcW w:w="1363"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447</w:t>
            </w:r>
          </w:p>
        </w:tc>
        <w:tc>
          <w:tcPr>
            <w:tcW w:w="1971"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.84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2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6</w:t>
            </w:r>
          </w:p>
        </w:tc>
        <w:tc>
          <w:tcPr>
            <w:tcW w:w="2241" w:type="dxa"/>
            <w:shd w:val="clear" w:color="auto" w:fill="auto"/>
            <w:vAlign w:val="center"/>
          </w:tcPr>
          <w:p>
            <w:pPr>
              <w:widowControl/>
              <w:adjustRightInd/>
              <w:snapToGrid/>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撮镇安置小区</w:t>
            </w:r>
          </w:p>
        </w:tc>
        <w:tc>
          <w:tcPr>
            <w:tcW w:w="21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2222</w:t>
            </w:r>
          </w:p>
        </w:tc>
        <w:tc>
          <w:tcPr>
            <w:tcW w:w="1363"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1954</w:t>
            </w:r>
          </w:p>
        </w:tc>
        <w:tc>
          <w:tcPr>
            <w:tcW w:w="1971"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7</w:t>
            </w:r>
            <w:r>
              <w:rPr>
                <w:rFonts w:ascii="Times New Roman" w:hAnsi="Times New Roman" w:cs="Times New Roman"/>
                <w:sz w:val="18"/>
                <w:szCs w:val="18"/>
              </w:rPr>
              <w:t>.8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2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w:t>
            </w:r>
          </w:p>
        </w:tc>
        <w:tc>
          <w:tcPr>
            <w:tcW w:w="2241" w:type="dxa"/>
            <w:shd w:val="clear" w:color="auto" w:fill="auto"/>
            <w:vAlign w:val="center"/>
          </w:tcPr>
          <w:p>
            <w:pPr>
              <w:widowControl/>
              <w:adjustRightInd/>
              <w:snapToGrid/>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大姚</w:t>
            </w:r>
            <w:r>
              <w:rPr>
                <w:rFonts w:ascii="Times New Roman" w:hAnsi="Times New Roman" w:cs="Times New Roman"/>
                <w:sz w:val="18"/>
                <w:szCs w:val="18"/>
              </w:rPr>
              <w:t>村</w:t>
            </w:r>
          </w:p>
        </w:tc>
        <w:tc>
          <w:tcPr>
            <w:tcW w:w="21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w:t>
            </w:r>
            <w:r>
              <w:rPr>
                <w:rFonts w:ascii="Times New Roman" w:hAnsi="Times New Roman" w:cs="Times New Roman"/>
                <w:sz w:val="18"/>
                <w:szCs w:val="18"/>
              </w:rPr>
              <w:t>2129</w:t>
            </w:r>
          </w:p>
        </w:tc>
        <w:tc>
          <w:tcPr>
            <w:tcW w:w="1363"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718</w:t>
            </w:r>
          </w:p>
        </w:tc>
        <w:tc>
          <w:tcPr>
            <w:tcW w:w="1971"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5.1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2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8</w:t>
            </w:r>
          </w:p>
        </w:tc>
        <w:tc>
          <w:tcPr>
            <w:tcW w:w="2241" w:type="dxa"/>
            <w:shd w:val="clear" w:color="auto" w:fill="auto"/>
            <w:vAlign w:val="center"/>
          </w:tcPr>
          <w:p>
            <w:pPr>
              <w:widowControl/>
              <w:adjustRightInd/>
              <w:snapToGrid/>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三联护理学院</w:t>
            </w:r>
          </w:p>
        </w:tc>
        <w:tc>
          <w:tcPr>
            <w:tcW w:w="21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color w:val="auto"/>
                <w:sz w:val="18"/>
                <w:szCs w:val="18"/>
              </w:rPr>
              <w:t>-</w:t>
            </w:r>
            <w:r>
              <w:rPr>
                <w:rFonts w:ascii="Times New Roman" w:hAnsi="Times New Roman" w:cs="Times New Roman"/>
                <w:color w:val="auto"/>
                <w:sz w:val="18"/>
                <w:szCs w:val="18"/>
              </w:rPr>
              <w:t>1800</w:t>
            </w:r>
          </w:p>
        </w:tc>
        <w:tc>
          <w:tcPr>
            <w:tcW w:w="1363"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color w:val="auto"/>
                <w:sz w:val="18"/>
                <w:szCs w:val="18"/>
              </w:rPr>
              <w:t>5</w:t>
            </w:r>
            <w:r>
              <w:rPr>
                <w:rFonts w:ascii="Times New Roman" w:hAnsi="Times New Roman" w:cs="Times New Roman"/>
                <w:color w:val="auto"/>
                <w:sz w:val="18"/>
                <w:szCs w:val="18"/>
              </w:rPr>
              <w:t>26</w:t>
            </w:r>
          </w:p>
        </w:tc>
        <w:tc>
          <w:tcPr>
            <w:tcW w:w="1971"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6</w:t>
            </w:r>
            <w:r>
              <w:rPr>
                <w:rFonts w:ascii="Times New Roman" w:hAnsi="Times New Roman" w:cs="Times New Roman"/>
                <w:sz w:val="18"/>
                <w:szCs w:val="18"/>
              </w:rPr>
              <w:t>.42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12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9</w:t>
            </w:r>
          </w:p>
        </w:tc>
        <w:tc>
          <w:tcPr>
            <w:tcW w:w="2241" w:type="dxa"/>
            <w:shd w:val="clear" w:color="auto" w:fill="auto"/>
            <w:vAlign w:val="center"/>
          </w:tcPr>
          <w:p>
            <w:pPr>
              <w:widowControl/>
              <w:adjustRightInd/>
              <w:snapToGrid/>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先锋小区</w:t>
            </w:r>
          </w:p>
        </w:tc>
        <w:tc>
          <w:tcPr>
            <w:tcW w:w="2128"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890</w:t>
            </w:r>
          </w:p>
        </w:tc>
        <w:tc>
          <w:tcPr>
            <w:tcW w:w="1363"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2</w:t>
            </w:r>
            <w:r>
              <w:rPr>
                <w:rFonts w:ascii="Times New Roman" w:hAnsi="Times New Roman" w:cs="Times New Roman"/>
                <w:sz w:val="18"/>
                <w:szCs w:val="18"/>
              </w:rPr>
              <w:t>384</w:t>
            </w:r>
          </w:p>
        </w:tc>
        <w:tc>
          <w:tcPr>
            <w:tcW w:w="1971" w:type="dxa"/>
            <w:shd w:val="clear" w:color="auto" w:fill="auto"/>
            <w:vAlign w:val="center"/>
          </w:tcPr>
          <w:p>
            <w:pPr>
              <w:adjustRightInd/>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6</w:t>
            </w:r>
            <w:r>
              <w:rPr>
                <w:rFonts w:ascii="Times New Roman" w:hAnsi="Times New Roman" w:cs="Times New Roman"/>
                <w:sz w:val="18"/>
                <w:szCs w:val="18"/>
              </w:rPr>
              <w:t>.7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8931" w:type="dxa"/>
            <w:gridSpan w:val="5"/>
            <w:shd w:val="clear" w:color="auto" w:fill="auto"/>
            <w:vAlign w:val="center"/>
          </w:tcPr>
          <w:p>
            <w:pPr>
              <w:tabs>
                <w:tab w:val="left" w:pos="567"/>
                <w:tab w:val="left" w:pos="1134"/>
                <w:tab w:val="right" w:leader="middleDot" w:pos="7938"/>
              </w:tabs>
              <w:overflowPunct w:val="0"/>
              <w:adjustRightInd/>
              <w:spacing w:line="240" w:lineRule="auto"/>
              <w:ind w:firstLine="0" w:firstLineChars="0"/>
              <w:jc w:val="left"/>
              <w:textAlignment w:val="baseline"/>
              <w:rPr>
                <w:rFonts w:ascii="Times New Roman" w:hAnsi="Times New Roman" w:cs="Times New Roman"/>
                <w:sz w:val="18"/>
                <w:szCs w:val="18"/>
              </w:rPr>
            </w:pPr>
            <w:r>
              <w:rPr>
                <w:rFonts w:ascii="Times New Roman" w:hAnsi="Times New Roman" w:cs="Times New Roman"/>
                <w:sz w:val="18"/>
                <w:szCs w:val="18"/>
              </w:rPr>
              <w:t>注：以</w:t>
            </w:r>
            <w:r>
              <w:rPr>
                <w:rFonts w:hint="eastAsia" w:ascii="Times New Roman" w:hAnsi="Times New Roman" w:cs="Times New Roman"/>
                <w:sz w:val="18"/>
                <w:szCs w:val="18"/>
              </w:rPr>
              <w:t>厂区</w:t>
            </w:r>
            <w:r>
              <w:rPr>
                <w:rFonts w:ascii="Times New Roman" w:hAnsi="Times New Roman" w:cs="Times New Roman"/>
                <w:sz w:val="18"/>
                <w:szCs w:val="18"/>
              </w:rPr>
              <w:t>西南厂界作为坐标原点（0，0）。</w:t>
            </w:r>
          </w:p>
        </w:tc>
      </w:tr>
    </w:tbl>
    <w:p>
      <w:pPr>
        <w:overflowPunct w:val="0"/>
        <w:autoSpaceDE w:val="0"/>
        <w:autoSpaceDN w:val="0"/>
        <w:adjustRightInd/>
        <w:snapToGrid/>
        <w:ind w:firstLine="480"/>
        <w:textAlignment w:val="baseline"/>
        <w:rPr>
          <w:rFonts w:ascii="Times New Roman" w:hAnsi="Times New Roman" w:cs="Times New Roman"/>
          <w:szCs w:val="24"/>
          <w:lang w:val="zh-CN"/>
        </w:rPr>
      </w:pPr>
      <w:r>
        <w:rPr>
          <w:rFonts w:ascii="Times New Roman" w:hAnsi="Times New Roman" w:cs="Times New Roman"/>
          <w:szCs w:val="24"/>
          <w:lang w:val="zh-CN"/>
        </w:rPr>
        <w:t>2、网格点</w:t>
      </w:r>
    </w:p>
    <w:p>
      <w:pPr>
        <w:overflowPunct w:val="0"/>
        <w:autoSpaceDE w:val="0"/>
        <w:autoSpaceDN w:val="0"/>
        <w:adjustRightInd/>
        <w:snapToGrid/>
        <w:ind w:firstLine="480"/>
        <w:textAlignment w:val="baseline"/>
        <w:rPr>
          <w:rFonts w:ascii="Times New Roman" w:hAnsi="Times New Roman" w:cs="Times New Roman"/>
          <w:szCs w:val="24"/>
          <w:lang w:val="zh-CN"/>
        </w:rPr>
      </w:pPr>
      <w:r>
        <w:rPr>
          <w:rFonts w:ascii="Times New Roman" w:hAnsi="Times New Roman" w:cs="Times New Roman"/>
          <w:szCs w:val="24"/>
          <w:lang w:val="zh-CN"/>
        </w:rPr>
        <w:t>网格点覆盖整个评价范围，采用直角坐标网格进行预测，预测网格点的网格距为50m，合计10222个计算点。</w:t>
      </w:r>
    </w:p>
    <w:p>
      <w:pPr>
        <w:keepNext/>
        <w:keepLines/>
        <w:tabs>
          <w:tab w:val="left" w:pos="432"/>
          <w:tab w:val="left" w:pos="1146"/>
        </w:tabs>
        <w:adjustRightInd/>
        <w:snapToGrid/>
        <w:spacing w:beforeAutospacing="1" w:afterAutospacing="1" w:line="240" w:lineRule="auto"/>
        <w:ind w:firstLine="0" w:firstLineChars="0"/>
        <w:outlineLvl w:val="2"/>
        <w:rPr>
          <w:rFonts w:ascii="Times New Roman" w:hAnsi="Times New Roman" w:cs="Times New Roman"/>
          <w:b/>
          <w:bCs/>
          <w:szCs w:val="24"/>
        </w:rPr>
      </w:pPr>
      <w:bookmarkStart w:id="410" w:name="_Toc102984370"/>
      <w:bookmarkStart w:id="411" w:name="_Toc104733403"/>
      <w:r>
        <w:rPr>
          <w:rFonts w:ascii="Times New Roman" w:hAnsi="Times New Roman" w:cs="Times New Roman"/>
          <w:b/>
          <w:bCs/>
          <w:szCs w:val="24"/>
        </w:rPr>
        <w:t>5.2.7评价基准年（2021年）全年气象条件下大气环境影响预测与评价</w:t>
      </w:r>
    </w:p>
    <w:p>
      <w:pPr>
        <w:tabs>
          <w:tab w:val="left" w:pos="567"/>
        </w:tabs>
        <w:adjustRightInd/>
        <w:ind w:firstLine="482"/>
        <w:rPr>
          <w:rFonts w:ascii="Times New Roman" w:hAnsi="Times New Roman" w:cs="Times New Roman"/>
          <w:b/>
          <w:bCs/>
        </w:rPr>
      </w:pPr>
      <w:r>
        <w:rPr>
          <w:rFonts w:ascii="Times New Roman" w:hAnsi="Times New Roman" w:cs="Times New Roman"/>
          <w:b/>
          <w:bCs/>
        </w:rPr>
        <w:t>1、正常排放大气环境影响预测</w:t>
      </w:r>
    </w:p>
    <w:p>
      <w:pPr>
        <w:widowControl/>
        <w:adjustRightInd/>
        <w:ind w:firstLine="480"/>
        <w:jc w:val="left"/>
        <w:rPr>
          <w:rFonts w:ascii="Times New Roman" w:hAnsi="Times New Roman" w:cs="Times New Roman"/>
          <w:szCs w:val="20"/>
        </w:rPr>
      </w:pPr>
      <w:r>
        <w:rPr>
          <w:rFonts w:ascii="Times New Roman" w:hAnsi="Times New Roman" w:cs="Times New Roman"/>
        </w:rPr>
        <w:t>（1）非甲烷总烃</w:t>
      </w:r>
      <w:r>
        <w:rPr>
          <w:rFonts w:ascii="Times New Roman" w:hAnsi="Times New Roman" w:cs="Times New Roman"/>
          <w:szCs w:val="20"/>
        </w:rPr>
        <w:t>预测结果与评价</w:t>
      </w:r>
    </w:p>
    <w:p>
      <w:pPr>
        <w:widowControl/>
        <w:adjustRightInd/>
        <w:ind w:firstLine="480"/>
        <w:jc w:val="left"/>
        <w:rPr>
          <w:rFonts w:ascii="Times New Roman" w:hAnsi="Times New Roman" w:cs="Times New Roman"/>
          <w:szCs w:val="20"/>
        </w:rPr>
      </w:pPr>
      <w:r>
        <w:rPr>
          <w:rFonts w:ascii="Times New Roman" w:hAnsi="Times New Roman" w:cs="Times New Roman"/>
          <w:szCs w:val="20"/>
        </w:rPr>
        <w:t>本项目污染源非甲烷总烃对环境空气保护目标及区域最大浓度点的小时预测贡献浓度值及占标率。结果见下</w:t>
      </w:r>
      <w:r>
        <w:rPr>
          <w:rFonts w:ascii="Times New Roman" w:hAnsi="Times New Roman" w:cs="Times New Roman"/>
          <w:szCs w:val="20"/>
          <w:shd w:val="clear" w:color="auto" w:fill="FFFFFF"/>
        </w:rPr>
        <w:t>表</w:t>
      </w:r>
      <w:r>
        <w:rPr>
          <w:rFonts w:ascii="Times New Roman" w:hAnsi="Times New Roman" w:cs="Times New Roman"/>
          <w:szCs w:val="20"/>
        </w:rPr>
        <w:t>。非甲烷总烃在评价区域内各网格点最大</w:t>
      </w:r>
      <w:r>
        <w:rPr>
          <w:rFonts w:hint="eastAsia" w:ascii="Times New Roman" w:hAnsi="Times New Roman" w:cs="Times New Roman"/>
          <w:szCs w:val="20"/>
        </w:rPr>
        <w:t>1</w:t>
      </w:r>
      <w:r>
        <w:rPr>
          <w:rFonts w:ascii="Times New Roman" w:hAnsi="Times New Roman" w:cs="Times New Roman"/>
          <w:szCs w:val="20"/>
        </w:rPr>
        <w:t>小时平均浓度分布见下图。</w:t>
      </w:r>
    </w:p>
    <w:p>
      <w:pPr>
        <w:pStyle w:val="2461"/>
        <w:overflowPunct w:val="0"/>
        <w:adjustRightInd/>
        <w:snapToGrid/>
        <w:spacing w:line="240" w:lineRule="auto"/>
        <w:ind w:firstLine="0" w:firstLineChars="0"/>
        <w:rPr>
          <w:rFonts w:eastAsia="宋体" w:cs="Times New Roman"/>
          <w:color w:val="auto"/>
          <w:sz w:val="21"/>
          <w:szCs w:val="21"/>
        </w:rPr>
      </w:pPr>
      <w:r>
        <w:rPr>
          <w:rFonts w:eastAsia="宋体" w:cs="Times New Roman"/>
          <w:color w:val="auto"/>
          <w:sz w:val="21"/>
          <w:szCs w:val="21"/>
        </w:rPr>
        <w:t>表5.2-15  非甲烷总烃最大</w:t>
      </w:r>
      <w:r>
        <w:rPr>
          <w:rFonts w:hint="eastAsia" w:eastAsia="宋体" w:cs="Times New Roman"/>
          <w:color w:val="auto"/>
          <w:sz w:val="21"/>
          <w:szCs w:val="21"/>
        </w:rPr>
        <w:t>1</w:t>
      </w:r>
      <w:r>
        <w:rPr>
          <w:rFonts w:eastAsia="宋体" w:cs="Times New Roman"/>
          <w:color w:val="auto"/>
          <w:sz w:val="21"/>
          <w:szCs w:val="21"/>
        </w:rPr>
        <w:t>小时环境影响预测结果一览表</w:t>
      </w:r>
    </w:p>
    <w:tbl>
      <w:tblPr>
        <w:tblStyle w:val="62"/>
        <w:tblW w:w="863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59"/>
        <w:gridCol w:w="2077"/>
        <w:gridCol w:w="1151"/>
        <w:gridCol w:w="1584"/>
        <w:gridCol w:w="1439"/>
        <w:gridCol w:w="931"/>
        <w:gridCol w:w="89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8" w:hRule="atLeast"/>
          <w:jc w:val="center"/>
        </w:trPr>
        <w:tc>
          <w:tcPr>
            <w:tcW w:w="55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序号</w:t>
            </w:r>
          </w:p>
        </w:tc>
        <w:tc>
          <w:tcPr>
            <w:tcW w:w="207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预测点</w:t>
            </w:r>
          </w:p>
        </w:tc>
        <w:tc>
          <w:tcPr>
            <w:tcW w:w="1151"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平均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时段</w:t>
            </w:r>
          </w:p>
        </w:tc>
        <w:tc>
          <w:tcPr>
            <w:tcW w:w="1584"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最大贡献值</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（μg/m</w:t>
            </w:r>
            <w:r>
              <w:rPr>
                <w:rFonts w:ascii="Times New Roman" w:hAnsi="Times New Roman" w:cs="Times New Roman"/>
                <w:sz w:val="18"/>
                <w:szCs w:val="18"/>
                <w:vertAlign w:val="superscript"/>
              </w:rPr>
              <w:t>3</w:t>
            </w:r>
            <w:r>
              <w:rPr>
                <w:rFonts w:ascii="Times New Roman" w:hAnsi="Times New Roman" w:cs="Times New Roman"/>
                <w:sz w:val="18"/>
                <w:szCs w:val="18"/>
              </w:rPr>
              <w:t>）</w:t>
            </w:r>
          </w:p>
        </w:tc>
        <w:tc>
          <w:tcPr>
            <w:tcW w:w="143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出现时间</w:t>
            </w:r>
          </w:p>
        </w:tc>
        <w:tc>
          <w:tcPr>
            <w:tcW w:w="931"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占标率（%）</w:t>
            </w:r>
          </w:p>
        </w:tc>
        <w:tc>
          <w:tcPr>
            <w:tcW w:w="892"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达标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 w:hRule="atLeast"/>
          <w:jc w:val="center"/>
        </w:trPr>
        <w:tc>
          <w:tcPr>
            <w:tcW w:w="55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w:t>
            </w:r>
          </w:p>
        </w:tc>
        <w:tc>
          <w:tcPr>
            <w:tcW w:w="207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循环园管委会</w:t>
            </w:r>
          </w:p>
        </w:tc>
        <w:tc>
          <w:tcPr>
            <w:tcW w:w="11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8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100.9214</w:t>
            </w:r>
          </w:p>
        </w:tc>
        <w:tc>
          <w:tcPr>
            <w:tcW w:w="143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21051701</w:t>
            </w:r>
          </w:p>
        </w:tc>
        <w:tc>
          <w:tcPr>
            <w:tcW w:w="93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5.05</w:t>
            </w:r>
          </w:p>
        </w:tc>
        <w:tc>
          <w:tcPr>
            <w:tcW w:w="89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55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w:t>
            </w:r>
          </w:p>
        </w:tc>
        <w:tc>
          <w:tcPr>
            <w:tcW w:w="207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金庵村</w:t>
            </w:r>
          </w:p>
        </w:tc>
        <w:tc>
          <w:tcPr>
            <w:tcW w:w="11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8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241.1710</w:t>
            </w:r>
          </w:p>
        </w:tc>
        <w:tc>
          <w:tcPr>
            <w:tcW w:w="143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21061907</w:t>
            </w:r>
          </w:p>
        </w:tc>
        <w:tc>
          <w:tcPr>
            <w:tcW w:w="93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12.06</w:t>
            </w:r>
          </w:p>
        </w:tc>
        <w:tc>
          <w:tcPr>
            <w:tcW w:w="89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55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3</w:t>
            </w:r>
          </w:p>
        </w:tc>
        <w:tc>
          <w:tcPr>
            <w:tcW w:w="207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邓基</w:t>
            </w:r>
          </w:p>
        </w:tc>
        <w:tc>
          <w:tcPr>
            <w:tcW w:w="11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8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266.8591</w:t>
            </w:r>
          </w:p>
        </w:tc>
        <w:tc>
          <w:tcPr>
            <w:tcW w:w="143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21120509</w:t>
            </w:r>
          </w:p>
        </w:tc>
        <w:tc>
          <w:tcPr>
            <w:tcW w:w="93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13.34</w:t>
            </w:r>
          </w:p>
        </w:tc>
        <w:tc>
          <w:tcPr>
            <w:tcW w:w="89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5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4</w:t>
            </w:r>
          </w:p>
        </w:tc>
        <w:tc>
          <w:tcPr>
            <w:tcW w:w="207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上张村</w:t>
            </w:r>
          </w:p>
        </w:tc>
        <w:tc>
          <w:tcPr>
            <w:tcW w:w="11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8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343.6354</w:t>
            </w:r>
          </w:p>
        </w:tc>
        <w:tc>
          <w:tcPr>
            <w:tcW w:w="143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21043007</w:t>
            </w:r>
          </w:p>
        </w:tc>
        <w:tc>
          <w:tcPr>
            <w:tcW w:w="93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17.18</w:t>
            </w:r>
          </w:p>
        </w:tc>
        <w:tc>
          <w:tcPr>
            <w:tcW w:w="89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55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5</w:t>
            </w:r>
          </w:p>
        </w:tc>
        <w:tc>
          <w:tcPr>
            <w:tcW w:w="207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周大小郢</w:t>
            </w:r>
          </w:p>
        </w:tc>
        <w:tc>
          <w:tcPr>
            <w:tcW w:w="11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8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216.2094</w:t>
            </w:r>
          </w:p>
        </w:tc>
        <w:tc>
          <w:tcPr>
            <w:tcW w:w="143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21050707</w:t>
            </w:r>
          </w:p>
        </w:tc>
        <w:tc>
          <w:tcPr>
            <w:tcW w:w="93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10.81</w:t>
            </w:r>
          </w:p>
        </w:tc>
        <w:tc>
          <w:tcPr>
            <w:tcW w:w="89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9" w:hRule="atLeast"/>
          <w:jc w:val="center"/>
        </w:trPr>
        <w:tc>
          <w:tcPr>
            <w:tcW w:w="55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6</w:t>
            </w:r>
          </w:p>
        </w:tc>
        <w:tc>
          <w:tcPr>
            <w:tcW w:w="207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撮镇安置小区</w:t>
            </w:r>
          </w:p>
        </w:tc>
        <w:tc>
          <w:tcPr>
            <w:tcW w:w="11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8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135.4179</w:t>
            </w:r>
          </w:p>
        </w:tc>
        <w:tc>
          <w:tcPr>
            <w:tcW w:w="143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21061107</w:t>
            </w:r>
          </w:p>
        </w:tc>
        <w:tc>
          <w:tcPr>
            <w:tcW w:w="93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6.77</w:t>
            </w:r>
          </w:p>
        </w:tc>
        <w:tc>
          <w:tcPr>
            <w:tcW w:w="89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1" w:hRule="atLeast"/>
          <w:jc w:val="center"/>
        </w:trPr>
        <w:tc>
          <w:tcPr>
            <w:tcW w:w="55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w:t>
            </w:r>
          </w:p>
        </w:tc>
        <w:tc>
          <w:tcPr>
            <w:tcW w:w="207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大姚</w:t>
            </w:r>
            <w:r>
              <w:rPr>
                <w:rFonts w:ascii="Times New Roman" w:hAnsi="Times New Roman" w:cs="Times New Roman"/>
                <w:sz w:val="18"/>
                <w:szCs w:val="18"/>
              </w:rPr>
              <w:t>村</w:t>
            </w:r>
          </w:p>
        </w:tc>
        <w:tc>
          <w:tcPr>
            <w:tcW w:w="11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8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207.2906</w:t>
            </w:r>
          </w:p>
        </w:tc>
        <w:tc>
          <w:tcPr>
            <w:tcW w:w="143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21051905</w:t>
            </w:r>
          </w:p>
        </w:tc>
        <w:tc>
          <w:tcPr>
            <w:tcW w:w="93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10.36</w:t>
            </w:r>
          </w:p>
        </w:tc>
        <w:tc>
          <w:tcPr>
            <w:tcW w:w="89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1" w:hRule="atLeast"/>
          <w:jc w:val="center"/>
        </w:trPr>
        <w:tc>
          <w:tcPr>
            <w:tcW w:w="559"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8</w:t>
            </w:r>
          </w:p>
        </w:tc>
        <w:tc>
          <w:tcPr>
            <w:tcW w:w="207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三联护理学院</w:t>
            </w:r>
          </w:p>
        </w:tc>
        <w:tc>
          <w:tcPr>
            <w:tcW w:w="11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8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315.2634</w:t>
            </w:r>
          </w:p>
        </w:tc>
        <w:tc>
          <w:tcPr>
            <w:tcW w:w="143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21123009</w:t>
            </w:r>
          </w:p>
        </w:tc>
        <w:tc>
          <w:tcPr>
            <w:tcW w:w="93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15.76</w:t>
            </w:r>
          </w:p>
        </w:tc>
        <w:tc>
          <w:tcPr>
            <w:tcW w:w="89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1" w:hRule="atLeast"/>
          <w:jc w:val="center"/>
        </w:trPr>
        <w:tc>
          <w:tcPr>
            <w:tcW w:w="559"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9</w:t>
            </w:r>
          </w:p>
        </w:tc>
        <w:tc>
          <w:tcPr>
            <w:tcW w:w="207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先锋小区</w:t>
            </w:r>
          </w:p>
        </w:tc>
        <w:tc>
          <w:tcPr>
            <w:tcW w:w="11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8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58.5734</w:t>
            </w:r>
          </w:p>
        </w:tc>
        <w:tc>
          <w:tcPr>
            <w:tcW w:w="143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w:t>
            </w:r>
            <w:r>
              <w:rPr>
                <w:rFonts w:ascii="Times New Roman" w:hAnsi="Times New Roman" w:cs="Times New Roman"/>
                <w:sz w:val="18"/>
                <w:szCs w:val="18"/>
              </w:rPr>
              <w:t>1060807</w:t>
            </w:r>
          </w:p>
        </w:tc>
        <w:tc>
          <w:tcPr>
            <w:tcW w:w="93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7.93</w:t>
            </w:r>
          </w:p>
        </w:tc>
        <w:tc>
          <w:tcPr>
            <w:tcW w:w="89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5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8</w:t>
            </w:r>
          </w:p>
        </w:tc>
        <w:tc>
          <w:tcPr>
            <w:tcW w:w="207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网格</w:t>
            </w:r>
          </w:p>
        </w:tc>
        <w:tc>
          <w:tcPr>
            <w:tcW w:w="11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8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8</w:t>
            </w:r>
            <w:r>
              <w:rPr>
                <w:rFonts w:ascii="Times New Roman" w:hAnsi="Times New Roman" w:cs="Times New Roman"/>
                <w:sz w:val="18"/>
                <w:szCs w:val="18"/>
              </w:rPr>
              <w:t>43.3541</w:t>
            </w:r>
          </w:p>
        </w:tc>
        <w:tc>
          <w:tcPr>
            <w:tcW w:w="143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w:t>
            </w:r>
            <w:r>
              <w:rPr>
                <w:rFonts w:ascii="Times New Roman" w:hAnsi="Times New Roman" w:cs="Times New Roman"/>
                <w:sz w:val="18"/>
                <w:szCs w:val="18"/>
              </w:rPr>
              <w:t>1102708</w:t>
            </w:r>
          </w:p>
        </w:tc>
        <w:tc>
          <w:tcPr>
            <w:tcW w:w="93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2.16</w:t>
            </w:r>
          </w:p>
        </w:tc>
        <w:tc>
          <w:tcPr>
            <w:tcW w:w="89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bl>
    <w:p>
      <w:pPr>
        <w:adjustRightInd/>
        <w:snapToGrid/>
        <w:spacing w:line="480" w:lineRule="exact"/>
        <w:ind w:firstLine="480"/>
        <w:rPr>
          <w:rFonts w:ascii="Times New Roman" w:hAnsi="Times New Roman" w:cs="Times New Roman"/>
          <w:kern w:val="0"/>
          <w:szCs w:val="20"/>
        </w:rPr>
      </w:pPr>
      <w:r>
        <w:rPr>
          <w:rFonts w:ascii="Times New Roman" w:hAnsi="Times New Roman" w:cs="Times New Roman"/>
          <w:kern w:val="0"/>
          <w:szCs w:val="20"/>
        </w:rPr>
        <w:t>从</w:t>
      </w:r>
      <w:r>
        <w:rPr>
          <w:rFonts w:ascii="Times New Roman" w:hAnsi="Times New Roman" w:cs="Times New Roman"/>
          <w:szCs w:val="20"/>
          <w:shd w:val="clear" w:color="auto" w:fill="FFFFFF"/>
        </w:rPr>
        <w:t>表5.2-15</w:t>
      </w:r>
      <w:r>
        <w:rPr>
          <w:rFonts w:ascii="Times New Roman" w:hAnsi="Times New Roman" w:cs="Times New Roman"/>
          <w:kern w:val="0"/>
          <w:szCs w:val="20"/>
        </w:rPr>
        <w:t>预测结果可知，本项目污染源排放的</w:t>
      </w:r>
      <w:r>
        <w:rPr>
          <w:rFonts w:ascii="Times New Roman" w:hAnsi="Times New Roman" w:cs="Times New Roman"/>
          <w:szCs w:val="20"/>
        </w:rPr>
        <w:t>非甲烷总烃</w:t>
      </w:r>
      <w:r>
        <w:rPr>
          <w:rFonts w:ascii="Times New Roman" w:hAnsi="Times New Roman" w:cs="Times New Roman"/>
          <w:kern w:val="0"/>
          <w:szCs w:val="20"/>
        </w:rPr>
        <w:t>对评价区域内各环境敏感点的小时平均浓度贡献值范围在100.9214</w:t>
      </w:r>
      <w:r>
        <w:rPr>
          <w:rFonts w:ascii="Times New Roman" w:hAnsi="Times New Roman" w:cs="Times New Roman"/>
          <w:szCs w:val="20"/>
        </w:rPr>
        <w:t>μ</w:t>
      </w:r>
      <w:r>
        <w:rPr>
          <w:rFonts w:ascii="Times New Roman" w:hAnsi="Times New Roman" w:cs="Times New Roman"/>
          <w:kern w:val="0"/>
          <w:szCs w:val="20"/>
        </w:rPr>
        <w:t>g/m</w:t>
      </w:r>
      <w:r>
        <w:rPr>
          <w:rFonts w:ascii="Times New Roman" w:hAnsi="Times New Roman" w:cs="Times New Roman"/>
          <w:kern w:val="0"/>
          <w:szCs w:val="20"/>
          <w:vertAlign w:val="superscript"/>
        </w:rPr>
        <w:t>3</w:t>
      </w:r>
      <w:r>
        <w:rPr>
          <w:rFonts w:ascii="Times New Roman" w:hAnsi="Times New Roman" w:cs="Times New Roman"/>
          <w:kern w:val="0"/>
          <w:szCs w:val="20"/>
        </w:rPr>
        <w:t>~343.6354</w:t>
      </w:r>
      <w:r>
        <w:rPr>
          <w:rFonts w:ascii="Times New Roman" w:hAnsi="Times New Roman" w:cs="Times New Roman"/>
          <w:szCs w:val="20"/>
        </w:rPr>
        <w:t>μ</w:t>
      </w:r>
      <w:r>
        <w:rPr>
          <w:rFonts w:ascii="Times New Roman" w:hAnsi="Times New Roman" w:cs="Times New Roman"/>
          <w:kern w:val="0"/>
          <w:szCs w:val="20"/>
        </w:rPr>
        <w:t>g/m</w:t>
      </w:r>
      <w:r>
        <w:rPr>
          <w:rFonts w:ascii="Times New Roman" w:hAnsi="Times New Roman" w:cs="Times New Roman"/>
          <w:kern w:val="0"/>
          <w:szCs w:val="20"/>
          <w:vertAlign w:val="superscript"/>
        </w:rPr>
        <w:t>3</w:t>
      </w:r>
      <w:r>
        <w:rPr>
          <w:rFonts w:ascii="Times New Roman" w:hAnsi="Times New Roman" w:cs="Times New Roman"/>
          <w:kern w:val="0"/>
          <w:szCs w:val="20"/>
        </w:rPr>
        <w:t>之间，最大占标率为5.05%~17.18%，各敏感点小时平均浓度贡献值均达标；区域最大地面小时平均浓度点贡献值为</w:t>
      </w:r>
      <w:r>
        <w:rPr>
          <w:rFonts w:ascii="Times New Roman" w:hAnsi="Times New Roman" w:cs="Times New Roman"/>
          <w:szCs w:val="20"/>
        </w:rPr>
        <w:t>843.3541μ</w:t>
      </w:r>
      <w:r>
        <w:rPr>
          <w:rFonts w:ascii="Times New Roman" w:hAnsi="Times New Roman" w:cs="Times New Roman"/>
          <w:kern w:val="0"/>
          <w:szCs w:val="20"/>
        </w:rPr>
        <w:t>g/m</w:t>
      </w:r>
      <w:r>
        <w:rPr>
          <w:rFonts w:ascii="Times New Roman" w:hAnsi="Times New Roman" w:cs="Times New Roman"/>
          <w:kern w:val="0"/>
          <w:szCs w:val="20"/>
          <w:vertAlign w:val="superscript"/>
        </w:rPr>
        <w:t>3</w:t>
      </w:r>
      <w:r>
        <w:rPr>
          <w:rFonts w:ascii="Times New Roman" w:hAnsi="Times New Roman" w:cs="Times New Roman"/>
          <w:kern w:val="0"/>
          <w:szCs w:val="20"/>
        </w:rPr>
        <w:t>，占标率为42.16%，所有网格点小时平均浓度均达标。</w:t>
      </w:r>
    </w:p>
    <w:p>
      <w:pPr>
        <w:keepNext/>
        <w:keepLines/>
        <w:numPr>
          <w:ilvl w:val="3"/>
          <w:numId w:val="5"/>
        </w:numPr>
        <w:tabs>
          <w:tab w:val="left" w:pos="432"/>
        </w:tabs>
        <w:adjustRightInd/>
        <w:snapToGrid/>
        <w:spacing w:after="120" w:afterLines="50"/>
        <w:ind w:firstLine="0" w:firstLineChars="0"/>
        <w:outlineLvl w:val="3"/>
        <w:rPr>
          <w:rFonts w:ascii="Times New Roman" w:hAnsi="Times New Roman" w:cs="Times New Roman"/>
          <w:b/>
          <w:bCs/>
          <w:szCs w:val="28"/>
        </w:rPr>
        <w:sectPr>
          <w:pgSz w:w="11907" w:h="16840"/>
          <w:pgMar w:top="1440" w:right="1463" w:bottom="1440" w:left="1463" w:header="851" w:footer="992" w:gutter="0"/>
          <w:pgNumType w:fmt="numberInDash"/>
          <w:cols w:space="720" w:num="1"/>
          <w:docGrid w:linePitch="312" w:charSpace="0"/>
        </w:sectPr>
      </w:pPr>
    </w:p>
    <w:p>
      <w:pPr>
        <w:adjustRightInd/>
        <w:snapToGrid/>
        <w:ind w:left="-3" w:leftChars="-60" w:hanging="141" w:hangingChars="59"/>
        <w:rPr>
          <w:rFonts w:ascii="Times New Roman" w:hAnsi="Times New Roman" w:cs="Times New Roman"/>
          <w:szCs w:val="24"/>
        </w:rPr>
      </w:pPr>
      <w:r>
        <w:drawing>
          <wp:inline distT="0" distB="0" distL="0" distR="0">
            <wp:extent cx="5943600" cy="3796030"/>
            <wp:effectExtent l="0" t="0" r="0" b="0"/>
            <wp:docPr id="92" name="图片 9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true" noChangeArrowheads="true"/>
                    </pic:cNvPicPr>
                  </pic:nvPicPr>
                  <pic:blipFill>
                    <a:blip r:embed="rId171" cstate="hqprint">
                      <a:lum bright="20000" contrast="20000"/>
                    </a:blip>
                    <a:srcRect/>
                    <a:stretch>
                      <a:fillRect/>
                    </a:stretch>
                  </pic:blipFill>
                  <pic:spPr>
                    <a:xfrm>
                      <a:off x="0" y="0"/>
                      <a:ext cx="5943600" cy="3796030"/>
                    </a:xfrm>
                    <a:prstGeom prst="rect">
                      <a:avLst/>
                    </a:prstGeom>
                    <a:noFill/>
                    <a:ln>
                      <a:noFill/>
                    </a:ln>
                  </pic:spPr>
                </pic:pic>
              </a:graphicData>
            </a:graphic>
          </wp:inline>
        </w:drawing>
      </w:r>
    </w:p>
    <w:p>
      <w:pPr>
        <w:adjustRightInd/>
        <w:snapToGrid/>
        <w:spacing w:line="480" w:lineRule="exact"/>
        <w:ind w:firstLine="422"/>
        <w:jc w:val="center"/>
        <w:rPr>
          <w:rFonts w:ascii="Times New Roman" w:hAnsi="Times New Roman" w:cs="Times New Roman"/>
          <w:b/>
          <w:bCs/>
          <w:sz w:val="21"/>
          <w:szCs w:val="21"/>
        </w:rPr>
      </w:pPr>
      <w:r>
        <w:rPr>
          <w:rFonts w:ascii="Times New Roman" w:hAnsi="Times New Roman" w:cs="Times New Roman"/>
          <w:b/>
          <w:bCs/>
          <w:sz w:val="21"/>
          <w:szCs w:val="21"/>
        </w:rPr>
        <w:t>图5.2-3  区域网格点非甲烷总烃小时贡献浓度分布图（单位：μg/m</w:t>
      </w:r>
      <w:r>
        <w:rPr>
          <w:rFonts w:ascii="Times New Roman" w:hAnsi="Times New Roman" w:cs="Times New Roman"/>
          <w:b/>
          <w:bCs/>
          <w:sz w:val="21"/>
          <w:szCs w:val="21"/>
          <w:vertAlign w:val="superscript"/>
        </w:rPr>
        <w:t>3</w:t>
      </w:r>
      <w:r>
        <w:rPr>
          <w:rFonts w:ascii="Times New Roman" w:hAnsi="Times New Roman" w:cs="Times New Roman"/>
          <w:b/>
          <w:bCs/>
          <w:sz w:val="21"/>
          <w:szCs w:val="21"/>
        </w:rPr>
        <w:t>）</w:t>
      </w:r>
    </w:p>
    <w:p>
      <w:pPr>
        <w:widowControl/>
        <w:adjustRightInd/>
        <w:ind w:firstLine="480"/>
        <w:jc w:val="left"/>
        <w:rPr>
          <w:rFonts w:ascii="Times New Roman" w:hAnsi="Times New Roman" w:cs="Times New Roman"/>
          <w:szCs w:val="20"/>
        </w:rPr>
      </w:pPr>
      <w:r>
        <w:rPr>
          <w:rFonts w:ascii="Times New Roman" w:hAnsi="Times New Roman" w:cs="Times New Roman"/>
          <w:szCs w:val="20"/>
        </w:rPr>
        <w:t>（2）</w:t>
      </w:r>
      <w:r>
        <w:rPr>
          <w:rFonts w:hint="eastAsia" w:ascii="Times New Roman" w:hAnsi="Times New Roman" w:cs="Times New Roman"/>
          <w:szCs w:val="20"/>
        </w:rPr>
        <w:t>硫酸雾</w:t>
      </w:r>
      <w:r>
        <w:rPr>
          <w:rFonts w:ascii="Times New Roman" w:hAnsi="Times New Roman" w:cs="Times New Roman"/>
          <w:szCs w:val="20"/>
        </w:rPr>
        <w:t>预测结果与评价</w:t>
      </w:r>
    </w:p>
    <w:p>
      <w:pPr>
        <w:widowControl/>
        <w:adjustRightInd/>
        <w:ind w:firstLine="480"/>
        <w:jc w:val="left"/>
        <w:rPr>
          <w:rFonts w:ascii="Times New Roman" w:hAnsi="Times New Roman" w:cs="Times New Roman"/>
          <w:szCs w:val="20"/>
        </w:rPr>
      </w:pPr>
      <w:r>
        <w:rPr>
          <w:rFonts w:ascii="Times New Roman" w:hAnsi="Times New Roman" w:cs="Times New Roman"/>
          <w:szCs w:val="20"/>
        </w:rPr>
        <w:t>本项目污染源</w:t>
      </w:r>
      <w:r>
        <w:rPr>
          <w:rFonts w:hint="eastAsia" w:ascii="Times New Roman" w:hAnsi="Times New Roman" w:cs="Times New Roman"/>
          <w:szCs w:val="20"/>
        </w:rPr>
        <w:t>硫酸雾</w:t>
      </w:r>
      <w:r>
        <w:rPr>
          <w:rFonts w:ascii="Times New Roman" w:hAnsi="Times New Roman" w:cs="Times New Roman"/>
          <w:szCs w:val="20"/>
        </w:rPr>
        <w:t>对环境空气保护目标及区域最大浓度点的预测</w:t>
      </w:r>
      <w:r>
        <w:rPr>
          <w:rFonts w:hint="eastAsia" w:ascii="Times New Roman" w:hAnsi="Times New Roman" w:cs="Times New Roman"/>
          <w:szCs w:val="20"/>
        </w:rPr>
        <w:t>1</w:t>
      </w:r>
      <w:r>
        <w:rPr>
          <w:rFonts w:ascii="Times New Roman" w:hAnsi="Times New Roman" w:cs="Times New Roman"/>
          <w:szCs w:val="20"/>
        </w:rPr>
        <w:t>小时</w:t>
      </w:r>
      <w:r>
        <w:rPr>
          <w:rFonts w:hint="eastAsia" w:ascii="Times New Roman" w:hAnsi="Times New Roman" w:cs="Times New Roman"/>
          <w:szCs w:val="20"/>
        </w:rPr>
        <w:t>和2</w:t>
      </w:r>
      <w:r>
        <w:rPr>
          <w:rFonts w:ascii="Times New Roman" w:hAnsi="Times New Roman" w:cs="Times New Roman"/>
          <w:szCs w:val="20"/>
        </w:rPr>
        <w:t>4</w:t>
      </w:r>
      <w:r>
        <w:rPr>
          <w:rFonts w:hint="eastAsia" w:ascii="Times New Roman" w:hAnsi="Times New Roman" w:cs="Times New Roman"/>
          <w:szCs w:val="20"/>
        </w:rPr>
        <w:t>小时均值</w:t>
      </w:r>
      <w:r>
        <w:rPr>
          <w:rFonts w:ascii="Times New Roman" w:hAnsi="Times New Roman" w:cs="Times New Roman"/>
          <w:szCs w:val="20"/>
        </w:rPr>
        <w:t>贡献浓度值及占标率。结果见下</w:t>
      </w:r>
      <w:r>
        <w:rPr>
          <w:rFonts w:ascii="Times New Roman" w:hAnsi="Times New Roman" w:cs="Times New Roman"/>
          <w:szCs w:val="20"/>
          <w:shd w:val="clear" w:color="auto" w:fill="FFFFFF"/>
        </w:rPr>
        <w:t>表</w:t>
      </w:r>
      <w:r>
        <w:rPr>
          <w:rFonts w:hint="eastAsia" w:ascii="Times New Roman" w:hAnsi="Times New Roman" w:cs="Times New Roman"/>
          <w:szCs w:val="20"/>
        </w:rPr>
        <w:t>硫酸雾</w:t>
      </w:r>
      <w:r>
        <w:rPr>
          <w:rFonts w:ascii="Times New Roman" w:hAnsi="Times New Roman" w:cs="Times New Roman"/>
          <w:szCs w:val="20"/>
        </w:rPr>
        <w:t>在评价区域内各网格点最大小时浓度分布见下图。</w:t>
      </w:r>
    </w:p>
    <w:p>
      <w:pPr>
        <w:pStyle w:val="2461"/>
        <w:overflowPunct w:val="0"/>
        <w:adjustRightInd/>
        <w:snapToGrid/>
        <w:spacing w:line="240" w:lineRule="auto"/>
        <w:ind w:firstLine="0" w:firstLineChars="0"/>
        <w:rPr>
          <w:rFonts w:eastAsia="宋体" w:cs="Times New Roman"/>
          <w:color w:val="auto"/>
          <w:sz w:val="21"/>
          <w:szCs w:val="21"/>
        </w:rPr>
      </w:pPr>
      <w:r>
        <w:rPr>
          <w:rFonts w:eastAsia="宋体" w:cs="Times New Roman"/>
          <w:color w:val="auto"/>
          <w:sz w:val="21"/>
          <w:szCs w:val="21"/>
        </w:rPr>
        <w:t xml:space="preserve">表5.2-16  </w:t>
      </w:r>
      <w:r>
        <w:rPr>
          <w:rFonts w:hint="eastAsia" w:eastAsia="宋体" w:cs="Times New Roman"/>
          <w:color w:val="auto"/>
          <w:sz w:val="21"/>
          <w:szCs w:val="21"/>
        </w:rPr>
        <w:t>硫酸雾</w:t>
      </w:r>
      <w:r>
        <w:rPr>
          <w:rFonts w:eastAsia="宋体" w:cs="Times New Roman"/>
          <w:color w:val="auto"/>
          <w:sz w:val="21"/>
          <w:szCs w:val="21"/>
        </w:rPr>
        <w:t>最大</w:t>
      </w:r>
      <w:r>
        <w:rPr>
          <w:rFonts w:hint="eastAsia" w:eastAsia="宋体" w:cs="Times New Roman"/>
          <w:color w:val="auto"/>
          <w:sz w:val="21"/>
          <w:szCs w:val="21"/>
        </w:rPr>
        <w:t>1</w:t>
      </w:r>
      <w:r>
        <w:rPr>
          <w:rFonts w:eastAsia="宋体" w:cs="Times New Roman"/>
          <w:color w:val="auto"/>
          <w:sz w:val="21"/>
          <w:szCs w:val="21"/>
        </w:rPr>
        <w:t>小时浓度环境影响预测结果一览表</w:t>
      </w:r>
    </w:p>
    <w:tbl>
      <w:tblPr>
        <w:tblStyle w:val="62"/>
        <w:tblW w:w="9080"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87"/>
        <w:gridCol w:w="2185"/>
        <w:gridCol w:w="1211"/>
        <w:gridCol w:w="1666"/>
        <w:gridCol w:w="1514"/>
        <w:gridCol w:w="979"/>
        <w:gridCol w:w="93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1"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序号</w:t>
            </w:r>
          </w:p>
        </w:tc>
        <w:tc>
          <w:tcPr>
            <w:tcW w:w="218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预测点</w:t>
            </w:r>
          </w:p>
        </w:tc>
        <w:tc>
          <w:tcPr>
            <w:tcW w:w="1211"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平均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时段</w:t>
            </w:r>
          </w:p>
        </w:tc>
        <w:tc>
          <w:tcPr>
            <w:tcW w:w="1666"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最大贡献值</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（μg/m</w:t>
            </w:r>
            <w:r>
              <w:rPr>
                <w:rFonts w:ascii="Times New Roman" w:hAnsi="Times New Roman" w:cs="Times New Roman"/>
                <w:sz w:val="18"/>
                <w:szCs w:val="18"/>
                <w:vertAlign w:val="superscript"/>
              </w:rPr>
              <w:t>3</w:t>
            </w:r>
            <w:r>
              <w:rPr>
                <w:rFonts w:ascii="Times New Roman" w:hAnsi="Times New Roman" w:cs="Times New Roman"/>
                <w:sz w:val="18"/>
                <w:szCs w:val="18"/>
              </w:rPr>
              <w:t>）</w:t>
            </w:r>
          </w:p>
        </w:tc>
        <w:tc>
          <w:tcPr>
            <w:tcW w:w="1514"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出现时间</w:t>
            </w:r>
          </w:p>
        </w:tc>
        <w:tc>
          <w:tcPr>
            <w:tcW w:w="97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占标率（%）</w:t>
            </w:r>
          </w:p>
        </w:tc>
        <w:tc>
          <w:tcPr>
            <w:tcW w:w="938"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达标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循环园管委会</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1.2681</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21051701</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0.42</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金庵村</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1.3050</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21090706</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0.43</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8"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3</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邓基</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1.5188</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21081607</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0.51</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4</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上张村</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1.1172</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21073007</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0.37</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5</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周大小郢</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1.0242</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21121309</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0.34</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6</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撮镇安置小区</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0.8937</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21060322</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0.30</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06"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大姚</w:t>
            </w:r>
            <w:r>
              <w:rPr>
                <w:rFonts w:ascii="Times New Roman" w:hAnsi="Times New Roman" w:cs="Times New Roman"/>
                <w:sz w:val="18"/>
                <w:szCs w:val="18"/>
              </w:rPr>
              <w:t>村</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0.9769</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21070201</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0.33</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6"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8</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三联护理学院</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0.9964</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21080124</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0.33</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6"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9</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先锋小区</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0.8965</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21121917</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0.30</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8</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网格</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11.5017</w:t>
            </w:r>
          </w:p>
        </w:tc>
        <w:tc>
          <w:tcPr>
            <w:tcW w:w="151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w:t>
            </w:r>
            <w:r>
              <w:rPr>
                <w:rFonts w:ascii="Times New Roman" w:hAnsi="Times New Roman" w:cs="Times New Roman"/>
                <w:sz w:val="18"/>
                <w:szCs w:val="18"/>
              </w:rPr>
              <w:t>1061007</w:t>
            </w:r>
          </w:p>
        </w:tc>
        <w:tc>
          <w:tcPr>
            <w:tcW w:w="97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3.83</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bl>
    <w:p>
      <w:pPr>
        <w:adjustRightInd/>
        <w:snapToGrid/>
        <w:spacing w:line="480" w:lineRule="exact"/>
        <w:ind w:firstLine="480"/>
        <w:rPr>
          <w:rFonts w:ascii="Times New Roman" w:hAnsi="Times New Roman" w:cs="Times New Roman"/>
          <w:szCs w:val="24"/>
        </w:rPr>
      </w:pPr>
      <w:r>
        <w:rPr>
          <w:rFonts w:ascii="Times New Roman" w:hAnsi="Times New Roman" w:cs="Times New Roman"/>
          <w:szCs w:val="24"/>
        </w:rPr>
        <w:t>从表5.2-16预测结果可知，本项目污染源排放的</w:t>
      </w:r>
      <w:r>
        <w:rPr>
          <w:rFonts w:hint="eastAsia" w:ascii="Times New Roman" w:hAnsi="Times New Roman" w:cs="Times New Roman"/>
          <w:szCs w:val="20"/>
        </w:rPr>
        <w:t>硫酸雾</w:t>
      </w:r>
      <w:r>
        <w:rPr>
          <w:rFonts w:ascii="Times New Roman" w:hAnsi="Times New Roman" w:cs="Times New Roman"/>
          <w:szCs w:val="24"/>
        </w:rPr>
        <w:t>对评价区域内各环境敏感点的小时浓度贡献值范围在0.8937μg/m</w:t>
      </w:r>
      <w:r>
        <w:rPr>
          <w:rFonts w:ascii="Times New Roman" w:hAnsi="Times New Roman" w:cs="Times New Roman"/>
          <w:szCs w:val="24"/>
          <w:vertAlign w:val="superscript"/>
        </w:rPr>
        <w:t>3</w:t>
      </w:r>
      <w:r>
        <w:rPr>
          <w:rFonts w:ascii="Times New Roman" w:hAnsi="Times New Roman" w:cs="Times New Roman"/>
          <w:szCs w:val="24"/>
        </w:rPr>
        <w:t>~1.5188μg/m</w:t>
      </w:r>
      <w:r>
        <w:rPr>
          <w:rFonts w:ascii="Times New Roman" w:hAnsi="Times New Roman" w:cs="Times New Roman"/>
          <w:szCs w:val="24"/>
          <w:vertAlign w:val="superscript"/>
        </w:rPr>
        <w:t>3</w:t>
      </w:r>
      <w:r>
        <w:rPr>
          <w:rFonts w:ascii="Times New Roman" w:hAnsi="Times New Roman" w:cs="Times New Roman"/>
          <w:szCs w:val="24"/>
        </w:rPr>
        <w:t>之间，最大占标率为0.51%，各敏感点小时浓度贡献值均达标；区域最大地面小时浓度点贡献值为11.5017μg/m</w:t>
      </w:r>
      <w:r>
        <w:rPr>
          <w:rFonts w:ascii="Times New Roman" w:hAnsi="Times New Roman" w:cs="Times New Roman"/>
          <w:szCs w:val="24"/>
          <w:vertAlign w:val="superscript"/>
        </w:rPr>
        <w:t>3</w:t>
      </w:r>
      <w:r>
        <w:rPr>
          <w:rFonts w:ascii="Times New Roman" w:hAnsi="Times New Roman" w:cs="Times New Roman"/>
          <w:szCs w:val="24"/>
        </w:rPr>
        <w:t>，占标率为3.83%，所有网格点小时平均浓度均达标。</w:t>
      </w:r>
    </w:p>
    <w:p>
      <w:pPr>
        <w:adjustRightInd/>
        <w:snapToGrid/>
        <w:ind w:leftChars="-59" w:hanging="141" w:hangingChars="59"/>
        <w:rPr>
          <w:rFonts w:ascii="Times New Roman" w:hAnsi="Times New Roman" w:cs="Times New Roman"/>
          <w:szCs w:val="24"/>
        </w:rPr>
      </w:pPr>
      <w:r>
        <w:drawing>
          <wp:inline distT="0" distB="0" distL="0" distR="0">
            <wp:extent cx="5932805" cy="3785235"/>
            <wp:effectExtent l="0" t="0" r="0" b="0"/>
            <wp:docPr id="93" name="图片 9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true" noChangeArrowheads="true"/>
                    </pic:cNvPicPr>
                  </pic:nvPicPr>
                  <pic:blipFill>
                    <a:blip r:embed="rId172" cstate="hqprint">
                      <a:lum bright="20000" contrast="20000"/>
                    </a:blip>
                    <a:srcRect/>
                    <a:stretch>
                      <a:fillRect/>
                    </a:stretch>
                  </pic:blipFill>
                  <pic:spPr>
                    <a:xfrm>
                      <a:off x="0" y="0"/>
                      <a:ext cx="5932805" cy="3785235"/>
                    </a:xfrm>
                    <a:prstGeom prst="rect">
                      <a:avLst/>
                    </a:prstGeom>
                    <a:noFill/>
                    <a:ln>
                      <a:noFill/>
                    </a:ln>
                  </pic:spPr>
                </pic:pic>
              </a:graphicData>
            </a:graphic>
          </wp:inline>
        </w:drawing>
      </w:r>
    </w:p>
    <w:p>
      <w:pPr>
        <w:adjustRightInd/>
        <w:snapToGrid/>
        <w:spacing w:line="480" w:lineRule="exact"/>
        <w:ind w:firstLine="422"/>
        <w:jc w:val="center"/>
        <w:rPr>
          <w:rFonts w:ascii="Times New Roman" w:hAnsi="Times New Roman" w:cs="Times New Roman"/>
          <w:b/>
          <w:bCs/>
          <w:sz w:val="21"/>
          <w:szCs w:val="21"/>
        </w:rPr>
      </w:pPr>
      <w:r>
        <w:rPr>
          <w:rFonts w:ascii="Times New Roman" w:hAnsi="Times New Roman" w:cs="Times New Roman"/>
          <w:b/>
          <w:bCs/>
          <w:sz w:val="21"/>
          <w:szCs w:val="21"/>
        </w:rPr>
        <w:t>图5.2-4    区域网格点</w:t>
      </w:r>
      <w:r>
        <w:rPr>
          <w:rFonts w:hint="eastAsia" w:ascii="Times New Roman" w:hAnsi="Times New Roman" w:cs="Times New Roman"/>
          <w:b/>
          <w:bCs/>
          <w:sz w:val="21"/>
          <w:szCs w:val="21"/>
        </w:rPr>
        <w:t>硫酸雾</w:t>
      </w:r>
      <w:r>
        <w:rPr>
          <w:rFonts w:ascii="Times New Roman" w:hAnsi="Times New Roman" w:cs="Times New Roman"/>
          <w:b/>
          <w:bCs/>
          <w:sz w:val="21"/>
          <w:szCs w:val="21"/>
        </w:rPr>
        <w:t>小时贡献浓度分布图（单位：μg/m</w:t>
      </w:r>
      <w:r>
        <w:rPr>
          <w:rFonts w:ascii="Times New Roman" w:hAnsi="Times New Roman" w:cs="Times New Roman"/>
          <w:b/>
          <w:bCs/>
          <w:sz w:val="21"/>
          <w:szCs w:val="21"/>
          <w:vertAlign w:val="superscript"/>
        </w:rPr>
        <w:t>3</w:t>
      </w:r>
      <w:r>
        <w:rPr>
          <w:rFonts w:ascii="Times New Roman" w:hAnsi="Times New Roman" w:cs="Times New Roman"/>
          <w:b/>
          <w:bCs/>
          <w:sz w:val="21"/>
          <w:szCs w:val="21"/>
        </w:rPr>
        <w:t>）</w:t>
      </w:r>
    </w:p>
    <w:p>
      <w:pPr>
        <w:pStyle w:val="2461"/>
        <w:overflowPunct w:val="0"/>
        <w:adjustRightInd/>
        <w:snapToGrid/>
        <w:spacing w:line="240" w:lineRule="auto"/>
        <w:ind w:firstLine="0" w:firstLineChars="0"/>
        <w:rPr>
          <w:rFonts w:eastAsia="宋体" w:cs="Times New Roman"/>
          <w:color w:val="auto"/>
          <w:sz w:val="21"/>
          <w:szCs w:val="21"/>
        </w:rPr>
      </w:pPr>
      <w:r>
        <w:rPr>
          <w:rFonts w:eastAsia="宋体" w:cs="Times New Roman"/>
          <w:color w:val="auto"/>
          <w:sz w:val="21"/>
          <w:szCs w:val="21"/>
        </w:rPr>
        <w:t xml:space="preserve">表5.2-17 </w:t>
      </w:r>
      <w:r>
        <w:rPr>
          <w:rFonts w:hint="eastAsia" w:eastAsia="宋体" w:cs="Times New Roman"/>
          <w:color w:val="auto"/>
          <w:sz w:val="21"/>
          <w:szCs w:val="21"/>
        </w:rPr>
        <w:t>硫酸雾</w:t>
      </w:r>
      <w:r>
        <w:rPr>
          <w:rFonts w:eastAsia="宋体" w:cs="Times New Roman"/>
          <w:color w:val="auto"/>
          <w:sz w:val="21"/>
          <w:szCs w:val="21"/>
        </w:rPr>
        <w:t>最大</w:t>
      </w:r>
      <w:r>
        <w:rPr>
          <w:rFonts w:hint="eastAsia" w:eastAsia="宋体" w:cs="Times New Roman"/>
          <w:color w:val="auto"/>
          <w:sz w:val="21"/>
          <w:szCs w:val="21"/>
        </w:rPr>
        <w:t>2</w:t>
      </w:r>
      <w:r>
        <w:rPr>
          <w:rFonts w:eastAsia="宋体" w:cs="Times New Roman"/>
          <w:color w:val="auto"/>
          <w:sz w:val="21"/>
          <w:szCs w:val="21"/>
        </w:rPr>
        <w:t>4小时</w:t>
      </w:r>
      <w:r>
        <w:rPr>
          <w:rFonts w:hint="eastAsia" w:eastAsia="宋体" w:cs="Times New Roman"/>
          <w:color w:val="auto"/>
          <w:sz w:val="21"/>
          <w:szCs w:val="21"/>
        </w:rPr>
        <w:t>均值</w:t>
      </w:r>
      <w:r>
        <w:rPr>
          <w:rFonts w:eastAsia="宋体" w:cs="Times New Roman"/>
          <w:color w:val="auto"/>
          <w:sz w:val="21"/>
          <w:szCs w:val="21"/>
        </w:rPr>
        <w:t>浓度环境影响预测结果一览表</w:t>
      </w:r>
    </w:p>
    <w:tbl>
      <w:tblPr>
        <w:tblStyle w:val="62"/>
        <w:tblW w:w="9204"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95"/>
        <w:gridCol w:w="2215"/>
        <w:gridCol w:w="1227"/>
        <w:gridCol w:w="1689"/>
        <w:gridCol w:w="1535"/>
        <w:gridCol w:w="992"/>
        <w:gridCol w:w="95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8" w:hRule="atLeast"/>
        </w:trPr>
        <w:tc>
          <w:tcPr>
            <w:tcW w:w="59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序号</w:t>
            </w:r>
          </w:p>
        </w:tc>
        <w:tc>
          <w:tcPr>
            <w:tcW w:w="221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预测点</w:t>
            </w:r>
          </w:p>
        </w:tc>
        <w:tc>
          <w:tcPr>
            <w:tcW w:w="122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平均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时段</w:t>
            </w:r>
          </w:p>
        </w:tc>
        <w:tc>
          <w:tcPr>
            <w:tcW w:w="168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最大贡献值</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（μg/m</w:t>
            </w:r>
            <w:r>
              <w:rPr>
                <w:rFonts w:ascii="Times New Roman" w:hAnsi="Times New Roman" w:cs="Times New Roman"/>
                <w:sz w:val="18"/>
                <w:szCs w:val="18"/>
                <w:vertAlign w:val="superscript"/>
              </w:rPr>
              <w:t>3</w:t>
            </w:r>
            <w:r>
              <w:rPr>
                <w:rFonts w:ascii="Times New Roman" w:hAnsi="Times New Roman" w:cs="Times New Roman"/>
                <w:sz w:val="18"/>
                <w:szCs w:val="18"/>
              </w:rPr>
              <w:t>）</w:t>
            </w:r>
          </w:p>
        </w:tc>
        <w:tc>
          <w:tcPr>
            <w:tcW w:w="153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出现时间</w:t>
            </w:r>
          </w:p>
        </w:tc>
        <w:tc>
          <w:tcPr>
            <w:tcW w:w="992"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占标率（%）</w:t>
            </w:r>
          </w:p>
        </w:tc>
        <w:tc>
          <w:tcPr>
            <w:tcW w:w="951"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达标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1" w:hRule="atLeast"/>
        </w:trPr>
        <w:tc>
          <w:tcPr>
            <w:tcW w:w="59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w:t>
            </w:r>
          </w:p>
        </w:tc>
        <w:tc>
          <w:tcPr>
            <w:tcW w:w="221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循环园管委会</w:t>
            </w:r>
          </w:p>
        </w:tc>
        <w:tc>
          <w:tcPr>
            <w:tcW w:w="122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8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0.1460</w:t>
            </w:r>
          </w:p>
        </w:tc>
        <w:tc>
          <w:tcPr>
            <w:tcW w:w="153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210517</w:t>
            </w:r>
          </w:p>
        </w:tc>
        <w:tc>
          <w:tcPr>
            <w:tcW w:w="992"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0.15</w:t>
            </w:r>
          </w:p>
        </w:tc>
        <w:tc>
          <w:tcPr>
            <w:tcW w:w="9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9" w:hRule="atLeast"/>
        </w:trPr>
        <w:tc>
          <w:tcPr>
            <w:tcW w:w="59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w:t>
            </w:r>
          </w:p>
        </w:tc>
        <w:tc>
          <w:tcPr>
            <w:tcW w:w="221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金庵村</w:t>
            </w:r>
          </w:p>
        </w:tc>
        <w:tc>
          <w:tcPr>
            <w:tcW w:w="122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8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0.1118</w:t>
            </w:r>
          </w:p>
        </w:tc>
        <w:tc>
          <w:tcPr>
            <w:tcW w:w="153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210907</w:t>
            </w:r>
          </w:p>
        </w:tc>
        <w:tc>
          <w:tcPr>
            <w:tcW w:w="992"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0.11</w:t>
            </w:r>
          </w:p>
        </w:tc>
        <w:tc>
          <w:tcPr>
            <w:tcW w:w="9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9" w:hRule="atLeast"/>
        </w:trPr>
        <w:tc>
          <w:tcPr>
            <w:tcW w:w="59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3</w:t>
            </w:r>
          </w:p>
        </w:tc>
        <w:tc>
          <w:tcPr>
            <w:tcW w:w="221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邓基</w:t>
            </w:r>
          </w:p>
        </w:tc>
        <w:tc>
          <w:tcPr>
            <w:tcW w:w="122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8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0.0668</w:t>
            </w:r>
          </w:p>
        </w:tc>
        <w:tc>
          <w:tcPr>
            <w:tcW w:w="153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210816</w:t>
            </w:r>
          </w:p>
        </w:tc>
        <w:tc>
          <w:tcPr>
            <w:tcW w:w="992"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0.07</w:t>
            </w:r>
          </w:p>
        </w:tc>
        <w:tc>
          <w:tcPr>
            <w:tcW w:w="9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7" w:hRule="atLeast"/>
        </w:trPr>
        <w:tc>
          <w:tcPr>
            <w:tcW w:w="59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4</w:t>
            </w:r>
          </w:p>
        </w:tc>
        <w:tc>
          <w:tcPr>
            <w:tcW w:w="221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上张村</w:t>
            </w:r>
          </w:p>
        </w:tc>
        <w:tc>
          <w:tcPr>
            <w:tcW w:w="122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8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0.0792</w:t>
            </w:r>
          </w:p>
        </w:tc>
        <w:tc>
          <w:tcPr>
            <w:tcW w:w="153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210606</w:t>
            </w:r>
          </w:p>
        </w:tc>
        <w:tc>
          <w:tcPr>
            <w:tcW w:w="992"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0.08</w:t>
            </w:r>
          </w:p>
        </w:tc>
        <w:tc>
          <w:tcPr>
            <w:tcW w:w="9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9" w:hRule="atLeast"/>
        </w:trPr>
        <w:tc>
          <w:tcPr>
            <w:tcW w:w="59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5</w:t>
            </w:r>
          </w:p>
        </w:tc>
        <w:tc>
          <w:tcPr>
            <w:tcW w:w="221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周大小郢</w:t>
            </w:r>
          </w:p>
        </w:tc>
        <w:tc>
          <w:tcPr>
            <w:tcW w:w="122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8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0.0991</w:t>
            </w:r>
          </w:p>
        </w:tc>
        <w:tc>
          <w:tcPr>
            <w:tcW w:w="153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210925</w:t>
            </w:r>
          </w:p>
        </w:tc>
        <w:tc>
          <w:tcPr>
            <w:tcW w:w="992"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0.10</w:t>
            </w:r>
          </w:p>
        </w:tc>
        <w:tc>
          <w:tcPr>
            <w:tcW w:w="9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9" w:hRule="atLeast"/>
        </w:trPr>
        <w:tc>
          <w:tcPr>
            <w:tcW w:w="59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6</w:t>
            </w:r>
          </w:p>
        </w:tc>
        <w:tc>
          <w:tcPr>
            <w:tcW w:w="221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撮镇安置小区</w:t>
            </w:r>
          </w:p>
        </w:tc>
        <w:tc>
          <w:tcPr>
            <w:tcW w:w="122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8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0.0851</w:t>
            </w:r>
          </w:p>
        </w:tc>
        <w:tc>
          <w:tcPr>
            <w:tcW w:w="153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211109</w:t>
            </w:r>
          </w:p>
        </w:tc>
        <w:tc>
          <w:tcPr>
            <w:tcW w:w="992"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0.09</w:t>
            </w:r>
          </w:p>
        </w:tc>
        <w:tc>
          <w:tcPr>
            <w:tcW w:w="9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4" w:hRule="atLeast"/>
        </w:trPr>
        <w:tc>
          <w:tcPr>
            <w:tcW w:w="59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w:t>
            </w:r>
          </w:p>
        </w:tc>
        <w:tc>
          <w:tcPr>
            <w:tcW w:w="221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大姚</w:t>
            </w:r>
            <w:r>
              <w:rPr>
                <w:rFonts w:ascii="Times New Roman" w:hAnsi="Times New Roman" w:cs="Times New Roman"/>
                <w:sz w:val="18"/>
                <w:szCs w:val="18"/>
              </w:rPr>
              <w:t>村</w:t>
            </w:r>
          </w:p>
        </w:tc>
        <w:tc>
          <w:tcPr>
            <w:tcW w:w="122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8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0.0919</w:t>
            </w:r>
          </w:p>
        </w:tc>
        <w:tc>
          <w:tcPr>
            <w:tcW w:w="153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210626</w:t>
            </w:r>
          </w:p>
        </w:tc>
        <w:tc>
          <w:tcPr>
            <w:tcW w:w="992"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0.09</w:t>
            </w:r>
          </w:p>
        </w:tc>
        <w:tc>
          <w:tcPr>
            <w:tcW w:w="9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4" w:hRule="atLeast"/>
        </w:trPr>
        <w:tc>
          <w:tcPr>
            <w:tcW w:w="595"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8</w:t>
            </w:r>
          </w:p>
        </w:tc>
        <w:tc>
          <w:tcPr>
            <w:tcW w:w="221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三联护理学院</w:t>
            </w:r>
          </w:p>
        </w:tc>
        <w:tc>
          <w:tcPr>
            <w:tcW w:w="122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8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0.1197</w:t>
            </w:r>
          </w:p>
        </w:tc>
        <w:tc>
          <w:tcPr>
            <w:tcW w:w="153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210914</w:t>
            </w:r>
          </w:p>
        </w:tc>
        <w:tc>
          <w:tcPr>
            <w:tcW w:w="992"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0.12</w:t>
            </w:r>
          </w:p>
        </w:tc>
        <w:tc>
          <w:tcPr>
            <w:tcW w:w="9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4" w:hRule="atLeast"/>
        </w:trPr>
        <w:tc>
          <w:tcPr>
            <w:tcW w:w="595"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9</w:t>
            </w:r>
          </w:p>
        </w:tc>
        <w:tc>
          <w:tcPr>
            <w:tcW w:w="221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先锋小区</w:t>
            </w:r>
          </w:p>
        </w:tc>
        <w:tc>
          <w:tcPr>
            <w:tcW w:w="122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8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0.0585</w:t>
            </w:r>
          </w:p>
        </w:tc>
        <w:tc>
          <w:tcPr>
            <w:tcW w:w="153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210710</w:t>
            </w:r>
          </w:p>
        </w:tc>
        <w:tc>
          <w:tcPr>
            <w:tcW w:w="992"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0.06</w:t>
            </w:r>
          </w:p>
        </w:tc>
        <w:tc>
          <w:tcPr>
            <w:tcW w:w="9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7" w:hRule="atLeast"/>
        </w:trPr>
        <w:tc>
          <w:tcPr>
            <w:tcW w:w="59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8</w:t>
            </w:r>
          </w:p>
        </w:tc>
        <w:tc>
          <w:tcPr>
            <w:tcW w:w="221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网格</w:t>
            </w:r>
          </w:p>
        </w:tc>
        <w:tc>
          <w:tcPr>
            <w:tcW w:w="1227"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8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1.0178</w:t>
            </w:r>
          </w:p>
        </w:tc>
        <w:tc>
          <w:tcPr>
            <w:tcW w:w="153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210610</w:t>
            </w:r>
          </w:p>
        </w:tc>
        <w:tc>
          <w:tcPr>
            <w:tcW w:w="99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.02</w:t>
            </w:r>
          </w:p>
        </w:tc>
        <w:tc>
          <w:tcPr>
            <w:tcW w:w="95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bl>
    <w:p>
      <w:pPr>
        <w:adjustRightInd/>
        <w:snapToGrid/>
        <w:ind w:firstLine="480"/>
        <w:rPr>
          <w:rFonts w:ascii="Times New Roman" w:hAnsi="Times New Roman" w:cs="Times New Roman"/>
          <w:szCs w:val="24"/>
        </w:rPr>
      </w:pPr>
      <w:r>
        <w:rPr>
          <w:rFonts w:ascii="Times New Roman" w:hAnsi="Times New Roman" w:cs="Times New Roman"/>
          <w:szCs w:val="24"/>
        </w:rPr>
        <w:t>从表5.2-17预测结果可知，本项目污染源排放的</w:t>
      </w:r>
      <w:r>
        <w:rPr>
          <w:rFonts w:hint="eastAsia" w:ascii="Times New Roman" w:hAnsi="Times New Roman" w:eastAsia="黑体" w:cs="Times New Roman"/>
          <w:bCs/>
          <w:szCs w:val="24"/>
        </w:rPr>
        <w:t>硫酸雾</w:t>
      </w:r>
      <w:r>
        <w:rPr>
          <w:rFonts w:ascii="Times New Roman" w:hAnsi="Times New Roman" w:cs="Times New Roman"/>
          <w:szCs w:val="24"/>
        </w:rPr>
        <w:t>对评价区域内各环境敏感点的24小时平均浓度贡献值范围在0.0585μg/m</w:t>
      </w:r>
      <w:r>
        <w:rPr>
          <w:rFonts w:ascii="Times New Roman" w:hAnsi="Times New Roman" w:cs="Times New Roman"/>
          <w:szCs w:val="24"/>
          <w:vertAlign w:val="superscript"/>
        </w:rPr>
        <w:t>3</w:t>
      </w:r>
      <w:r>
        <w:rPr>
          <w:rFonts w:ascii="Times New Roman" w:hAnsi="Times New Roman" w:cs="Times New Roman"/>
          <w:szCs w:val="24"/>
        </w:rPr>
        <w:t>~0.4560μg/m</w:t>
      </w:r>
      <w:r>
        <w:rPr>
          <w:rFonts w:ascii="Times New Roman" w:hAnsi="Times New Roman" w:cs="Times New Roman"/>
          <w:szCs w:val="24"/>
          <w:vertAlign w:val="superscript"/>
        </w:rPr>
        <w:t>3</w:t>
      </w:r>
      <w:r>
        <w:rPr>
          <w:rFonts w:ascii="Times New Roman" w:hAnsi="Times New Roman" w:cs="Times New Roman"/>
          <w:szCs w:val="24"/>
        </w:rPr>
        <w:t>之间，最大占标率为0.15%，各敏感点24小时浓度贡献值均达标；区域最大地面24小时平均浓度点贡献值为1.0178μg/m</w:t>
      </w:r>
      <w:r>
        <w:rPr>
          <w:rFonts w:ascii="Times New Roman" w:hAnsi="Times New Roman" w:cs="Times New Roman"/>
          <w:szCs w:val="24"/>
          <w:vertAlign w:val="superscript"/>
        </w:rPr>
        <w:t>3</w:t>
      </w:r>
      <w:r>
        <w:rPr>
          <w:rFonts w:ascii="Times New Roman" w:hAnsi="Times New Roman" w:cs="Times New Roman"/>
          <w:szCs w:val="24"/>
        </w:rPr>
        <w:t>，占标率为1.02%，所有网格点24小时平均浓度均达标。</w:t>
      </w:r>
    </w:p>
    <w:p>
      <w:pPr>
        <w:adjustRightInd/>
        <w:snapToGrid/>
        <w:ind w:leftChars="-59" w:hanging="141" w:hangingChars="59"/>
        <w:jc w:val="center"/>
        <w:rPr>
          <w:rFonts w:ascii="Times New Roman" w:hAnsi="Times New Roman" w:eastAsia="黑体" w:cs="Times New Roman"/>
          <w:bCs/>
          <w:szCs w:val="24"/>
        </w:rPr>
      </w:pPr>
      <w:r>
        <w:drawing>
          <wp:inline distT="0" distB="0" distL="0" distR="0">
            <wp:extent cx="5964555" cy="3806190"/>
            <wp:effectExtent l="0" t="0" r="0" b="0"/>
            <wp:docPr id="94" name="图片 9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true" noChangeArrowheads="true"/>
                    </pic:cNvPicPr>
                  </pic:nvPicPr>
                  <pic:blipFill>
                    <a:blip r:embed="rId173" cstate="hqprint">
                      <a:lum bright="20000" contrast="20000"/>
                    </a:blip>
                    <a:srcRect/>
                    <a:stretch>
                      <a:fillRect/>
                    </a:stretch>
                  </pic:blipFill>
                  <pic:spPr>
                    <a:xfrm>
                      <a:off x="0" y="0"/>
                      <a:ext cx="5964555" cy="3806190"/>
                    </a:xfrm>
                    <a:prstGeom prst="rect">
                      <a:avLst/>
                    </a:prstGeom>
                    <a:noFill/>
                    <a:ln>
                      <a:noFill/>
                    </a:ln>
                  </pic:spPr>
                </pic:pic>
              </a:graphicData>
            </a:graphic>
          </wp:inline>
        </w:drawing>
      </w:r>
    </w:p>
    <w:p>
      <w:pPr>
        <w:adjustRightInd/>
        <w:snapToGrid/>
        <w:spacing w:line="480" w:lineRule="exact"/>
        <w:ind w:firstLine="0" w:firstLineChars="0"/>
        <w:jc w:val="center"/>
        <w:rPr>
          <w:rFonts w:ascii="Times New Roman" w:hAnsi="Times New Roman" w:eastAsia="黑体" w:cs="Times New Roman"/>
          <w:bCs/>
          <w:szCs w:val="24"/>
        </w:rPr>
      </w:pPr>
      <w:r>
        <w:rPr>
          <w:rFonts w:ascii="Times New Roman" w:hAnsi="Times New Roman" w:cs="Times New Roman"/>
          <w:b/>
          <w:bCs/>
          <w:sz w:val="21"/>
          <w:szCs w:val="21"/>
        </w:rPr>
        <w:t>图5.2-6 区域网格点</w:t>
      </w:r>
      <w:r>
        <w:rPr>
          <w:rFonts w:hint="eastAsia" w:ascii="Times New Roman" w:hAnsi="Times New Roman" w:cs="Times New Roman"/>
          <w:b/>
          <w:bCs/>
          <w:sz w:val="21"/>
          <w:szCs w:val="21"/>
        </w:rPr>
        <w:t>硫酸雾2</w:t>
      </w:r>
      <w:r>
        <w:rPr>
          <w:rFonts w:ascii="Times New Roman" w:hAnsi="Times New Roman" w:cs="Times New Roman"/>
          <w:b/>
          <w:bCs/>
          <w:sz w:val="21"/>
          <w:szCs w:val="21"/>
        </w:rPr>
        <w:t>4</w:t>
      </w:r>
      <w:r>
        <w:rPr>
          <w:rFonts w:hint="eastAsia" w:ascii="Times New Roman" w:hAnsi="Times New Roman" w:cs="Times New Roman"/>
          <w:b/>
          <w:bCs/>
          <w:sz w:val="21"/>
          <w:szCs w:val="21"/>
        </w:rPr>
        <w:t>小时</w:t>
      </w:r>
      <w:r>
        <w:rPr>
          <w:rFonts w:ascii="Times New Roman" w:hAnsi="Times New Roman" w:cs="Times New Roman"/>
          <w:b/>
          <w:bCs/>
          <w:sz w:val="21"/>
          <w:szCs w:val="21"/>
        </w:rPr>
        <w:t>均值贡献浓度分布图（单位：μg/m</w:t>
      </w:r>
      <w:r>
        <w:rPr>
          <w:rFonts w:ascii="Times New Roman" w:hAnsi="Times New Roman" w:cs="Times New Roman"/>
          <w:b/>
          <w:bCs/>
          <w:sz w:val="21"/>
          <w:szCs w:val="21"/>
          <w:vertAlign w:val="superscript"/>
        </w:rPr>
        <w:t>3</w:t>
      </w:r>
      <w:r>
        <w:rPr>
          <w:rFonts w:ascii="Times New Roman" w:hAnsi="Times New Roman" w:cs="Times New Roman"/>
          <w:b/>
          <w:bCs/>
          <w:sz w:val="21"/>
          <w:szCs w:val="21"/>
        </w:rPr>
        <w:t>）</w:t>
      </w:r>
    </w:p>
    <w:p>
      <w:pPr>
        <w:ind w:firstLine="482"/>
        <w:rPr>
          <w:rFonts w:ascii="Times New Roman" w:hAnsi="Times New Roman" w:cs="Times New Roman"/>
          <w:b/>
          <w:bCs/>
          <w:szCs w:val="20"/>
        </w:rPr>
      </w:pPr>
      <w:r>
        <w:rPr>
          <w:rFonts w:ascii="Times New Roman" w:hAnsi="Times New Roman" w:cs="Times New Roman"/>
          <w:b/>
          <w:bCs/>
        </w:rPr>
        <w:t>2、非正常工况下环境空气影响预测</w:t>
      </w:r>
      <w:r>
        <w:rPr>
          <w:rFonts w:ascii="Times New Roman" w:hAnsi="Times New Roman" w:cs="Times New Roman"/>
          <w:b/>
          <w:bCs/>
          <w:szCs w:val="20"/>
        </w:rPr>
        <w:t>结果</w:t>
      </w:r>
    </w:p>
    <w:p>
      <w:pPr>
        <w:widowControl/>
        <w:adjustRightInd/>
        <w:ind w:firstLine="480"/>
        <w:jc w:val="left"/>
        <w:rPr>
          <w:rFonts w:ascii="Times New Roman" w:hAnsi="Times New Roman" w:cs="Times New Roman"/>
          <w:kern w:val="0"/>
          <w:szCs w:val="20"/>
        </w:rPr>
      </w:pPr>
      <w:r>
        <w:rPr>
          <w:rFonts w:ascii="Times New Roman" w:hAnsi="Times New Roman" w:cs="Times New Roman"/>
          <w:color w:val="auto"/>
          <w:szCs w:val="24"/>
        </w:rPr>
        <w:t>本次评价非正常工况主要考虑油气回收装置及碱液中和罐出现故障，其处理效率达不到设定的处理效率，非正常工况下按处理效率60%考虑，发生时间按每年一次，每次3h计，</w:t>
      </w:r>
      <w:r>
        <w:rPr>
          <w:rFonts w:ascii="Times New Roman" w:hAnsi="Times New Roman" w:cs="Times New Roman"/>
          <w:szCs w:val="20"/>
        </w:rPr>
        <w:t>预测非正常工况下排气筒</w:t>
      </w:r>
      <w:r>
        <w:rPr>
          <w:rFonts w:hint="eastAsia" w:ascii="Times New Roman" w:hAnsi="Times New Roman" w:cs="Times New Roman"/>
          <w:szCs w:val="20"/>
        </w:rPr>
        <w:t>D</w:t>
      </w:r>
      <w:r>
        <w:rPr>
          <w:rFonts w:ascii="Times New Roman" w:hAnsi="Times New Roman" w:cs="Times New Roman"/>
          <w:szCs w:val="20"/>
        </w:rPr>
        <w:t>A002排放非甲烷总烃及DA003排放的</w:t>
      </w:r>
      <w:r>
        <w:rPr>
          <w:rFonts w:hint="eastAsia" w:ascii="Times New Roman" w:hAnsi="Times New Roman" w:cs="Times New Roman"/>
          <w:szCs w:val="20"/>
        </w:rPr>
        <w:t>硫酸雾</w:t>
      </w:r>
      <w:r>
        <w:rPr>
          <w:rFonts w:ascii="Times New Roman" w:hAnsi="Times New Roman" w:cs="Times New Roman"/>
          <w:kern w:val="0"/>
          <w:szCs w:val="20"/>
        </w:rPr>
        <w:t>对环境空气质量的影响。各污染物在环境空气保护目标的浓度预测结果见下</w:t>
      </w:r>
      <w:r>
        <w:rPr>
          <w:rFonts w:ascii="Times New Roman" w:hAnsi="Times New Roman" w:cs="Times New Roman"/>
          <w:szCs w:val="20"/>
          <w:shd w:val="clear" w:color="auto" w:fill="FFFFFF"/>
        </w:rPr>
        <w:t>表</w:t>
      </w:r>
      <w:r>
        <w:rPr>
          <w:rFonts w:ascii="Times New Roman" w:hAnsi="Times New Roman" w:cs="Times New Roman"/>
          <w:kern w:val="0"/>
          <w:szCs w:val="20"/>
        </w:rPr>
        <w:t>。</w:t>
      </w:r>
    </w:p>
    <w:p>
      <w:pPr>
        <w:widowControl/>
        <w:adjustRightInd/>
        <w:ind w:left="206" w:leftChars="86" w:firstLine="480"/>
        <w:jc w:val="left"/>
        <w:rPr>
          <w:rFonts w:ascii="Times New Roman" w:hAnsi="Times New Roman" w:cs="Times New Roman"/>
          <w:szCs w:val="20"/>
          <w:shd w:val="clear" w:color="auto" w:fill="FFFFFF"/>
        </w:rPr>
      </w:pPr>
      <w:r>
        <w:rPr>
          <w:rFonts w:ascii="Times New Roman" w:hAnsi="Times New Roman" w:cs="Times New Roman"/>
          <w:kern w:val="0"/>
          <w:szCs w:val="20"/>
        </w:rPr>
        <w:t>（1）非正常工况非甲烷总烃1小时平均浓度预测结果</w:t>
      </w:r>
    </w:p>
    <w:p>
      <w:pPr>
        <w:pStyle w:val="2461"/>
        <w:overflowPunct w:val="0"/>
        <w:adjustRightInd/>
        <w:snapToGrid/>
        <w:spacing w:line="240" w:lineRule="auto"/>
        <w:ind w:firstLine="0" w:firstLineChars="0"/>
        <w:rPr>
          <w:rFonts w:eastAsia="宋体" w:cs="Times New Roman"/>
          <w:color w:val="auto"/>
          <w:sz w:val="21"/>
          <w:szCs w:val="21"/>
        </w:rPr>
      </w:pPr>
      <w:r>
        <w:rPr>
          <w:rFonts w:eastAsia="宋体" w:cs="Times New Roman"/>
          <w:color w:val="auto"/>
          <w:sz w:val="21"/>
          <w:szCs w:val="21"/>
        </w:rPr>
        <w:t xml:space="preserve">表5.2-18  </w:t>
      </w:r>
      <w:r>
        <w:rPr>
          <w:rFonts w:hint="eastAsia" w:eastAsia="宋体" w:cs="Times New Roman"/>
          <w:color w:val="auto"/>
          <w:sz w:val="21"/>
          <w:szCs w:val="21"/>
        </w:rPr>
        <w:t>非正常工况下非甲烷总烃 1小时平均浓度预测结果表</w:t>
      </w:r>
    </w:p>
    <w:tbl>
      <w:tblPr>
        <w:tblStyle w:val="62"/>
        <w:tblW w:w="9080"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87"/>
        <w:gridCol w:w="2185"/>
        <w:gridCol w:w="1211"/>
        <w:gridCol w:w="1666"/>
        <w:gridCol w:w="1514"/>
        <w:gridCol w:w="979"/>
        <w:gridCol w:w="93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1"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序号</w:t>
            </w:r>
          </w:p>
        </w:tc>
        <w:tc>
          <w:tcPr>
            <w:tcW w:w="218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预测点</w:t>
            </w:r>
          </w:p>
        </w:tc>
        <w:tc>
          <w:tcPr>
            <w:tcW w:w="1211"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平均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时段</w:t>
            </w:r>
          </w:p>
        </w:tc>
        <w:tc>
          <w:tcPr>
            <w:tcW w:w="1666"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最大贡献值</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（μg/m</w:t>
            </w:r>
            <w:r>
              <w:rPr>
                <w:rFonts w:ascii="Times New Roman" w:hAnsi="Times New Roman" w:cs="Times New Roman"/>
                <w:sz w:val="18"/>
                <w:szCs w:val="18"/>
                <w:vertAlign w:val="superscript"/>
              </w:rPr>
              <w:t>3</w:t>
            </w:r>
            <w:r>
              <w:rPr>
                <w:rFonts w:ascii="Times New Roman" w:hAnsi="Times New Roman" w:cs="Times New Roman"/>
                <w:sz w:val="18"/>
                <w:szCs w:val="18"/>
              </w:rPr>
              <w:t>）</w:t>
            </w:r>
          </w:p>
        </w:tc>
        <w:tc>
          <w:tcPr>
            <w:tcW w:w="1514"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出现时间</w:t>
            </w:r>
          </w:p>
        </w:tc>
        <w:tc>
          <w:tcPr>
            <w:tcW w:w="97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占标率（%）</w:t>
            </w:r>
          </w:p>
        </w:tc>
        <w:tc>
          <w:tcPr>
            <w:tcW w:w="938"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达标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循环园管委会</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831.8591</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21090520</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41.59</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8"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金庵村</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841.9659</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21061907</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42.10</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8"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3</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邓基</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785.9726</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21051819</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39.30</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4</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上张村</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788.6234</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21043007</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39.43</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5</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周大小郢</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834.2393</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21121309</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41.71</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8"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6</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撮镇安置小区</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636.5181</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21072924</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31.83</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06"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大姚</w:t>
            </w:r>
            <w:r>
              <w:rPr>
                <w:rFonts w:ascii="Times New Roman" w:hAnsi="Times New Roman" w:cs="Times New Roman"/>
                <w:sz w:val="18"/>
                <w:szCs w:val="18"/>
              </w:rPr>
              <w:t>村</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986.2680</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21073022</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49.31</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6"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8</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三联护理学院</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585.9297</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21090105</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29.30</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6"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9</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先锋小区</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628.8011</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21070320</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31.44</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7"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8</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网格</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1864.3512</w:t>
            </w:r>
          </w:p>
        </w:tc>
        <w:tc>
          <w:tcPr>
            <w:tcW w:w="151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21061007</w:t>
            </w:r>
          </w:p>
        </w:tc>
        <w:tc>
          <w:tcPr>
            <w:tcW w:w="97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93.22</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bl>
    <w:p>
      <w:pPr>
        <w:widowControl/>
        <w:adjustRightInd/>
        <w:snapToGrid/>
        <w:spacing w:line="480" w:lineRule="exact"/>
        <w:ind w:firstLine="480"/>
        <w:jc w:val="left"/>
        <w:rPr>
          <w:rFonts w:ascii="Times New Roman" w:hAnsi="Times New Roman" w:cs="Times New Roman"/>
          <w:kern w:val="0"/>
          <w:szCs w:val="20"/>
        </w:rPr>
      </w:pPr>
      <w:r>
        <w:rPr>
          <w:rFonts w:ascii="Times New Roman" w:hAnsi="Times New Roman" w:cs="Times New Roman"/>
          <w:kern w:val="0"/>
          <w:szCs w:val="20"/>
        </w:rPr>
        <w:t>从预测结果可知，本项目非正常工况</w:t>
      </w:r>
      <w:r>
        <w:rPr>
          <w:rFonts w:hint="eastAsia" w:ascii="Times New Roman" w:hAnsi="Times New Roman" w:cs="Times New Roman"/>
          <w:kern w:val="0"/>
          <w:szCs w:val="20"/>
        </w:rPr>
        <w:t>装车油气回收装置</w:t>
      </w:r>
      <w:r>
        <w:rPr>
          <w:rFonts w:ascii="Times New Roman" w:hAnsi="Times New Roman" w:cs="Times New Roman"/>
          <w:szCs w:val="20"/>
        </w:rPr>
        <w:t>排气筒（DA002）</w:t>
      </w:r>
      <w:r>
        <w:rPr>
          <w:rFonts w:ascii="Times New Roman" w:hAnsi="Times New Roman" w:cs="Times New Roman"/>
          <w:kern w:val="0"/>
          <w:szCs w:val="20"/>
        </w:rPr>
        <w:t>排放的非甲烷总烃对评价区域内各环境敏感点的小时平均浓度贡献值范围在</w:t>
      </w:r>
      <w:r>
        <w:rPr>
          <w:rFonts w:ascii="Times New Roman" w:hAnsi="Times New Roman" w:cs="Times New Roman"/>
          <w:sz w:val="18"/>
          <w:szCs w:val="18"/>
        </w:rPr>
        <w:t>585.9297</w:t>
      </w:r>
      <w:r>
        <w:rPr>
          <w:rFonts w:ascii="Times New Roman" w:hAnsi="Times New Roman" w:cs="Times New Roman"/>
          <w:kern w:val="0"/>
          <w:szCs w:val="20"/>
        </w:rPr>
        <w:t>μg/m</w:t>
      </w:r>
      <w:r>
        <w:rPr>
          <w:rFonts w:ascii="Times New Roman" w:hAnsi="Times New Roman" w:cs="Times New Roman"/>
          <w:kern w:val="0"/>
          <w:szCs w:val="20"/>
          <w:vertAlign w:val="superscript"/>
        </w:rPr>
        <w:t>3</w:t>
      </w:r>
      <w:r>
        <w:rPr>
          <w:rFonts w:ascii="Times New Roman" w:hAnsi="Times New Roman" w:cs="Times New Roman"/>
          <w:kern w:val="0"/>
          <w:szCs w:val="20"/>
        </w:rPr>
        <w:t>~</w:t>
      </w:r>
      <w:r>
        <w:rPr>
          <w:rFonts w:ascii="Times New Roman" w:hAnsi="Times New Roman" w:cs="Times New Roman"/>
          <w:sz w:val="18"/>
          <w:szCs w:val="18"/>
        </w:rPr>
        <w:t>841.9659</w:t>
      </w:r>
      <w:r>
        <w:rPr>
          <w:rFonts w:ascii="Times New Roman" w:hAnsi="Times New Roman" w:cs="Times New Roman"/>
          <w:kern w:val="0"/>
          <w:szCs w:val="20"/>
        </w:rPr>
        <w:t>μg/m</w:t>
      </w:r>
      <w:r>
        <w:rPr>
          <w:rFonts w:ascii="Times New Roman" w:hAnsi="Times New Roman" w:cs="Times New Roman"/>
          <w:kern w:val="0"/>
          <w:szCs w:val="20"/>
          <w:vertAlign w:val="superscript"/>
        </w:rPr>
        <w:t>3</w:t>
      </w:r>
      <w:r>
        <w:rPr>
          <w:rFonts w:ascii="Times New Roman" w:hAnsi="Times New Roman" w:cs="Times New Roman"/>
          <w:kern w:val="0"/>
          <w:szCs w:val="20"/>
        </w:rPr>
        <w:t>之间，占标率为29.30%~41.59%，各敏感点小时平均浓度贡献值均达标；区域</w:t>
      </w:r>
      <w:r>
        <w:rPr>
          <w:rFonts w:hint="eastAsia" w:ascii="Times New Roman" w:hAnsi="Times New Roman" w:cs="Times New Roman"/>
          <w:kern w:val="0"/>
          <w:szCs w:val="20"/>
        </w:rPr>
        <w:t>网格点</w:t>
      </w:r>
      <w:r>
        <w:rPr>
          <w:rFonts w:ascii="Times New Roman" w:hAnsi="Times New Roman" w:cs="Times New Roman"/>
          <w:kern w:val="0"/>
          <w:szCs w:val="20"/>
        </w:rPr>
        <w:t>最大地面小时平均浓度点贡献值</w:t>
      </w:r>
      <w:r>
        <w:rPr>
          <w:rFonts w:ascii="Times New Roman" w:hAnsi="Times New Roman" w:cs="Times New Roman"/>
          <w:kern w:val="0"/>
          <w:szCs w:val="24"/>
        </w:rPr>
        <w:t>为1864.3512μg</w:t>
      </w:r>
      <w:r>
        <w:rPr>
          <w:rFonts w:ascii="Times New Roman" w:hAnsi="Times New Roman" w:cs="Times New Roman"/>
          <w:kern w:val="0"/>
          <w:szCs w:val="20"/>
        </w:rPr>
        <w:t>/m</w:t>
      </w:r>
      <w:r>
        <w:rPr>
          <w:rFonts w:ascii="Times New Roman" w:hAnsi="Times New Roman" w:cs="Times New Roman"/>
          <w:kern w:val="0"/>
          <w:szCs w:val="20"/>
          <w:vertAlign w:val="superscript"/>
        </w:rPr>
        <w:t>3</w:t>
      </w:r>
      <w:r>
        <w:rPr>
          <w:rFonts w:ascii="Times New Roman" w:hAnsi="Times New Roman" w:cs="Times New Roman"/>
          <w:kern w:val="0"/>
          <w:szCs w:val="20"/>
        </w:rPr>
        <w:t>，占标率93.22%。</w:t>
      </w:r>
    </w:p>
    <w:p>
      <w:pPr>
        <w:autoSpaceDE w:val="0"/>
        <w:autoSpaceDN w:val="0"/>
        <w:snapToGrid/>
        <w:spacing w:line="240" w:lineRule="auto"/>
        <w:ind w:firstLine="0" w:firstLineChars="0"/>
        <w:jc w:val="left"/>
        <w:rPr>
          <w:rFonts w:ascii="Times New Roman" w:hAnsi="Times New Roman" w:cs="Times New Roman"/>
          <w:kern w:val="0"/>
          <w:szCs w:val="24"/>
        </w:rPr>
      </w:pPr>
      <w:r>
        <w:drawing>
          <wp:inline distT="0" distB="0" distL="0" distR="0">
            <wp:extent cx="5773420" cy="3678555"/>
            <wp:effectExtent l="0" t="0" r="0" b="0"/>
            <wp:docPr id="95" name="图片 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true" noChangeArrowheads="true"/>
                    </pic:cNvPicPr>
                  </pic:nvPicPr>
                  <pic:blipFill>
                    <a:blip r:embed="rId174" cstate="hqprint">
                      <a:lum bright="20000" contrast="20000"/>
                    </a:blip>
                    <a:srcRect/>
                    <a:stretch>
                      <a:fillRect/>
                    </a:stretch>
                  </pic:blipFill>
                  <pic:spPr>
                    <a:xfrm>
                      <a:off x="0" y="0"/>
                      <a:ext cx="5773420" cy="3678555"/>
                    </a:xfrm>
                    <a:prstGeom prst="rect">
                      <a:avLst/>
                    </a:prstGeom>
                    <a:noFill/>
                    <a:ln>
                      <a:noFill/>
                    </a:ln>
                  </pic:spPr>
                </pic:pic>
              </a:graphicData>
            </a:graphic>
          </wp:inline>
        </w:drawing>
      </w:r>
    </w:p>
    <w:p>
      <w:pPr>
        <w:autoSpaceDE w:val="0"/>
        <w:autoSpaceDN w:val="0"/>
        <w:snapToGrid/>
        <w:spacing w:line="240" w:lineRule="auto"/>
        <w:ind w:firstLine="0" w:firstLineChars="0"/>
        <w:jc w:val="center"/>
        <w:rPr>
          <w:rFonts w:ascii="Times New Roman" w:hAnsi="Times New Roman" w:cs="Times New Roman"/>
          <w:kern w:val="0"/>
          <w:szCs w:val="24"/>
        </w:rPr>
      </w:pPr>
      <w:r>
        <w:rPr>
          <w:rFonts w:ascii="Times New Roman" w:hAnsi="Times New Roman" w:cs="Times New Roman"/>
          <w:b/>
          <w:bCs/>
          <w:kern w:val="0"/>
          <w:sz w:val="21"/>
          <w:szCs w:val="21"/>
        </w:rPr>
        <w:t>图5.2-7  非正常工况区域网格点非甲烷总烃小时均值贡献浓度分布图（单位：μg/m</w:t>
      </w:r>
      <w:r>
        <w:rPr>
          <w:rFonts w:ascii="Times New Roman" w:hAnsi="Times New Roman" w:cs="Times New Roman"/>
          <w:b/>
          <w:bCs/>
          <w:kern w:val="0"/>
          <w:sz w:val="21"/>
          <w:szCs w:val="21"/>
          <w:vertAlign w:val="superscript"/>
        </w:rPr>
        <w:t>3</w:t>
      </w:r>
      <w:r>
        <w:rPr>
          <w:rFonts w:ascii="Times New Roman" w:hAnsi="Times New Roman" w:cs="Times New Roman"/>
          <w:b/>
          <w:bCs/>
          <w:kern w:val="0"/>
          <w:sz w:val="21"/>
          <w:szCs w:val="21"/>
        </w:rPr>
        <w:t>）</w:t>
      </w:r>
    </w:p>
    <w:p>
      <w:pPr>
        <w:spacing w:line="480" w:lineRule="exact"/>
        <w:ind w:firstLine="480"/>
        <w:jc w:val="left"/>
        <w:rPr>
          <w:rFonts w:ascii="Times New Roman" w:hAnsi="Times New Roman" w:cs="Times New Roman"/>
          <w:kern w:val="0"/>
          <w:szCs w:val="20"/>
        </w:rPr>
      </w:pPr>
      <w:r>
        <w:rPr>
          <w:rFonts w:ascii="Times New Roman" w:hAnsi="Times New Roman" w:cs="Times New Roman"/>
          <w:kern w:val="0"/>
          <w:szCs w:val="20"/>
        </w:rPr>
        <w:t>（2）非正常工况</w:t>
      </w:r>
      <w:r>
        <w:rPr>
          <w:rFonts w:hint="eastAsia" w:ascii="Times New Roman" w:hAnsi="Times New Roman" w:cs="Times New Roman"/>
          <w:kern w:val="0"/>
          <w:szCs w:val="20"/>
        </w:rPr>
        <w:t>硫酸雾</w:t>
      </w:r>
      <w:r>
        <w:rPr>
          <w:rFonts w:ascii="Times New Roman" w:hAnsi="Times New Roman" w:cs="Times New Roman"/>
          <w:kern w:val="0"/>
          <w:szCs w:val="20"/>
        </w:rPr>
        <w:t>小时平均浓度预测结果</w:t>
      </w:r>
    </w:p>
    <w:p>
      <w:pPr>
        <w:pStyle w:val="2461"/>
        <w:overflowPunct w:val="0"/>
        <w:adjustRightInd/>
        <w:snapToGrid/>
        <w:spacing w:line="240" w:lineRule="auto"/>
        <w:ind w:firstLine="0" w:firstLineChars="0"/>
        <w:rPr>
          <w:rFonts w:eastAsia="宋体" w:cs="Times New Roman"/>
          <w:color w:val="auto"/>
          <w:sz w:val="21"/>
          <w:szCs w:val="21"/>
        </w:rPr>
      </w:pPr>
      <w:r>
        <w:rPr>
          <w:rFonts w:eastAsia="宋体" w:cs="Times New Roman"/>
          <w:color w:val="auto"/>
          <w:sz w:val="21"/>
          <w:szCs w:val="21"/>
        </w:rPr>
        <w:t xml:space="preserve">表5.2-19 </w:t>
      </w:r>
      <w:r>
        <w:rPr>
          <w:rFonts w:hint="eastAsia" w:eastAsia="宋体" w:cs="Times New Roman"/>
          <w:color w:val="auto"/>
          <w:sz w:val="21"/>
          <w:szCs w:val="21"/>
        </w:rPr>
        <w:t>非正常工况下硫酸雾1小时平均浓度预测结果表</w:t>
      </w:r>
    </w:p>
    <w:tbl>
      <w:tblPr>
        <w:tblStyle w:val="62"/>
        <w:tblW w:w="9080"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87"/>
        <w:gridCol w:w="2185"/>
        <w:gridCol w:w="1211"/>
        <w:gridCol w:w="1666"/>
        <w:gridCol w:w="1514"/>
        <w:gridCol w:w="979"/>
        <w:gridCol w:w="93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1"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序号</w:t>
            </w:r>
          </w:p>
        </w:tc>
        <w:tc>
          <w:tcPr>
            <w:tcW w:w="218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预测点</w:t>
            </w:r>
          </w:p>
        </w:tc>
        <w:tc>
          <w:tcPr>
            <w:tcW w:w="1211"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平均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时段</w:t>
            </w:r>
          </w:p>
        </w:tc>
        <w:tc>
          <w:tcPr>
            <w:tcW w:w="1666"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最大贡献值</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（μg/m</w:t>
            </w:r>
            <w:r>
              <w:rPr>
                <w:rFonts w:ascii="Times New Roman" w:hAnsi="Times New Roman" w:cs="Times New Roman"/>
                <w:sz w:val="18"/>
                <w:szCs w:val="18"/>
                <w:vertAlign w:val="superscript"/>
              </w:rPr>
              <w:t>3</w:t>
            </w:r>
            <w:r>
              <w:rPr>
                <w:rFonts w:ascii="Times New Roman" w:hAnsi="Times New Roman" w:cs="Times New Roman"/>
                <w:sz w:val="18"/>
                <w:szCs w:val="18"/>
              </w:rPr>
              <w:t>）</w:t>
            </w:r>
          </w:p>
        </w:tc>
        <w:tc>
          <w:tcPr>
            <w:tcW w:w="1514"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出现时间</w:t>
            </w:r>
          </w:p>
        </w:tc>
        <w:tc>
          <w:tcPr>
            <w:tcW w:w="97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占标率（%）</w:t>
            </w:r>
          </w:p>
        </w:tc>
        <w:tc>
          <w:tcPr>
            <w:tcW w:w="938"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达标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循环园管委会</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5.0615</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21051703</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1.69</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金庵村</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5.4244</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21082107</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1.81</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3</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邓基</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5.9272</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21081607</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1.98</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4</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上张村</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4.4443</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21073007</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1.48</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5</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周大小郢</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4.2360</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21061401</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1.41</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8"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6</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撮镇安置小区</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3.0494</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21062020</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1.02</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6"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大姚</w:t>
            </w:r>
            <w:r>
              <w:rPr>
                <w:rFonts w:ascii="Times New Roman" w:hAnsi="Times New Roman" w:cs="Times New Roman"/>
                <w:sz w:val="18"/>
                <w:szCs w:val="18"/>
              </w:rPr>
              <w:t>村</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4.5560</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21062421</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1.52</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6"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8</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三联护理学院</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3.5611</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21080124</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1.19</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6"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9</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先锋小区</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3.2388</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21071002</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1.08</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58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8</w:t>
            </w:r>
          </w:p>
        </w:tc>
        <w:tc>
          <w:tcPr>
            <w:tcW w:w="218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网格</w:t>
            </w:r>
          </w:p>
        </w:tc>
        <w:tc>
          <w:tcPr>
            <w:tcW w:w="121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666"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47.1730</w:t>
            </w:r>
          </w:p>
        </w:tc>
        <w:tc>
          <w:tcPr>
            <w:tcW w:w="151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21080107</w:t>
            </w:r>
          </w:p>
        </w:tc>
        <w:tc>
          <w:tcPr>
            <w:tcW w:w="979"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15.72</w:t>
            </w:r>
          </w:p>
        </w:tc>
        <w:tc>
          <w:tcPr>
            <w:tcW w:w="9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bl>
    <w:p>
      <w:pPr>
        <w:adjustRightInd/>
        <w:snapToGrid/>
        <w:spacing w:line="480" w:lineRule="exact"/>
        <w:ind w:left="206" w:leftChars="86" w:firstLine="480"/>
        <w:rPr>
          <w:rFonts w:ascii="Times New Roman" w:hAnsi="Times New Roman" w:cs="Times New Roman"/>
          <w:kern w:val="0"/>
          <w:szCs w:val="20"/>
        </w:rPr>
      </w:pPr>
      <w:r>
        <w:rPr>
          <w:rFonts w:ascii="Times New Roman" w:hAnsi="Times New Roman" w:cs="Times New Roman"/>
          <w:kern w:val="0"/>
          <w:szCs w:val="20"/>
        </w:rPr>
        <w:t>从</w:t>
      </w:r>
      <w:r>
        <w:rPr>
          <w:rFonts w:ascii="Times New Roman" w:hAnsi="Times New Roman" w:cs="Times New Roman"/>
          <w:szCs w:val="20"/>
          <w:shd w:val="clear" w:color="auto" w:fill="FFFFFF"/>
        </w:rPr>
        <w:t>5.2-19</w:t>
      </w:r>
      <w:r>
        <w:rPr>
          <w:rFonts w:ascii="Times New Roman" w:hAnsi="Times New Roman" w:cs="Times New Roman"/>
          <w:kern w:val="0"/>
          <w:szCs w:val="24"/>
        </w:rPr>
        <w:t>预测结果可知，本项目非正常工况</w:t>
      </w:r>
      <w:r>
        <w:rPr>
          <w:rFonts w:hint="eastAsia" w:ascii="Times New Roman" w:hAnsi="Times New Roman" w:cs="Times New Roman"/>
          <w:kern w:val="0"/>
          <w:szCs w:val="24"/>
        </w:rPr>
        <w:t>碱液中和罐装置</w:t>
      </w:r>
      <w:r>
        <w:rPr>
          <w:rFonts w:ascii="Times New Roman" w:hAnsi="Times New Roman" w:cs="Times New Roman"/>
          <w:szCs w:val="20"/>
        </w:rPr>
        <w:t>排气筒（DA003）</w:t>
      </w:r>
      <w:r>
        <w:rPr>
          <w:rFonts w:ascii="Times New Roman" w:hAnsi="Times New Roman" w:cs="Times New Roman"/>
          <w:kern w:val="0"/>
          <w:szCs w:val="24"/>
        </w:rPr>
        <w:t>排放的</w:t>
      </w:r>
      <w:r>
        <w:rPr>
          <w:rFonts w:hint="eastAsia" w:ascii="Times New Roman" w:hAnsi="Times New Roman" w:cs="Times New Roman"/>
          <w:kern w:val="0"/>
          <w:szCs w:val="24"/>
        </w:rPr>
        <w:t>硫酸雾</w:t>
      </w:r>
      <w:r>
        <w:rPr>
          <w:rFonts w:ascii="Times New Roman" w:hAnsi="Times New Roman" w:cs="Times New Roman"/>
          <w:kern w:val="0"/>
          <w:szCs w:val="24"/>
        </w:rPr>
        <w:t>对评价区域内各环境敏感点的小时平均浓度贡献值范围在3.0494ug/m</w:t>
      </w:r>
      <w:r>
        <w:rPr>
          <w:rFonts w:ascii="Times New Roman" w:hAnsi="Times New Roman" w:cs="Times New Roman"/>
          <w:kern w:val="0"/>
          <w:szCs w:val="24"/>
          <w:vertAlign w:val="superscript"/>
        </w:rPr>
        <w:t>3</w:t>
      </w:r>
      <w:r>
        <w:rPr>
          <w:rFonts w:ascii="Times New Roman" w:hAnsi="Times New Roman" w:cs="Times New Roman"/>
          <w:kern w:val="0"/>
          <w:szCs w:val="24"/>
        </w:rPr>
        <w:t>~5.9272ug/m</w:t>
      </w:r>
      <w:r>
        <w:rPr>
          <w:rFonts w:ascii="Times New Roman" w:hAnsi="Times New Roman" w:cs="Times New Roman"/>
          <w:kern w:val="0"/>
          <w:szCs w:val="24"/>
          <w:vertAlign w:val="superscript"/>
        </w:rPr>
        <w:t>3</w:t>
      </w:r>
      <w:r>
        <w:rPr>
          <w:rFonts w:ascii="Times New Roman" w:hAnsi="Times New Roman" w:cs="Times New Roman"/>
          <w:kern w:val="0"/>
          <w:szCs w:val="24"/>
        </w:rPr>
        <w:t>之间，占标率为1.028%~</w:t>
      </w:r>
      <w:r>
        <w:rPr>
          <w:rFonts w:ascii="Times New Roman" w:hAnsi="Times New Roman" w:cs="Times New Roman"/>
          <w:szCs w:val="24"/>
        </w:rPr>
        <w:t>1.98</w:t>
      </w:r>
      <w:r>
        <w:rPr>
          <w:rFonts w:ascii="Times New Roman" w:hAnsi="Times New Roman" w:cs="Times New Roman"/>
          <w:kern w:val="0"/>
          <w:szCs w:val="24"/>
        </w:rPr>
        <w:t>%，各敏感点小时平均浓度贡献值均达标；区域</w:t>
      </w:r>
      <w:r>
        <w:rPr>
          <w:rFonts w:hint="eastAsia" w:ascii="Times New Roman" w:hAnsi="Times New Roman" w:cs="Times New Roman"/>
          <w:kern w:val="0"/>
          <w:szCs w:val="24"/>
        </w:rPr>
        <w:t>网格点</w:t>
      </w:r>
      <w:r>
        <w:rPr>
          <w:rFonts w:ascii="Times New Roman" w:hAnsi="Times New Roman" w:cs="Times New Roman"/>
          <w:kern w:val="0"/>
          <w:szCs w:val="24"/>
        </w:rPr>
        <w:t>最大地面小时平均浓度点贡献值为47.1730mg/m</w:t>
      </w:r>
      <w:r>
        <w:rPr>
          <w:rFonts w:ascii="Times New Roman" w:hAnsi="Times New Roman" w:cs="Times New Roman"/>
          <w:kern w:val="0"/>
          <w:szCs w:val="24"/>
          <w:vertAlign w:val="superscript"/>
        </w:rPr>
        <w:t>3</w:t>
      </w:r>
      <w:r>
        <w:rPr>
          <w:rFonts w:ascii="Times New Roman" w:hAnsi="Times New Roman" w:cs="Times New Roman"/>
          <w:kern w:val="0"/>
          <w:szCs w:val="24"/>
        </w:rPr>
        <w:t>，占标率为15.72%，所有网格点小时平均浓度均达</w:t>
      </w:r>
      <w:r>
        <w:rPr>
          <w:rFonts w:ascii="Times New Roman" w:hAnsi="Times New Roman" w:cs="Times New Roman"/>
          <w:kern w:val="0"/>
          <w:szCs w:val="20"/>
        </w:rPr>
        <w:t>标。</w:t>
      </w:r>
    </w:p>
    <w:p>
      <w:pPr>
        <w:adjustRightInd/>
        <w:snapToGrid/>
        <w:ind w:left="206" w:leftChars="1" w:hanging="204" w:hangingChars="85"/>
        <w:rPr>
          <w:rFonts w:ascii="Times New Roman" w:hAnsi="Times New Roman" w:cs="Times New Roman"/>
          <w:kern w:val="0"/>
          <w:szCs w:val="20"/>
        </w:rPr>
      </w:pPr>
      <w:r>
        <w:drawing>
          <wp:inline distT="0" distB="0" distL="0" distR="0">
            <wp:extent cx="5760720" cy="3677920"/>
            <wp:effectExtent l="0" t="0" r="0" b="0"/>
            <wp:docPr id="897" name="图片 8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7" name="图片 897"/>
                    <pic:cNvPicPr>
                      <a:picLocks noChangeAspect="true"/>
                    </pic:cNvPicPr>
                  </pic:nvPicPr>
                  <pic:blipFill>
                    <a:blip r:embed="rId175">
                      <a:extLst>
                        <a:ext uri="{BEBA8EAE-BF5A-486C-A8C5-ECC9F3942E4B}">
                          <a14:imgProps xmlns:a14="http://schemas.microsoft.com/office/drawing/2010/main">
                            <a14:imgLayer r:embed="rId176">
                              <a14:imgEffect>
                                <a14:brightnessContrast bright="39000" contrast="-46000"/>
                              </a14:imgEffect>
                            </a14:imgLayer>
                          </a14:imgProps>
                        </a:ext>
                      </a:extLst>
                    </a:blip>
                    <a:stretch>
                      <a:fillRect/>
                    </a:stretch>
                  </pic:blipFill>
                  <pic:spPr>
                    <a:xfrm>
                      <a:off x="0" y="0"/>
                      <a:ext cx="5760720" cy="3677920"/>
                    </a:xfrm>
                    <a:prstGeom prst="rect">
                      <a:avLst/>
                    </a:prstGeom>
                  </pic:spPr>
                </pic:pic>
              </a:graphicData>
            </a:graphic>
          </wp:inline>
        </w:drawing>
      </w:r>
    </w:p>
    <w:p>
      <w:pPr>
        <w:adjustRightInd/>
        <w:snapToGrid/>
        <w:ind w:left="181" w:leftChars="1" w:hanging="179" w:hangingChars="85"/>
        <w:jc w:val="center"/>
        <w:rPr>
          <w:rFonts w:ascii="Times New Roman" w:hAnsi="Times New Roman" w:cs="Times New Roman"/>
          <w:kern w:val="0"/>
          <w:szCs w:val="20"/>
        </w:rPr>
      </w:pPr>
      <w:r>
        <w:rPr>
          <w:rFonts w:ascii="Times New Roman" w:hAnsi="Times New Roman" w:cs="Times New Roman"/>
          <w:b/>
          <w:bCs/>
          <w:kern w:val="0"/>
          <w:sz w:val="21"/>
          <w:szCs w:val="21"/>
        </w:rPr>
        <w:t>图5.2-8  非正常工况区域网格点</w:t>
      </w:r>
      <w:r>
        <w:rPr>
          <w:rFonts w:hint="eastAsia" w:ascii="Times New Roman" w:hAnsi="Times New Roman" w:cs="Times New Roman"/>
          <w:b/>
          <w:bCs/>
          <w:kern w:val="0"/>
          <w:sz w:val="21"/>
          <w:szCs w:val="21"/>
        </w:rPr>
        <w:t>硫酸雾</w:t>
      </w:r>
      <w:r>
        <w:rPr>
          <w:rFonts w:ascii="Times New Roman" w:hAnsi="Times New Roman" w:cs="Times New Roman"/>
          <w:b/>
          <w:bCs/>
          <w:kern w:val="0"/>
          <w:sz w:val="21"/>
          <w:szCs w:val="21"/>
        </w:rPr>
        <w:t>小时均值贡献浓度分布图（单位：μg/m</w:t>
      </w:r>
      <w:r>
        <w:rPr>
          <w:rFonts w:ascii="Times New Roman" w:hAnsi="Times New Roman" w:cs="Times New Roman"/>
          <w:b/>
          <w:bCs/>
          <w:kern w:val="0"/>
          <w:sz w:val="21"/>
          <w:szCs w:val="21"/>
          <w:vertAlign w:val="superscript"/>
        </w:rPr>
        <w:t>3</w:t>
      </w:r>
      <w:r>
        <w:rPr>
          <w:rFonts w:ascii="Times New Roman" w:hAnsi="Times New Roman" w:cs="Times New Roman"/>
          <w:b/>
          <w:bCs/>
          <w:kern w:val="0"/>
          <w:sz w:val="21"/>
          <w:szCs w:val="21"/>
        </w:rPr>
        <w:t>）</w:t>
      </w:r>
    </w:p>
    <w:p>
      <w:pPr>
        <w:spacing w:line="480" w:lineRule="exact"/>
        <w:ind w:firstLine="482"/>
        <w:rPr>
          <w:rFonts w:ascii="Times New Roman" w:hAnsi="Times New Roman" w:cs="Times New Roman"/>
          <w:b/>
          <w:szCs w:val="20"/>
        </w:rPr>
      </w:pPr>
      <w:r>
        <w:rPr>
          <w:rFonts w:ascii="Times New Roman" w:hAnsi="Times New Roman" w:cs="Times New Roman"/>
          <w:b/>
          <w:szCs w:val="20"/>
        </w:rPr>
        <w:t>3、区域环境质量评价</w:t>
      </w:r>
    </w:p>
    <w:p>
      <w:pPr>
        <w:widowControl/>
        <w:adjustRightInd/>
        <w:snapToGrid/>
        <w:spacing w:line="480" w:lineRule="exact"/>
        <w:ind w:firstLine="480"/>
        <w:jc w:val="left"/>
        <w:rPr>
          <w:rFonts w:ascii="Times New Roman" w:hAnsi="Times New Roman" w:cs="Times New Roman"/>
          <w:kern w:val="0"/>
          <w:szCs w:val="20"/>
        </w:rPr>
      </w:pPr>
      <w:r>
        <w:rPr>
          <w:rFonts w:hint="eastAsia" w:ascii="Times New Roman" w:hAnsi="Times New Roman" w:cs="Times New Roman"/>
          <w:kern w:val="0"/>
          <w:szCs w:val="20"/>
        </w:rPr>
        <w:t>对本项目排放的非甲烷总烃及硫酸雾大气环境影响贡献值</w:t>
      </w:r>
      <w:r>
        <w:rPr>
          <w:rFonts w:ascii="Times New Roman" w:hAnsi="Times New Roman" w:cs="Times New Roman"/>
          <w:kern w:val="0"/>
          <w:szCs w:val="20"/>
        </w:rPr>
        <w:t>进行现状浓度叠加后环境质量浓度预测与评价。</w:t>
      </w:r>
    </w:p>
    <w:p>
      <w:pPr>
        <w:adjustRightInd/>
        <w:snapToGrid/>
        <w:spacing w:line="480" w:lineRule="exact"/>
        <w:ind w:firstLine="480"/>
        <w:jc w:val="left"/>
        <w:rPr>
          <w:rFonts w:ascii="Times New Roman" w:hAnsi="Times New Roman" w:cs="Times New Roman"/>
          <w:szCs w:val="24"/>
        </w:rPr>
      </w:pPr>
      <w:bookmarkStart w:id="412" w:name="_Hlk11338872"/>
      <w:r>
        <w:rPr>
          <w:rFonts w:ascii="Times New Roman" w:hAnsi="Times New Roman" w:cs="Times New Roman"/>
          <w:szCs w:val="24"/>
        </w:rPr>
        <w:t>非甲烷总烃叠加</w:t>
      </w:r>
      <w:r>
        <w:rPr>
          <w:rFonts w:ascii="Times New Roman" w:hAnsi="Times New Roman" w:cs="Times New Roman"/>
          <w:kern w:val="0"/>
          <w:szCs w:val="20"/>
        </w:rPr>
        <w:t>现状浓度</w:t>
      </w:r>
      <w:r>
        <w:rPr>
          <w:rFonts w:ascii="Times New Roman" w:hAnsi="Times New Roman" w:cs="Times New Roman"/>
          <w:szCs w:val="24"/>
        </w:rPr>
        <w:t>评价后结果见表</w:t>
      </w:r>
      <w:r>
        <w:rPr>
          <w:rFonts w:hint="eastAsia" w:ascii="Times New Roman" w:hAnsi="Times New Roman" w:cs="Times New Roman"/>
          <w:szCs w:val="24"/>
        </w:rPr>
        <w:t>5</w:t>
      </w:r>
      <w:r>
        <w:rPr>
          <w:rFonts w:ascii="Times New Roman" w:hAnsi="Times New Roman" w:cs="Times New Roman"/>
          <w:szCs w:val="24"/>
        </w:rPr>
        <w:t>.2-20。</w:t>
      </w:r>
      <w:bookmarkEnd w:id="412"/>
    </w:p>
    <w:p>
      <w:pPr>
        <w:pStyle w:val="2461"/>
        <w:overflowPunct w:val="0"/>
        <w:adjustRightInd/>
        <w:snapToGrid/>
        <w:spacing w:line="240" w:lineRule="auto"/>
        <w:ind w:firstLine="0" w:firstLineChars="0"/>
        <w:rPr>
          <w:rFonts w:eastAsia="宋体" w:cs="Times New Roman"/>
          <w:color w:val="auto"/>
          <w:sz w:val="21"/>
          <w:szCs w:val="21"/>
        </w:rPr>
      </w:pPr>
      <w:r>
        <w:rPr>
          <w:rFonts w:eastAsia="宋体" w:cs="Times New Roman"/>
          <w:color w:val="auto"/>
          <w:sz w:val="21"/>
          <w:szCs w:val="21"/>
        </w:rPr>
        <w:t>表5.2-20 本项目叠加背景值后非甲烷总烃最大</w:t>
      </w:r>
      <w:r>
        <w:rPr>
          <w:rFonts w:hint="eastAsia" w:eastAsia="宋体" w:cs="Times New Roman"/>
          <w:color w:val="auto"/>
          <w:sz w:val="21"/>
          <w:szCs w:val="21"/>
        </w:rPr>
        <w:t>1</w:t>
      </w:r>
      <w:r>
        <w:rPr>
          <w:rFonts w:eastAsia="宋体" w:cs="Times New Roman"/>
          <w:color w:val="auto"/>
          <w:sz w:val="21"/>
          <w:szCs w:val="21"/>
        </w:rPr>
        <w:t>小时平均浓度预测结果一览表</w:t>
      </w:r>
    </w:p>
    <w:tbl>
      <w:tblPr>
        <w:tblStyle w:val="62"/>
        <w:tblW w:w="921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90"/>
        <w:gridCol w:w="1494"/>
        <w:gridCol w:w="829"/>
        <w:gridCol w:w="1538"/>
        <w:gridCol w:w="1630"/>
        <w:gridCol w:w="1630"/>
        <w:gridCol w:w="817"/>
        <w:gridCol w:w="7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9" w:hRule="atLeast"/>
        </w:trPr>
        <w:tc>
          <w:tcPr>
            <w:tcW w:w="490"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序号</w:t>
            </w:r>
          </w:p>
        </w:tc>
        <w:tc>
          <w:tcPr>
            <w:tcW w:w="1494"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预测点</w:t>
            </w:r>
          </w:p>
        </w:tc>
        <w:tc>
          <w:tcPr>
            <w:tcW w:w="829"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平均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时段</w:t>
            </w:r>
          </w:p>
        </w:tc>
        <w:tc>
          <w:tcPr>
            <w:tcW w:w="1538"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最大贡献值</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（μg/m</w:t>
            </w:r>
            <w:r>
              <w:rPr>
                <w:rFonts w:ascii="Times New Roman" w:hAnsi="Times New Roman" w:cs="Times New Roman"/>
                <w:sz w:val="18"/>
                <w:szCs w:val="18"/>
                <w:vertAlign w:val="superscript"/>
              </w:rPr>
              <w:t>3</w:t>
            </w:r>
            <w:r>
              <w:rPr>
                <w:rFonts w:ascii="Times New Roman" w:hAnsi="Times New Roman" w:cs="Times New Roman"/>
                <w:sz w:val="18"/>
                <w:szCs w:val="18"/>
              </w:rPr>
              <w:t>）</w:t>
            </w:r>
          </w:p>
        </w:tc>
        <w:tc>
          <w:tcPr>
            <w:tcW w:w="1630" w:type="dxa"/>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背景浓度值</w:t>
            </w:r>
          </w:p>
          <w:p>
            <w:pPr>
              <w:pStyle w:val="25"/>
              <w:ind w:firstLine="360"/>
            </w:pPr>
            <w:r>
              <w:rPr>
                <w:rFonts w:ascii="Times New Roman" w:hAnsi="Times New Roman" w:cs="Times New Roman"/>
                <w:sz w:val="18"/>
                <w:szCs w:val="18"/>
              </w:rPr>
              <w:t>（μg/m</w:t>
            </w:r>
            <w:r>
              <w:rPr>
                <w:rFonts w:ascii="Times New Roman" w:hAnsi="Times New Roman" w:cs="Times New Roman"/>
                <w:sz w:val="18"/>
                <w:szCs w:val="18"/>
                <w:vertAlign w:val="superscript"/>
              </w:rPr>
              <w:t>3</w:t>
            </w:r>
            <w:r>
              <w:rPr>
                <w:rFonts w:ascii="Times New Roman" w:hAnsi="Times New Roman" w:cs="Times New Roman"/>
                <w:sz w:val="18"/>
                <w:szCs w:val="18"/>
              </w:rPr>
              <w:t>）</w:t>
            </w:r>
          </w:p>
        </w:tc>
        <w:tc>
          <w:tcPr>
            <w:tcW w:w="1630"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叠加后浓度值</w:t>
            </w:r>
          </w:p>
          <w:p>
            <w:pPr>
              <w:pStyle w:val="25"/>
              <w:ind w:firstLine="360"/>
            </w:pPr>
            <w:r>
              <w:rPr>
                <w:rFonts w:ascii="Times New Roman" w:hAnsi="Times New Roman" w:cs="Times New Roman"/>
                <w:sz w:val="18"/>
                <w:szCs w:val="18"/>
              </w:rPr>
              <w:t>（μg/m</w:t>
            </w:r>
            <w:r>
              <w:rPr>
                <w:rFonts w:ascii="Times New Roman" w:hAnsi="Times New Roman" w:cs="Times New Roman"/>
                <w:sz w:val="18"/>
                <w:szCs w:val="18"/>
                <w:vertAlign w:val="superscript"/>
              </w:rPr>
              <w:t>3</w:t>
            </w:r>
            <w:r>
              <w:rPr>
                <w:rFonts w:ascii="Times New Roman" w:hAnsi="Times New Roman" w:cs="Times New Roman"/>
                <w:sz w:val="18"/>
                <w:szCs w:val="18"/>
              </w:rPr>
              <w:t>）</w:t>
            </w:r>
          </w:p>
        </w:tc>
        <w:tc>
          <w:tcPr>
            <w:tcW w:w="817"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占标率（%）</w:t>
            </w:r>
          </w:p>
        </w:tc>
        <w:tc>
          <w:tcPr>
            <w:tcW w:w="783"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达标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 w:hRule="atLeast"/>
        </w:trPr>
        <w:tc>
          <w:tcPr>
            <w:tcW w:w="490"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w:t>
            </w:r>
          </w:p>
        </w:tc>
        <w:tc>
          <w:tcPr>
            <w:tcW w:w="149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循环园管委会</w:t>
            </w:r>
          </w:p>
        </w:tc>
        <w:tc>
          <w:tcPr>
            <w:tcW w:w="82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100.9214</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60</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560.9214</w:t>
            </w:r>
          </w:p>
        </w:tc>
        <w:tc>
          <w:tcPr>
            <w:tcW w:w="817"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28.05</w:t>
            </w:r>
          </w:p>
        </w:tc>
        <w:tc>
          <w:tcPr>
            <w:tcW w:w="783"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0" w:hRule="atLeast"/>
        </w:trPr>
        <w:tc>
          <w:tcPr>
            <w:tcW w:w="490"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w:t>
            </w:r>
          </w:p>
        </w:tc>
        <w:tc>
          <w:tcPr>
            <w:tcW w:w="149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金庵村</w:t>
            </w:r>
          </w:p>
        </w:tc>
        <w:tc>
          <w:tcPr>
            <w:tcW w:w="82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241.1710</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60</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701.171</w:t>
            </w:r>
          </w:p>
        </w:tc>
        <w:tc>
          <w:tcPr>
            <w:tcW w:w="817"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35.06</w:t>
            </w:r>
          </w:p>
        </w:tc>
        <w:tc>
          <w:tcPr>
            <w:tcW w:w="783"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0" w:hRule="atLeast"/>
        </w:trPr>
        <w:tc>
          <w:tcPr>
            <w:tcW w:w="490"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3</w:t>
            </w:r>
          </w:p>
        </w:tc>
        <w:tc>
          <w:tcPr>
            <w:tcW w:w="149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邓基</w:t>
            </w:r>
          </w:p>
        </w:tc>
        <w:tc>
          <w:tcPr>
            <w:tcW w:w="82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266.8591</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60</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726.8591</w:t>
            </w:r>
          </w:p>
        </w:tc>
        <w:tc>
          <w:tcPr>
            <w:tcW w:w="817"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36.34</w:t>
            </w:r>
          </w:p>
        </w:tc>
        <w:tc>
          <w:tcPr>
            <w:tcW w:w="783"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490"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4</w:t>
            </w:r>
          </w:p>
        </w:tc>
        <w:tc>
          <w:tcPr>
            <w:tcW w:w="149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上张村</w:t>
            </w:r>
          </w:p>
        </w:tc>
        <w:tc>
          <w:tcPr>
            <w:tcW w:w="82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343.6354</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60</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803.6354</w:t>
            </w:r>
          </w:p>
        </w:tc>
        <w:tc>
          <w:tcPr>
            <w:tcW w:w="817"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40.18</w:t>
            </w:r>
          </w:p>
        </w:tc>
        <w:tc>
          <w:tcPr>
            <w:tcW w:w="783"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0" w:hRule="atLeast"/>
        </w:trPr>
        <w:tc>
          <w:tcPr>
            <w:tcW w:w="490"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5</w:t>
            </w:r>
          </w:p>
        </w:tc>
        <w:tc>
          <w:tcPr>
            <w:tcW w:w="149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周大小郢</w:t>
            </w:r>
          </w:p>
        </w:tc>
        <w:tc>
          <w:tcPr>
            <w:tcW w:w="82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216.2094</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60</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676.2094</w:t>
            </w:r>
          </w:p>
        </w:tc>
        <w:tc>
          <w:tcPr>
            <w:tcW w:w="817"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33.81</w:t>
            </w:r>
          </w:p>
        </w:tc>
        <w:tc>
          <w:tcPr>
            <w:tcW w:w="783"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0" w:hRule="atLeast"/>
        </w:trPr>
        <w:tc>
          <w:tcPr>
            <w:tcW w:w="490"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6</w:t>
            </w:r>
          </w:p>
        </w:tc>
        <w:tc>
          <w:tcPr>
            <w:tcW w:w="149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撮镇安置小区</w:t>
            </w:r>
          </w:p>
        </w:tc>
        <w:tc>
          <w:tcPr>
            <w:tcW w:w="82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135.4179</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60</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595.4179</w:t>
            </w:r>
          </w:p>
        </w:tc>
        <w:tc>
          <w:tcPr>
            <w:tcW w:w="817"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29.77</w:t>
            </w:r>
          </w:p>
        </w:tc>
        <w:tc>
          <w:tcPr>
            <w:tcW w:w="783"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98" w:hRule="atLeast"/>
        </w:trPr>
        <w:tc>
          <w:tcPr>
            <w:tcW w:w="490"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w:t>
            </w:r>
          </w:p>
        </w:tc>
        <w:tc>
          <w:tcPr>
            <w:tcW w:w="149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大姚</w:t>
            </w:r>
            <w:r>
              <w:rPr>
                <w:rFonts w:ascii="Times New Roman" w:hAnsi="Times New Roman" w:cs="Times New Roman"/>
                <w:sz w:val="18"/>
                <w:szCs w:val="18"/>
              </w:rPr>
              <w:t>村</w:t>
            </w:r>
          </w:p>
        </w:tc>
        <w:tc>
          <w:tcPr>
            <w:tcW w:w="82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207.2906</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60</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667.2906</w:t>
            </w:r>
          </w:p>
        </w:tc>
        <w:tc>
          <w:tcPr>
            <w:tcW w:w="817"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33.36</w:t>
            </w:r>
          </w:p>
        </w:tc>
        <w:tc>
          <w:tcPr>
            <w:tcW w:w="783"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trPr>
        <w:tc>
          <w:tcPr>
            <w:tcW w:w="490"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8</w:t>
            </w:r>
          </w:p>
        </w:tc>
        <w:tc>
          <w:tcPr>
            <w:tcW w:w="149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三联护理学院</w:t>
            </w:r>
          </w:p>
        </w:tc>
        <w:tc>
          <w:tcPr>
            <w:tcW w:w="82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315.2634</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60</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775.2634</w:t>
            </w:r>
          </w:p>
        </w:tc>
        <w:tc>
          <w:tcPr>
            <w:tcW w:w="817"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38.76</w:t>
            </w:r>
          </w:p>
        </w:tc>
        <w:tc>
          <w:tcPr>
            <w:tcW w:w="783"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8" w:hRule="atLeast"/>
        </w:trPr>
        <w:tc>
          <w:tcPr>
            <w:tcW w:w="490"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9</w:t>
            </w:r>
          </w:p>
        </w:tc>
        <w:tc>
          <w:tcPr>
            <w:tcW w:w="149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先锋小区</w:t>
            </w:r>
          </w:p>
        </w:tc>
        <w:tc>
          <w:tcPr>
            <w:tcW w:w="82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58.5734</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60</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618.5734</w:t>
            </w:r>
          </w:p>
        </w:tc>
        <w:tc>
          <w:tcPr>
            <w:tcW w:w="817"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30.93</w:t>
            </w:r>
          </w:p>
        </w:tc>
        <w:tc>
          <w:tcPr>
            <w:tcW w:w="783"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490"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8</w:t>
            </w:r>
          </w:p>
        </w:tc>
        <w:tc>
          <w:tcPr>
            <w:tcW w:w="149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网格</w:t>
            </w:r>
          </w:p>
        </w:tc>
        <w:tc>
          <w:tcPr>
            <w:tcW w:w="829"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38"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8</w:t>
            </w:r>
            <w:r>
              <w:rPr>
                <w:rFonts w:ascii="Times New Roman" w:hAnsi="Times New Roman" w:cs="Times New Roman"/>
                <w:sz w:val="18"/>
                <w:szCs w:val="18"/>
              </w:rPr>
              <w:t>43.3541</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4</w:t>
            </w:r>
            <w:r>
              <w:rPr>
                <w:rFonts w:ascii="Times New Roman" w:hAnsi="Times New Roman" w:cs="Times New Roman"/>
                <w:sz w:val="18"/>
                <w:szCs w:val="18"/>
              </w:rPr>
              <w:t>60</w:t>
            </w:r>
          </w:p>
        </w:tc>
        <w:tc>
          <w:tcPr>
            <w:tcW w:w="1630"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1303.354</w:t>
            </w:r>
          </w:p>
        </w:tc>
        <w:tc>
          <w:tcPr>
            <w:tcW w:w="817"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65.17</w:t>
            </w:r>
          </w:p>
        </w:tc>
        <w:tc>
          <w:tcPr>
            <w:tcW w:w="783"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bl>
    <w:p>
      <w:pPr>
        <w:widowControl/>
        <w:adjustRightInd/>
        <w:snapToGrid/>
        <w:spacing w:line="480" w:lineRule="exact"/>
        <w:ind w:firstLine="480"/>
        <w:jc w:val="left"/>
        <w:rPr>
          <w:rFonts w:ascii="Times New Roman" w:hAnsi="Times New Roman" w:cs="Times New Roman"/>
          <w:kern w:val="0"/>
          <w:szCs w:val="24"/>
        </w:rPr>
      </w:pPr>
      <w:r>
        <w:rPr>
          <w:rFonts w:ascii="Times New Roman" w:hAnsi="Times New Roman" w:cs="Times New Roman"/>
          <w:kern w:val="0"/>
          <w:szCs w:val="24"/>
        </w:rPr>
        <w:t>由表5.2-20叠加预测结果可知，预测范围内各环境空气保护目标非甲烷总烃叠加后的小时平均浓度值范围在</w:t>
      </w:r>
      <w:r>
        <w:rPr>
          <w:rFonts w:ascii="Times New Roman" w:hAnsi="Times New Roman" w:cs="Times New Roman"/>
          <w:szCs w:val="24"/>
        </w:rPr>
        <w:t>560.9214</w:t>
      </w:r>
      <w:r>
        <w:rPr>
          <w:rFonts w:ascii="Times New Roman" w:hAnsi="Times New Roman" w:cs="Times New Roman"/>
          <w:kern w:val="0"/>
          <w:szCs w:val="24"/>
        </w:rPr>
        <w:t>μg/m</w:t>
      </w:r>
      <w:r>
        <w:rPr>
          <w:rFonts w:ascii="Times New Roman" w:hAnsi="Times New Roman" w:cs="Times New Roman"/>
          <w:kern w:val="0"/>
          <w:szCs w:val="24"/>
          <w:vertAlign w:val="superscript"/>
        </w:rPr>
        <w:t>3</w:t>
      </w:r>
      <w:r>
        <w:rPr>
          <w:rFonts w:ascii="Times New Roman" w:hAnsi="Times New Roman" w:cs="Times New Roman"/>
          <w:kern w:val="0"/>
          <w:szCs w:val="24"/>
        </w:rPr>
        <w:t>~</w:t>
      </w:r>
      <w:r>
        <w:rPr>
          <w:rFonts w:ascii="Times New Roman" w:hAnsi="Times New Roman" w:cs="Times New Roman"/>
          <w:szCs w:val="24"/>
        </w:rPr>
        <w:t>803.6354</w:t>
      </w:r>
      <w:r>
        <w:rPr>
          <w:rFonts w:ascii="Times New Roman" w:hAnsi="Times New Roman" w:cs="Times New Roman"/>
          <w:kern w:val="0"/>
          <w:szCs w:val="24"/>
        </w:rPr>
        <w:t>μg/m</w:t>
      </w:r>
      <w:r>
        <w:rPr>
          <w:rFonts w:ascii="Times New Roman" w:hAnsi="Times New Roman" w:cs="Times New Roman"/>
          <w:kern w:val="0"/>
          <w:szCs w:val="24"/>
          <w:vertAlign w:val="superscript"/>
        </w:rPr>
        <w:t>3</w:t>
      </w:r>
      <w:r>
        <w:rPr>
          <w:rFonts w:ascii="Times New Roman" w:hAnsi="Times New Roman" w:cs="Times New Roman"/>
          <w:kern w:val="0"/>
          <w:szCs w:val="24"/>
        </w:rPr>
        <w:t>之间，占标率为30.01%~30.05%，各环境空气保护目标非甲烷总烃叠加后的小时平均浓度值均达标，区域最大地面浓度点叠加后浓度为</w:t>
      </w:r>
      <w:r>
        <w:rPr>
          <w:rFonts w:ascii="Times New Roman" w:hAnsi="Times New Roman" w:cs="Times New Roman"/>
          <w:szCs w:val="24"/>
        </w:rPr>
        <w:t>1303.354</w:t>
      </w:r>
      <w:r>
        <w:rPr>
          <w:rFonts w:ascii="Times New Roman" w:hAnsi="Times New Roman" w:cs="Times New Roman"/>
          <w:kern w:val="0"/>
          <w:szCs w:val="24"/>
        </w:rPr>
        <w:t>μg/m</w:t>
      </w:r>
      <w:r>
        <w:rPr>
          <w:rFonts w:ascii="Times New Roman" w:hAnsi="Times New Roman" w:cs="Times New Roman"/>
          <w:kern w:val="0"/>
          <w:szCs w:val="24"/>
          <w:vertAlign w:val="superscript"/>
        </w:rPr>
        <w:t>3</w:t>
      </w:r>
      <w:r>
        <w:rPr>
          <w:rFonts w:ascii="Times New Roman" w:hAnsi="Times New Roman" w:cs="Times New Roman"/>
          <w:kern w:val="0"/>
          <w:szCs w:val="24"/>
        </w:rPr>
        <w:t>，占标率65.17%，所有网格点非甲烷总烃叠加后的小时平均浓度值均达标。</w:t>
      </w:r>
    </w:p>
    <w:p>
      <w:pPr>
        <w:adjustRightInd/>
        <w:snapToGrid/>
        <w:spacing w:line="480" w:lineRule="exact"/>
        <w:ind w:firstLine="480"/>
        <w:jc w:val="left"/>
        <w:rPr>
          <w:rFonts w:ascii="Times New Roman" w:hAnsi="Times New Roman" w:cs="Times New Roman"/>
          <w:szCs w:val="24"/>
        </w:rPr>
      </w:pPr>
      <w:r>
        <w:rPr>
          <w:rFonts w:hint="eastAsia" w:ascii="Times New Roman" w:hAnsi="Times New Roman" w:cs="Times New Roman"/>
          <w:szCs w:val="24"/>
        </w:rPr>
        <w:t>硫酸雾</w:t>
      </w:r>
      <w:r>
        <w:rPr>
          <w:rFonts w:ascii="Times New Roman" w:hAnsi="Times New Roman" w:cs="Times New Roman"/>
          <w:szCs w:val="24"/>
        </w:rPr>
        <w:t>叠加</w:t>
      </w:r>
      <w:r>
        <w:rPr>
          <w:rFonts w:ascii="Times New Roman" w:hAnsi="Times New Roman" w:cs="Times New Roman"/>
          <w:kern w:val="0"/>
          <w:szCs w:val="20"/>
        </w:rPr>
        <w:t>现状浓度</w:t>
      </w:r>
      <w:r>
        <w:rPr>
          <w:rFonts w:ascii="Times New Roman" w:hAnsi="Times New Roman" w:cs="Times New Roman"/>
          <w:szCs w:val="24"/>
        </w:rPr>
        <w:t>评价后结果见表</w:t>
      </w:r>
      <w:r>
        <w:rPr>
          <w:rFonts w:hint="eastAsia" w:ascii="Times New Roman" w:hAnsi="Times New Roman" w:cs="Times New Roman"/>
          <w:szCs w:val="24"/>
        </w:rPr>
        <w:t>5</w:t>
      </w:r>
      <w:r>
        <w:rPr>
          <w:rFonts w:ascii="Times New Roman" w:hAnsi="Times New Roman" w:cs="Times New Roman"/>
          <w:szCs w:val="24"/>
        </w:rPr>
        <w:t>.2-21。</w:t>
      </w:r>
    </w:p>
    <w:p>
      <w:pPr>
        <w:pStyle w:val="2461"/>
        <w:overflowPunct w:val="0"/>
        <w:adjustRightInd/>
        <w:snapToGrid/>
        <w:spacing w:line="240" w:lineRule="auto"/>
        <w:ind w:firstLine="0" w:firstLineChars="0"/>
        <w:rPr>
          <w:rFonts w:eastAsia="宋体" w:cs="Times New Roman"/>
          <w:color w:val="auto"/>
          <w:sz w:val="21"/>
          <w:szCs w:val="21"/>
        </w:rPr>
      </w:pPr>
      <w:r>
        <w:rPr>
          <w:rFonts w:eastAsia="宋体" w:cs="Times New Roman"/>
          <w:color w:val="auto"/>
          <w:sz w:val="21"/>
          <w:szCs w:val="21"/>
        </w:rPr>
        <w:t>表5.2-21  本项目叠加背景值后</w:t>
      </w:r>
      <w:r>
        <w:rPr>
          <w:rFonts w:hint="eastAsia" w:eastAsia="宋体" w:cs="Times New Roman"/>
          <w:color w:val="auto"/>
          <w:sz w:val="21"/>
          <w:szCs w:val="21"/>
        </w:rPr>
        <w:t>硫酸雾</w:t>
      </w:r>
      <w:r>
        <w:rPr>
          <w:rFonts w:eastAsia="宋体" w:cs="Times New Roman"/>
          <w:color w:val="auto"/>
          <w:sz w:val="21"/>
          <w:szCs w:val="21"/>
        </w:rPr>
        <w:t>最大</w:t>
      </w:r>
      <w:r>
        <w:rPr>
          <w:rFonts w:hint="eastAsia" w:eastAsia="宋体" w:cs="Times New Roman"/>
          <w:color w:val="auto"/>
          <w:sz w:val="21"/>
          <w:szCs w:val="21"/>
        </w:rPr>
        <w:t>1</w:t>
      </w:r>
      <w:r>
        <w:rPr>
          <w:rFonts w:eastAsia="宋体" w:cs="Times New Roman"/>
          <w:color w:val="auto"/>
          <w:sz w:val="21"/>
          <w:szCs w:val="21"/>
        </w:rPr>
        <w:t>小时平均浓度预测结果一览表</w:t>
      </w:r>
    </w:p>
    <w:tbl>
      <w:tblPr>
        <w:tblStyle w:val="62"/>
        <w:tblW w:w="913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86"/>
        <w:gridCol w:w="1481"/>
        <w:gridCol w:w="822"/>
        <w:gridCol w:w="1525"/>
        <w:gridCol w:w="1464"/>
        <w:gridCol w:w="1418"/>
        <w:gridCol w:w="1160"/>
        <w:gridCol w:w="77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1" w:hRule="atLeast"/>
        </w:trPr>
        <w:tc>
          <w:tcPr>
            <w:tcW w:w="486"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序号</w:t>
            </w:r>
          </w:p>
        </w:tc>
        <w:tc>
          <w:tcPr>
            <w:tcW w:w="1481"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预测点</w:t>
            </w:r>
          </w:p>
        </w:tc>
        <w:tc>
          <w:tcPr>
            <w:tcW w:w="822"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平均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时段</w:t>
            </w:r>
          </w:p>
        </w:tc>
        <w:tc>
          <w:tcPr>
            <w:tcW w:w="1525"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最大贡献值</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（μg/m</w:t>
            </w:r>
            <w:r>
              <w:rPr>
                <w:rFonts w:ascii="Times New Roman" w:hAnsi="Times New Roman" w:cs="Times New Roman"/>
                <w:sz w:val="18"/>
                <w:szCs w:val="18"/>
                <w:vertAlign w:val="superscript"/>
              </w:rPr>
              <w:t>3</w:t>
            </w:r>
            <w:r>
              <w:rPr>
                <w:rFonts w:ascii="Times New Roman" w:hAnsi="Times New Roman" w:cs="Times New Roman"/>
                <w:sz w:val="18"/>
                <w:szCs w:val="18"/>
              </w:rPr>
              <w:t>）</w:t>
            </w:r>
          </w:p>
        </w:tc>
        <w:tc>
          <w:tcPr>
            <w:tcW w:w="1464" w:type="dxa"/>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背景浓度值</w:t>
            </w:r>
          </w:p>
          <w:p>
            <w:pPr>
              <w:pStyle w:val="25"/>
              <w:ind w:firstLine="360"/>
            </w:pPr>
            <w:r>
              <w:rPr>
                <w:rFonts w:ascii="Times New Roman" w:hAnsi="Times New Roman" w:cs="Times New Roman"/>
                <w:sz w:val="18"/>
                <w:szCs w:val="18"/>
              </w:rPr>
              <w:t>（μg/m</w:t>
            </w:r>
            <w:r>
              <w:rPr>
                <w:rFonts w:ascii="Times New Roman" w:hAnsi="Times New Roman" w:cs="Times New Roman"/>
                <w:sz w:val="18"/>
                <w:szCs w:val="18"/>
                <w:vertAlign w:val="superscript"/>
              </w:rPr>
              <w:t>3</w:t>
            </w:r>
            <w:r>
              <w:rPr>
                <w:rFonts w:ascii="Times New Roman" w:hAnsi="Times New Roman" w:cs="Times New Roman"/>
                <w:sz w:val="18"/>
                <w:szCs w:val="18"/>
              </w:rPr>
              <w:t>）</w:t>
            </w:r>
          </w:p>
        </w:tc>
        <w:tc>
          <w:tcPr>
            <w:tcW w:w="1418"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叠加后浓度值</w:t>
            </w:r>
          </w:p>
          <w:p>
            <w:pPr>
              <w:pStyle w:val="25"/>
              <w:ind w:firstLine="360"/>
            </w:pPr>
            <w:r>
              <w:rPr>
                <w:rFonts w:ascii="Times New Roman" w:hAnsi="Times New Roman" w:cs="Times New Roman"/>
                <w:sz w:val="18"/>
                <w:szCs w:val="18"/>
              </w:rPr>
              <w:t>（μg/m</w:t>
            </w:r>
            <w:r>
              <w:rPr>
                <w:rFonts w:ascii="Times New Roman" w:hAnsi="Times New Roman" w:cs="Times New Roman"/>
                <w:sz w:val="18"/>
                <w:szCs w:val="18"/>
                <w:vertAlign w:val="superscript"/>
              </w:rPr>
              <w:t>3</w:t>
            </w:r>
            <w:r>
              <w:rPr>
                <w:rFonts w:ascii="Times New Roman" w:hAnsi="Times New Roman" w:cs="Times New Roman"/>
                <w:sz w:val="18"/>
                <w:szCs w:val="18"/>
              </w:rPr>
              <w:t>）</w:t>
            </w:r>
          </w:p>
        </w:tc>
        <w:tc>
          <w:tcPr>
            <w:tcW w:w="1160"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占标率（%）</w:t>
            </w:r>
          </w:p>
        </w:tc>
        <w:tc>
          <w:tcPr>
            <w:tcW w:w="776"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达标</w:t>
            </w:r>
          </w:p>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 w:hRule="atLeast"/>
        </w:trPr>
        <w:tc>
          <w:tcPr>
            <w:tcW w:w="486"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w:t>
            </w:r>
          </w:p>
        </w:tc>
        <w:tc>
          <w:tcPr>
            <w:tcW w:w="148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循环园管委会</w:t>
            </w:r>
          </w:p>
        </w:tc>
        <w:tc>
          <w:tcPr>
            <w:tcW w:w="82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2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1.2681</w:t>
            </w:r>
          </w:p>
        </w:tc>
        <w:tc>
          <w:tcPr>
            <w:tcW w:w="1464"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68</w:t>
            </w:r>
          </w:p>
        </w:tc>
        <w:tc>
          <w:tcPr>
            <w:tcW w:w="1418"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69.2681</w:t>
            </w:r>
          </w:p>
        </w:tc>
        <w:tc>
          <w:tcPr>
            <w:tcW w:w="1160"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23.09</w:t>
            </w:r>
          </w:p>
        </w:tc>
        <w:tc>
          <w:tcPr>
            <w:tcW w:w="776"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486"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w:t>
            </w:r>
          </w:p>
        </w:tc>
        <w:tc>
          <w:tcPr>
            <w:tcW w:w="148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金庵村</w:t>
            </w:r>
          </w:p>
        </w:tc>
        <w:tc>
          <w:tcPr>
            <w:tcW w:w="82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2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1.3050</w:t>
            </w:r>
          </w:p>
        </w:tc>
        <w:tc>
          <w:tcPr>
            <w:tcW w:w="146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68</w:t>
            </w:r>
          </w:p>
        </w:tc>
        <w:tc>
          <w:tcPr>
            <w:tcW w:w="1418"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69.305</w:t>
            </w:r>
          </w:p>
        </w:tc>
        <w:tc>
          <w:tcPr>
            <w:tcW w:w="1160"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23.10</w:t>
            </w:r>
          </w:p>
        </w:tc>
        <w:tc>
          <w:tcPr>
            <w:tcW w:w="776"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486"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3</w:t>
            </w:r>
          </w:p>
        </w:tc>
        <w:tc>
          <w:tcPr>
            <w:tcW w:w="148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邓基</w:t>
            </w:r>
          </w:p>
        </w:tc>
        <w:tc>
          <w:tcPr>
            <w:tcW w:w="82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2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1.5188</w:t>
            </w:r>
          </w:p>
        </w:tc>
        <w:tc>
          <w:tcPr>
            <w:tcW w:w="146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68</w:t>
            </w:r>
          </w:p>
        </w:tc>
        <w:tc>
          <w:tcPr>
            <w:tcW w:w="1418"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69.5188</w:t>
            </w:r>
          </w:p>
        </w:tc>
        <w:tc>
          <w:tcPr>
            <w:tcW w:w="1160"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23.17</w:t>
            </w:r>
          </w:p>
        </w:tc>
        <w:tc>
          <w:tcPr>
            <w:tcW w:w="776"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5" w:hRule="atLeast"/>
        </w:trPr>
        <w:tc>
          <w:tcPr>
            <w:tcW w:w="486"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4</w:t>
            </w:r>
          </w:p>
        </w:tc>
        <w:tc>
          <w:tcPr>
            <w:tcW w:w="148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上张村</w:t>
            </w:r>
          </w:p>
        </w:tc>
        <w:tc>
          <w:tcPr>
            <w:tcW w:w="82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2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1.1172</w:t>
            </w:r>
          </w:p>
        </w:tc>
        <w:tc>
          <w:tcPr>
            <w:tcW w:w="146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68</w:t>
            </w:r>
          </w:p>
        </w:tc>
        <w:tc>
          <w:tcPr>
            <w:tcW w:w="1418"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69.1172</w:t>
            </w:r>
          </w:p>
        </w:tc>
        <w:tc>
          <w:tcPr>
            <w:tcW w:w="1160"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23.04</w:t>
            </w:r>
          </w:p>
        </w:tc>
        <w:tc>
          <w:tcPr>
            <w:tcW w:w="776"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486"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5</w:t>
            </w:r>
          </w:p>
        </w:tc>
        <w:tc>
          <w:tcPr>
            <w:tcW w:w="148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周大小郢</w:t>
            </w:r>
          </w:p>
        </w:tc>
        <w:tc>
          <w:tcPr>
            <w:tcW w:w="82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2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1.0242</w:t>
            </w:r>
          </w:p>
        </w:tc>
        <w:tc>
          <w:tcPr>
            <w:tcW w:w="146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68</w:t>
            </w:r>
          </w:p>
        </w:tc>
        <w:tc>
          <w:tcPr>
            <w:tcW w:w="1418"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69.0242</w:t>
            </w:r>
          </w:p>
        </w:tc>
        <w:tc>
          <w:tcPr>
            <w:tcW w:w="1160"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23.01</w:t>
            </w:r>
          </w:p>
        </w:tc>
        <w:tc>
          <w:tcPr>
            <w:tcW w:w="776"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486"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6</w:t>
            </w:r>
          </w:p>
        </w:tc>
        <w:tc>
          <w:tcPr>
            <w:tcW w:w="148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撮镇安置小区</w:t>
            </w:r>
          </w:p>
        </w:tc>
        <w:tc>
          <w:tcPr>
            <w:tcW w:w="82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2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0.8937</w:t>
            </w:r>
          </w:p>
        </w:tc>
        <w:tc>
          <w:tcPr>
            <w:tcW w:w="146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68</w:t>
            </w:r>
          </w:p>
        </w:tc>
        <w:tc>
          <w:tcPr>
            <w:tcW w:w="1418"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68.8937</w:t>
            </w:r>
          </w:p>
        </w:tc>
        <w:tc>
          <w:tcPr>
            <w:tcW w:w="1160"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22.96</w:t>
            </w:r>
          </w:p>
        </w:tc>
        <w:tc>
          <w:tcPr>
            <w:tcW w:w="776"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0" w:hRule="atLeast"/>
        </w:trPr>
        <w:tc>
          <w:tcPr>
            <w:tcW w:w="486"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w:t>
            </w:r>
          </w:p>
        </w:tc>
        <w:tc>
          <w:tcPr>
            <w:tcW w:w="148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大姚</w:t>
            </w:r>
            <w:r>
              <w:rPr>
                <w:rFonts w:ascii="Times New Roman" w:hAnsi="Times New Roman" w:cs="Times New Roman"/>
                <w:sz w:val="18"/>
                <w:szCs w:val="18"/>
              </w:rPr>
              <w:t>村</w:t>
            </w:r>
          </w:p>
        </w:tc>
        <w:tc>
          <w:tcPr>
            <w:tcW w:w="82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2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0.9769</w:t>
            </w:r>
          </w:p>
        </w:tc>
        <w:tc>
          <w:tcPr>
            <w:tcW w:w="146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68</w:t>
            </w:r>
          </w:p>
        </w:tc>
        <w:tc>
          <w:tcPr>
            <w:tcW w:w="1418"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68.9769</w:t>
            </w:r>
          </w:p>
        </w:tc>
        <w:tc>
          <w:tcPr>
            <w:tcW w:w="1160"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22.99</w:t>
            </w:r>
          </w:p>
        </w:tc>
        <w:tc>
          <w:tcPr>
            <w:tcW w:w="776"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0" w:hRule="atLeast"/>
        </w:trPr>
        <w:tc>
          <w:tcPr>
            <w:tcW w:w="486"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8</w:t>
            </w:r>
          </w:p>
        </w:tc>
        <w:tc>
          <w:tcPr>
            <w:tcW w:w="148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三联护理学院</w:t>
            </w:r>
          </w:p>
        </w:tc>
        <w:tc>
          <w:tcPr>
            <w:tcW w:w="82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2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0.9964</w:t>
            </w:r>
          </w:p>
        </w:tc>
        <w:tc>
          <w:tcPr>
            <w:tcW w:w="146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68</w:t>
            </w:r>
          </w:p>
        </w:tc>
        <w:tc>
          <w:tcPr>
            <w:tcW w:w="1418"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68.9964</w:t>
            </w:r>
          </w:p>
        </w:tc>
        <w:tc>
          <w:tcPr>
            <w:tcW w:w="1160"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23.00</w:t>
            </w:r>
          </w:p>
        </w:tc>
        <w:tc>
          <w:tcPr>
            <w:tcW w:w="776"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0" w:hRule="atLeast"/>
        </w:trPr>
        <w:tc>
          <w:tcPr>
            <w:tcW w:w="486" w:type="dxa"/>
            <w:vAlign w:val="center"/>
          </w:tcPr>
          <w:p>
            <w:pPr>
              <w:spacing w:line="240" w:lineRule="auto"/>
              <w:ind w:firstLine="0" w:firstLineChars="0"/>
              <w:jc w:val="center"/>
              <w:rPr>
                <w:rFonts w:ascii="Times New Roman" w:hAnsi="Times New Roman" w:cs="Times New Roman"/>
                <w:sz w:val="18"/>
                <w:szCs w:val="18"/>
              </w:rPr>
            </w:pPr>
            <w:r>
              <w:rPr>
                <w:rFonts w:hint="eastAsia" w:ascii="Times New Roman" w:hAnsi="Times New Roman" w:cs="Times New Roman"/>
                <w:sz w:val="18"/>
                <w:szCs w:val="18"/>
              </w:rPr>
              <w:t>9</w:t>
            </w:r>
          </w:p>
        </w:tc>
        <w:tc>
          <w:tcPr>
            <w:tcW w:w="148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先锋小区</w:t>
            </w:r>
          </w:p>
        </w:tc>
        <w:tc>
          <w:tcPr>
            <w:tcW w:w="82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25"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0.8965</w:t>
            </w:r>
          </w:p>
        </w:tc>
        <w:tc>
          <w:tcPr>
            <w:tcW w:w="146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68</w:t>
            </w:r>
          </w:p>
        </w:tc>
        <w:tc>
          <w:tcPr>
            <w:tcW w:w="1418"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68.8965</w:t>
            </w:r>
          </w:p>
        </w:tc>
        <w:tc>
          <w:tcPr>
            <w:tcW w:w="1160"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22.97</w:t>
            </w:r>
          </w:p>
        </w:tc>
        <w:tc>
          <w:tcPr>
            <w:tcW w:w="776"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5" w:hRule="atLeast"/>
        </w:trPr>
        <w:tc>
          <w:tcPr>
            <w:tcW w:w="486" w:type="dxa"/>
            <w:vAlign w:val="center"/>
          </w:tcPr>
          <w:p>
            <w:pPr>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8</w:t>
            </w:r>
          </w:p>
        </w:tc>
        <w:tc>
          <w:tcPr>
            <w:tcW w:w="1481"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网格</w:t>
            </w:r>
          </w:p>
        </w:tc>
        <w:tc>
          <w:tcPr>
            <w:tcW w:w="822"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小时值</w:t>
            </w:r>
          </w:p>
        </w:tc>
        <w:tc>
          <w:tcPr>
            <w:tcW w:w="1525"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11.5017</w:t>
            </w:r>
          </w:p>
        </w:tc>
        <w:tc>
          <w:tcPr>
            <w:tcW w:w="1464" w:type="dxa"/>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68</w:t>
            </w:r>
          </w:p>
        </w:tc>
        <w:tc>
          <w:tcPr>
            <w:tcW w:w="1418"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79.5017</w:t>
            </w:r>
          </w:p>
        </w:tc>
        <w:tc>
          <w:tcPr>
            <w:tcW w:w="1160" w:type="dxa"/>
            <w:vAlign w:val="bottom"/>
          </w:tcPr>
          <w:p>
            <w:pPr>
              <w:widowControl/>
              <w:spacing w:line="240" w:lineRule="auto"/>
              <w:ind w:firstLine="0" w:firstLineChars="0"/>
              <w:jc w:val="center"/>
              <w:textAlignment w:val="center"/>
              <w:rPr>
                <w:rFonts w:ascii="Times New Roman" w:hAnsi="Times New Roman" w:cs="Times New Roman"/>
                <w:sz w:val="18"/>
                <w:szCs w:val="18"/>
              </w:rPr>
            </w:pPr>
            <w:r>
              <w:rPr>
                <w:rFonts w:hint="eastAsia" w:ascii="Times New Roman" w:hAnsi="Times New Roman" w:cs="Times New Roman"/>
                <w:sz w:val="18"/>
                <w:szCs w:val="18"/>
              </w:rPr>
              <w:t>26.50</w:t>
            </w:r>
          </w:p>
        </w:tc>
        <w:tc>
          <w:tcPr>
            <w:tcW w:w="776" w:type="dxa"/>
            <w:vAlign w:val="center"/>
          </w:tcPr>
          <w:p>
            <w:pPr>
              <w:widowControl/>
              <w:spacing w:line="240" w:lineRule="auto"/>
              <w:ind w:firstLine="0" w:firstLineChars="0"/>
              <w:jc w:val="center"/>
              <w:textAlignment w:val="center"/>
              <w:rPr>
                <w:rFonts w:ascii="Times New Roman" w:hAnsi="Times New Roman" w:cs="Times New Roman"/>
                <w:sz w:val="18"/>
                <w:szCs w:val="18"/>
              </w:rPr>
            </w:pPr>
            <w:r>
              <w:rPr>
                <w:rFonts w:ascii="Times New Roman" w:hAnsi="Times New Roman" w:cs="Times New Roman"/>
                <w:sz w:val="18"/>
                <w:szCs w:val="18"/>
              </w:rPr>
              <w:t>达标</w:t>
            </w:r>
          </w:p>
        </w:tc>
      </w:tr>
    </w:tbl>
    <w:p>
      <w:pPr>
        <w:pStyle w:val="25"/>
        <w:spacing w:line="360" w:lineRule="auto"/>
        <w:ind w:firstLine="480"/>
      </w:pPr>
      <w:r>
        <w:rPr>
          <w:rFonts w:ascii="Times New Roman" w:hAnsi="Times New Roman" w:cs="Times New Roman"/>
          <w:kern w:val="0"/>
          <w:szCs w:val="24"/>
        </w:rPr>
        <w:t>由表5.2-21叠加预测结果可知，预测范围内各环境空气保护目标</w:t>
      </w:r>
      <w:r>
        <w:rPr>
          <w:rFonts w:hint="eastAsia" w:ascii="Times New Roman" w:hAnsi="Times New Roman" w:cs="Times New Roman"/>
          <w:kern w:val="0"/>
          <w:szCs w:val="24"/>
        </w:rPr>
        <w:t>硫酸雾</w:t>
      </w:r>
      <w:r>
        <w:rPr>
          <w:rFonts w:ascii="Times New Roman" w:hAnsi="Times New Roman" w:cs="Times New Roman"/>
          <w:kern w:val="0"/>
          <w:szCs w:val="24"/>
        </w:rPr>
        <w:t>叠加后的小时平均浓度值范围在</w:t>
      </w:r>
      <w:r>
        <w:rPr>
          <w:rFonts w:ascii="Times New Roman" w:hAnsi="Times New Roman" w:cs="Times New Roman"/>
          <w:szCs w:val="24"/>
        </w:rPr>
        <w:t>68.8937</w:t>
      </w:r>
      <w:r>
        <w:rPr>
          <w:rFonts w:ascii="Times New Roman" w:hAnsi="Times New Roman" w:cs="Times New Roman"/>
          <w:kern w:val="0"/>
          <w:szCs w:val="24"/>
        </w:rPr>
        <w:t>μg/m</w:t>
      </w:r>
      <w:r>
        <w:rPr>
          <w:rFonts w:ascii="Times New Roman" w:hAnsi="Times New Roman" w:cs="Times New Roman"/>
          <w:kern w:val="0"/>
          <w:szCs w:val="24"/>
          <w:vertAlign w:val="superscript"/>
        </w:rPr>
        <w:t>3</w:t>
      </w:r>
      <w:r>
        <w:rPr>
          <w:rFonts w:ascii="Times New Roman" w:hAnsi="Times New Roman" w:cs="Times New Roman"/>
          <w:kern w:val="0"/>
          <w:szCs w:val="24"/>
        </w:rPr>
        <w:t>~</w:t>
      </w:r>
      <w:r>
        <w:rPr>
          <w:rFonts w:ascii="Times New Roman" w:hAnsi="Times New Roman" w:cs="Times New Roman"/>
          <w:szCs w:val="24"/>
        </w:rPr>
        <w:t>69.5188</w:t>
      </w:r>
      <w:r>
        <w:rPr>
          <w:rFonts w:ascii="Times New Roman" w:hAnsi="Times New Roman" w:cs="Times New Roman"/>
          <w:kern w:val="0"/>
          <w:szCs w:val="24"/>
        </w:rPr>
        <w:t>μg/m</w:t>
      </w:r>
      <w:r>
        <w:rPr>
          <w:rFonts w:ascii="Times New Roman" w:hAnsi="Times New Roman" w:cs="Times New Roman"/>
          <w:kern w:val="0"/>
          <w:szCs w:val="24"/>
          <w:vertAlign w:val="superscript"/>
        </w:rPr>
        <w:t>3</w:t>
      </w:r>
      <w:r>
        <w:rPr>
          <w:rFonts w:ascii="Times New Roman" w:hAnsi="Times New Roman" w:cs="Times New Roman"/>
          <w:kern w:val="0"/>
          <w:szCs w:val="24"/>
        </w:rPr>
        <w:t>之间，占标率为22.96%~23.17%，各环境空气保护目标</w:t>
      </w:r>
      <w:r>
        <w:rPr>
          <w:rFonts w:hint="eastAsia" w:ascii="Times New Roman" w:hAnsi="Times New Roman" w:cs="Times New Roman"/>
          <w:kern w:val="0"/>
          <w:szCs w:val="24"/>
        </w:rPr>
        <w:t>硫酸雾</w:t>
      </w:r>
      <w:r>
        <w:rPr>
          <w:rFonts w:ascii="Times New Roman" w:hAnsi="Times New Roman" w:cs="Times New Roman"/>
          <w:kern w:val="0"/>
          <w:szCs w:val="24"/>
        </w:rPr>
        <w:t>叠加后的小时平均浓度值均达标，区域最大地面浓度点叠加后浓度为</w:t>
      </w:r>
      <w:r>
        <w:rPr>
          <w:rFonts w:hint="eastAsia" w:ascii="Times New Roman" w:hAnsi="Times New Roman" w:cs="Times New Roman"/>
          <w:szCs w:val="24"/>
        </w:rPr>
        <w:t>79.5017</w:t>
      </w:r>
      <w:r>
        <w:rPr>
          <w:rFonts w:ascii="Times New Roman" w:hAnsi="Times New Roman" w:cs="Times New Roman"/>
          <w:kern w:val="0"/>
          <w:szCs w:val="24"/>
        </w:rPr>
        <w:t>μg/m</w:t>
      </w:r>
      <w:r>
        <w:rPr>
          <w:rFonts w:ascii="Times New Roman" w:hAnsi="Times New Roman" w:cs="Times New Roman"/>
          <w:kern w:val="0"/>
          <w:szCs w:val="24"/>
          <w:vertAlign w:val="superscript"/>
        </w:rPr>
        <w:t>3</w:t>
      </w:r>
      <w:r>
        <w:rPr>
          <w:rFonts w:ascii="Times New Roman" w:hAnsi="Times New Roman" w:cs="Times New Roman"/>
          <w:kern w:val="0"/>
          <w:szCs w:val="24"/>
        </w:rPr>
        <w:t>，占标率26.5%，所有网格点</w:t>
      </w:r>
      <w:r>
        <w:rPr>
          <w:rFonts w:hint="eastAsia" w:ascii="Times New Roman" w:hAnsi="Times New Roman" w:cs="Times New Roman"/>
          <w:kern w:val="0"/>
          <w:szCs w:val="24"/>
        </w:rPr>
        <w:t>硫酸雾</w:t>
      </w:r>
      <w:r>
        <w:rPr>
          <w:rFonts w:ascii="Times New Roman" w:hAnsi="Times New Roman" w:cs="Times New Roman"/>
          <w:kern w:val="0"/>
          <w:szCs w:val="24"/>
        </w:rPr>
        <w:t>叠加后的小时平均浓度值均达标。</w:t>
      </w:r>
    </w:p>
    <w:p>
      <w:pPr>
        <w:pStyle w:val="4"/>
        <w:spacing w:before="166" w:beforeLines="50"/>
        <w:rPr>
          <w:rFonts w:ascii="Times New Roman" w:hAnsi="Times New Roman" w:cs="Times New Roman"/>
          <w:color w:val="auto"/>
          <w:szCs w:val="24"/>
        </w:rPr>
      </w:pPr>
      <w:r>
        <w:rPr>
          <w:rFonts w:ascii="Times New Roman" w:hAnsi="Times New Roman" w:cs="Times New Roman"/>
          <w:color w:val="auto"/>
          <w:szCs w:val="24"/>
        </w:rPr>
        <w:t>5.2.8大气污染物排放量核算</w:t>
      </w:r>
      <w:bookmarkEnd w:id="410"/>
      <w:bookmarkEnd w:id="411"/>
    </w:p>
    <w:p>
      <w:pPr>
        <w:ind w:firstLine="480"/>
        <w:rPr>
          <w:rFonts w:ascii="Times New Roman" w:hAnsi="Times New Roman" w:cs="Times New Roman"/>
          <w:color w:val="auto"/>
        </w:rPr>
      </w:pPr>
      <w:r>
        <w:rPr>
          <w:rFonts w:ascii="Times New Roman" w:hAnsi="Times New Roman" w:cs="Times New Roman"/>
          <w:color w:val="auto"/>
        </w:rPr>
        <w:t>（1）有组织排放量核算</w:t>
      </w:r>
    </w:p>
    <w:p>
      <w:pPr>
        <w:pStyle w:val="1062"/>
        <w:widowControl w:val="0"/>
        <w:spacing w:line="240" w:lineRule="auto"/>
        <w:ind w:left="0"/>
        <w:rPr>
          <w:rFonts w:ascii="Times New Roman" w:hAnsi="Times New Roman" w:eastAsia="宋体" w:cs="Times New Roman"/>
          <w:bCs/>
          <w:color w:val="auto"/>
          <w:sz w:val="21"/>
          <w:szCs w:val="21"/>
          <w:lang w:val="zh-CN"/>
        </w:rPr>
      </w:pPr>
      <w:r>
        <w:rPr>
          <w:rFonts w:ascii="Times New Roman" w:hAnsi="Times New Roman" w:eastAsia="宋体" w:cs="Times New Roman"/>
          <w:bCs/>
          <w:color w:val="auto"/>
          <w:sz w:val="21"/>
          <w:szCs w:val="21"/>
          <w:lang w:val="zh-CN"/>
        </w:rPr>
        <w:t>表5.2-22</w:t>
      </w:r>
      <w:r>
        <w:rPr>
          <w:rFonts w:ascii="Times New Roman" w:hAnsi="Times New Roman" w:eastAsia="宋体" w:cs="Times New Roman"/>
          <w:bCs/>
          <w:color w:val="auto"/>
          <w:sz w:val="21"/>
          <w:szCs w:val="21"/>
        </w:rPr>
        <w:t xml:space="preserve">  </w:t>
      </w:r>
      <w:r>
        <w:rPr>
          <w:rFonts w:ascii="Times New Roman" w:hAnsi="Times New Roman" w:eastAsia="宋体" w:cs="Times New Roman"/>
          <w:bCs/>
          <w:color w:val="auto"/>
          <w:sz w:val="21"/>
          <w:szCs w:val="21"/>
          <w:lang w:val="zh-CN"/>
        </w:rPr>
        <w:t>本项目大气污染物有组织排放量核算表</w:t>
      </w:r>
    </w:p>
    <w:tbl>
      <w:tblPr>
        <w:tblStyle w:val="62"/>
        <w:tblW w:w="9052"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453"/>
        <w:gridCol w:w="1805"/>
        <w:gridCol w:w="1276"/>
        <w:gridCol w:w="1843"/>
        <w:gridCol w:w="1984"/>
        <w:gridCol w:w="169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453"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pacing w:val="-2"/>
                <w:kern w:val="0"/>
                <w:sz w:val="18"/>
                <w:szCs w:val="18"/>
                <w:lang w:bidi="ar"/>
              </w:rPr>
              <w:t>序号</w:t>
            </w:r>
          </w:p>
        </w:tc>
        <w:tc>
          <w:tcPr>
            <w:tcW w:w="1805"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pacing w:val="-2"/>
                <w:kern w:val="0"/>
                <w:sz w:val="18"/>
                <w:szCs w:val="18"/>
                <w:lang w:bidi="ar"/>
              </w:rPr>
              <w:t>排放口编号</w:t>
            </w:r>
          </w:p>
        </w:tc>
        <w:tc>
          <w:tcPr>
            <w:tcW w:w="1276"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pacing w:val="-2"/>
                <w:kern w:val="0"/>
                <w:sz w:val="18"/>
                <w:szCs w:val="18"/>
                <w:lang w:bidi="ar"/>
              </w:rPr>
              <w:t>污染物</w:t>
            </w:r>
          </w:p>
        </w:tc>
        <w:tc>
          <w:tcPr>
            <w:tcW w:w="1843"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pacing w:val="-2"/>
                <w:kern w:val="0"/>
                <w:sz w:val="18"/>
                <w:szCs w:val="18"/>
                <w:lang w:bidi="ar"/>
              </w:rPr>
              <w:t>核算排放浓度/（mg/m</w:t>
            </w:r>
            <w:r>
              <w:rPr>
                <w:rFonts w:ascii="Times New Roman" w:hAnsi="Times New Roman" w:cs="Times New Roman"/>
                <w:color w:val="auto"/>
                <w:spacing w:val="-2"/>
                <w:kern w:val="0"/>
                <w:sz w:val="18"/>
                <w:szCs w:val="18"/>
                <w:vertAlign w:val="superscript"/>
                <w:lang w:bidi="ar"/>
              </w:rPr>
              <w:t>3</w:t>
            </w:r>
            <w:r>
              <w:rPr>
                <w:rFonts w:ascii="Times New Roman" w:hAnsi="Times New Roman" w:cs="Times New Roman"/>
                <w:color w:val="auto"/>
                <w:spacing w:val="-2"/>
                <w:kern w:val="0"/>
                <w:sz w:val="18"/>
                <w:szCs w:val="18"/>
                <w:lang w:bidi="ar"/>
              </w:rPr>
              <w:t>）</w:t>
            </w:r>
          </w:p>
        </w:tc>
        <w:tc>
          <w:tcPr>
            <w:tcW w:w="1984"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pacing w:val="-2"/>
                <w:kern w:val="0"/>
                <w:sz w:val="18"/>
                <w:szCs w:val="18"/>
                <w:lang w:bidi="ar"/>
              </w:rPr>
              <w:t>核算排放速率/（kg/h）</w:t>
            </w:r>
          </w:p>
        </w:tc>
        <w:tc>
          <w:tcPr>
            <w:tcW w:w="1691"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pacing w:val="-2"/>
                <w:kern w:val="0"/>
                <w:sz w:val="18"/>
                <w:szCs w:val="18"/>
                <w:lang w:bidi="ar"/>
              </w:rPr>
              <w:t>核算年排放量/（t/a）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9052" w:type="dxa"/>
            <w:gridSpan w:val="6"/>
            <w:tcMar>
              <w:top w:w="15" w:type="dxa"/>
              <w:left w:w="15" w:type="dxa"/>
              <w:right w:w="15" w:type="dxa"/>
            </w:tcMar>
            <w:vAlign w:val="center"/>
          </w:tcPr>
          <w:p>
            <w:pPr>
              <w:widowControl/>
              <w:spacing w:line="240" w:lineRule="auto"/>
              <w:ind w:firstLine="0" w:firstLineChars="0"/>
              <w:jc w:val="left"/>
              <w:textAlignment w:val="center"/>
              <w:rPr>
                <w:rFonts w:ascii="Times New Roman" w:hAnsi="Times New Roman" w:cs="Times New Roman"/>
                <w:color w:val="auto"/>
                <w:sz w:val="18"/>
                <w:szCs w:val="18"/>
              </w:rPr>
            </w:pPr>
            <w:r>
              <w:rPr>
                <w:rFonts w:ascii="Times New Roman" w:hAnsi="Times New Roman" w:cs="Times New Roman"/>
                <w:color w:val="auto"/>
                <w:spacing w:val="-2"/>
                <w:kern w:val="0"/>
                <w:sz w:val="18"/>
                <w:szCs w:val="18"/>
                <w:lang w:bidi="ar"/>
              </w:rPr>
              <w:t>主要排放口</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95" w:hRule="atLeast"/>
          <w:jc w:val="center"/>
        </w:trPr>
        <w:tc>
          <w:tcPr>
            <w:tcW w:w="453"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805" w:type="dxa"/>
            <w:tcMar>
              <w:top w:w="15" w:type="dxa"/>
              <w:left w:w="15" w:type="dxa"/>
              <w:right w:w="15" w:type="dxa"/>
            </w:tcMar>
            <w:vAlign w:val="center"/>
          </w:tcPr>
          <w:p>
            <w:pPr>
              <w:pStyle w:val="861"/>
              <w:widowControl w:val="0"/>
              <w:jc w:val="both"/>
              <w:rPr>
                <w:szCs w:val="18"/>
              </w:rPr>
            </w:pPr>
            <w:r>
              <w:rPr>
                <w:szCs w:val="18"/>
              </w:rPr>
              <w:t>DA001（</w:t>
            </w:r>
            <w:r>
              <w:rPr>
                <w:rFonts w:hint="eastAsia"/>
                <w:szCs w:val="18"/>
              </w:rPr>
              <w:t>装船</w:t>
            </w:r>
            <w:r>
              <w:rPr>
                <w:szCs w:val="18"/>
              </w:rPr>
              <w:t>油气回收装置排气筒）</w:t>
            </w:r>
          </w:p>
        </w:tc>
        <w:tc>
          <w:tcPr>
            <w:tcW w:w="1276"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非甲烷总烃</w:t>
            </w:r>
          </w:p>
        </w:tc>
        <w:tc>
          <w:tcPr>
            <w:tcW w:w="1843"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4.32g/m</w:t>
            </w:r>
            <w:r>
              <w:rPr>
                <w:rFonts w:ascii="Times New Roman" w:hAnsi="Times New Roman" w:cs="Times New Roman"/>
                <w:color w:val="auto"/>
                <w:sz w:val="18"/>
                <w:szCs w:val="18"/>
                <w:vertAlign w:val="superscript"/>
              </w:rPr>
              <w:t>3</w:t>
            </w:r>
          </w:p>
        </w:tc>
        <w:tc>
          <w:tcPr>
            <w:tcW w:w="1984"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1.08</w:t>
            </w:r>
          </w:p>
        </w:tc>
        <w:tc>
          <w:tcPr>
            <w:tcW w:w="1691"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0.54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95" w:hRule="atLeast"/>
          <w:jc w:val="center"/>
        </w:trPr>
        <w:tc>
          <w:tcPr>
            <w:tcW w:w="453"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805" w:type="dxa"/>
            <w:tcMar>
              <w:top w:w="15" w:type="dxa"/>
              <w:left w:w="15" w:type="dxa"/>
              <w:right w:w="15" w:type="dxa"/>
            </w:tcMar>
            <w:vAlign w:val="center"/>
          </w:tcPr>
          <w:p>
            <w:pPr>
              <w:pStyle w:val="861"/>
              <w:widowControl w:val="0"/>
              <w:jc w:val="both"/>
              <w:rPr>
                <w:szCs w:val="18"/>
              </w:rPr>
            </w:pPr>
            <w:r>
              <w:rPr>
                <w:rFonts w:hint="eastAsia"/>
                <w:szCs w:val="18"/>
              </w:rPr>
              <w:t>D</w:t>
            </w:r>
            <w:r>
              <w:rPr>
                <w:szCs w:val="18"/>
              </w:rPr>
              <w:t>A002（</w:t>
            </w:r>
            <w:r>
              <w:rPr>
                <w:rFonts w:hint="eastAsia"/>
                <w:szCs w:val="18"/>
              </w:rPr>
              <w:t>装车</w:t>
            </w:r>
            <w:r>
              <w:rPr>
                <w:szCs w:val="18"/>
              </w:rPr>
              <w:t>油气回收装置排气筒）</w:t>
            </w:r>
          </w:p>
        </w:tc>
        <w:tc>
          <w:tcPr>
            <w:tcW w:w="1276" w:type="dxa"/>
            <w:tcMar>
              <w:top w:w="15" w:type="dxa"/>
              <w:left w:w="15" w:type="dxa"/>
              <w:right w:w="15" w:type="dxa"/>
            </w:tcMar>
            <w:vAlign w:val="center"/>
          </w:tcPr>
          <w:p>
            <w:pPr>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非甲烷总烃</w:t>
            </w:r>
          </w:p>
        </w:tc>
        <w:tc>
          <w:tcPr>
            <w:tcW w:w="1843" w:type="dxa"/>
            <w:tcMar>
              <w:top w:w="15" w:type="dxa"/>
              <w:left w:w="15" w:type="dxa"/>
              <w:right w:w="15" w:type="dxa"/>
            </w:tcMar>
            <w:vAlign w:val="center"/>
          </w:tcPr>
          <w:p>
            <w:pPr>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1.45g/m</w:t>
            </w:r>
            <w:r>
              <w:rPr>
                <w:rFonts w:ascii="Times New Roman" w:hAnsi="Times New Roman" w:cs="Times New Roman"/>
                <w:color w:val="auto"/>
                <w:sz w:val="18"/>
                <w:szCs w:val="18"/>
                <w:vertAlign w:val="superscript"/>
              </w:rPr>
              <w:t>3</w:t>
            </w:r>
          </w:p>
        </w:tc>
        <w:tc>
          <w:tcPr>
            <w:tcW w:w="1984" w:type="dxa"/>
            <w:tcMar>
              <w:top w:w="15" w:type="dxa"/>
              <w:left w:w="15" w:type="dxa"/>
              <w:right w:w="15" w:type="dxa"/>
            </w:tcMar>
            <w:vAlign w:val="center"/>
          </w:tcPr>
          <w:p>
            <w:pPr>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1.24</w:t>
            </w:r>
          </w:p>
        </w:tc>
        <w:tc>
          <w:tcPr>
            <w:tcW w:w="1691" w:type="dxa"/>
            <w:tcMar>
              <w:top w:w="15" w:type="dxa"/>
              <w:left w:w="15" w:type="dxa"/>
              <w:right w:w="15" w:type="dxa"/>
            </w:tcMar>
            <w:vAlign w:val="center"/>
          </w:tcPr>
          <w:p>
            <w:pPr>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4.32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95" w:hRule="atLeast"/>
          <w:jc w:val="center"/>
        </w:trPr>
        <w:tc>
          <w:tcPr>
            <w:tcW w:w="453"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hint="eastAsia" w:ascii="Times New Roman" w:hAnsi="Times New Roman" w:cs="Times New Roman"/>
                <w:color w:val="auto"/>
                <w:sz w:val="18"/>
                <w:szCs w:val="18"/>
              </w:rPr>
              <w:t>3</w:t>
            </w:r>
          </w:p>
        </w:tc>
        <w:tc>
          <w:tcPr>
            <w:tcW w:w="1805" w:type="dxa"/>
            <w:tcMar>
              <w:top w:w="15" w:type="dxa"/>
              <w:left w:w="15" w:type="dxa"/>
              <w:right w:w="15" w:type="dxa"/>
            </w:tcMar>
            <w:vAlign w:val="center"/>
          </w:tcPr>
          <w:p>
            <w:pPr>
              <w:pStyle w:val="861"/>
              <w:widowControl w:val="0"/>
              <w:jc w:val="both"/>
              <w:rPr>
                <w:szCs w:val="18"/>
              </w:rPr>
            </w:pPr>
            <w:r>
              <w:rPr>
                <w:rFonts w:hint="eastAsia"/>
                <w:szCs w:val="18"/>
              </w:rPr>
              <w:t>D</w:t>
            </w:r>
            <w:r>
              <w:rPr>
                <w:szCs w:val="18"/>
              </w:rPr>
              <w:t>A003(</w:t>
            </w:r>
            <w:r>
              <w:rPr>
                <w:rFonts w:hint="eastAsia"/>
                <w:szCs w:val="18"/>
              </w:rPr>
              <w:t>硫酸储罐及装车碱液中和罐排气筒)</w:t>
            </w:r>
          </w:p>
        </w:tc>
        <w:tc>
          <w:tcPr>
            <w:tcW w:w="1276" w:type="dxa"/>
            <w:tcMar>
              <w:top w:w="15" w:type="dxa"/>
              <w:left w:w="15" w:type="dxa"/>
              <w:right w:w="15" w:type="dxa"/>
            </w:tcMar>
            <w:vAlign w:val="center"/>
          </w:tcPr>
          <w:p>
            <w:pPr>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硫酸雾</w:t>
            </w:r>
          </w:p>
        </w:tc>
        <w:tc>
          <w:tcPr>
            <w:tcW w:w="1843" w:type="dxa"/>
            <w:tcMar>
              <w:top w:w="15" w:type="dxa"/>
              <w:left w:w="15" w:type="dxa"/>
              <w:right w:w="15" w:type="dxa"/>
            </w:tcMar>
            <w:vAlign w:val="center"/>
          </w:tcPr>
          <w:p>
            <w:pPr>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z w:val="18"/>
                <w:szCs w:val="18"/>
              </w:rPr>
              <w:t>34</w:t>
            </w:r>
          </w:p>
        </w:tc>
        <w:tc>
          <w:tcPr>
            <w:tcW w:w="1984" w:type="dxa"/>
            <w:tcMar>
              <w:top w:w="15" w:type="dxa"/>
              <w:left w:w="15" w:type="dxa"/>
              <w:right w:w="15" w:type="dxa"/>
            </w:tcMar>
            <w:vAlign w:val="center"/>
          </w:tcPr>
          <w:p>
            <w:pPr>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0.034</w:t>
            </w:r>
          </w:p>
        </w:tc>
        <w:tc>
          <w:tcPr>
            <w:tcW w:w="1691" w:type="dxa"/>
            <w:tcMar>
              <w:top w:w="15" w:type="dxa"/>
              <w:left w:w="15" w:type="dxa"/>
              <w:right w:w="15" w:type="dxa"/>
            </w:tcMar>
            <w:vAlign w:val="center"/>
          </w:tcPr>
          <w:p>
            <w:pPr>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0.017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2258" w:type="dxa"/>
            <w:gridSpan w:val="2"/>
            <w:vMerge w:val="restart"/>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pacing w:val="-2"/>
                <w:kern w:val="0"/>
                <w:sz w:val="18"/>
                <w:szCs w:val="18"/>
                <w:lang w:bidi="ar"/>
              </w:rPr>
              <w:t>主要排放口合计</w:t>
            </w:r>
          </w:p>
        </w:tc>
        <w:tc>
          <w:tcPr>
            <w:tcW w:w="5103" w:type="dxa"/>
            <w:gridSpan w:val="3"/>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kern w:val="0"/>
                <w:sz w:val="18"/>
                <w:szCs w:val="18"/>
                <w:lang w:bidi="ar"/>
              </w:rPr>
              <w:t>非甲烷总烃</w:t>
            </w:r>
          </w:p>
        </w:tc>
        <w:tc>
          <w:tcPr>
            <w:tcW w:w="1691"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4.86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2258" w:type="dxa"/>
            <w:gridSpan w:val="2"/>
            <w:vMerge w:val="continue"/>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pacing w:val="-2"/>
                <w:kern w:val="0"/>
                <w:sz w:val="18"/>
                <w:szCs w:val="18"/>
                <w:lang w:bidi="ar"/>
              </w:rPr>
            </w:pPr>
          </w:p>
        </w:tc>
        <w:tc>
          <w:tcPr>
            <w:tcW w:w="5103" w:type="dxa"/>
            <w:gridSpan w:val="3"/>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硫酸雾</w:t>
            </w:r>
          </w:p>
        </w:tc>
        <w:tc>
          <w:tcPr>
            <w:tcW w:w="1691"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0.017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9052" w:type="dxa"/>
            <w:gridSpan w:val="6"/>
            <w:tcMar>
              <w:top w:w="15" w:type="dxa"/>
              <w:left w:w="15" w:type="dxa"/>
              <w:right w:w="15" w:type="dxa"/>
            </w:tcMar>
            <w:vAlign w:val="center"/>
          </w:tcPr>
          <w:p>
            <w:pPr>
              <w:widowControl/>
              <w:spacing w:line="240" w:lineRule="auto"/>
              <w:ind w:firstLine="180" w:firstLineChars="100"/>
              <w:jc w:val="left"/>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一般排放口</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453"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sz w:val="18"/>
                <w:szCs w:val="18"/>
              </w:rPr>
            </w:pPr>
            <w:r>
              <w:rPr>
                <w:rFonts w:ascii="Times New Roman" w:hAnsi="Times New Roman" w:cs="Times New Roman"/>
                <w:color w:val="auto"/>
                <w:spacing w:val="-2"/>
                <w:kern w:val="0"/>
                <w:sz w:val="18"/>
                <w:szCs w:val="18"/>
                <w:lang w:bidi="ar"/>
              </w:rPr>
              <w:t>2</w:t>
            </w:r>
          </w:p>
        </w:tc>
        <w:tc>
          <w:tcPr>
            <w:tcW w:w="1805" w:type="dxa"/>
            <w:tcMar>
              <w:top w:w="15" w:type="dxa"/>
              <w:left w:w="15" w:type="dxa"/>
              <w:right w:w="15" w:type="dxa"/>
            </w:tcMar>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276" w:type="dxa"/>
            <w:tcMar>
              <w:top w:w="15" w:type="dxa"/>
              <w:left w:w="15" w:type="dxa"/>
              <w:right w:w="15" w:type="dxa"/>
            </w:tcMa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w:t>
            </w:r>
          </w:p>
        </w:tc>
        <w:tc>
          <w:tcPr>
            <w:tcW w:w="1843" w:type="dxa"/>
            <w:tcMar>
              <w:top w:w="15" w:type="dxa"/>
              <w:left w:w="15" w:type="dxa"/>
              <w:right w:w="15" w:type="dxa"/>
            </w:tcMa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w:t>
            </w:r>
          </w:p>
        </w:tc>
        <w:tc>
          <w:tcPr>
            <w:tcW w:w="1984" w:type="dxa"/>
            <w:tcMar>
              <w:top w:w="15" w:type="dxa"/>
              <w:left w:w="15" w:type="dxa"/>
              <w:right w:w="15" w:type="dxa"/>
            </w:tcMa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w:t>
            </w:r>
          </w:p>
        </w:tc>
        <w:tc>
          <w:tcPr>
            <w:tcW w:w="1691" w:type="dxa"/>
            <w:tcMar>
              <w:top w:w="15" w:type="dxa"/>
              <w:left w:w="15" w:type="dxa"/>
              <w:right w:w="15" w:type="dxa"/>
            </w:tcMa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449" w:hRule="atLeast"/>
          <w:jc w:val="center"/>
        </w:trPr>
        <w:tc>
          <w:tcPr>
            <w:tcW w:w="2258" w:type="dxa"/>
            <w:gridSpan w:val="2"/>
            <w:tcMar>
              <w:top w:w="15" w:type="dxa"/>
              <w:left w:w="15" w:type="dxa"/>
              <w:right w:w="15" w:type="dxa"/>
            </w:tcMar>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pacing w:val="-2"/>
                <w:kern w:val="0"/>
                <w:sz w:val="18"/>
                <w:szCs w:val="18"/>
                <w:lang w:bidi="ar"/>
              </w:rPr>
              <w:t>一般排放口合计</w:t>
            </w:r>
          </w:p>
        </w:tc>
        <w:tc>
          <w:tcPr>
            <w:tcW w:w="5103" w:type="dxa"/>
            <w:gridSpan w:val="3"/>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非甲烷总烃</w:t>
            </w:r>
          </w:p>
        </w:tc>
        <w:tc>
          <w:tcPr>
            <w:tcW w:w="1691"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sz w:val="18"/>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2258" w:type="dxa"/>
            <w:gridSpan w:val="2"/>
            <w:vMerge w:val="restart"/>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 xml:space="preserve"> 有组织排放总计</w:t>
            </w:r>
          </w:p>
        </w:tc>
        <w:tc>
          <w:tcPr>
            <w:tcW w:w="5103" w:type="dxa"/>
            <w:gridSpan w:val="3"/>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非甲烷总烃</w:t>
            </w:r>
          </w:p>
        </w:tc>
        <w:tc>
          <w:tcPr>
            <w:tcW w:w="1691"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4.86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2258" w:type="dxa"/>
            <w:gridSpan w:val="2"/>
            <w:vMerge w:val="continue"/>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p>
        </w:tc>
        <w:tc>
          <w:tcPr>
            <w:tcW w:w="5103" w:type="dxa"/>
            <w:gridSpan w:val="3"/>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hint="eastAsia" w:ascii="Times New Roman" w:hAnsi="Times New Roman" w:cs="Times New Roman"/>
                <w:color w:val="auto"/>
                <w:kern w:val="0"/>
                <w:sz w:val="18"/>
                <w:szCs w:val="18"/>
                <w:lang w:bidi="ar"/>
              </w:rPr>
              <w:t>硫酸雾</w:t>
            </w:r>
          </w:p>
        </w:tc>
        <w:tc>
          <w:tcPr>
            <w:tcW w:w="1691" w:type="dxa"/>
            <w:tcMar>
              <w:top w:w="15" w:type="dxa"/>
              <w:left w:w="15" w:type="dxa"/>
              <w:right w:w="15" w:type="dxa"/>
            </w:tcMar>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lang w:bidi="ar"/>
              </w:rPr>
            </w:pPr>
            <w:r>
              <w:rPr>
                <w:rFonts w:ascii="Times New Roman" w:hAnsi="Times New Roman" w:cs="Times New Roman"/>
                <w:color w:val="auto"/>
                <w:kern w:val="0"/>
                <w:sz w:val="18"/>
                <w:szCs w:val="18"/>
                <w:lang w:bidi="ar"/>
              </w:rPr>
              <w:t>0.017</w:t>
            </w:r>
          </w:p>
        </w:tc>
      </w:tr>
    </w:tbl>
    <w:p>
      <w:pPr>
        <w:spacing w:before="166" w:beforeLines="50"/>
        <w:ind w:firstLine="480"/>
        <w:rPr>
          <w:rFonts w:ascii="Times New Roman" w:hAnsi="Times New Roman" w:cs="Times New Roman"/>
          <w:color w:val="auto"/>
        </w:rPr>
      </w:pPr>
      <w:r>
        <w:rPr>
          <w:rFonts w:ascii="Times New Roman" w:hAnsi="Times New Roman" w:cs="Times New Roman"/>
          <w:color w:val="auto"/>
        </w:rPr>
        <w:t>（2）无组织排放量核算</w:t>
      </w:r>
    </w:p>
    <w:p>
      <w:pPr>
        <w:pStyle w:val="1062"/>
        <w:widowControl w:val="0"/>
        <w:spacing w:line="240" w:lineRule="auto"/>
        <w:ind w:left="0"/>
        <w:rPr>
          <w:rFonts w:ascii="Times New Roman" w:hAnsi="Times New Roman" w:eastAsia="宋体" w:cs="Times New Roman"/>
          <w:bCs/>
          <w:color w:val="auto"/>
          <w:sz w:val="21"/>
          <w:szCs w:val="21"/>
          <w:lang w:val="zh-CN"/>
        </w:rPr>
      </w:pPr>
      <w:r>
        <w:rPr>
          <w:rFonts w:ascii="Times New Roman" w:hAnsi="Times New Roman" w:eastAsia="宋体" w:cs="Times New Roman"/>
          <w:bCs/>
          <w:color w:val="auto"/>
          <w:sz w:val="21"/>
          <w:szCs w:val="21"/>
          <w:lang w:val="zh-CN"/>
        </w:rPr>
        <w:t>表5.2-23    大气污染物无组织排放量核算</w:t>
      </w:r>
    </w:p>
    <w:tbl>
      <w:tblPr>
        <w:tblStyle w:val="62"/>
        <w:tblW w:w="935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6"/>
        <w:gridCol w:w="992"/>
        <w:gridCol w:w="1134"/>
        <w:gridCol w:w="1134"/>
        <w:gridCol w:w="2126"/>
        <w:gridCol w:w="1182"/>
        <w:gridCol w:w="1228"/>
        <w:gridCol w:w="113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26" w:type="dxa"/>
            <w:vAlign w:val="center"/>
          </w:tcPr>
          <w:p>
            <w:pPr>
              <w:pStyle w:val="861"/>
              <w:widowControl w:val="0"/>
              <w:rPr>
                <w:szCs w:val="18"/>
              </w:rPr>
            </w:pPr>
            <w:r>
              <w:rPr>
                <w:szCs w:val="18"/>
              </w:rPr>
              <w:t>序号</w:t>
            </w:r>
          </w:p>
        </w:tc>
        <w:tc>
          <w:tcPr>
            <w:tcW w:w="992" w:type="dxa"/>
            <w:vAlign w:val="center"/>
          </w:tcPr>
          <w:p>
            <w:pPr>
              <w:pStyle w:val="861"/>
              <w:widowControl w:val="0"/>
              <w:rPr>
                <w:szCs w:val="18"/>
              </w:rPr>
            </w:pPr>
            <w:r>
              <w:rPr>
                <w:szCs w:val="18"/>
              </w:rPr>
              <w:t>排放源</w:t>
            </w:r>
          </w:p>
        </w:tc>
        <w:tc>
          <w:tcPr>
            <w:tcW w:w="1134" w:type="dxa"/>
            <w:vAlign w:val="center"/>
          </w:tcPr>
          <w:p>
            <w:pPr>
              <w:pStyle w:val="861"/>
              <w:widowControl w:val="0"/>
              <w:rPr>
                <w:szCs w:val="18"/>
              </w:rPr>
            </w:pPr>
            <w:r>
              <w:rPr>
                <w:szCs w:val="18"/>
              </w:rPr>
              <w:t>产污环节</w:t>
            </w:r>
          </w:p>
        </w:tc>
        <w:tc>
          <w:tcPr>
            <w:tcW w:w="1134" w:type="dxa"/>
            <w:vAlign w:val="center"/>
          </w:tcPr>
          <w:p>
            <w:pPr>
              <w:pStyle w:val="861"/>
              <w:widowControl w:val="0"/>
              <w:rPr>
                <w:szCs w:val="18"/>
              </w:rPr>
            </w:pPr>
            <w:r>
              <w:rPr>
                <w:szCs w:val="18"/>
              </w:rPr>
              <w:t>污染物</w:t>
            </w:r>
          </w:p>
        </w:tc>
        <w:tc>
          <w:tcPr>
            <w:tcW w:w="2126" w:type="dxa"/>
            <w:vAlign w:val="center"/>
          </w:tcPr>
          <w:p>
            <w:pPr>
              <w:pStyle w:val="861"/>
              <w:widowControl w:val="0"/>
              <w:rPr>
                <w:szCs w:val="18"/>
              </w:rPr>
            </w:pPr>
            <w:r>
              <w:rPr>
                <w:szCs w:val="18"/>
              </w:rPr>
              <w:t>主要污染防治措施</w:t>
            </w:r>
          </w:p>
        </w:tc>
        <w:tc>
          <w:tcPr>
            <w:tcW w:w="2410" w:type="dxa"/>
            <w:gridSpan w:val="2"/>
            <w:vAlign w:val="center"/>
          </w:tcPr>
          <w:p>
            <w:pPr>
              <w:pStyle w:val="861"/>
              <w:widowControl w:val="0"/>
              <w:rPr>
                <w:szCs w:val="18"/>
              </w:rPr>
            </w:pPr>
            <w:r>
              <w:rPr>
                <w:rFonts w:hint="eastAsia"/>
                <w:szCs w:val="18"/>
              </w:rPr>
              <w:t>无组织排放控制</w:t>
            </w:r>
          </w:p>
          <w:p>
            <w:pPr>
              <w:pStyle w:val="861"/>
              <w:widowControl w:val="0"/>
              <w:rPr>
                <w:szCs w:val="18"/>
              </w:rPr>
            </w:pPr>
            <w:r>
              <w:rPr>
                <w:szCs w:val="18"/>
              </w:rPr>
              <w:t>浓度限值</w:t>
            </w:r>
            <w:r>
              <w:rPr>
                <w:kern w:val="2"/>
                <w:szCs w:val="18"/>
              </w:rPr>
              <w:t>/（mg/m</w:t>
            </w:r>
            <w:r>
              <w:rPr>
                <w:kern w:val="2"/>
                <w:szCs w:val="18"/>
                <w:vertAlign w:val="superscript"/>
              </w:rPr>
              <w:t>3</w:t>
            </w:r>
            <w:r>
              <w:rPr>
                <w:kern w:val="2"/>
                <w:szCs w:val="18"/>
              </w:rPr>
              <w:t>）</w:t>
            </w:r>
          </w:p>
        </w:tc>
        <w:tc>
          <w:tcPr>
            <w:tcW w:w="1134" w:type="dxa"/>
            <w:vAlign w:val="center"/>
          </w:tcPr>
          <w:p>
            <w:pPr>
              <w:pStyle w:val="861"/>
              <w:widowControl w:val="0"/>
              <w:rPr>
                <w:szCs w:val="18"/>
              </w:rPr>
            </w:pPr>
            <w:r>
              <w:rPr>
                <w:szCs w:val="18"/>
              </w:rPr>
              <w:t>年排放量</w:t>
            </w:r>
            <w:r>
              <w:rPr>
                <w:kern w:val="2"/>
                <w:szCs w:val="18"/>
              </w:rPr>
              <w:t>/（t/a）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26" w:type="dxa"/>
            <w:vAlign w:val="center"/>
          </w:tcPr>
          <w:p>
            <w:pPr>
              <w:pStyle w:val="861"/>
              <w:widowControl w:val="0"/>
              <w:rPr>
                <w:szCs w:val="18"/>
              </w:rPr>
            </w:pPr>
            <w:r>
              <w:rPr>
                <w:szCs w:val="18"/>
              </w:rPr>
              <w:t>1</w:t>
            </w:r>
          </w:p>
        </w:tc>
        <w:tc>
          <w:tcPr>
            <w:tcW w:w="992" w:type="dxa"/>
            <w:vAlign w:val="center"/>
          </w:tcPr>
          <w:p>
            <w:pPr>
              <w:pStyle w:val="861"/>
              <w:widowControl w:val="0"/>
              <w:rPr>
                <w:szCs w:val="18"/>
              </w:rPr>
            </w:pPr>
            <w:r>
              <w:rPr>
                <w:spacing w:val="-2"/>
                <w:szCs w:val="18"/>
                <w:lang w:bidi="ar"/>
              </w:rPr>
              <w:t>罐区</w:t>
            </w:r>
          </w:p>
        </w:tc>
        <w:tc>
          <w:tcPr>
            <w:tcW w:w="1134" w:type="dxa"/>
            <w:vAlign w:val="center"/>
          </w:tcPr>
          <w:p>
            <w:pPr>
              <w:pStyle w:val="861"/>
              <w:widowControl w:val="0"/>
              <w:rPr>
                <w:szCs w:val="18"/>
              </w:rPr>
            </w:pPr>
            <w:r>
              <w:rPr>
                <w:szCs w:val="18"/>
              </w:rPr>
              <w:t>汽油</w:t>
            </w:r>
            <w:r>
              <w:rPr>
                <w:rFonts w:hint="eastAsia"/>
                <w:szCs w:val="18"/>
              </w:rPr>
              <w:t>、航煤、乙醇</w:t>
            </w:r>
            <w:r>
              <w:rPr>
                <w:szCs w:val="18"/>
              </w:rPr>
              <w:t>内浮顶储罐</w:t>
            </w:r>
          </w:p>
        </w:tc>
        <w:tc>
          <w:tcPr>
            <w:tcW w:w="1134" w:type="dxa"/>
            <w:vAlign w:val="center"/>
          </w:tcPr>
          <w:p>
            <w:pPr>
              <w:pStyle w:val="861"/>
              <w:widowControl w:val="0"/>
              <w:rPr>
                <w:szCs w:val="18"/>
              </w:rPr>
            </w:pPr>
            <w:r>
              <w:rPr>
                <w:szCs w:val="18"/>
                <w:lang w:bidi="ar"/>
              </w:rPr>
              <w:t>非甲烷总烃</w:t>
            </w:r>
          </w:p>
        </w:tc>
        <w:tc>
          <w:tcPr>
            <w:tcW w:w="2126" w:type="dxa"/>
            <w:vAlign w:val="center"/>
          </w:tcPr>
          <w:p>
            <w:pPr>
              <w:pStyle w:val="861"/>
              <w:widowControl w:val="0"/>
              <w:rPr>
                <w:szCs w:val="18"/>
              </w:rPr>
            </w:pPr>
            <w:r>
              <w:rPr>
                <w:rFonts w:hint="eastAsia"/>
                <w:szCs w:val="18"/>
              </w:rPr>
              <w:t>全接液高效浮盘+二次密封；</w:t>
            </w:r>
            <w:r>
              <w:rPr>
                <w:szCs w:val="18"/>
              </w:rPr>
              <w:t>加强管理、开展LADR工作</w:t>
            </w:r>
          </w:p>
        </w:tc>
        <w:tc>
          <w:tcPr>
            <w:tcW w:w="1182" w:type="dxa"/>
            <w:vAlign w:val="center"/>
          </w:tcPr>
          <w:p>
            <w:pPr>
              <w:pStyle w:val="861"/>
              <w:widowControl w:val="0"/>
              <w:rPr>
                <w:szCs w:val="18"/>
              </w:rPr>
            </w:pPr>
            <w:r>
              <w:rPr>
                <w:rFonts w:hint="eastAsia"/>
                <w:szCs w:val="18"/>
              </w:rPr>
              <w:t>4</w:t>
            </w:r>
            <w:r>
              <w:rPr>
                <w:szCs w:val="18"/>
              </w:rPr>
              <w:t>.0</w:t>
            </w:r>
            <w:r>
              <w:rPr>
                <w:rFonts w:hint="eastAsia"/>
                <w:szCs w:val="18"/>
              </w:rPr>
              <w:t>（厂界）</w:t>
            </w:r>
          </w:p>
        </w:tc>
        <w:tc>
          <w:tcPr>
            <w:tcW w:w="1228" w:type="dxa"/>
            <w:vAlign w:val="center"/>
          </w:tcPr>
          <w:p>
            <w:pPr>
              <w:pStyle w:val="861"/>
              <w:widowControl w:val="0"/>
              <w:rPr>
                <w:szCs w:val="18"/>
              </w:rPr>
            </w:pPr>
            <w:r>
              <w:rPr>
                <w:szCs w:val="18"/>
              </w:rPr>
              <w:t>6.0（</w:t>
            </w:r>
            <w:r>
              <w:rPr>
                <w:rFonts w:hint="eastAsia"/>
                <w:szCs w:val="18"/>
              </w:rPr>
              <w:t>厂区内</w:t>
            </w:r>
            <w:r>
              <w:rPr>
                <w:szCs w:val="18"/>
              </w:rPr>
              <w:t>1h平均）</w:t>
            </w:r>
          </w:p>
        </w:tc>
        <w:tc>
          <w:tcPr>
            <w:tcW w:w="1134" w:type="dxa"/>
            <w:vAlign w:val="center"/>
          </w:tcPr>
          <w:p>
            <w:pPr>
              <w:pStyle w:val="861"/>
              <w:widowControl w:val="0"/>
              <w:rPr>
                <w:szCs w:val="18"/>
              </w:rPr>
            </w:pPr>
            <w:r>
              <w:rPr>
                <w:szCs w:val="18"/>
                <w:lang w:bidi="ar"/>
              </w:rPr>
              <w:t>29.245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26" w:type="dxa"/>
            <w:vAlign w:val="center"/>
          </w:tcPr>
          <w:p>
            <w:pPr>
              <w:pStyle w:val="861"/>
              <w:widowControl w:val="0"/>
              <w:rPr>
                <w:szCs w:val="18"/>
              </w:rPr>
            </w:pPr>
            <w:r>
              <w:rPr>
                <w:rFonts w:hint="eastAsia"/>
                <w:szCs w:val="18"/>
              </w:rPr>
              <w:t>2</w:t>
            </w:r>
          </w:p>
        </w:tc>
        <w:tc>
          <w:tcPr>
            <w:tcW w:w="992" w:type="dxa"/>
            <w:vAlign w:val="center"/>
          </w:tcPr>
          <w:p>
            <w:pPr>
              <w:pStyle w:val="861"/>
              <w:widowControl w:val="0"/>
              <w:rPr>
                <w:szCs w:val="18"/>
              </w:rPr>
            </w:pPr>
            <w:r>
              <w:rPr>
                <w:spacing w:val="-2"/>
                <w:szCs w:val="18"/>
                <w:lang w:bidi="ar"/>
              </w:rPr>
              <w:t>罐区</w:t>
            </w:r>
          </w:p>
        </w:tc>
        <w:tc>
          <w:tcPr>
            <w:tcW w:w="1134" w:type="dxa"/>
            <w:vAlign w:val="center"/>
          </w:tcPr>
          <w:p>
            <w:pPr>
              <w:pStyle w:val="861"/>
              <w:widowControl w:val="0"/>
              <w:rPr>
                <w:szCs w:val="18"/>
              </w:rPr>
            </w:pPr>
            <w:r>
              <w:rPr>
                <w:rFonts w:hint="eastAsia"/>
                <w:szCs w:val="18"/>
              </w:rPr>
              <w:t>柴油固定顶</w:t>
            </w:r>
          </w:p>
        </w:tc>
        <w:tc>
          <w:tcPr>
            <w:tcW w:w="1134" w:type="dxa"/>
            <w:vAlign w:val="center"/>
          </w:tcPr>
          <w:p>
            <w:pPr>
              <w:pStyle w:val="861"/>
              <w:widowControl w:val="0"/>
              <w:rPr>
                <w:szCs w:val="18"/>
              </w:rPr>
            </w:pPr>
            <w:r>
              <w:rPr>
                <w:szCs w:val="18"/>
                <w:lang w:bidi="ar"/>
              </w:rPr>
              <w:t>非甲烷总烃</w:t>
            </w:r>
          </w:p>
        </w:tc>
        <w:tc>
          <w:tcPr>
            <w:tcW w:w="2126" w:type="dxa"/>
            <w:vAlign w:val="center"/>
          </w:tcPr>
          <w:p>
            <w:pPr>
              <w:pStyle w:val="861"/>
              <w:widowControl w:val="0"/>
              <w:rPr>
                <w:szCs w:val="18"/>
              </w:rPr>
            </w:pPr>
            <w:r>
              <w:rPr>
                <w:szCs w:val="18"/>
              </w:rPr>
              <w:t>加强结构的维护，选用低泄露呼吸阀优化呼吸阀设定压力；减少泄露，开展LADR工作</w:t>
            </w:r>
          </w:p>
        </w:tc>
        <w:tc>
          <w:tcPr>
            <w:tcW w:w="1182" w:type="dxa"/>
            <w:vAlign w:val="center"/>
          </w:tcPr>
          <w:p>
            <w:pPr>
              <w:pStyle w:val="861"/>
              <w:widowControl w:val="0"/>
              <w:rPr>
                <w:szCs w:val="18"/>
              </w:rPr>
            </w:pPr>
            <w:r>
              <w:rPr>
                <w:rFonts w:hint="eastAsia"/>
                <w:szCs w:val="18"/>
              </w:rPr>
              <w:t>4</w:t>
            </w:r>
            <w:r>
              <w:rPr>
                <w:szCs w:val="18"/>
              </w:rPr>
              <w:t>.0</w:t>
            </w:r>
            <w:r>
              <w:rPr>
                <w:rFonts w:hint="eastAsia"/>
                <w:szCs w:val="18"/>
              </w:rPr>
              <w:t>（厂界）</w:t>
            </w:r>
          </w:p>
        </w:tc>
        <w:tc>
          <w:tcPr>
            <w:tcW w:w="1228" w:type="dxa"/>
            <w:vAlign w:val="center"/>
          </w:tcPr>
          <w:p>
            <w:pPr>
              <w:pStyle w:val="861"/>
              <w:widowControl w:val="0"/>
              <w:rPr>
                <w:szCs w:val="18"/>
              </w:rPr>
            </w:pPr>
            <w:r>
              <w:rPr>
                <w:szCs w:val="18"/>
              </w:rPr>
              <w:t>6.0（</w:t>
            </w:r>
            <w:r>
              <w:rPr>
                <w:rFonts w:hint="eastAsia"/>
                <w:szCs w:val="18"/>
              </w:rPr>
              <w:t>厂区内</w:t>
            </w:r>
            <w:r>
              <w:rPr>
                <w:szCs w:val="18"/>
              </w:rPr>
              <w:t>1h平均）</w:t>
            </w:r>
          </w:p>
        </w:tc>
        <w:tc>
          <w:tcPr>
            <w:tcW w:w="1134" w:type="dxa"/>
            <w:vAlign w:val="center"/>
          </w:tcPr>
          <w:p>
            <w:pPr>
              <w:pStyle w:val="861"/>
              <w:widowControl w:val="0"/>
              <w:rPr>
                <w:szCs w:val="18"/>
              </w:rPr>
            </w:pPr>
            <w:r>
              <w:rPr>
                <w:rFonts w:hint="eastAsia"/>
                <w:szCs w:val="18"/>
              </w:rPr>
              <w:t>3</w:t>
            </w:r>
            <w:r>
              <w:rPr>
                <w:szCs w:val="18"/>
              </w:rPr>
              <w:t>7.57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81" w:hRule="atLeast"/>
        </w:trPr>
        <w:tc>
          <w:tcPr>
            <w:tcW w:w="426" w:type="dxa"/>
            <w:vAlign w:val="center"/>
          </w:tcPr>
          <w:p>
            <w:pPr>
              <w:pStyle w:val="861"/>
              <w:widowControl w:val="0"/>
              <w:rPr>
                <w:szCs w:val="18"/>
              </w:rPr>
            </w:pPr>
            <w:r>
              <w:rPr>
                <w:szCs w:val="18"/>
              </w:rPr>
              <w:t>3</w:t>
            </w:r>
          </w:p>
        </w:tc>
        <w:tc>
          <w:tcPr>
            <w:tcW w:w="99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rPr>
            </w:pPr>
            <w:r>
              <w:rPr>
                <w:rFonts w:ascii="Times New Roman" w:hAnsi="Times New Roman" w:cs="Times New Roman"/>
                <w:color w:val="auto"/>
                <w:sz w:val="18"/>
                <w:szCs w:val="18"/>
              </w:rPr>
              <w:t>动静密封点泄漏</w:t>
            </w:r>
          </w:p>
        </w:tc>
        <w:tc>
          <w:tcPr>
            <w:tcW w:w="1134" w:type="dxa"/>
            <w:vAlign w:val="center"/>
          </w:tcPr>
          <w:p>
            <w:pPr>
              <w:pStyle w:val="861"/>
              <w:widowControl w:val="0"/>
              <w:rPr>
                <w:szCs w:val="18"/>
              </w:rPr>
            </w:pPr>
            <w:r>
              <w:rPr>
                <w:szCs w:val="18"/>
              </w:rPr>
              <w:t>码头平台、管廊及装车区</w:t>
            </w:r>
          </w:p>
        </w:tc>
        <w:tc>
          <w:tcPr>
            <w:tcW w:w="1134" w:type="dxa"/>
            <w:vAlign w:val="center"/>
          </w:tcPr>
          <w:p>
            <w:pPr>
              <w:spacing w:line="240" w:lineRule="auto"/>
              <w:ind w:firstLine="0" w:firstLineChars="0"/>
              <w:textAlignment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lang w:bidi="ar"/>
              </w:rPr>
              <w:t>非甲烷总烃</w:t>
            </w:r>
          </w:p>
        </w:tc>
        <w:tc>
          <w:tcPr>
            <w:tcW w:w="2126" w:type="dxa"/>
            <w:vAlign w:val="center"/>
          </w:tcPr>
          <w:p>
            <w:pPr>
              <w:pStyle w:val="861"/>
              <w:widowControl w:val="0"/>
              <w:rPr>
                <w:szCs w:val="18"/>
              </w:rPr>
            </w:pPr>
            <w:r>
              <w:rPr>
                <w:szCs w:val="18"/>
              </w:rPr>
              <w:t>加强泵、阀门及法兰的维护，减少跑冒滴漏，开展LADR工作</w:t>
            </w:r>
          </w:p>
        </w:tc>
        <w:tc>
          <w:tcPr>
            <w:tcW w:w="1182" w:type="dxa"/>
            <w:vAlign w:val="center"/>
          </w:tcPr>
          <w:p>
            <w:pPr>
              <w:pStyle w:val="861"/>
              <w:widowControl w:val="0"/>
              <w:rPr>
                <w:szCs w:val="18"/>
              </w:rPr>
            </w:pPr>
            <w:r>
              <w:rPr>
                <w:rFonts w:hint="eastAsia"/>
                <w:szCs w:val="18"/>
              </w:rPr>
              <w:t>4</w:t>
            </w:r>
            <w:r>
              <w:rPr>
                <w:szCs w:val="18"/>
              </w:rPr>
              <w:t>.0</w:t>
            </w:r>
            <w:r>
              <w:rPr>
                <w:rFonts w:hint="eastAsia"/>
                <w:szCs w:val="18"/>
              </w:rPr>
              <w:t>（厂界）</w:t>
            </w:r>
          </w:p>
        </w:tc>
        <w:tc>
          <w:tcPr>
            <w:tcW w:w="1228" w:type="dxa"/>
            <w:vAlign w:val="center"/>
          </w:tcPr>
          <w:p>
            <w:pPr>
              <w:pStyle w:val="861"/>
              <w:widowControl w:val="0"/>
              <w:rPr>
                <w:szCs w:val="18"/>
              </w:rPr>
            </w:pPr>
            <w:r>
              <w:rPr>
                <w:szCs w:val="18"/>
              </w:rPr>
              <w:t>6.0（</w:t>
            </w:r>
            <w:r>
              <w:rPr>
                <w:rFonts w:hint="eastAsia"/>
                <w:szCs w:val="18"/>
              </w:rPr>
              <w:t>厂区内</w:t>
            </w:r>
            <w:r>
              <w:rPr>
                <w:szCs w:val="18"/>
              </w:rPr>
              <w:t>1h平均）</w:t>
            </w:r>
          </w:p>
        </w:tc>
        <w:tc>
          <w:tcPr>
            <w:tcW w:w="1134"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rPr>
            </w:pPr>
            <w:r>
              <w:rPr>
                <w:rFonts w:hint="eastAsia" w:ascii="Times New Roman" w:hAnsi="Times New Roman" w:cs="Times New Roman"/>
                <w:color w:val="auto"/>
                <w:kern w:val="0"/>
                <w:sz w:val="18"/>
                <w:szCs w:val="18"/>
              </w:rPr>
              <w:t>9</w:t>
            </w:r>
            <w:r>
              <w:rPr>
                <w:rFonts w:ascii="Times New Roman" w:hAnsi="Times New Roman" w:cs="Times New Roman"/>
                <w:color w:val="auto"/>
                <w:kern w:val="0"/>
                <w:sz w:val="18"/>
                <w:szCs w:val="18"/>
              </w:rPr>
              <w:t>.57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9356" w:type="dxa"/>
            <w:gridSpan w:val="8"/>
            <w:vAlign w:val="center"/>
          </w:tcPr>
          <w:p>
            <w:pPr>
              <w:pStyle w:val="861"/>
              <w:widowControl w:val="0"/>
              <w:rPr>
                <w:szCs w:val="18"/>
              </w:rPr>
            </w:pPr>
            <w:r>
              <w:rPr>
                <w:szCs w:val="18"/>
              </w:rPr>
              <w:t>全厂无组织排放合计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552" w:type="dxa"/>
            <w:gridSpan w:val="3"/>
            <w:vAlign w:val="center"/>
          </w:tcPr>
          <w:p>
            <w:pPr>
              <w:pStyle w:val="861"/>
              <w:widowControl w:val="0"/>
              <w:rPr>
                <w:szCs w:val="18"/>
              </w:rPr>
            </w:pPr>
            <w:r>
              <w:rPr>
                <w:szCs w:val="18"/>
              </w:rPr>
              <w:t>全厂无组织排放合计</w:t>
            </w:r>
          </w:p>
        </w:tc>
        <w:tc>
          <w:tcPr>
            <w:tcW w:w="5670" w:type="dxa"/>
            <w:gridSpan w:val="4"/>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lang w:bidi="ar"/>
              </w:rPr>
              <w:t>非甲烷总烃</w:t>
            </w:r>
          </w:p>
        </w:tc>
        <w:tc>
          <w:tcPr>
            <w:tcW w:w="1134"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lang w:bidi="ar"/>
              </w:rPr>
              <w:t>76.385</w:t>
            </w:r>
          </w:p>
        </w:tc>
      </w:tr>
    </w:tbl>
    <w:p>
      <w:pPr>
        <w:spacing w:before="166" w:beforeLines="50"/>
        <w:ind w:firstLine="480"/>
        <w:rPr>
          <w:rFonts w:ascii="Times New Roman" w:hAnsi="Times New Roman" w:cs="Times New Roman"/>
          <w:color w:val="auto"/>
        </w:rPr>
      </w:pPr>
      <w:r>
        <w:rPr>
          <w:rFonts w:ascii="Times New Roman" w:hAnsi="Times New Roman" w:cs="Times New Roman"/>
          <w:color w:val="auto"/>
        </w:rPr>
        <w:t>（3）大气污染物年排放量核算表</w:t>
      </w:r>
    </w:p>
    <w:p>
      <w:pPr>
        <w:pStyle w:val="1062"/>
        <w:widowControl w:val="0"/>
        <w:spacing w:line="240" w:lineRule="auto"/>
        <w:ind w:left="0"/>
        <w:rPr>
          <w:rFonts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 xml:space="preserve"> </w:t>
      </w:r>
      <w:r>
        <w:rPr>
          <w:rFonts w:ascii="Times New Roman" w:hAnsi="Times New Roman" w:eastAsia="宋体" w:cs="Times New Roman"/>
          <w:bCs/>
          <w:color w:val="auto"/>
          <w:sz w:val="21"/>
          <w:szCs w:val="21"/>
        </w:rPr>
        <w:t xml:space="preserve"> </w:t>
      </w:r>
      <w:r>
        <w:rPr>
          <w:rFonts w:ascii="Times New Roman" w:hAnsi="Times New Roman" w:eastAsia="宋体" w:cs="Times New Roman"/>
          <w:bCs/>
          <w:color w:val="auto"/>
          <w:sz w:val="21"/>
          <w:szCs w:val="21"/>
          <w:lang w:val="zh-CN"/>
        </w:rPr>
        <w:t>表</w:t>
      </w:r>
      <w:r>
        <w:rPr>
          <w:rFonts w:ascii="Times New Roman" w:hAnsi="Times New Roman" w:eastAsia="宋体" w:cs="Times New Roman"/>
          <w:bCs/>
          <w:color w:val="auto"/>
          <w:sz w:val="21"/>
          <w:szCs w:val="21"/>
        </w:rPr>
        <w:t xml:space="preserve">5.2-24  </w:t>
      </w:r>
      <w:r>
        <w:rPr>
          <w:rFonts w:ascii="Times New Roman" w:hAnsi="Times New Roman" w:eastAsia="宋体" w:cs="Times New Roman"/>
          <w:bCs/>
          <w:color w:val="auto"/>
          <w:sz w:val="21"/>
          <w:szCs w:val="21"/>
          <w:lang w:val="zh-CN"/>
        </w:rPr>
        <w:t>大气污染物年排放量核算表</w:t>
      </w:r>
    </w:p>
    <w:tbl>
      <w:tblPr>
        <w:tblStyle w:val="62"/>
        <w:tblW w:w="926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4152"/>
        <w:gridCol w:w="34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668" w:type="dxa"/>
          </w:tcPr>
          <w:p>
            <w:pPr>
              <w:pStyle w:val="861"/>
              <w:widowControl w:val="0"/>
              <w:snapToGrid/>
              <w:rPr>
                <w:szCs w:val="18"/>
              </w:rPr>
            </w:pPr>
            <w:r>
              <w:rPr>
                <w:szCs w:val="18"/>
              </w:rPr>
              <w:t>序号</w:t>
            </w:r>
          </w:p>
        </w:tc>
        <w:tc>
          <w:tcPr>
            <w:tcW w:w="4152" w:type="dxa"/>
          </w:tcPr>
          <w:p>
            <w:pPr>
              <w:pStyle w:val="861"/>
              <w:widowControl w:val="0"/>
              <w:snapToGrid/>
              <w:rPr>
                <w:szCs w:val="18"/>
              </w:rPr>
            </w:pPr>
            <w:r>
              <w:rPr>
                <w:szCs w:val="18"/>
              </w:rPr>
              <w:t>污染物</w:t>
            </w:r>
          </w:p>
        </w:tc>
        <w:tc>
          <w:tcPr>
            <w:tcW w:w="3446" w:type="dxa"/>
          </w:tcPr>
          <w:p>
            <w:pPr>
              <w:pStyle w:val="861"/>
              <w:widowControl w:val="0"/>
              <w:snapToGrid/>
              <w:rPr>
                <w:szCs w:val="18"/>
              </w:rPr>
            </w:pPr>
            <w:r>
              <w:rPr>
                <w:szCs w:val="18"/>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1" w:hRule="atLeast"/>
        </w:trPr>
        <w:tc>
          <w:tcPr>
            <w:tcW w:w="1668" w:type="dxa"/>
          </w:tcPr>
          <w:p>
            <w:pPr>
              <w:pStyle w:val="861"/>
              <w:widowControl w:val="0"/>
              <w:snapToGrid/>
              <w:rPr>
                <w:szCs w:val="18"/>
              </w:rPr>
            </w:pPr>
            <w:r>
              <w:rPr>
                <w:szCs w:val="18"/>
              </w:rPr>
              <w:t>1</w:t>
            </w:r>
          </w:p>
        </w:tc>
        <w:tc>
          <w:tcPr>
            <w:tcW w:w="415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lang w:bidi="ar"/>
              </w:rPr>
              <w:t>非甲烷总烃</w:t>
            </w:r>
          </w:p>
        </w:tc>
        <w:tc>
          <w:tcPr>
            <w:tcW w:w="3446"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lang w:bidi="ar"/>
              </w:rPr>
              <w:t>4.86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 w:hRule="atLeast"/>
        </w:trPr>
        <w:tc>
          <w:tcPr>
            <w:tcW w:w="1668" w:type="dxa"/>
          </w:tcPr>
          <w:p>
            <w:pPr>
              <w:pStyle w:val="861"/>
              <w:widowControl w:val="0"/>
              <w:snapToGrid/>
              <w:rPr>
                <w:szCs w:val="18"/>
              </w:rPr>
            </w:pPr>
            <w:r>
              <w:rPr>
                <w:szCs w:val="18"/>
              </w:rPr>
              <w:t>2</w:t>
            </w:r>
          </w:p>
        </w:tc>
        <w:tc>
          <w:tcPr>
            <w:tcW w:w="4152"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lang w:bidi="ar"/>
              </w:rPr>
              <w:t>硫酸雾</w:t>
            </w:r>
          </w:p>
        </w:tc>
        <w:tc>
          <w:tcPr>
            <w:tcW w:w="3446" w:type="dxa"/>
            <w:vAlign w:val="center"/>
          </w:tcPr>
          <w:p>
            <w:pPr>
              <w:widowControl/>
              <w:spacing w:line="240" w:lineRule="auto"/>
              <w:ind w:firstLine="0" w:firstLineChars="0"/>
              <w:jc w:val="center"/>
              <w:textAlignment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lang w:bidi="ar"/>
              </w:rPr>
              <w:t>0.017</w:t>
            </w:r>
          </w:p>
        </w:tc>
      </w:tr>
    </w:tbl>
    <w:p>
      <w:pPr>
        <w:spacing w:before="166" w:beforeLines="50"/>
        <w:ind w:firstLine="480"/>
        <w:rPr>
          <w:rFonts w:ascii="Times New Roman" w:hAnsi="Times New Roman" w:cs="Times New Roman"/>
          <w:color w:val="auto"/>
        </w:rPr>
      </w:pPr>
      <w:r>
        <w:rPr>
          <w:rFonts w:ascii="Times New Roman" w:hAnsi="Times New Roman" w:cs="Times New Roman"/>
          <w:color w:val="auto"/>
        </w:rPr>
        <w:t>（4）非正常排放核算表</w:t>
      </w:r>
    </w:p>
    <w:p>
      <w:pPr>
        <w:pStyle w:val="1062"/>
        <w:widowControl w:val="0"/>
        <w:spacing w:line="240" w:lineRule="auto"/>
        <w:ind w:left="0"/>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lang w:val="zh-CN"/>
        </w:rPr>
        <w:t>表</w:t>
      </w:r>
      <w:r>
        <w:rPr>
          <w:rFonts w:ascii="Times New Roman" w:hAnsi="Times New Roman" w:eastAsia="宋体" w:cs="Times New Roman"/>
          <w:bCs/>
          <w:color w:val="auto"/>
          <w:sz w:val="21"/>
          <w:szCs w:val="21"/>
        </w:rPr>
        <w:t xml:space="preserve">5.2-25   </w:t>
      </w:r>
      <w:r>
        <w:rPr>
          <w:rFonts w:ascii="Times New Roman" w:hAnsi="Times New Roman" w:eastAsia="宋体" w:cs="Times New Roman"/>
          <w:bCs/>
          <w:color w:val="auto"/>
          <w:sz w:val="21"/>
          <w:szCs w:val="21"/>
          <w:lang w:val="zh-CN"/>
        </w:rPr>
        <w:t>非正常排放核算表</w:t>
      </w:r>
    </w:p>
    <w:tbl>
      <w:tblPr>
        <w:tblStyle w:val="62"/>
        <w:tblW w:w="925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94"/>
        <w:gridCol w:w="880"/>
        <w:gridCol w:w="1548"/>
        <w:gridCol w:w="986"/>
        <w:gridCol w:w="1266"/>
        <w:gridCol w:w="1267"/>
        <w:gridCol w:w="1267"/>
        <w:gridCol w:w="761"/>
        <w:gridCol w:w="78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5" w:hRule="atLeast"/>
        </w:trPr>
        <w:tc>
          <w:tcPr>
            <w:tcW w:w="494" w:type="dxa"/>
            <w:vAlign w:val="center"/>
          </w:tcPr>
          <w:p>
            <w:pPr>
              <w:pStyle w:val="861"/>
              <w:widowControl w:val="0"/>
              <w:rPr>
                <w:szCs w:val="18"/>
              </w:rPr>
            </w:pPr>
            <w:r>
              <w:rPr>
                <w:szCs w:val="18"/>
              </w:rPr>
              <w:t>序号</w:t>
            </w:r>
          </w:p>
        </w:tc>
        <w:tc>
          <w:tcPr>
            <w:tcW w:w="880" w:type="dxa"/>
            <w:vAlign w:val="center"/>
          </w:tcPr>
          <w:p>
            <w:pPr>
              <w:pStyle w:val="861"/>
              <w:widowControl w:val="0"/>
              <w:rPr>
                <w:szCs w:val="18"/>
              </w:rPr>
            </w:pPr>
            <w:r>
              <w:rPr>
                <w:szCs w:val="18"/>
              </w:rPr>
              <w:t>污染源</w:t>
            </w:r>
          </w:p>
        </w:tc>
        <w:tc>
          <w:tcPr>
            <w:tcW w:w="1548" w:type="dxa"/>
            <w:vAlign w:val="center"/>
          </w:tcPr>
          <w:p>
            <w:pPr>
              <w:pStyle w:val="861"/>
              <w:widowControl w:val="0"/>
              <w:rPr>
                <w:szCs w:val="18"/>
              </w:rPr>
            </w:pPr>
            <w:r>
              <w:rPr>
                <w:szCs w:val="18"/>
              </w:rPr>
              <w:t>非正常排放原因</w:t>
            </w:r>
          </w:p>
        </w:tc>
        <w:tc>
          <w:tcPr>
            <w:tcW w:w="986" w:type="dxa"/>
            <w:vAlign w:val="center"/>
          </w:tcPr>
          <w:p>
            <w:pPr>
              <w:pStyle w:val="861"/>
              <w:widowControl w:val="0"/>
              <w:rPr>
                <w:szCs w:val="18"/>
              </w:rPr>
            </w:pPr>
            <w:r>
              <w:rPr>
                <w:szCs w:val="18"/>
              </w:rPr>
              <w:t>污染物</w:t>
            </w:r>
          </w:p>
        </w:tc>
        <w:tc>
          <w:tcPr>
            <w:tcW w:w="1266" w:type="dxa"/>
            <w:vAlign w:val="center"/>
          </w:tcPr>
          <w:p>
            <w:pPr>
              <w:pStyle w:val="861"/>
              <w:widowControl w:val="0"/>
              <w:rPr>
                <w:szCs w:val="18"/>
              </w:rPr>
            </w:pPr>
            <w:r>
              <w:rPr>
                <w:szCs w:val="18"/>
              </w:rPr>
              <w:t>非正常排放浓度（mg/m</w:t>
            </w:r>
            <w:r>
              <w:rPr>
                <w:szCs w:val="18"/>
                <w:vertAlign w:val="superscript"/>
              </w:rPr>
              <w:t>3</w:t>
            </w:r>
            <w:r>
              <w:rPr>
                <w:szCs w:val="18"/>
              </w:rPr>
              <w:t>）</w:t>
            </w:r>
          </w:p>
        </w:tc>
        <w:tc>
          <w:tcPr>
            <w:tcW w:w="1267" w:type="dxa"/>
            <w:vAlign w:val="center"/>
          </w:tcPr>
          <w:p>
            <w:pPr>
              <w:pStyle w:val="861"/>
              <w:widowControl w:val="0"/>
              <w:rPr>
                <w:szCs w:val="18"/>
              </w:rPr>
            </w:pPr>
            <w:r>
              <w:rPr>
                <w:szCs w:val="18"/>
              </w:rPr>
              <w:t>非正常排放速率（kg/h）</w:t>
            </w:r>
          </w:p>
        </w:tc>
        <w:tc>
          <w:tcPr>
            <w:tcW w:w="1267" w:type="dxa"/>
            <w:vAlign w:val="center"/>
          </w:tcPr>
          <w:p>
            <w:pPr>
              <w:pStyle w:val="861"/>
              <w:widowControl w:val="0"/>
              <w:rPr>
                <w:szCs w:val="18"/>
              </w:rPr>
            </w:pPr>
            <w:r>
              <w:rPr>
                <w:szCs w:val="18"/>
              </w:rPr>
              <w:t>单次持续时间h</w:t>
            </w:r>
          </w:p>
        </w:tc>
        <w:tc>
          <w:tcPr>
            <w:tcW w:w="761" w:type="dxa"/>
            <w:vAlign w:val="center"/>
          </w:tcPr>
          <w:p>
            <w:pPr>
              <w:pStyle w:val="861"/>
              <w:widowControl w:val="0"/>
              <w:rPr>
                <w:szCs w:val="18"/>
              </w:rPr>
            </w:pPr>
            <w:r>
              <w:rPr>
                <w:szCs w:val="18"/>
              </w:rPr>
              <w:t>年发生频次/次</w:t>
            </w:r>
          </w:p>
        </w:tc>
        <w:tc>
          <w:tcPr>
            <w:tcW w:w="787" w:type="dxa"/>
            <w:vAlign w:val="center"/>
          </w:tcPr>
          <w:p>
            <w:pPr>
              <w:pStyle w:val="861"/>
              <w:widowControl w:val="0"/>
              <w:rPr>
                <w:szCs w:val="18"/>
              </w:rPr>
            </w:pPr>
            <w:r>
              <w:rPr>
                <w:szCs w:val="18"/>
              </w:rPr>
              <w:t>应对措施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7" w:hRule="atLeast"/>
        </w:trPr>
        <w:tc>
          <w:tcPr>
            <w:tcW w:w="494" w:type="dxa"/>
            <w:vAlign w:val="center"/>
          </w:tcPr>
          <w:p>
            <w:pPr>
              <w:pStyle w:val="861"/>
              <w:widowControl w:val="0"/>
              <w:rPr>
                <w:szCs w:val="18"/>
              </w:rPr>
            </w:pPr>
            <w:r>
              <w:rPr>
                <w:szCs w:val="18"/>
              </w:rPr>
              <w:t>1</w:t>
            </w:r>
          </w:p>
        </w:tc>
        <w:tc>
          <w:tcPr>
            <w:tcW w:w="880" w:type="dxa"/>
            <w:vAlign w:val="center"/>
          </w:tcPr>
          <w:p>
            <w:pPr>
              <w:pStyle w:val="861"/>
              <w:widowControl w:val="0"/>
              <w:rPr>
                <w:szCs w:val="18"/>
              </w:rPr>
            </w:pPr>
            <w:r>
              <w:rPr>
                <w:rFonts w:hint="eastAsia"/>
                <w:szCs w:val="18"/>
              </w:rPr>
              <w:t>汽油</w:t>
            </w:r>
            <w:r>
              <w:rPr>
                <w:szCs w:val="18"/>
              </w:rPr>
              <w:t>装车</w:t>
            </w:r>
          </w:p>
        </w:tc>
        <w:tc>
          <w:tcPr>
            <w:tcW w:w="1548" w:type="dxa"/>
            <w:vAlign w:val="center"/>
          </w:tcPr>
          <w:p>
            <w:pPr>
              <w:pStyle w:val="861"/>
              <w:widowControl w:val="0"/>
              <w:rPr>
                <w:szCs w:val="18"/>
              </w:rPr>
            </w:pPr>
            <w:r>
              <w:rPr>
                <w:szCs w:val="18"/>
              </w:rPr>
              <w:t>汽油油气回收装置处理设施失效(按处理效率60%计)</w:t>
            </w:r>
          </w:p>
        </w:tc>
        <w:tc>
          <w:tcPr>
            <w:tcW w:w="986" w:type="dxa"/>
            <w:vAlign w:val="center"/>
          </w:tcPr>
          <w:p>
            <w:pPr>
              <w:pStyle w:val="861"/>
              <w:widowControl w:val="0"/>
              <w:rPr>
                <w:szCs w:val="18"/>
              </w:rPr>
            </w:pPr>
            <w:r>
              <w:rPr>
                <w:szCs w:val="18"/>
              </w:rPr>
              <w:t>非甲烷总烃</w:t>
            </w:r>
          </w:p>
        </w:tc>
        <w:tc>
          <w:tcPr>
            <w:tcW w:w="1266" w:type="dxa"/>
            <w:vAlign w:val="center"/>
          </w:tcPr>
          <w:p>
            <w:pPr>
              <w:pStyle w:val="861"/>
              <w:widowControl w:val="0"/>
              <w:rPr>
                <w:szCs w:val="18"/>
              </w:rPr>
            </w:pPr>
            <w:r>
              <w:rPr>
                <w:szCs w:val="18"/>
              </w:rPr>
              <w:t>58 g/m</w:t>
            </w:r>
            <w:r>
              <w:rPr>
                <w:szCs w:val="18"/>
                <w:vertAlign w:val="superscript"/>
              </w:rPr>
              <w:t>3</w:t>
            </w:r>
          </w:p>
        </w:tc>
        <w:tc>
          <w:tcPr>
            <w:tcW w:w="1267" w:type="dxa"/>
            <w:vAlign w:val="center"/>
          </w:tcPr>
          <w:p>
            <w:pPr>
              <w:pStyle w:val="861"/>
              <w:widowControl w:val="0"/>
              <w:rPr>
                <w:szCs w:val="18"/>
              </w:rPr>
            </w:pPr>
            <w:r>
              <w:rPr>
                <w:szCs w:val="18"/>
              </w:rPr>
              <w:t>49.5</w:t>
            </w:r>
          </w:p>
        </w:tc>
        <w:tc>
          <w:tcPr>
            <w:tcW w:w="1267" w:type="dxa"/>
            <w:vAlign w:val="center"/>
          </w:tcPr>
          <w:p>
            <w:pPr>
              <w:pStyle w:val="861"/>
              <w:widowControl w:val="0"/>
              <w:rPr>
                <w:szCs w:val="18"/>
              </w:rPr>
            </w:pPr>
            <w:r>
              <w:rPr>
                <w:szCs w:val="18"/>
              </w:rPr>
              <w:t>3.0</w:t>
            </w:r>
          </w:p>
        </w:tc>
        <w:tc>
          <w:tcPr>
            <w:tcW w:w="761" w:type="dxa"/>
            <w:vAlign w:val="center"/>
          </w:tcPr>
          <w:p>
            <w:pPr>
              <w:pStyle w:val="861"/>
              <w:widowControl w:val="0"/>
              <w:rPr>
                <w:szCs w:val="18"/>
              </w:rPr>
            </w:pPr>
            <w:r>
              <w:rPr>
                <w:szCs w:val="18"/>
              </w:rPr>
              <w:t>1</w:t>
            </w:r>
          </w:p>
        </w:tc>
        <w:tc>
          <w:tcPr>
            <w:tcW w:w="787" w:type="dxa"/>
            <w:vAlign w:val="center"/>
          </w:tcPr>
          <w:p>
            <w:pPr>
              <w:pStyle w:val="861"/>
              <w:widowControl w:val="0"/>
              <w:rPr>
                <w:szCs w:val="18"/>
              </w:rPr>
            </w:pPr>
            <w:r>
              <w:rPr>
                <w:szCs w:val="18"/>
              </w:rPr>
              <w:t>检修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3" w:hRule="atLeast"/>
        </w:trPr>
        <w:tc>
          <w:tcPr>
            <w:tcW w:w="494" w:type="dxa"/>
            <w:vAlign w:val="center"/>
          </w:tcPr>
          <w:p>
            <w:pPr>
              <w:pStyle w:val="861"/>
              <w:widowControl w:val="0"/>
              <w:rPr>
                <w:szCs w:val="18"/>
              </w:rPr>
            </w:pPr>
            <w:r>
              <w:rPr>
                <w:rFonts w:hint="eastAsia"/>
                <w:szCs w:val="18"/>
              </w:rPr>
              <w:t>2</w:t>
            </w:r>
          </w:p>
        </w:tc>
        <w:tc>
          <w:tcPr>
            <w:tcW w:w="880" w:type="dxa"/>
            <w:vAlign w:val="center"/>
          </w:tcPr>
          <w:p>
            <w:pPr>
              <w:pStyle w:val="861"/>
              <w:widowControl w:val="0"/>
              <w:rPr>
                <w:szCs w:val="18"/>
              </w:rPr>
            </w:pPr>
            <w:r>
              <w:rPr>
                <w:szCs w:val="18"/>
              </w:rPr>
              <w:t>硫酸储罐、装车</w:t>
            </w:r>
          </w:p>
        </w:tc>
        <w:tc>
          <w:tcPr>
            <w:tcW w:w="1548" w:type="dxa"/>
            <w:vAlign w:val="center"/>
          </w:tcPr>
          <w:p>
            <w:pPr>
              <w:pStyle w:val="861"/>
              <w:widowControl w:val="0"/>
              <w:rPr>
                <w:szCs w:val="18"/>
              </w:rPr>
            </w:pPr>
            <w:r>
              <w:rPr>
                <w:rFonts w:hint="eastAsia"/>
                <w:szCs w:val="18"/>
              </w:rPr>
              <w:t>碱液中和罐</w:t>
            </w:r>
            <w:r>
              <w:rPr>
                <w:szCs w:val="18"/>
              </w:rPr>
              <w:t>处理设施失效(按处理效率60%计)</w:t>
            </w:r>
          </w:p>
        </w:tc>
        <w:tc>
          <w:tcPr>
            <w:tcW w:w="986" w:type="dxa"/>
            <w:tcBorders>
              <w:bottom w:val="single" w:color="auto" w:sz="12" w:space="0"/>
            </w:tcBorders>
            <w:vAlign w:val="center"/>
          </w:tcPr>
          <w:p>
            <w:pPr>
              <w:pStyle w:val="861"/>
              <w:widowControl w:val="0"/>
              <w:rPr>
                <w:szCs w:val="18"/>
              </w:rPr>
            </w:pPr>
            <w:r>
              <w:rPr>
                <w:rFonts w:hint="eastAsia"/>
                <w:szCs w:val="18"/>
              </w:rPr>
              <w:t>硫酸雾</w:t>
            </w:r>
          </w:p>
        </w:tc>
        <w:tc>
          <w:tcPr>
            <w:tcW w:w="1266" w:type="dxa"/>
            <w:tcBorders>
              <w:bottom w:val="single" w:color="auto" w:sz="12" w:space="0"/>
            </w:tcBorders>
            <w:vAlign w:val="center"/>
          </w:tcPr>
          <w:p>
            <w:pPr>
              <w:pStyle w:val="861"/>
              <w:widowControl w:val="0"/>
              <w:rPr>
                <w:szCs w:val="18"/>
              </w:rPr>
            </w:pPr>
            <w:r>
              <w:rPr>
                <w:szCs w:val="18"/>
              </w:rPr>
              <w:t>136</w:t>
            </w:r>
          </w:p>
        </w:tc>
        <w:tc>
          <w:tcPr>
            <w:tcW w:w="1267" w:type="dxa"/>
            <w:tcBorders>
              <w:bottom w:val="single" w:color="auto" w:sz="12" w:space="0"/>
            </w:tcBorders>
            <w:vAlign w:val="center"/>
          </w:tcPr>
          <w:p>
            <w:pPr>
              <w:pStyle w:val="861"/>
              <w:widowControl w:val="0"/>
              <w:rPr>
                <w:szCs w:val="18"/>
              </w:rPr>
            </w:pPr>
            <w:r>
              <w:rPr>
                <w:szCs w:val="18"/>
              </w:rPr>
              <w:t>0.136</w:t>
            </w:r>
          </w:p>
        </w:tc>
        <w:tc>
          <w:tcPr>
            <w:tcW w:w="1267" w:type="dxa"/>
            <w:vAlign w:val="center"/>
          </w:tcPr>
          <w:p>
            <w:pPr>
              <w:pStyle w:val="861"/>
              <w:widowControl w:val="0"/>
              <w:rPr>
                <w:szCs w:val="18"/>
              </w:rPr>
            </w:pPr>
            <w:r>
              <w:rPr>
                <w:szCs w:val="18"/>
              </w:rPr>
              <w:t>3.0</w:t>
            </w:r>
          </w:p>
        </w:tc>
        <w:tc>
          <w:tcPr>
            <w:tcW w:w="761" w:type="dxa"/>
            <w:vAlign w:val="center"/>
          </w:tcPr>
          <w:p>
            <w:pPr>
              <w:pStyle w:val="861"/>
              <w:widowControl w:val="0"/>
              <w:rPr>
                <w:szCs w:val="18"/>
              </w:rPr>
            </w:pPr>
            <w:r>
              <w:rPr>
                <w:szCs w:val="18"/>
              </w:rPr>
              <w:t>1</w:t>
            </w:r>
          </w:p>
        </w:tc>
        <w:tc>
          <w:tcPr>
            <w:tcW w:w="787" w:type="dxa"/>
            <w:vAlign w:val="center"/>
          </w:tcPr>
          <w:p>
            <w:pPr>
              <w:pStyle w:val="861"/>
              <w:widowControl w:val="0"/>
              <w:rPr>
                <w:szCs w:val="18"/>
              </w:rPr>
            </w:pPr>
            <w:r>
              <w:rPr>
                <w:szCs w:val="18"/>
              </w:rPr>
              <w:t>检修</w:t>
            </w:r>
          </w:p>
        </w:tc>
      </w:tr>
    </w:tbl>
    <w:p>
      <w:pPr>
        <w:pStyle w:val="4"/>
        <w:spacing w:before="166" w:beforeLines="50"/>
        <w:rPr>
          <w:rFonts w:ascii="Times New Roman" w:hAnsi="Times New Roman" w:cs="Times New Roman"/>
          <w:color w:val="FF0000"/>
          <w:szCs w:val="22"/>
          <w:shd w:val="clear" w:color="auto" w:fill="FFFFFF"/>
        </w:rPr>
      </w:pPr>
      <w:bookmarkStart w:id="413" w:name="_Toc104733404"/>
      <w:bookmarkStart w:id="414" w:name="_Toc102984371"/>
      <w:r>
        <w:rPr>
          <w:rFonts w:ascii="Times New Roman" w:hAnsi="Times New Roman" w:cs="Times New Roman"/>
          <w:color w:val="auto"/>
          <w:szCs w:val="24"/>
        </w:rPr>
        <w:t>5.2.9</w:t>
      </w:r>
      <w:r>
        <w:rPr>
          <w:rFonts w:ascii="Times New Roman" w:hAnsi="Times New Roman" w:cs="Times New Roman"/>
          <w:color w:val="FF0000"/>
          <w:szCs w:val="24"/>
        </w:rPr>
        <w:t>环境防护距离</w:t>
      </w:r>
      <w:bookmarkEnd w:id="413"/>
      <w:bookmarkEnd w:id="414"/>
    </w:p>
    <w:p>
      <w:pPr>
        <w:adjustRightInd/>
        <w:snapToGrid/>
        <w:spacing w:line="480" w:lineRule="exact"/>
        <w:ind w:firstLine="482"/>
        <w:rPr>
          <w:rFonts w:ascii="Times New Roman" w:hAnsi="Times New Roman" w:cs="Times New Roman"/>
          <w:b/>
          <w:bCs/>
          <w:szCs w:val="20"/>
        </w:rPr>
      </w:pPr>
      <w:bookmarkStart w:id="415" w:name="_Hlk46330523"/>
      <w:r>
        <w:rPr>
          <w:rFonts w:ascii="Times New Roman" w:hAnsi="Times New Roman" w:cs="Times New Roman"/>
          <w:b/>
          <w:bCs/>
          <w:szCs w:val="20"/>
        </w:rPr>
        <w:t>（1）大气环境防护距离</w:t>
      </w:r>
    </w:p>
    <w:p>
      <w:pPr>
        <w:adjustRightInd/>
        <w:snapToGrid/>
        <w:spacing w:line="480" w:lineRule="exact"/>
        <w:ind w:firstLine="480"/>
        <w:rPr>
          <w:rFonts w:ascii="Times New Roman" w:hAnsi="Times New Roman" w:cs="Times New Roman"/>
          <w:szCs w:val="20"/>
        </w:rPr>
      </w:pPr>
      <w:r>
        <w:rPr>
          <w:rFonts w:ascii="Times New Roman" w:hAnsi="Times New Roman" w:cs="Times New Roman"/>
          <w:szCs w:val="20"/>
        </w:rPr>
        <w:t>根据《环境影响评价技术导则-大气环境》（HJ2.2-2018），对于项目厂界浓度满足大气污染物厂界浓度限值，但厂界外大气污染物短期浓度贡献值超过环境质量浓度限值的，可以自厂界向外设置一定范围的大气环境防护区域，以确保大气环境防护区域外的污染物贡献浓度满足环境质量标准。</w:t>
      </w:r>
    </w:p>
    <w:p>
      <w:pPr>
        <w:adjustRightInd/>
        <w:snapToGrid/>
        <w:spacing w:line="480" w:lineRule="exact"/>
        <w:ind w:firstLine="480"/>
        <w:rPr>
          <w:rFonts w:ascii="Times New Roman" w:hAnsi="Times New Roman" w:cs="Times New Roman"/>
          <w:szCs w:val="20"/>
        </w:rPr>
      </w:pPr>
      <w:r>
        <w:rPr>
          <w:rFonts w:ascii="Times New Roman" w:hAnsi="Times New Roman" w:cs="Times New Roman"/>
          <w:szCs w:val="20"/>
        </w:rPr>
        <w:t>通过进一步预测模型预测后可知：</w:t>
      </w:r>
      <w:r>
        <w:rPr>
          <w:rFonts w:hint="eastAsia" w:ascii="Times New Roman" w:hAnsi="Times New Roman" w:cs="Times New Roman"/>
          <w:szCs w:val="20"/>
        </w:rPr>
        <w:t>本项目</w:t>
      </w:r>
      <w:r>
        <w:rPr>
          <w:rFonts w:ascii="Times New Roman" w:hAnsi="Times New Roman" w:cs="Times New Roman"/>
          <w:szCs w:val="20"/>
        </w:rPr>
        <w:t>区内所有污染源对厂界外主要污染物的短期贡献浓度分布，大气污染物浓度未超过环境质量浓度限值，不需设置大气环境防护距离。</w:t>
      </w:r>
    </w:p>
    <w:p>
      <w:pPr>
        <w:adjustRightInd/>
        <w:snapToGrid/>
        <w:ind w:firstLine="482"/>
        <w:rPr>
          <w:rFonts w:ascii="Times New Roman" w:hAnsi="Times New Roman" w:cs="Times New Roman"/>
          <w:b/>
          <w:bCs/>
          <w:szCs w:val="20"/>
        </w:rPr>
      </w:pPr>
      <w:r>
        <w:rPr>
          <w:rFonts w:ascii="Times New Roman" w:hAnsi="Times New Roman" w:cs="Times New Roman"/>
          <w:b/>
          <w:bCs/>
          <w:szCs w:val="20"/>
        </w:rPr>
        <w:t>（2）环境防护距离</w:t>
      </w:r>
    </w:p>
    <w:p>
      <w:pPr>
        <w:ind w:firstLine="480"/>
        <w:rPr>
          <w:rFonts w:ascii="Times New Roman" w:hAnsi="Times New Roman" w:cs="Times New Roman"/>
          <w:b/>
          <w:color w:val="FF0000"/>
          <w:shd w:val="clear" w:color="auto" w:fill="FFFFFF"/>
        </w:rPr>
      </w:pPr>
      <w:r>
        <w:rPr>
          <w:rFonts w:ascii="Times New Roman" w:hAnsi="Times New Roman" w:cs="Times New Roman"/>
          <w:szCs w:val="20"/>
        </w:rPr>
        <w:t>本项目风险评价章节中最大可信事故</w:t>
      </w:r>
      <w:r>
        <w:rPr>
          <w:rFonts w:hint="eastAsia" w:ascii="Times New Roman" w:hAnsi="Times New Roman" w:cs="Times New Roman"/>
          <w:szCs w:val="20"/>
        </w:rPr>
        <w:t>汽油储罐</w:t>
      </w:r>
      <w:r>
        <w:rPr>
          <w:rFonts w:ascii="Times New Roman" w:hAnsi="Times New Roman" w:cs="Times New Roman"/>
          <w:szCs w:val="20"/>
        </w:rPr>
        <w:t>泄漏</w:t>
      </w:r>
      <w:r>
        <w:rPr>
          <w:rFonts w:hint="eastAsia" w:ascii="Times New Roman" w:hAnsi="Times New Roman" w:cs="Times New Roman"/>
          <w:szCs w:val="20"/>
        </w:rPr>
        <w:t>火灾</w:t>
      </w:r>
      <w:r>
        <w:rPr>
          <w:rFonts w:ascii="Times New Roman" w:hAnsi="Times New Roman" w:cs="Times New Roman"/>
          <w:szCs w:val="20"/>
        </w:rPr>
        <w:t>伴生/次生CO毒性终点浓度-1最远距离为560m，</w:t>
      </w:r>
      <w:r>
        <w:rPr>
          <w:rFonts w:ascii="Times New Roman" w:hAnsi="Times New Roman" w:cs="Times New Roman"/>
        </w:rPr>
        <w:t>本项目以CO终点浓度-1影响范围设置风险防护距离。考虑最不利情况，向上取整，即以厂界外600m范围设置为</w:t>
      </w:r>
      <w:r>
        <w:rPr>
          <w:rFonts w:hint="eastAsia" w:ascii="Times New Roman" w:hAnsi="Times New Roman" w:cs="Times New Roman"/>
        </w:rPr>
        <w:t>环境</w:t>
      </w:r>
      <w:r>
        <w:rPr>
          <w:rFonts w:ascii="Times New Roman" w:hAnsi="Times New Roman" w:cs="Times New Roman"/>
        </w:rPr>
        <w:t>风险防护距离。</w:t>
      </w:r>
    </w:p>
    <w:p>
      <w:pPr>
        <w:ind w:firstLine="482"/>
        <w:rPr>
          <w:rFonts w:ascii="Times New Roman" w:hAnsi="Times New Roman" w:cs="Times New Roman"/>
          <w:color w:val="auto"/>
          <w:shd w:val="clear" w:color="auto" w:fill="FFFFFF"/>
        </w:rPr>
      </w:pPr>
      <w:r>
        <w:rPr>
          <w:rFonts w:ascii="Times New Roman" w:hAnsi="Times New Roman" w:cs="Times New Roman"/>
          <w:b/>
          <w:color w:val="FF0000"/>
          <w:shd w:val="clear" w:color="auto" w:fill="FFFFFF"/>
        </w:rPr>
        <w:t>结合</w:t>
      </w:r>
      <w:r>
        <w:rPr>
          <w:rFonts w:hint="eastAsia" w:ascii="Times New Roman" w:hAnsi="Times New Roman" w:cs="Times New Roman"/>
          <w:b/>
          <w:color w:val="FF0000"/>
          <w:shd w:val="clear" w:color="auto" w:fill="FFFFFF"/>
        </w:rPr>
        <w:t>大气环境防护距离计算结果和环境风险防护距离</w:t>
      </w:r>
      <w:r>
        <w:rPr>
          <w:rFonts w:ascii="Times New Roman" w:hAnsi="Times New Roman" w:cs="Times New Roman"/>
          <w:b/>
          <w:color w:val="FF0000"/>
          <w:shd w:val="clear" w:color="auto" w:fill="FFFFFF"/>
        </w:rPr>
        <w:t>，本项目应在</w:t>
      </w:r>
      <w:r>
        <w:rPr>
          <w:rFonts w:hint="eastAsia" w:ascii="Times New Roman" w:hAnsi="Times New Roman" w:cs="Times New Roman"/>
          <w:b/>
          <w:color w:val="FF0000"/>
          <w:shd w:val="clear" w:color="auto" w:fill="FFFFFF"/>
        </w:rPr>
        <w:t>5</w:t>
      </w:r>
      <w:r>
        <w:rPr>
          <w:rFonts w:ascii="Times New Roman" w:hAnsi="Times New Roman" w:cs="Times New Roman"/>
          <w:b/>
          <w:color w:val="FF0000"/>
          <w:shd w:val="clear" w:color="auto" w:fill="FFFFFF"/>
        </w:rPr>
        <w:t>-7#</w:t>
      </w:r>
      <w:r>
        <w:rPr>
          <w:rFonts w:hint="eastAsia" w:ascii="Times New Roman" w:hAnsi="Times New Roman" w:cs="Times New Roman"/>
          <w:b/>
          <w:color w:val="FF0000"/>
          <w:shd w:val="clear" w:color="auto" w:fill="FFFFFF"/>
        </w:rPr>
        <w:t>油品专用</w:t>
      </w:r>
      <w:r>
        <w:rPr>
          <w:rFonts w:ascii="Times New Roman" w:hAnsi="Times New Roman" w:cs="Times New Roman"/>
          <w:b/>
          <w:color w:val="FF0000"/>
          <w:shd w:val="clear" w:color="auto" w:fill="FFFFFF"/>
        </w:rPr>
        <w:t>泊位及</w:t>
      </w:r>
      <w:r>
        <w:rPr>
          <w:rFonts w:hint="eastAsia" w:ascii="Times New Roman" w:hAnsi="Times New Roman" w:cs="Times New Roman"/>
          <w:b/>
          <w:color w:val="FF0000"/>
          <w:shd w:val="clear" w:color="auto" w:fill="FFFFFF"/>
        </w:rPr>
        <w:t>油品</w:t>
      </w:r>
      <w:r>
        <w:rPr>
          <w:rFonts w:ascii="Times New Roman" w:hAnsi="Times New Roman" w:cs="Times New Roman"/>
          <w:b/>
          <w:color w:val="FF0000"/>
          <w:shd w:val="clear" w:color="auto" w:fill="FFFFFF"/>
        </w:rPr>
        <w:t>罐区边界外设置600m的环境防护距离，</w:t>
      </w:r>
      <w:r>
        <w:rPr>
          <w:rFonts w:hint="eastAsia" w:ascii="Times New Roman" w:hAnsi="Times New Roman" w:cs="Times New Roman"/>
          <w:b/>
          <w:color w:val="FF0000"/>
          <w:shd w:val="clear" w:color="auto" w:fill="FFFFFF"/>
        </w:rPr>
        <w:t>经现场勘查，</w:t>
      </w:r>
      <w:r>
        <w:rPr>
          <w:rFonts w:ascii="Times New Roman" w:hAnsi="Times New Roman" w:cs="Times New Roman"/>
          <w:color w:val="FF0000"/>
          <w:shd w:val="clear" w:color="auto" w:fill="FFFFFF"/>
        </w:rPr>
        <w:t>环境防护距离内</w:t>
      </w:r>
      <w:r>
        <w:rPr>
          <w:rFonts w:hint="eastAsia" w:ascii="Times New Roman" w:hAnsi="Times New Roman" w:cs="Times New Roman"/>
          <w:color w:val="FF0000"/>
          <w:shd w:val="clear" w:color="auto" w:fill="FFFFFF"/>
        </w:rPr>
        <w:t>现状</w:t>
      </w:r>
      <w:r>
        <w:rPr>
          <w:rFonts w:ascii="Times New Roman" w:hAnsi="Times New Roman" w:cs="Times New Roman"/>
          <w:color w:val="FF0000"/>
          <w:shd w:val="clear" w:color="auto" w:fill="FFFFFF"/>
        </w:rPr>
        <w:t>无居民区、学校、医院等</w:t>
      </w:r>
      <w:r>
        <w:rPr>
          <w:rFonts w:hint="eastAsia" w:ascii="Times New Roman" w:hAnsi="Times New Roman" w:cs="Times New Roman"/>
          <w:color w:val="FF0000"/>
          <w:shd w:val="clear" w:color="auto" w:fill="FFFFFF"/>
        </w:rPr>
        <w:t>环境敏感目标</w:t>
      </w:r>
      <w:r>
        <w:rPr>
          <w:rFonts w:ascii="Times New Roman" w:hAnsi="Times New Roman" w:cs="Times New Roman"/>
          <w:color w:val="FF0000"/>
          <w:shd w:val="clear" w:color="auto" w:fill="FFFFFF"/>
        </w:rPr>
        <w:t>。</w:t>
      </w:r>
      <w:bookmarkEnd w:id="415"/>
    </w:p>
    <w:p>
      <w:pPr>
        <w:pStyle w:val="98"/>
        <w:rPr>
          <w:rFonts w:ascii="Times New Roman" w:hAnsi="Times New Roman" w:cs="Times New Roman"/>
        </w:rPr>
        <w:sectPr>
          <w:pgSz w:w="11906" w:h="16838"/>
          <w:pgMar w:top="1417" w:right="1417" w:bottom="1417" w:left="1417" w:header="850" w:footer="992" w:gutter="0"/>
          <w:cols w:space="720" w:num="1"/>
          <w:docGrid w:type="lines" w:linePitch="333" w:charSpace="0"/>
        </w:sectPr>
      </w:pPr>
    </w:p>
    <w:p>
      <w:pPr>
        <w:pStyle w:val="98"/>
        <w:jc w:val="center"/>
        <w:rPr>
          <w:rFonts w:ascii="Times New Roman" w:hAnsi="Times New Roman" w:eastAsia="等线" w:cs="Times New Roman"/>
        </w:rPr>
      </w:pPr>
      <w:r>
        <mc:AlternateContent>
          <mc:Choice Requires="wps">
            <w:drawing>
              <wp:anchor distT="0" distB="0" distL="114300" distR="114300" simplePos="0" relativeHeight="251732992" behindDoc="0" locked="0" layoutInCell="1" allowOverlap="1">
                <wp:simplePos x="0" y="0"/>
                <wp:positionH relativeFrom="column">
                  <wp:posOffset>4138295</wp:posOffset>
                </wp:positionH>
                <wp:positionV relativeFrom="paragraph">
                  <wp:posOffset>1290320</wp:posOffset>
                </wp:positionV>
                <wp:extent cx="2286000" cy="1771650"/>
                <wp:effectExtent l="0" t="0" r="19050" b="19050"/>
                <wp:wrapNone/>
                <wp:docPr id="912" name="任意多边形: 形状 912"/>
                <wp:cNvGraphicFramePr/>
                <a:graphic xmlns:a="http://schemas.openxmlformats.org/drawingml/2006/main">
                  <a:graphicData uri="http://schemas.microsoft.com/office/word/2010/wordprocessingShape">
                    <wps:wsp>
                      <wps:cNvSpPr/>
                      <wps:spPr>
                        <a:xfrm>
                          <a:off x="0" y="0"/>
                          <a:ext cx="2286000" cy="1771650"/>
                        </a:xfrm>
                        <a:custGeom>
                          <a:avLst/>
                          <a:gdLst>
                            <a:gd name="connsiteX0" fmla="*/ 335850 w 2577626"/>
                            <a:gd name="connsiteY0" fmla="*/ 412881 h 2382004"/>
                            <a:gd name="connsiteX1" fmla="*/ 821625 w 2577626"/>
                            <a:gd name="connsiteY1" fmla="*/ 108081 h 2382004"/>
                            <a:gd name="connsiteX2" fmla="*/ 1602675 w 2577626"/>
                            <a:gd name="connsiteY2" fmla="*/ 41406 h 2382004"/>
                            <a:gd name="connsiteX3" fmla="*/ 2507550 w 2577626"/>
                            <a:gd name="connsiteY3" fmla="*/ 708156 h 2382004"/>
                            <a:gd name="connsiteX4" fmla="*/ 2459925 w 2577626"/>
                            <a:gd name="connsiteY4" fmla="*/ 1717806 h 2382004"/>
                            <a:gd name="connsiteX5" fmla="*/ 2002725 w 2577626"/>
                            <a:gd name="connsiteY5" fmla="*/ 2317881 h 2382004"/>
                            <a:gd name="connsiteX6" fmla="*/ 831150 w 2577626"/>
                            <a:gd name="connsiteY6" fmla="*/ 2327406 h 2382004"/>
                            <a:gd name="connsiteX7" fmla="*/ 526350 w 2577626"/>
                            <a:gd name="connsiteY7" fmla="*/ 1984506 h 2382004"/>
                            <a:gd name="connsiteX8" fmla="*/ 516825 w 2577626"/>
                            <a:gd name="connsiteY8" fmla="*/ 1603506 h 2382004"/>
                            <a:gd name="connsiteX9" fmla="*/ 2475 w 2577626"/>
                            <a:gd name="connsiteY9" fmla="*/ 1393956 h 2382004"/>
                            <a:gd name="connsiteX10" fmla="*/ 335850 w 2577626"/>
                            <a:gd name="connsiteY10" fmla="*/ 412881 h 23820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577626" h="2382004">
                              <a:moveTo>
                                <a:pt x="335850" y="412881"/>
                              </a:moveTo>
                              <a:cubicBezTo>
                                <a:pt x="472375" y="198569"/>
                                <a:pt x="610488" y="169993"/>
                                <a:pt x="821625" y="108081"/>
                              </a:cubicBezTo>
                              <a:cubicBezTo>
                                <a:pt x="1032763" y="46168"/>
                                <a:pt x="1321688" y="-58606"/>
                                <a:pt x="1602675" y="41406"/>
                              </a:cubicBezTo>
                              <a:cubicBezTo>
                                <a:pt x="1883662" y="141418"/>
                                <a:pt x="2364675" y="428756"/>
                                <a:pt x="2507550" y="708156"/>
                              </a:cubicBezTo>
                              <a:cubicBezTo>
                                <a:pt x="2650425" y="987556"/>
                                <a:pt x="2544062" y="1449519"/>
                                <a:pt x="2459925" y="1717806"/>
                              </a:cubicBezTo>
                              <a:cubicBezTo>
                                <a:pt x="2375788" y="1986093"/>
                                <a:pt x="2274187" y="2216281"/>
                                <a:pt x="2002725" y="2317881"/>
                              </a:cubicBezTo>
                              <a:cubicBezTo>
                                <a:pt x="1731263" y="2419481"/>
                                <a:pt x="1077212" y="2382968"/>
                                <a:pt x="831150" y="2327406"/>
                              </a:cubicBezTo>
                              <a:cubicBezTo>
                                <a:pt x="585088" y="2271844"/>
                                <a:pt x="578738" y="2105156"/>
                                <a:pt x="526350" y="1984506"/>
                              </a:cubicBezTo>
                              <a:cubicBezTo>
                                <a:pt x="473962" y="1863856"/>
                                <a:pt x="604138" y="1701931"/>
                                <a:pt x="516825" y="1603506"/>
                              </a:cubicBezTo>
                              <a:cubicBezTo>
                                <a:pt x="429513" y="1505081"/>
                                <a:pt x="31050" y="1593981"/>
                                <a:pt x="2475" y="1393956"/>
                              </a:cubicBezTo>
                              <a:cubicBezTo>
                                <a:pt x="-26100" y="1193931"/>
                                <a:pt x="199325" y="627193"/>
                                <a:pt x="335850" y="412881"/>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任意多边形: 形状 912" o:spid="_x0000_s1026" o:spt="100" style="position:absolute;left:0pt;margin-left:325.85pt;margin-top:101.6pt;height:139.5pt;width:180pt;z-index:251732992;v-text-anchor:middle;mso-width-relative:page;mso-height-relative:page;" filled="f" stroked="t" coordsize="2577626,2382004" o:gfxdata="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" path="m335850,412881c472375,198569,610488,169993,821625,108081c1032763,46168,1321688,-58606,1602675,41406c1883662,141418,2364675,428756,2507550,708156c2650425,987556,2544062,1449519,2459925,1717806c2375788,1986093,2274187,2216281,2002725,2317881c1731263,2419481,1077212,2382968,831150,2327406c585088,2271844,578738,2105156,526350,1984506c473962,1863856,604138,1701931,516825,1603506c429513,1505081,31050,1593981,2475,1393956c-26100,1193931,199325,627193,335850,412881xe">
                <v:path o:connectlocs="297852,307086;728668,80386;1421352,30796;2223852,526701;2181615,1277643;1776141,1723957;737115,1731041;466800,1476005;458352,1192630;2194,1036774;297852,307086" o:connectangles="0,0,0,0,0,0,0,0,0,0,0"/>
                <v:fill on="f" focussize="0,0"/>
                <v:stroke weight="1pt" color="#FF0000 [3204]" miterlimit="8" joinstyle="miter"/>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648000" behindDoc="0" locked="0" layoutInCell="1" allowOverlap="1">
                <wp:simplePos x="0" y="0"/>
                <wp:positionH relativeFrom="column">
                  <wp:posOffset>5605145</wp:posOffset>
                </wp:positionH>
                <wp:positionV relativeFrom="paragraph">
                  <wp:posOffset>1985645</wp:posOffset>
                </wp:positionV>
                <wp:extent cx="838200" cy="238125"/>
                <wp:effectExtent l="0" t="57150" r="0" b="28575"/>
                <wp:wrapNone/>
                <wp:docPr id="220" name="AutoShape 2984"/>
                <wp:cNvGraphicFramePr/>
                <a:graphic xmlns:a="http://schemas.openxmlformats.org/drawingml/2006/main">
                  <a:graphicData uri="http://schemas.microsoft.com/office/word/2010/wordprocessingShape">
                    <wps:wsp>
                      <wps:cNvCnPr>
                        <a:cxnSpLocks noChangeShapeType="true"/>
                      </wps:cNvCnPr>
                      <wps:spPr bwMode="auto">
                        <a:xfrm flipV="true">
                          <a:off x="0" y="0"/>
                          <a:ext cx="838200" cy="238125"/>
                        </a:xfrm>
                        <a:prstGeom prst="straightConnector1">
                          <a:avLst/>
                        </a:prstGeom>
                        <a:noFill/>
                        <a:ln w="9525">
                          <a:solidFill>
                            <a:srgbClr val="FF0000"/>
                          </a:solidFill>
                          <a:round/>
                          <a:tailEnd type="triangle" w="med" len="med"/>
                        </a:ln>
                      </wps:spPr>
                      <wps:bodyPr/>
                    </wps:wsp>
                  </a:graphicData>
                </a:graphic>
              </wp:anchor>
            </w:drawing>
          </mc:Choice>
          <mc:Fallback>
            <w:pict>
              <v:shape id="AutoShape 2984" o:spid="_x0000_s1026" o:spt="32" type="#_x0000_t32" style="position:absolute;left:0pt;flip:y;margin-left:441.35pt;margin-top:156.35pt;height:18.75pt;width:66pt;z-index:251648000;mso-width-relative:page;mso-height-relative:page;" filled="f" stroked="t" coordsize="21600,21600" o:gfxdata="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BYAAABkcnMv&#10;UEsBAhQAFAAAAAgAh07iQJTOfazaAAAADAEAAA8AAAAAAAAAAQAgAAAAOAAAAGRycy9kb3ducmV2&#10;LnhtbFBLAQIUABQAAAAIAIdO4kC4FP0V5AEAAKsDAAAOAAAAAAAAAAEAIAAAAD8BAABkcnMvZTJv&#10;RG9jLnhtbFBLBQYAAAAABgAGAFkBAACVBQAAAAA=&#10;">
                <v:fill on="f" focussize="0,0"/>
                <v:stroke color="#FF0000" joinstyle="round" endarrow="block"/>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730944" behindDoc="0" locked="0" layoutInCell="1" allowOverlap="1">
                <wp:simplePos x="0" y="0"/>
                <wp:positionH relativeFrom="column">
                  <wp:posOffset>5062220</wp:posOffset>
                </wp:positionH>
                <wp:positionV relativeFrom="paragraph">
                  <wp:posOffset>1985645</wp:posOffset>
                </wp:positionV>
                <wp:extent cx="571500" cy="361950"/>
                <wp:effectExtent l="19050" t="19050" r="38100" b="19050"/>
                <wp:wrapNone/>
                <wp:docPr id="906" name="任意多边形: 形状 906"/>
                <wp:cNvGraphicFramePr/>
                <a:graphic xmlns:a="http://schemas.openxmlformats.org/drawingml/2006/main">
                  <a:graphicData uri="http://schemas.microsoft.com/office/word/2010/wordprocessingShape">
                    <wps:wsp>
                      <wps:cNvSpPr/>
                      <wps:spPr>
                        <a:xfrm>
                          <a:off x="0" y="0"/>
                          <a:ext cx="571500" cy="361950"/>
                        </a:xfrm>
                        <a:custGeom>
                          <a:avLst/>
                          <a:gdLst>
                            <a:gd name="connsiteX0" fmla="*/ 390525 w 571500"/>
                            <a:gd name="connsiteY0" fmla="*/ 66675 h 361950"/>
                            <a:gd name="connsiteX1" fmla="*/ 371475 w 571500"/>
                            <a:gd name="connsiteY1" fmla="*/ 0 h 361950"/>
                            <a:gd name="connsiteX2" fmla="*/ 114300 w 571500"/>
                            <a:gd name="connsiteY2" fmla="*/ 57150 h 361950"/>
                            <a:gd name="connsiteX3" fmla="*/ 0 w 571500"/>
                            <a:gd name="connsiteY3" fmla="*/ 219075 h 361950"/>
                            <a:gd name="connsiteX4" fmla="*/ 85725 w 571500"/>
                            <a:gd name="connsiteY4" fmla="*/ 247650 h 361950"/>
                            <a:gd name="connsiteX5" fmla="*/ 142875 w 571500"/>
                            <a:gd name="connsiteY5" fmla="*/ 247650 h 361950"/>
                            <a:gd name="connsiteX6" fmla="*/ 142875 w 571500"/>
                            <a:gd name="connsiteY6" fmla="*/ 361950 h 361950"/>
                            <a:gd name="connsiteX7" fmla="*/ 561975 w 571500"/>
                            <a:gd name="connsiteY7" fmla="*/ 361950 h 361950"/>
                            <a:gd name="connsiteX8" fmla="*/ 571500 w 571500"/>
                            <a:gd name="connsiteY8" fmla="*/ 104775 h 361950"/>
                            <a:gd name="connsiteX9" fmla="*/ 390525 w 571500"/>
                            <a:gd name="connsiteY9" fmla="*/ 66675 h 361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71500" h="361950">
                              <a:moveTo>
                                <a:pt x="390525" y="66675"/>
                              </a:moveTo>
                              <a:lnTo>
                                <a:pt x="371475" y="0"/>
                              </a:lnTo>
                              <a:lnTo>
                                <a:pt x="114300" y="57150"/>
                              </a:lnTo>
                              <a:lnTo>
                                <a:pt x="0" y="219075"/>
                              </a:lnTo>
                              <a:lnTo>
                                <a:pt x="85725" y="247650"/>
                              </a:lnTo>
                              <a:lnTo>
                                <a:pt x="142875" y="247650"/>
                              </a:lnTo>
                              <a:lnTo>
                                <a:pt x="142875" y="361950"/>
                              </a:lnTo>
                              <a:lnTo>
                                <a:pt x="561975" y="361950"/>
                              </a:lnTo>
                              <a:lnTo>
                                <a:pt x="571500" y="104775"/>
                              </a:lnTo>
                              <a:lnTo>
                                <a:pt x="390525" y="66675"/>
                              </a:lnTo>
                              <a:close/>
                            </a:path>
                          </a:pathLst>
                        </a:custGeom>
                        <a:solidFill>
                          <a:srgbClr val="FFC000">
                            <a:alpha val="5098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任意多边形: 形状 906" o:spid="_x0000_s1026" o:spt="100" style="position:absolute;left:0pt;margin-left:398.6pt;margin-top:156.35pt;height:28.5pt;width:45pt;z-index:251730944;v-text-anchor:middle;mso-width-relative:page;mso-height-relative:page;" fillcolor="#FFC000" filled="t" stroked="t" coordsize="571500,361950" o:gfxdata="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" path="m390525,66675l371475,0,114300,57150,0,219075,85725,247650,142875,247650,142875,361950,561975,361950,571500,104775,390525,66675xe">
                <v:path o:connectlocs="390525,66675;371475,0;114300,57150;0,219075;85725,247650;142875,247650;142875,361950;561975,361950;571500,104775;390525,66675" o:connectangles="0,0,0,0,0,0,0,0,0,0"/>
                <v:fill on="t" opacity="33410f" focussize="0,0"/>
                <v:stroke weight="1pt" color="#FF0000 [3204]" miterlimit="8" joinstyle="miter"/>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643904" behindDoc="0" locked="0" layoutInCell="1" allowOverlap="1">
                <wp:simplePos x="0" y="0"/>
                <wp:positionH relativeFrom="column">
                  <wp:posOffset>3173095</wp:posOffset>
                </wp:positionH>
                <wp:positionV relativeFrom="paragraph">
                  <wp:posOffset>5652770</wp:posOffset>
                </wp:positionV>
                <wp:extent cx="3355975" cy="250190"/>
                <wp:effectExtent l="0" t="0" r="0" b="0"/>
                <wp:wrapNone/>
                <wp:docPr id="223" name="Rectangle 1100"/>
                <wp:cNvGraphicFramePr/>
                <a:graphic xmlns:a="http://schemas.openxmlformats.org/drawingml/2006/main">
                  <a:graphicData uri="http://schemas.microsoft.com/office/word/2010/wordprocessingShape">
                    <wps:wsp>
                      <wps:cNvSpPr>
                        <a:spLocks noChangeArrowheads="true"/>
                      </wps:cNvSpPr>
                      <wps:spPr bwMode="auto">
                        <a:xfrm>
                          <a:off x="0" y="0"/>
                          <a:ext cx="3355975" cy="250190"/>
                        </a:xfrm>
                        <a:prstGeom prst="rect">
                          <a:avLst/>
                        </a:prstGeom>
                        <a:noFill/>
                        <a:ln>
                          <a:noFill/>
                        </a:ln>
                      </wps:spPr>
                      <wps:txbx>
                        <w:txbxContent>
                          <w:p>
                            <w:pPr>
                              <w:ind w:firstLine="0" w:firstLineChars="0"/>
                              <w:jc w:val="center"/>
                              <w:rPr>
                                <w:rFonts w:ascii="Times New Roman" w:hAnsi="Times New Roman" w:cs="Times New Roman"/>
                                <w:b/>
                                <w:bCs/>
                                <w:sz w:val="22"/>
                                <w:szCs w:val="21"/>
                              </w:rPr>
                            </w:pPr>
                            <w:r>
                              <w:rPr>
                                <w:rFonts w:ascii="Times New Roman" w:hAnsi="Times New Roman" w:cs="Times New Roman"/>
                                <w:b/>
                                <w:bCs/>
                                <w:sz w:val="22"/>
                                <w:szCs w:val="21"/>
                              </w:rPr>
                              <w:t>图5.2-6   环境防护距离包络线图</w:t>
                            </w:r>
                          </w:p>
                        </w:txbxContent>
                      </wps:txbx>
                      <wps:bodyPr rot="0" vert="horz" wrap="square" lIns="91440" tIns="45720" rIns="91440" bIns="45720" anchor="t" anchorCtr="false" upright="true">
                        <a:noAutofit/>
                      </wps:bodyPr>
                    </wps:wsp>
                  </a:graphicData>
                </a:graphic>
              </wp:anchor>
            </w:drawing>
          </mc:Choice>
          <mc:Fallback>
            <w:pict>
              <v:rect id="Rectangle 1100" o:spid="_x0000_s1026" o:spt="1" style="position:absolute;left:0pt;margin-left:249.85pt;margin-top:445.1pt;height:19.7pt;width:264.25pt;z-index:251643904;mso-width-relative:page;mso-height-relative:page;" filled="f" stroked="f" coordsize="21600,21600" o:gfxdata="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WAAAAZHJzL1BLAQIUABQAAAAIAIdO4kBEOlJl3AAAAAwBAAAPAAAAAAAAAAEAIAAA&#10;ADgAAABkcnMvZG93bnJldi54bWxQSwECFAAUAAAACACHTuJAF0PxFfIBAADMAwAADgAAAAAAAAAB&#10;ACAAAABBAQAAZHJzL2Uyb0RvYy54bWxQSwUGAAAAAAYABgBZAQAApQUAAAAA&#10;">
                <v:fill on="f" focussize="0,0"/>
                <v:stroke on="f"/>
                <v:imagedata o:title=""/>
                <o:lock v:ext="edit" aspectratio="f"/>
                <v:textbox>
                  <w:txbxContent>
                    <w:p>
                      <w:pPr>
                        <w:ind w:firstLine="0" w:firstLineChars="0"/>
                        <w:jc w:val="center"/>
                        <w:rPr>
                          <w:rFonts w:ascii="Times New Roman" w:hAnsi="Times New Roman" w:cs="Times New Roman"/>
                          <w:b/>
                          <w:bCs/>
                          <w:sz w:val="22"/>
                          <w:szCs w:val="21"/>
                        </w:rPr>
                      </w:pPr>
                      <w:r>
                        <w:rPr>
                          <w:rFonts w:ascii="Times New Roman" w:hAnsi="Times New Roman" w:cs="Times New Roman"/>
                          <w:b/>
                          <w:bCs/>
                          <w:sz w:val="22"/>
                          <w:szCs w:val="21"/>
                        </w:rPr>
                        <w:t>图5.2-6   环境防护距离包络线图</w:t>
                      </w:r>
                    </w:p>
                  </w:txbxContent>
                </v:textbox>
              </v:rect>
            </w:pict>
          </mc:Fallback>
        </mc:AlternateContent>
      </w:r>
      <w:r>
        <w:rPr>
          <w:rFonts w:ascii="Times New Roman" w:hAnsi="Times New Roman" w:cs="Times New Roman"/>
        </w:rPr>
        <w:drawing>
          <wp:anchor distT="0" distB="0" distL="114300" distR="114300" simplePos="0" relativeHeight="251645952" behindDoc="0" locked="0" layoutInCell="1" allowOverlap="1">
            <wp:simplePos x="0" y="0"/>
            <wp:positionH relativeFrom="column">
              <wp:posOffset>4701540</wp:posOffset>
            </wp:positionH>
            <wp:positionV relativeFrom="paragraph">
              <wp:posOffset>1958340</wp:posOffset>
            </wp:positionV>
            <wp:extent cx="941705" cy="838200"/>
            <wp:effectExtent l="0" t="0" r="0" b="0"/>
            <wp:wrapNone/>
            <wp:docPr id="2981" name="图片 29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81" name="图片 2981"/>
                    <pic:cNvPicPr>
                      <a:picLocks noChangeAspect="true" noChangeArrowheads="true"/>
                    </pic:cNvPicPr>
                  </pic:nvPicPr>
                  <pic:blipFill>
                    <a:blip r:embed="rId177" cstate="hqprint">
                      <a:clrChange>
                        <a:clrFrom>
                          <a:srgbClr val="EFF1F0"/>
                        </a:clrFrom>
                        <a:clrTo>
                          <a:srgbClr val="EFF1F0">
                            <a:alpha val="0"/>
                          </a:srgbClr>
                        </a:clrTo>
                      </a:clrChange>
                      <a:duotone>
                        <a:prstClr val="black"/>
                        <a:schemeClr val="accent1">
                          <a:tint val="45000"/>
                          <a:satMod val="400000"/>
                        </a:schemeClr>
                      </a:duotone>
                    </a:blip>
                    <a:srcRect/>
                    <a:stretch>
                      <a:fillRect/>
                    </a:stretch>
                  </pic:blipFill>
                  <pic:spPr>
                    <a:xfrm>
                      <a:off x="0" y="0"/>
                      <a:ext cx="941705" cy="838200"/>
                    </a:xfrm>
                    <a:prstGeom prst="rect">
                      <a:avLst/>
                    </a:prstGeom>
                    <a:gradFill rotWithShape="true">
                      <a:gsLst>
                        <a:gs pos="0">
                          <a:srgbClr val="FFFFFF">
                            <a:alpha val="41000"/>
                          </a:srgbClr>
                        </a:gs>
                        <a:gs pos="100000">
                          <a:srgbClr val="FFFFFF">
                            <a:gamma/>
                            <a:shade val="46275"/>
                            <a:invGamma/>
                            <a:alpha val="60001"/>
                          </a:srgbClr>
                        </a:gs>
                      </a:gsLst>
                      <a:lin ang="5400000" scaled="true"/>
                    </a:gradFill>
                  </pic:spPr>
                </pic:pic>
              </a:graphicData>
            </a:graphic>
          </wp:anchor>
        </w:drawing>
      </w:r>
      <w:r>
        <w:rPr>
          <w:rFonts w:ascii="Times New Roman" w:hAnsi="Times New Roman" w:cs="Times New Roman"/>
        </w:rPr>
        <mc:AlternateContent>
          <mc:Choice Requires="wps">
            <w:drawing>
              <wp:anchor distT="0" distB="0" distL="114300" distR="114300" simplePos="0" relativeHeight="251646976" behindDoc="0" locked="0" layoutInCell="1" allowOverlap="1">
                <wp:simplePos x="0" y="0"/>
                <wp:positionH relativeFrom="column">
                  <wp:posOffset>5738495</wp:posOffset>
                </wp:positionH>
                <wp:positionV relativeFrom="paragraph">
                  <wp:posOffset>1899920</wp:posOffset>
                </wp:positionV>
                <wp:extent cx="609600" cy="287655"/>
                <wp:effectExtent l="0" t="0" r="0" b="0"/>
                <wp:wrapNone/>
                <wp:docPr id="221" name="Rectangle 2985"/>
                <wp:cNvGraphicFramePr/>
                <a:graphic xmlns:a="http://schemas.openxmlformats.org/drawingml/2006/main">
                  <a:graphicData uri="http://schemas.microsoft.com/office/word/2010/wordprocessingShape">
                    <wps:wsp>
                      <wps:cNvSpPr>
                        <a:spLocks noChangeArrowheads="true"/>
                      </wps:cNvSpPr>
                      <wps:spPr bwMode="auto">
                        <a:xfrm>
                          <a:off x="0" y="0"/>
                          <a:ext cx="609600" cy="287655"/>
                        </a:xfrm>
                        <a:prstGeom prst="rect">
                          <a:avLst/>
                        </a:prstGeom>
                        <a:noFill/>
                        <a:ln>
                          <a:noFill/>
                        </a:ln>
                      </wps:spPr>
                      <wps:txbx>
                        <w:txbxContent>
                          <w:p>
                            <w:pPr>
                              <w:ind w:firstLine="0" w:firstLineChars="0"/>
                              <w:rPr>
                                <w:rFonts w:ascii="Times New Roman" w:hAnsi="Times New Roman" w:cs="Times New Roman"/>
                                <w:color w:val="FF0000"/>
                                <w:sz w:val="22"/>
                                <w:szCs w:val="21"/>
                              </w:rPr>
                            </w:pPr>
                            <w:r>
                              <w:rPr>
                                <w:rFonts w:ascii="Times New Roman" w:hAnsi="Times New Roman" w:cs="Times New Roman"/>
                                <w:color w:val="FF0000"/>
                                <w:sz w:val="22"/>
                                <w:szCs w:val="21"/>
                                <w:highlight w:val="yellow"/>
                              </w:rPr>
                              <w:t>600m</w:t>
                            </w:r>
                          </w:p>
                        </w:txbxContent>
                      </wps:txbx>
                      <wps:bodyPr rot="0" vert="horz" wrap="square" lIns="91440" tIns="45720" rIns="91440" bIns="45720" anchor="t" anchorCtr="false" upright="true">
                        <a:noAutofit/>
                      </wps:bodyPr>
                    </wps:wsp>
                  </a:graphicData>
                </a:graphic>
              </wp:anchor>
            </w:drawing>
          </mc:Choice>
          <mc:Fallback>
            <w:pict>
              <v:rect id="Rectangle 2985" o:spid="_x0000_s1026" o:spt="1" style="position:absolute;left:0pt;margin-left:451.85pt;margin-top:149.6pt;height:22.65pt;width:48pt;z-index:251646976;mso-width-relative:page;mso-height-relative:page;" filled="f" stroked="f" coordsize="21600,21600" o:gfxdata="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BYAAABkcnMvUEsBAhQAFAAAAAgAh07iQF77iTXdAAAACwEAAA8AAAAAAAAAAQAgAAAA&#10;OAAAAGRycy9kb3ducmV2LnhtbFBLAQIUABQAAAAIAIdO4kB91prj8AEAAMsDAAAOAAAAAAAAAAEA&#10;IAAAAEIBAABkcnMvZTJvRG9jLnhtbFBLBQYAAAAABgAGAFkBAACkBQAAAAA=&#10;">
                <v:fill on="f" focussize="0,0"/>
                <v:stroke on="f"/>
                <v:imagedata o:title=""/>
                <o:lock v:ext="edit" aspectratio="f"/>
                <v:textbox>
                  <w:txbxContent>
                    <w:p>
                      <w:pPr>
                        <w:ind w:firstLine="0" w:firstLineChars="0"/>
                        <w:rPr>
                          <w:rFonts w:ascii="Times New Roman" w:hAnsi="Times New Roman" w:cs="Times New Roman"/>
                          <w:color w:val="FF0000"/>
                          <w:sz w:val="22"/>
                          <w:szCs w:val="21"/>
                        </w:rPr>
                      </w:pPr>
                      <w:r>
                        <w:rPr>
                          <w:rFonts w:ascii="Times New Roman" w:hAnsi="Times New Roman" w:cs="Times New Roman"/>
                          <w:color w:val="FF0000"/>
                          <w:sz w:val="22"/>
                          <w:szCs w:val="21"/>
                          <w:highlight w:val="yellow"/>
                        </w:rPr>
                        <w:t>600m</w:t>
                      </w:r>
                    </w:p>
                  </w:txbxContent>
                </v:textbox>
              </v:rect>
            </w:pict>
          </mc:Fallback>
        </mc:AlternateContent>
      </w:r>
      <w:r>
        <w:rPr>
          <w:rFonts w:ascii="Times New Roman" w:hAnsi="Times New Roman" w:cs="Times New Roman"/>
        </w:rPr>
        <w:drawing>
          <wp:inline distT="0" distB="0" distL="0" distR="0">
            <wp:extent cx="7985125" cy="5762625"/>
            <wp:effectExtent l="0" t="0" r="0" b="0"/>
            <wp:docPr id="96" name="图片 9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true" noChangeArrowheads="true"/>
                    </pic:cNvPicPr>
                  </pic:nvPicPr>
                  <pic:blipFill>
                    <a:blip r:embed="rId178"/>
                    <a:srcRect/>
                    <a:stretch>
                      <a:fillRect/>
                    </a:stretch>
                  </pic:blipFill>
                  <pic:spPr>
                    <a:xfrm>
                      <a:off x="0" y="0"/>
                      <a:ext cx="7985125" cy="5762625"/>
                    </a:xfrm>
                    <a:prstGeom prst="rect">
                      <a:avLst/>
                    </a:prstGeom>
                    <a:noFill/>
                    <a:ln>
                      <a:noFill/>
                    </a:ln>
                  </pic:spPr>
                </pic:pic>
              </a:graphicData>
            </a:graphic>
          </wp:inline>
        </w:drawing>
      </w:r>
    </w:p>
    <w:p>
      <w:pPr>
        <w:pStyle w:val="25"/>
        <w:ind w:firstLine="0" w:firstLineChars="0"/>
        <w:rPr>
          <w:rFonts w:ascii="Times New Roman" w:hAnsi="Times New Roman" w:cs="Times New Roman"/>
          <w:color w:val="auto"/>
        </w:rPr>
        <w:sectPr>
          <w:pgSz w:w="16838" w:h="11906" w:orient="landscape"/>
          <w:pgMar w:top="1418" w:right="1418" w:bottom="1418" w:left="1418" w:header="851" w:footer="992" w:gutter="0"/>
          <w:cols w:space="720" w:num="1"/>
          <w:docGrid w:type="linesAndChars" w:linePitch="333" w:charSpace="0"/>
        </w:sectPr>
      </w:pPr>
    </w:p>
    <w:p>
      <w:pPr>
        <w:pStyle w:val="4"/>
        <w:spacing w:before="166" w:beforeLines="50"/>
        <w:rPr>
          <w:rFonts w:ascii="Times New Roman" w:hAnsi="Times New Roman" w:cs="Times New Roman"/>
          <w:color w:val="auto"/>
          <w:szCs w:val="24"/>
        </w:rPr>
      </w:pPr>
      <w:bookmarkStart w:id="416" w:name="_Toc102984372"/>
      <w:bookmarkStart w:id="417" w:name="_Toc104733405"/>
      <w:r>
        <w:rPr>
          <w:rFonts w:ascii="Times New Roman" w:hAnsi="Times New Roman" w:cs="Times New Roman"/>
          <w:color w:val="auto"/>
          <w:szCs w:val="24"/>
        </w:rPr>
        <w:t>5.2.10自查表</w:t>
      </w:r>
      <w:bookmarkEnd w:id="416"/>
      <w:bookmarkEnd w:id="417"/>
    </w:p>
    <w:p>
      <w:pPr>
        <w:pStyle w:val="1062"/>
        <w:widowControl w:val="0"/>
        <w:spacing w:line="240" w:lineRule="auto"/>
        <w:ind w:left="0"/>
        <w:rPr>
          <w:rFonts w:ascii="Times New Roman" w:hAnsi="Times New Roman" w:eastAsia="宋体" w:cs="Times New Roman"/>
          <w:bCs/>
          <w:color w:val="auto"/>
          <w:sz w:val="21"/>
          <w:szCs w:val="21"/>
          <w:lang w:val="zh-CN"/>
        </w:rPr>
      </w:pPr>
      <w:r>
        <w:rPr>
          <w:rFonts w:ascii="Times New Roman" w:hAnsi="Times New Roman" w:eastAsia="宋体" w:cs="Times New Roman"/>
          <w:bCs/>
          <w:color w:val="auto"/>
          <w:sz w:val="21"/>
          <w:szCs w:val="21"/>
          <w:lang w:val="zh-CN"/>
        </w:rPr>
        <w:t>表5.2-26大气环境影响评价自查表</w:t>
      </w:r>
    </w:p>
    <w:tbl>
      <w:tblPr>
        <w:tblStyle w:val="62"/>
        <w:tblW w:w="920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1"/>
        <w:gridCol w:w="1723"/>
        <w:gridCol w:w="1018"/>
        <w:gridCol w:w="173"/>
        <w:gridCol w:w="653"/>
        <w:gridCol w:w="120"/>
        <w:gridCol w:w="259"/>
        <w:gridCol w:w="260"/>
        <w:gridCol w:w="361"/>
        <w:gridCol w:w="934"/>
        <w:gridCol w:w="458"/>
        <w:gridCol w:w="84"/>
        <w:gridCol w:w="501"/>
        <w:gridCol w:w="480"/>
        <w:gridCol w:w="556"/>
        <w:gridCol w:w="6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2694" w:type="dxa"/>
            <w:gridSpan w:val="2"/>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工作内容</w:t>
            </w:r>
          </w:p>
        </w:tc>
        <w:tc>
          <w:tcPr>
            <w:tcW w:w="6513" w:type="dxa"/>
            <w:gridSpan w:val="1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971" w:type="dxa"/>
            <w:vMerge w:val="restart"/>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评价等级与范围</w:t>
            </w: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评价等级</w:t>
            </w:r>
          </w:p>
        </w:tc>
        <w:tc>
          <w:tcPr>
            <w:tcW w:w="1964" w:type="dxa"/>
            <w:gridSpan w:val="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一级</w:t>
            </w:r>
            <w:r>
              <w:rPr>
                <w:rFonts w:ascii="Segoe UI Symbol" w:hAnsi="Segoe UI Symbol" w:cs="Segoe UI Symbol"/>
                <w:color w:val="auto"/>
                <w:kern w:val="0"/>
                <w:sz w:val="18"/>
                <w:szCs w:val="18"/>
              </w:rPr>
              <w:t>☑</w:t>
            </w:r>
          </w:p>
        </w:tc>
        <w:tc>
          <w:tcPr>
            <w:tcW w:w="2272"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二级□</w:t>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评价范围</w:t>
            </w:r>
          </w:p>
        </w:tc>
        <w:tc>
          <w:tcPr>
            <w:tcW w:w="1964" w:type="dxa"/>
            <w:gridSpan w:val="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边长=50km□</w:t>
            </w:r>
          </w:p>
        </w:tc>
        <w:tc>
          <w:tcPr>
            <w:tcW w:w="2272"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边长=5~50km□</w:t>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边长=5km</w:t>
            </w:r>
            <w:r>
              <w:rPr>
                <w:rFonts w:ascii="Times New Roman" w:hAnsi="Times New Roman" w:cs="Times New Roman"/>
                <w:color w:val="auto"/>
                <w:kern w:val="0"/>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93" w:hRule="atLeast"/>
          <w:jc w:val="center"/>
        </w:trPr>
        <w:tc>
          <w:tcPr>
            <w:tcW w:w="971" w:type="dxa"/>
            <w:vMerge w:val="restart"/>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评价因子</w:t>
            </w: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SO</w:t>
            </w:r>
            <w:r>
              <w:rPr>
                <w:rFonts w:ascii="Times New Roman" w:hAnsi="Times New Roman" w:cs="Times New Roman"/>
                <w:color w:val="auto"/>
                <w:kern w:val="0"/>
                <w:sz w:val="18"/>
                <w:szCs w:val="18"/>
                <w:vertAlign w:val="subscript"/>
              </w:rPr>
              <w:t>2</w:t>
            </w:r>
            <w:r>
              <w:rPr>
                <w:rFonts w:ascii="Times New Roman" w:hAnsi="Times New Roman" w:cs="Times New Roman"/>
                <w:color w:val="auto"/>
                <w:kern w:val="0"/>
                <w:sz w:val="18"/>
                <w:szCs w:val="18"/>
              </w:rPr>
              <w:t>+NOx排放量</w:t>
            </w:r>
          </w:p>
        </w:tc>
        <w:tc>
          <w:tcPr>
            <w:tcW w:w="1964" w:type="dxa"/>
            <w:gridSpan w:val="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≥2000t/a□</w:t>
            </w:r>
          </w:p>
        </w:tc>
        <w:tc>
          <w:tcPr>
            <w:tcW w:w="2272"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500~2000t/a</w:t>
            </w:r>
            <w:r>
              <w:rPr>
                <w:rFonts w:ascii="Times New Roman" w:hAnsi="Times New Roman" w:cs="Times New Roman"/>
                <w:color w:val="auto"/>
                <w:kern w:val="0"/>
                <w:sz w:val="18"/>
                <w:szCs w:val="18"/>
              </w:rPr>
              <w:sym w:font="Wingdings 2" w:char="00A3"/>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&lt;500t/a</w:t>
            </w:r>
            <w:r>
              <w:rPr>
                <w:rFonts w:ascii="Segoe UI Symbol" w:hAnsi="Segoe UI Symbol" w:cs="Segoe UI Symbol"/>
                <w:color w:val="auto"/>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评价因子</w:t>
            </w:r>
          </w:p>
        </w:tc>
        <w:tc>
          <w:tcPr>
            <w:tcW w:w="4236" w:type="dxa"/>
            <w:gridSpan w:val="9"/>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基本污染物（PM</w:t>
            </w:r>
            <w:r>
              <w:rPr>
                <w:rFonts w:ascii="Times New Roman" w:hAnsi="Times New Roman" w:cs="Times New Roman"/>
                <w:color w:val="auto"/>
                <w:kern w:val="0"/>
                <w:sz w:val="18"/>
                <w:szCs w:val="18"/>
                <w:vertAlign w:val="subscript"/>
              </w:rPr>
              <w:t>2.5</w:t>
            </w:r>
            <w:r>
              <w:rPr>
                <w:rFonts w:ascii="Times New Roman" w:hAnsi="Times New Roman" w:cs="Times New Roman"/>
                <w:color w:val="auto"/>
                <w:kern w:val="0"/>
                <w:sz w:val="18"/>
                <w:szCs w:val="18"/>
              </w:rPr>
              <w:t>、PM</w:t>
            </w:r>
            <w:r>
              <w:rPr>
                <w:rFonts w:ascii="Times New Roman" w:hAnsi="Times New Roman" w:cs="Times New Roman"/>
                <w:color w:val="auto"/>
                <w:kern w:val="0"/>
                <w:sz w:val="18"/>
                <w:szCs w:val="18"/>
                <w:vertAlign w:val="subscript"/>
              </w:rPr>
              <w:t>10</w:t>
            </w:r>
            <w:r>
              <w:rPr>
                <w:rFonts w:ascii="Times New Roman" w:hAnsi="Times New Roman" w:cs="Times New Roman"/>
                <w:color w:val="auto"/>
                <w:kern w:val="0"/>
                <w:sz w:val="18"/>
                <w:szCs w:val="18"/>
              </w:rPr>
              <w:t>、NOx、SO</w:t>
            </w:r>
            <w:r>
              <w:rPr>
                <w:rFonts w:ascii="Times New Roman" w:hAnsi="Times New Roman" w:cs="Times New Roman"/>
                <w:color w:val="auto"/>
                <w:kern w:val="0"/>
                <w:sz w:val="18"/>
                <w:szCs w:val="18"/>
                <w:vertAlign w:val="subscript"/>
              </w:rPr>
              <w:t>2</w:t>
            </w:r>
            <w:r>
              <w:rPr>
                <w:rFonts w:ascii="Times New Roman" w:hAnsi="Times New Roman" w:cs="Times New Roman"/>
                <w:color w:val="auto"/>
                <w:kern w:val="0"/>
                <w:sz w:val="18"/>
                <w:szCs w:val="18"/>
              </w:rPr>
              <w:t>、CO、O</w:t>
            </w:r>
            <w:r>
              <w:rPr>
                <w:rFonts w:ascii="Times New Roman" w:hAnsi="Times New Roman" w:cs="Times New Roman"/>
                <w:color w:val="auto"/>
                <w:kern w:val="0"/>
                <w:sz w:val="18"/>
                <w:szCs w:val="18"/>
                <w:vertAlign w:val="subscript"/>
              </w:rPr>
              <w:t>3</w:t>
            </w:r>
            <w:r>
              <w:rPr>
                <w:rFonts w:ascii="Times New Roman" w:hAnsi="Times New Roman" w:cs="Times New Roman"/>
                <w:color w:val="auto"/>
                <w:kern w:val="0"/>
                <w:sz w:val="18"/>
                <w:szCs w:val="18"/>
              </w:rPr>
              <w:t>）</w:t>
            </w:r>
            <w:r>
              <w:rPr>
                <w:rFonts w:ascii="Times New Roman" w:hAnsi="Times New Roman" w:cs="Times New Roman"/>
                <w:color w:val="auto"/>
                <w:kern w:val="0"/>
                <w:sz w:val="18"/>
                <w:szCs w:val="18"/>
              </w:rPr>
              <w:br w:type="textWrapping"/>
            </w:r>
            <w:r>
              <w:rPr>
                <w:rFonts w:ascii="Times New Roman" w:hAnsi="Times New Roman" w:cs="Times New Roman"/>
                <w:color w:val="auto"/>
                <w:kern w:val="0"/>
                <w:sz w:val="18"/>
                <w:szCs w:val="18"/>
              </w:rPr>
              <w:t>其他污染物（</w:t>
            </w:r>
            <w:r>
              <w:rPr>
                <w:rFonts w:hint="eastAsia" w:ascii="Times New Roman" w:hAnsi="Times New Roman" w:cs="Times New Roman"/>
                <w:color w:val="auto"/>
                <w:kern w:val="0"/>
                <w:sz w:val="18"/>
                <w:szCs w:val="18"/>
              </w:rPr>
              <w:t>非甲烷总烃、硫酸雾</w:t>
            </w:r>
            <w:r>
              <w:rPr>
                <w:rFonts w:ascii="Times New Roman" w:hAnsi="Times New Roman" w:cs="Times New Roman"/>
                <w:color w:val="auto"/>
                <w:kern w:val="0"/>
                <w:sz w:val="18"/>
                <w:szCs w:val="18"/>
              </w:rPr>
              <w:t>）</w:t>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包括PM</w:t>
            </w:r>
            <w:r>
              <w:rPr>
                <w:rFonts w:ascii="Times New Roman" w:hAnsi="Times New Roman" w:cs="Times New Roman"/>
                <w:color w:val="auto"/>
                <w:kern w:val="0"/>
                <w:sz w:val="18"/>
                <w:szCs w:val="18"/>
                <w:vertAlign w:val="subscript"/>
              </w:rPr>
              <w:t>2.5</w:t>
            </w:r>
            <w:r>
              <w:rPr>
                <w:rFonts w:ascii="Times New Roman" w:hAnsi="Times New Roman" w:cs="Times New Roman"/>
                <w:color w:val="auto"/>
                <w:kern w:val="0"/>
                <w:sz w:val="18"/>
                <w:szCs w:val="18"/>
              </w:rPr>
              <w:sym w:font="Wingdings 2" w:char="00A3"/>
            </w:r>
          </w:p>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不包括二次PM</w:t>
            </w:r>
            <w:r>
              <w:rPr>
                <w:rFonts w:ascii="Times New Roman" w:hAnsi="Times New Roman" w:cs="Times New Roman"/>
                <w:color w:val="auto"/>
                <w:kern w:val="0"/>
                <w:sz w:val="18"/>
                <w:szCs w:val="18"/>
                <w:vertAlign w:val="subscript"/>
              </w:rPr>
              <w:t>2.5</w:t>
            </w:r>
            <w:r>
              <w:rPr>
                <w:rFonts w:ascii="Times New Roman" w:hAnsi="Times New Roman" w:cs="Times New Roman"/>
                <w:color w:val="auto"/>
                <w:kern w:val="0"/>
                <w:sz w:val="18"/>
                <w:szCs w:val="18"/>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971"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评价标准</w:t>
            </w: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评价标准</w:t>
            </w:r>
          </w:p>
        </w:tc>
        <w:tc>
          <w:tcPr>
            <w:tcW w:w="1964" w:type="dxa"/>
            <w:gridSpan w:val="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国家标准</w:t>
            </w:r>
            <w:r>
              <w:rPr>
                <w:rFonts w:ascii="Segoe UI Symbol" w:hAnsi="Segoe UI Symbol" w:cs="Segoe UI Symbol"/>
                <w:color w:val="auto"/>
                <w:kern w:val="0"/>
                <w:sz w:val="18"/>
                <w:szCs w:val="18"/>
              </w:rPr>
              <w:t>☑</w:t>
            </w:r>
          </w:p>
        </w:tc>
        <w:tc>
          <w:tcPr>
            <w:tcW w:w="2272"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地方标准□</w:t>
            </w:r>
          </w:p>
        </w:tc>
        <w:tc>
          <w:tcPr>
            <w:tcW w:w="1065" w:type="dxa"/>
            <w:gridSpan w:val="3"/>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附录D</w:t>
            </w:r>
            <w:r>
              <w:rPr>
                <w:rFonts w:ascii="Segoe UI Symbol" w:hAnsi="Segoe UI Symbol" w:cs="Segoe UI Symbol"/>
                <w:color w:val="auto"/>
                <w:kern w:val="0"/>
                <w:sz w:val="18"/>
                <w:szCs w:val="18"/>
              </w:rPr>
              <w:t>☑</w:t>
            </w:r>
          </w:p>
        </w:tc>
        <w:tc>
          <w:tcPr>
            <w:tcW w:w="1212" w:type="dxa"/>
            <w:gridSpan w:val="2"/>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其他标准□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971" w:type="dxa"/>
            <w:vMerge w:val="restart"/>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现状评价</w:t>
            </w: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评价功能区</w:t>
            </w:r>
          </w:p>
        </w:tc>
        <w:tc>
          <w:tcPr>
            <w:tcW w:w="1964" w:type="dxa"/>
            <w:gridSpan w:val="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一类区□</w:t>
            </w:r>
          </w:p>
        </w:tc>
        <w:tc>
          <w:tcPr>
            <w:tcW w:w="2272"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二类区</w:t>
            </w:r>
            <w:r>
              <w:rPr>
                <w:rFonts w:ascii="Segoe UI Symbol" w:hAnsi="Segoe UI Symbol" w:cs="Segoe UI Symbol"/>
                <w:color w:val="auto"/>
                <w:kern w:val="0"/>
                <w:sz w:val="18"/>
                <w:szCs w:val="18"/>
              </w:rPr>
              <w:t>☑</w:t>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一类区和二类区□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8"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评价基准年</w:t>
            </w:r>
          </w:p>
        </w:tc>
        <w:tc>
          <w:tcPr>
            <w:tcW w:w="6513" w:type="dxa"/>
            <w:gridSpan w:val="1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（2021）年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环境空气质量现状调查数据来源</w:t>
            </w:r>
          </w:p>
        </w:tc>
        <w:tc>
          <w:tcPr>
            <w:tcW w:w="1964" w:type="dxa"/>
            <w:gridSpan w:val="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长期例行监测标准□</w:t>
            </w:r>
          </w:p>
        </w:tc>
        <w:tc>
          <w:tcPr>
            <w:tcW w:w="2356" w:type="dxa"/>
            <w:gridSpan w:val="6"/>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主管部门发布的数据标准</w:t>
            </w:r>
            <w:r>
              <w:rPr>
                <w:rFonts w:ascii="Segoe UI Symbol" w:hAnsi="Segoe UI Symbol" w:cs="Segoe UI Symbol"/>
                <w:color w:val="auto"/>
                <w:kern w:val="0"/>
                <w:sz w:val="18"/>
                <w:szCs w:val="18"/>
              </w:rPr>
              <w:t>☑</w:t>
            </w:r>
          </w:p>
        </w:tc>
        <w:tc>
          <w:tcPr>
            <w:tcW w:w="2193" w:type="dxa"/>
            <w:gridSpan w:val="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现状补充标准</w:t>
            </w:r>
            <w:r>
              <w:rPr>
                <w:rFonts w:ascii="Segoe UI Symbol" w:hAnsi="Segoe UI Symbol" w:cs="Segoe UI Symbol"/>
                <w:color w:val="auto"/>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现状评价</w:t>
            </w:r>
          </w:p>
        </w:tc>
        <w:tc>
          <w:tcPr>
            <w:tcW w:w="4320" w:type="dxa"/>
            <w:gridSpan w:val="10"/>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达标区</w:t>
            </w:r>
            <w:r>
              <w:rPr>
                <w:rFonts w:ascii="Segoe UI Symbol" w:hAnsi="Segoe UI Symbol" w:cs="Segoe UI Symbol"/>
                <w:color w:val="auto"/>
                <w:kern w:val="0"/>
                <w:sz w:val="18"/>
                <w:szCs w:val="18"/>
              </w:rPr>
              <w:t>☑</w:t>
            </w:r>
          </w:p>
        </w:tc>
        <w:tc>
          <w:tcPr>
            <w:tcW w:w="2193" w:type="dxa"/>
            <w:gridSpan w:val="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不达标区□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4" w:hRule="atLeast"/>
          <w:jc w:val="center"/>
        </w:trPr>
        <w:tc>
          <w:tcPr>
            <w:tcW w:w="971"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污染源调查</w:t>
            </w: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调查内容</w:t>
            </w:r>
          </w:p>
        </w:tc>
        <w:tc>
          <w:tcPr>
            <w:tcW w:w="2223"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本项目正常排放源</w:t>
            </w:r>
            <w:r>
              <w:rPr>
                <w:rFonts w:ascii="Segoe UI Symbol" w:hAnsi="Segoe UI Symbol" w:cs="Segoe UI Symbol"/>
                <w:color w:val="auto"/>
                <w:kern w:val="0"/>
                <w:sz w:val="18"/>
                <w:szCs w:val="18"/>
              </w:rPr>
              <w:t>☑</w:t>
            </w:r>
          </w:p>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本项目非正常排放源</w:t>
            </w:r>
            <w:r>
              <w:rPr>
                <w:rFonts w:ascii="Segoe UI Symbol" w:hAnsi="Segoe UI Symbol" w:cs="Segoe UI Symbol"/>
                <w:color w:val="auto"/>
                <w:kern w:val="0"/>
                <w:sz w:val="18"/>
                <w:szCs w:val="18"/>
              </w:rPr>
              <w:t>☑</w:t>
            </w:r>
            <w:r>
              <w:rPr>
                <w:rFonts w:ascii="Times New Roman" w:hAnsi="Times New Roman" w:cs="Times New Roman"/>
                <w:color w:val="auto"/>
                <w:kern w:val="0"/>
                <w:sz w:val="18"/>
                <w:szCs w:val="18"/>
              </w:rPr>
              <w:br w:type="textWrapping"/>
            </w:r>
            <w:r>
              <w:rPr>
                <w:rFonts w:ascii="Times New Roman" w:hAnsi="Times New Roman" w:cs="Times New Roman"/>
                <w:color w:val="auto"/>
                <w:kern w:val="0"/>
                <w:sz w:val="18"/>
                <w:szCs w:val="18"/>
              </w:rPr>
              <w:t>现有污染源□</w:t>
            </w:r>
          </w:p>
        </w:tc>
        <w:tc>
          <w:tcPr>
            <w:tcW w:w="1555" w:type="dxa"/>
            <w:gridSpan w:val="3"/>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拟替代的污染源□</w:t>
            </w:r>
          </w:p>
        </w:tc>
        <w:tc>
          <w:tcPr>
            <w:tcW w:w="1523" w:type="dxa"/>
            <w:gridSpan w:val="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其他在建、本项目污染源</w:t>
            </w:r>
            <w:r>
              <w:rPr>
                <w:rFonts w:ascii="Segoe UI Symbol" w:hAnsi="Segoe UI Symbol" w:cs="Segoe UI Symbol"/>
                <w:color w:val="auto"/>
                <w:kern w:val="0"/>
                <w:sz w:val="18"/>
                <w:szCs w:val="18"/>
              </w:rPr>
              <w:t>☑</w:t>
            </w:r>
          </w:p>
        </w:tc>
        <w:tc>
          <w:tcPr>
            <w:tcW w:w="1212" w:type="dxa"/>
            <w:gridSpan w:val="2"/>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区域污染源</w:t>
            </w:r>
            <w:r>
              <w:rPr>
                <w:rFonts w:ascii="Segoe UI Symbol" w:hAnsi="Segoe UI Symbol" w:cs="Segoe UI Symbol"/>
                <w:color w:val="auto"/>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72" w:hRule="atLeast"/>
          <w:jc w:val="center"/>
        </w:trPr>
        <w:tc>
          <w:tcPr>
            <w:tcW w:w="971" w:type="dxa"/>
            <w:vMerge w:val="restart"/>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大气环境影响预测与评价</w:t>
            </w: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预测模型</w:t>
            </w:r>
          </w:p>
        </w:tc>
        <w:tc>
          <w:tcPr>
            <w:tcW w:w="1018"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AERMOD</w:t>
            </w:r>
          </w:p>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sym w:font="Wingdings 2" w:char="0052"/>
            </w:r>
          </w:p>
        </w:tc>
        <w:tc>
          <w:tcPr>
            <w:tcW w:w="826" w:type="dxa"/>
            <w:gridSpan w:val="2"/>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ADMS</w:t>
            </w:r>
          </w:p>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w:t>
            </w:r>
          </w:p>
        </w:tc>
        <w:tc>
          <w:tcPr>
            <w:tcW w:w="1000" w:type="dxa"/>
            <w:gridSpan w:val="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AUSTAL</w:t>
            </w:r>
          </w:p>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2000□</w:t>
            </w:r>
          </w:p>
        </w:tc>
        <w:tc>
          <w:tcPr>
            <w:tcW w:w="934"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EDMS/</w:t>
            </w:r>
          </w:p>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AEDT□</w:t>
            </w:r>
          </w:p>
        </w:tc>
        <w:tc>
          <w:tcPr>
            <w:tcW w:w="1043" w:type="dxa"/>
            <w:gridSpan w:val="3"/>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CALPUFF□</w:t>
            </w:r>
          </w:p>
        </w:tc>
        <w:tc>
          <w:tcPr>
            <w:tcW w:w="1036" w:type="dxa"/>
            <w:gridSpan w:val="2"/>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网格模型□</w:t>
            </w:r>
          </w:p>
        </w:tc>
        <w:tc>
          <w:tcPr>
            <w:tcW w:w="656"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预测范围</w:t>
            </w:r>
          </w:p>
        </w:tc>
        <w:tc>
          <w:tcPr>
            <w:tcW w:w="1964" w:type="dxa"/>
            <w:gridSpan w:val="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边长≥50km□</w:t>
            </w:r>
          </w:p>
        </w:tc>
        <w:tc>
          <w:tcPr>
            <w:tcW w:w="2272"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边长5~50km□</w:t>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边长=5km</w:t>
            </w:r>
            <w:r>
              <w:rPr>
                <w:rFonts w:ascii="Segoe UI Symbol" w:hAnsi="Segoe UI Symbol" w:cs="Segoe UI Symbol"/>
                <w:color w:val="auto"/>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预测因子</w:t>
            </w:r>
          </w:p>
        </w:tc>
        <w:tc>
          <w:tcPr>
            <w:tcW w:w="4236" w:type="dxa"/>
            <w:gridSpan w:val="9"/>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预测因子（</w:t>
            </w:r>
            <w:r>
              <w:rPr>
                <w:rFonts w:hint="eastAsia" w:ascii="Times New Roman" w:hAnsi="Times New Roman" w:cs="Times New Roman"/>
                <w:color w:val="auto"/>
                <w:sz w:val="18"/>
                <w:szCs w:val="18"/>
              </w:rPr>
              <w:t>非甲烷总烃</w:t>
            </w:r>
            <w:r>
              <w:rPr>
                <w:rFonts w:ascii="Times New Roman" w:hAnsi="Times New Roman" w:cs="Times New Roman"/>
                <w:color w:val="auto"/>
                <w:sz w:val="18"/>
                <w:szCs w:val="18"/>
              </w:rPr>
              <w:t>、硫酸雾</w:t>
            </w:r>
            <w:r>
              <w:rPr>
                <w:rFonts w:ascii="Times New Roman" w:hAnsi="Times New Roman" w:cs="Times New Roman"/>
                <w:color w:val="auto"/>
                <w:kern w:val="0"/>
                <w:sz w:val="18"/>
                <w:szCs w:val="18"/>
              </w:rPr>
              <w:t>）</w:t>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包括二次PM</w:t>
            </w:r>
            <w:r>
              <w:rPr>
                <w:rFonts w:ascii="Times New Roman" w:hAnsi="Times New Roman" w:cs="Times New Roman"/>
                <w:color w:val="auto"/>
                <w:kern w:val="0"/>
                <w:sz w:val="18"/>
                <w:szCs w:val="18"/>
                <w:vertAlign w:val="subscript"/>
              </w:rPr>
              <w:t>2.5</w:t>
            </w:r>
            <w:r>
              <w:rPr>
                <w:rFonts w:ascii="Times New Roman" w:hAnsi="Times New Roman" w:cs="Times New Roman"/>
                <w:color w:val="auto"/>
                <w:kern w:val="0"/>
                <w:sz w:val="18"/>
                <w:szCs w:val="18"/>
              </w:rPr>
              <w:sym w:font="Wingdings 2" w:char="00A3"/>
            </w:r>
            <w:r>
              <w:rPr>
                <w:rFonts w:ascii="Times New Roman" w:hAnsi="Times New Roman" w:cs="Times New Roman"/>
                <w:color w:val="auto"/>
                <w:kern w:val="0"/>
                <w:sz w:val="18"/>
                <w:szCs w:val="18"/>
              </w:rPr>
              <w:br w:type="textWrapping"/>
            </w:r>
            <w:r>
              <w:rPr>
                <w:rFonts w:ascii="Times New Roman" w:hAnsi="Times New Roman" w:cs="Times New Roman"/>
                <w:color w:val="auto"/>
                <w:kern w:val="0"/>
                <w:sz w:val="18"/>
                <w:szCs w:val="18"/>
              </w:rPr>
              <w:t>不包括二次PM</w:t>
            </w:r>
            <w:r>
              <w:rPr>
                <w:rFonts w:ascii="Times New Roman" w:hAnsi="Times New Roman" w:cs="Times New Roman"/>
                <w:color w:val="auto"/>
                <w:kern w:val="0"/>
                <w:sz w:val="18"/>
                <w:szCs w:val="18"/>
                <w:vertAlign w:val="subscript"/>
              </w:rPr>
              <w:t>2.5</w:t>
            </w:r>
            <w:r>
              <w:rPr>
                <w:rFonts w:ascii="Segoe UI Symbol" w:hAnsi="Segoe UI Symbol" w:cs="Segoe UI Symbol"/>
                <w:color w:val="auto"/>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正常排放短期浓度贡献值</w:t>
            </w:r>
          </w:p>
        </w:tc>
        <w:tc>
          <w:tcPr>
            <w:tcW w:w="4236" w:type="dxa"/>
            <w:gridSpan w:val="9"/>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C本项目最大占标率≤100%</w:t>
            </w:r>
            <w:r>
              <w:rPr>
                <w:rFonts w:ascii="Times New Roman" w:hAnsi="Times New Roman" w:cs="Times New Roman"/>
                <w:color w:val="auto"/>
                <w:kern w:val="0"/>
                <w:sz w:val="18"/>
                <w:szCs w:val="18"/>
              </w:rPr>
              <w:sym w:font="Wingdings 2" w:char="0052"/>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C本项目最大占标率&gt;100%□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29"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Merge w:val="restart"/>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正常排放年均浓度贡献值</w:t>
            </w:r>
          </w:p>
        </w:tc>
        <w:tc>
          <w:tcPr>
            <w:tcW w:w="1191" w:type="dxa"/>
            <w:gridSpan w:val="2"/>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一类区</w:t>
            </w:r>
          </w:p>
        </w:tc>
        <w:tc>
          <w:tcPr>
            <w:tcW w:w="3045" w:type="dxa"/>
            <w:gridSpan w:val="7"/>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C</w:t>
            </w:r>
            <w:r>
              <w:rPr>
                <w:rFonts w:ascii="Times New Roman" w:hAnsi="Times New Roman" w:cs="Times New Roman"/>
                <w:color w:val="auto"/>
                <w:kern w:val="0"/>
                <w:sz w:val="18"/>
                <w:szCs w:val="18"/>
                <w:vertAlign w:val="subscript"/>
              </w:rPr>
              <w:t>本项目</w:t>
            </w:r>
            <w:r>
              <w:rPr>
                <w:rFonts w:ascii="Times New Roman" w:hAnsi="Times New Roman" w:cs="Times New Roman"/>
                <w:color w:val="auto"/>
                <w:kern w:val="0"/>
                <w:sz w:val="18"/>
                <w:szCs w:val="18"/>
              </w:rPr>
              <w:t>最大占标率≤10%□</w:t>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C</w:t>
            </w:r>
            <w:r>
              <w:rPr>
                <w:rFonts w:ascii="Times New Roman" w:hAnsi="Times New Roman" w:cs="Times New Roman"/>
                <w:color w:val="auto"/>
                <w:kern w:val="0"/>
                <w:sz w:val="18"/>
                <w:szCs w:val="18"/>
                <w:vertAlign w:val="subscript"/>
              </w:rPr>
              <w:t>本项目</w:t>
            </w:r>
            <w:r>
              <w:rPr>
                <w:rFonts w:ascii="Times New Roman" w:hAnsi="Times New Roman" w:cs="Times New Roman"/>
                <w:color w:val="auto"/>
                <w:kern w:val="0"/>
                <w:sz w:val="18"/>
                <w:szCs w:val="18"/>
              </w:rPr>
              <w:t>最大占标率&gt;10%□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191" w:type="dxa"/>
            <w:gridSpan w:val="2"/>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二类区</w:t>
            </w:r>
          </w:p>
        </w:tc>
        <w:tc>
          <w:tcPr>
            <w:tcW w:w="3045" w:type="dxa"/>
            <w:gridSpan w:val="7"/>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C</w:t>
            </w:r>
            <w:r>
              <w:rPr>
                <w:rFonts w:ascii="Times New Roman" w:hAnsi="Times New Roman" w:cs="Times New Roman"/>
                <w:color w:val="auto"/>
                <w:kern w:val="0"/>
                <w:sz w:val="18"/>
                <w:szCs w:val="18"/>
                <w:vertAlign w:val="subscript"/>
              </w:rPr>
              <w:t>本项目</w:t>
            </w:r>
            <w:r>
              <w:rPr>
                <w:rFonts w:ascii="Times New Roman" w:hAnsi="Times New Roman" w:cs="Times New Roman"/>
                <w:color w:val="auto"/>
                <w:kern w:val="0"/>
                <w:sz w:val="18"/>
                <w:szCs w:val="18"/>
              </w:rPr>
              <w:t>最大占标率≤30%□</w:t>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C</w:t>
            </w:r>
            <w:r>
              <w:rPr>
                <w:rFonts w:ascii="Times New Roman" w:hAnsi="Times New Roman" w:cs="Times New Roman"/>
                <w:color w:val="auto"/>
                <w:kern w:val="0"/>
                <w:sz w:val="18"/>
                <w:szCs w:val="18"/>
                <w:vertAlign w:val="subscript"/>
              </w:rPr>
              <w:t>本项目</w:t>
            </w:r>
            <w:r>
              <w:rPr>
                <w:rFonts w:ascii="Times New Roman" w:hAnsi="Times New Roman" w:cs="Times New Roman"/>
                <w:color w:val="auto"/>
                <w:kern w:val="0"/>
                <w:sz w:val="18"/>
                <w:szCs w:val="18"/>
              </w:rPr>
              <w:t>最大占标率&gt;30%□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非正常1h浓度贡献值</w:t>
            </w:r>
          </w:p>
        </w:tc>
        <w:tc>
          <w:tcPr>
            <w:tcW w:w="1964" w:type="dxa"/>
            <w:gridSpan w:val="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非正常持续时长</w:t>
            </w:r>
            <w:r>
              <w:rPr>
                <w:rFonts w:ascii="Times New Roman" w:hAnsi="Times New Roman" w:cs="Times New Roman"/>
                <w:color w:val="auto"/>
                <w:kern w:val="0"/>
                <w:sz w:val="18"/>
                <w:szCs w:val="18"/>
              </w:rPr>
              <w:br w:type="textWrapping"/>
            </w:r>
            <w:r>
              <w:rPr>
                <w:rFonts w:ascii="Times New Roman" w:hAnsi="Times New Roman" w:cs="Times New Roman"/>
                <w:color w:val="auto"/>
                <w:kern w:val="0"/>
                <w:sz w:val="18"/>
                <w:szCs w:val="18"/>
              </w:rPr>
              <w:t>（1）h</w:t>
            </w:r>
          </w:p>
        </w:tc>
        <w:tc>
          <w:tcPr>
            <w:tcW w:w="2272"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C</w:t>
            </w:r>
            <w:r>
              <w:rPr>
                <w:rFonts w:ascii="Times New Roman" w:hAnsi="Times New Roman" w:cs="Times New Roman"/>
                <w:color w:val="auto"/>
                <w:kern w:val="0"/>
                <w:sz w:val="18"/>
                <w:szCs w:val="18"/>
                <w:vertAlign w:val="subscript"/>
              </w:rPr>
              <w:t>非正常</w:t>
            </w:r>
            <w:r>
              <w:rPr>
                <w:rFonts w:ascii="Times New Roman" w:hAnsi="Times New Roman" w:cs="Times New Roman"/>
                <w:color w:val="auto"/>
                <w:kern w:val="0"/>
                <w:sz w:val="18"/>
                <w:szCs w:val="18"/>
              </w:rPr>
              <w:t>占标率≤100%</w:t>
            </w:r>
            <w:r>
              <w:rPr>
                <w:rFonts w:ascii="Times New Roman" w:hAnsi="Times New Roman" w:cs="Times New Roman"/>
                <w:color w:val="auto"/>
                <w:kern w:val="0"/>
                <w:sz w:val="18"/>
                <w:szCs w:val="18"/>
              </w:rPr>
              <w:sym w:font="Wingdings 2" w:char="0052"/>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C</w:t>
            </w:r>
            <w:r>
              <w:rPr>
                <w:rFonts w:ascii="Times New Roman" w:hAnsi="Times New Roman" w:cs="Times New Roman"/>
                <w:color w:val="auto"/>
                <w:kern w:val="0"/>
                <w:sz w:val="18"/>
                <w:szCs w:val="18"/>
                <w:vertAlign w:val="subscript"/>
              </w:rPr>
              <w:t>非正常</w:t>
            </w:r>
            <w:r>
              <w:rPr>
                <w:rFonts w:ascii="Times New Roman" w:hAnsi="Times New Roman" w:cs="Times New Roman"/>
                <w:color w:val="auto"/>
                <w:kern w:val="0"/>
                <w:sz w:val="18"/>
                <w:szCs w:val="18"/>
              </w:rPr>
              <w:t>占标率&gt;100%□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保证率日平均浓度和年平均浓度叠加值</w:t>
            </w:r>
          </w:p>
        </w:tc>
        <w:tc>
          <w:tcPr>
            <w:tcW w:w="4236" w:type="dxa"/>
            <w:gridSpan w:val="9"/>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C叠加达标</w:t>
            </w:r>
            <w:r>
              <w:rPr>
                <w:rFonts w:ascii="Times New Roman" w:hAnsi="Times New Roman" w:cs="Times New Roman"/>
                <w:color w:val="auto"/>
                <w:kern w:val="0"/>
                <w:sz w:val="18"/>
                <w:szCs w:val="18"/>
              </w:rPr>
              <w:sym w:font="Wingdings 2" w:char="0052"/>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C叠加不达标□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43"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区域环境质量的整体变化情况</w:t>
            </w:r>
          </w:p>
        </w:tc>
        <w:tc>
          <w:tcPr>
            <w:tcW w:w="4236" w:type="dxa"/>
            <w:gridSpan w:val="9"/>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k≤-20%□</w:t>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k&gt;-20%□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971" w:type="dxa"/>
            <w:vMerge w:val="restart"/>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环境监测计划</w:t>
            </w: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污染源监测</w:t>
            </w:r>
          </w:p>
        </w:tc>
        <w:tc>
          <w:tcPr>
            <w:tcW w:w="2483" w:type="dxa"/>
            <w:gridSpan w:val="6"/>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监测因子：（</w:t>
            </w:r>
            <w:r>
              <w:rPr>
                <w:rFonts w:hint="eastAsia" w:ascii="Times New Roman" w:hAnsi="Times New Roman" w:cs="Times New Roman"/>
                <w:color w:val="auto"/>
                <w:sz w:val="18"/>
                <w:szCs w:val="18"/>
              </w:rPr>
              <w:t>非甲烷总烃</w:t>
            </w:r>
            <w:r>
              <w:rPr>
                <w:rFonts w:ascii="Times New Roman" w:hAnsi="Times New Roman" w:cs="Times New Roman"/>
                <w:color w:val="auto"/>
                <w:sz w:val="18"/>
                <w:szCs w:val="18"/>
              </w:rPr>
              <w:t>、硫酸雾</w:t>
            </w:r>
            <w:r>
              <w:rPr>
                <w:rFonts w:ascii="Times New Roman" w:hAnsi="Times New Roman" w:cs="Times New Roman"/>
                <w:color w:val="auto"/>
                <w:kern w:val="0"/>
                <w:sz w:val="18"/>
                <w:szCs w:val="18"/>
              </w:rPr>
              <w:t>）</w:t>
            </w:r>
          </w:p>
        </w:tc>
        <w:tc>
          <w:tcPr>
            <w:tcW w:w="1753" w:type="dxa"/>
            <w:gridSpan w:val="3"/>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有组织废气监测</w:t>
            </w:r>
            <w:r>
              <w:rPr>
                <w:rFonts w:ascii="Segoe UI Symbol" w:hAnsi="Segoe UI Symbol" w:cs="Segoe UI Symbol"/>
                <w:color w:val="auto"/>
                <w:kern w:val="0"/>
                <w:sz w:val="18"/>
                <w:szCs w:val="18"/>
              </w:rPr>
              <w:t>☑</w:t>
            </w:r>
            <w:r>
              <w:rPr>
                <w:rFonts w:ascii="Times New Roman" w:hAnsi="Times New Roman" w:cs="Times New Roman"/>
                <w:color w:val="auto"/>
                <w:kern w:val="0"/>
                <w:sz w:val="18"/>
                <w:szCs w:val="18"/>
              </w:rPr>
              <w:br w:type="textWrapping"/>
            </w:r>
            <w:r>
              <w:rPr>
                <w:rFonts w:ascii="Times New Roman" w:hAnsi="Times New Roman" w:cs="Times New Roman"/>
                <w:color w:val="auto"/>
                <w:kern w:val="0"/>
                <w:sz w:val="18"/>
                <w:szCs w:val="18"/>
              </w:rPr>
              <w:t>无组织废气监测</w:t>
            </w:r>
            <w:r>
              <w:rPr>
                <w:rFonts w:ascii="Segoe UI Symbol" w:hAnsi="Segoe UI Symbol" w:cs="Segoe UI Symbol"/>
                <w:color w:val="auto"/>
                <w:kern w:val="0"/>
                <w:sz w:val="18"/>
                <w:szCs w:val="18"/>
              </w:rPr>
              <w:t>☑</w:t>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无监测□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环境质量监测</w:t>
            </w:r>
          </w:p>
        </w:tc>
        <w:tc>
          <w:tcPr>
            <w:tcW w:w="2483" w:type="dxa"/>
            <w:gridSpan w:val="6"/>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监测因子：（</w:t>
            </w:r>
            <w:r>
              <w:rPr>
                <w:rFonts w:ascii="Times New Roman" w:hAnsi="Times New Roman" w:cs="Times New Roman"/>
                <w:color w:val="auto"/>
                <w:sz w:val="18"/>
                <w:szCs w:val="18"/>
              </w:rPr>
              <w:t>/</w:t>
            </w:r>
            <w:r>
              <w:rPr>
                <w:rFonts w:ascii="Times New Roman" w:hAnsi="Times New Roman" w:cs="Times New Roman"/>
                <w:color w:val="auto"/>
                <w:kern w:val="0"/>
                <w:sz w:val="18"/>
                <w:szCs w:val="18"/>
              </w:rPr>
              <w:t>）</w:t>
            </w:r>
          </w:p>
        </w:tc>
        <w:tc>
          <w:tcPr>
            <w:tcW w:w="1753" w:type="dxa"/>
            <w:gridSpan w:val="3"/>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监测点位数（/）</w:t>
            </w:r>
          </w:p>
        </w:tc>
        <w:tc>
          <w:tcPr>
            <w:tcW w:w="2277" w:type="dxa"/>
            <w:gridSpan w:val="5"/>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无监测</w:t>
            </w:r>
            <w:r>
              <w:rPr>
                <w:rFonts w:ascii="Segoe UI Symbol" w:hAnsi="Segoe UI Symbol" w:cs="Segoe UI Symbol"/>
                <w:color w:val="auto"/>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971" w:type="dxa"/>
            <w:vMerge w:val="restart"/>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评价结论</w:t>
            </w: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环境影响</w:t>
            </w:r>
          </w:p>
        </w:tc>
        <w:tc>
          <w:tcPr>
            <w:tcW w:w="6513" w:type="dxa"/>
            <w:gridSpan w:val="1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 xml:space="preserve">可以接受 </w:t>
            </w:r>
            <w:r>
              <w:rPr>
                <w:rFonts w:ascii="Segoe UI Symbol" w:hAnsi="Segoe UI Symbol" w:cs="Segoe UI Symbol"/>
                <w:color w:val="auto"/>
                <w:kern w:val="0"/>
                <w:sz w:val="18"/>
                <w:szCs w:val="18"/>
              </w:rPr>
              <w:t>☑</w:t>
            </w:r>
            <w:r>
              <w:rPr>
                <w:rFonts w:ascii="Times New Roman" w:hAnsi="Times New Roman" w:cs="Times New Roman"/>
                <w:color w:val="auto"/>
                <w:kern w:val="0"/>
                <w:sz w:val="18"/>
                <w:szCs w:val="18"/>
              </w:rPr>
              <w:t xml:space="preserve">            不可以接受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8"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大气环境防护距离</w:t>
            </w:r>
          </w:p>
        </w:tc>
        <w:tc>
          <w:tcPr>
            <w:tcW w:w="6513" w:type="dxa"/>
            <w:gridSpan w:val="1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距（ ）厂界最远（0）m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971" w:type="dxa"/>
            <w:vMerge w:val="continue"/>
            <w:vAlign w:val="center"/>
          </w:tcPr>
          <w:p>
            <w:pPr>
              <w:widowControl/>
              <w:spacing w:line="240" w:lineRule="auto"/>
              <w:ind w:firstLine="0" w:firstLineChars="0"/>
              <w:jc w:val="left"/>
              <w:rPr>
                <w:rFonts w:ascii="Times New Roman" w:hAnsi="Times New Roman" w:cs="Times New Roman"/>
                <w:color w:val="auto"/>
                <w:kern w:val="0"/>
                <w:sz w:val="18"/>
                <w:szCs w:val="18"/>
              </w:rPr>
            </w:pPr>
          </w:p>
        </w:tc>
        <w:tc>
          <w:tcPr>
            <w:tcW w:w="1723" w:type="dxa"/>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污染源年排放量</w:t>
            </w:r>
          </w:p>
        </w:tc>
        <w:tc>
          <w:tcPr>
            <w:tcW w:w="6513" w:type="dxa"/>
            <w:gridSpan w:val="14"/>
            <w:vAlign w:val="center"/>
          </w:tcPr>
          <w:p>
            <w:pPr>
              <w:widowControl/>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sz w:val="18"/>
                <w:szCs w:val="18"/>
              </w:rPr>
              <w:t>有组织</w:t>
            </w:r>
            <w:r>
              <w:rPr>
                <w:rFonts w:hint="eastAsia" w:ascii="Times New Roman" w:hAnsi="Times New Roman" w:cs="Times New Roman"/>
                <w:color w:val="auto"/>
                <w:sz w:val="18"/>
                <w:szCs w:val="18"/>
              </w:rPr>
              <w:t>非甲烷总烃</w:t>
            </w:r>
            <w:r>
              <w:rPr>
                <w:rFonts w:hint="eastAsia" w:ascii="Times New Roman" w:hAnsi="Times New Roman" w:cs="Times New Roman"/>
                <w:bCs/>
                <w:color w:val="auto"/>
                <w:kern w:val="0"/>
                <w:sz w:val="18"/>
                <w:szCs w:val="18"/>
                <w:lang w:bidi="ar"/>
              </w:rPr>
              <w:t>：</w:t>
            </w:r>
            <w:r>
              <w:rPr>
                <w:rFonts w:ascii="Times New Roman" w:hAnsi="Times New Roman" w:cs="Times New Roman"/>
                <w:color w:val="auto"/>
                <w:kern w:val="0"/>
                <w:sz w:val="18"/>
                <w:szCs w:val="18"/>
              </w:rPr>
              <w:t>4.86t/a</w:t>
            </w:r>
            <w:r>
              <w:rPr>
                <w:rFonts w:hint="eastAsia" w:ascii="Times New Roman" w:hAnsi="Times New Roman" w:cs="Times New Roman"/>
                <w:color w:val="auto"/>
                <w:kern w:val="0"/>
                <w:sz w:val="18"/>
                <w:szCs w:val="18"/>
              </w:rPr>
              <w:t>；硫酸雾0</w:t>
            </w:r>
            <w:r>
              <w:rPr>
                <w:rFonts w:ascii="Times New Roman" w:hAnsi="Times New Roman" w:cs="Times New Roman"/>
                <w:color w:val="auto"/>
                <w:kern w:val="0"/>
                <w:sz w:val="18"/>
                <w:szCs w:val="18"/>
              </w:rPr>
              <w:t>.017t/a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9207" w:type="dxa"/>
            <w:gridSpan w:val="16"/>
            <w:vAlign w:val="center"/>
          </w:tcPr>
          <w:p>
            <w:pPr>
              <w:widowControl/>
              <w:spacing w:line="240" w:lineRule="auto"/>
              <w:ind w:firstLine="0" w:firstLineChars="0"/>
              <w:jc w:val="left"/>
              <w:rPr>
                <w:rFonts w:ascii="Times New Roman" w:hAnsi="Times New Roman" w:cs="Times New Roman"/>
                <w:color w:val="auto"/>
                <w:kern w:val="0"/>
                <w:sz w:val="18"/>
                <w:szCs w:val="18"/>
              </w:rPr>
            </w:pPr>
            <w:r>
              <w:rPr>
                <w:rFonts w:ascii="Times New Roman" w:hAnsi="Times New Roman" w:cs="Times New Roman"/>
                <w:color w:val="auto"/>
                <w:kern w:val="0"/>
                <w:sz w:val="18"/>
                <w:szCs w:val="18"/>
              </w:rPr>
              <w:t>注：“□”，填“√”；“（  ）”为内容填写项。</w:t>
            </w:r>
          </w:p>
        </w:tc>
      </w:tr>
    </w:tbl>
    <w:p>
      <w:pPr>
        <w:pStyle w:val="3"/>
        <w:keepNext w:val="0"/>
        <w:keepLines w:val="0"/>
        <w:numPr>
          <w:ilvl w:val="0"/>
          <w:numId w:val="0"/>
        </w:numPr>
        <w:spacing w:before="166" w:beforeLines="50" w:after="0"/>
        <w:rPr>
          <w:rFonts w:ascii="Times New Roman" w:hAnsi="Times New Roman" w:cs="Times New Roman"/>
          <w:color w:val="auto"/>
          <w:sz w:val="28"/>
          <w:szCs w:val="28"/>
        </w:rPr>
      </w:pPr>
      <w:bookmarkStart w:id="418" w:name="_Toc102979835"/>
      <w:bookmarkStart w:id="419" w:name="_Toc104733406"/>
      <w:bookmarkStart w:id="420" w:name="_Toc17918"/>
      <w:bookmarkStart w:id="421" w:name="_Toc21935"/>
      <w:bookmarkStart w:id="422" w:name="_Toc17892"/>
      <w:bookmarkStart w:id="423" w:name="_Toc15214"/>
      <w:r>
        <w:rPr>
          <w:rFonts w:ascii="Times New Roman" w:hAnsi="Times New Roman" w:cs="Times New Roman"/>
          <w:color w:val="auto"/>
          <w:sz w:val="28"/>
          <w:szCs w:val="28"/>
        </w:rPr>
        <w:t>5.3 营运期地表水环境影响预测与评价</w:t>
      </w:r>
      <w:bookmarkEnd w:id="418"/>
      <w:bookmarkEnd w:id="419"/>
      <w:bookmarkEnd w:id="420"/>
      <w:bookmarkEnd w:id="421"/>
      <w:bookmarkEnd w:id="422"/>
    </w:p>
    <w:p>
      <w:pPr>
        <w:pStyle w:val="4"/>
        <w:rPr>
          <w:rFonts w:ascii="Times New Roman" w:hAnsi="Times New Roman" w:cs="Times New Roman"/>
          <w:color w:val="auto"/>
          <w:szCs w:val="24"/>
        </w:rPr>
      </w:pPr>
      <w:bookmarkStart w:id="424" w:name="_Toc104733407"/>
      <w:bookmarkStart w:id="425" w:name="_Toc102984374"/>
      <w:r>
        <w:rPr>
          <w:rFonts w:ascii="Times New Roman" w:hAnsi="Times New Roman" w:cs="Times New Roman"/>
          <w:color w:val="auto"/>
          <w:szCs w:val="24"/>
        </w:rPr>
        <w:t>5.3.1地表水水文要素环境影响分析</w:t>
      </w:r>
      <w:bookmarkEnd w:id="424"/>
      <w:bookmarkEnd w:id="425"/>
    </w:p>
    <w:p>
      <w:pPr>
        <w:ind w:firstLine="482"/>
        <w:rPr>
          <w:rFonts w:ascii="Times New Roman" w:hAnsi="Times New Roman" w:cs="Times New Roman"/>
          <w:color w:val="FF0066"/>
        </w:rPr>
      </w:pPr>
      <w:r>
        <w:rPr>
          <w:rFonts w:ascii="Times New Roman" w:hAnsi="Times New Roman" w:cs="Times New Roman"/>
          <w:b/>
          <w:bCs/>
        </w:rPr>
        <w:t>（1）水工建筑物布置及结构</w:t>
      </w:r>
    </w:p>
    <w:p>
      <w:pPr>
        <w:ind w:firstLine="480"/>
        <w:rPr>
          <w:rFonts w:ascii="Times New Roman" w:hAnsi="Times New Roman" w:cs="Times New Roman"/>
          <w:color w:val="FF0066"/>
        </w:rPr>
      </w:pPr>
      <w:r>
        <w:rPr>
          <w:rFonts w:ascii="Times New Roman" w:hAnsi="Times New Roman" w:cs="Times New Roman"/>
          <w:color w:val="FF0066"/>
        </w:rPr>
        <w:t>拟建东航码头位于撮镇灌溉渠南岸滩地以及店埠河左岸现有堤防背水侧（东侧），码头前沿线距现有店埠河堤防背水侧坡脚约21m。现状地形多为农田、水塘。码头将店埠河现状左岸堤防后退开挖港池，码头前沿距现状堤顶线约39m，距离现状航道中心线为 101m。</w:t>
      </w:r>
    </w:p>
    <w:p>
      <w:pPr>
        <w:ind w:firstLine="480"/>
        <w:rPr>
          <w:rFonts w:ascii="Times New Roman" w:hAnsi="Times New Roman" w:cs="Times New Roman"/>
          <w:color w:val="FF0066"/>
        </w:rPr>
      </w:pPr>
      <w:r>
        <w:rPr>
          <w:rFonts w:ascii="Times New Roman" w:hAnsi="Times New Roman" w:cs="Times New Roman"/>
          <w:color w:val="FF0066"/>
        </w:rPr>
        <w:t>本工程码头采用重力式结构，兼做店埠河左岸及撮镇灌溉渠南岸堤防。码头设计高水位为12.91m（20年一遇设计洪水位），设计低水位为7.70m，安全等级Ⅱ级；码头作为堤防，防洪标准为50年一遇，堤防工程等级为2级。</w:t>
      </w:r>
    </w:p>
    <w:p>
      <w:pPr>
        <w:ind w:firstLine="480"/>
        <w:rPr>
          <w:rFonts w:ascii="Times New Roman" w:hAnsi="Times New Roman" w:cs="Times New Roman"/>
          <w:color w:val="FF0066"/>
        </w:rPr>
      </w:pPr>
      <w:r>
        <w:rPr>
          <w:rFonts w:ascii="Times New Roman" w:hAnsi="Times New Roman" w:cs="Times New Roman"/>
          <w:color w:val="FF0066"/>
        </w:rPr>
        <w:t>工程区店埠河50年一遇设计水位为13.12m，根据《肥东县店埠河治理建设规划》、《合肥市城市防洪规划报告》，堤顶超高取1.2m，堤顶高程应不低于14.32m。</w:t>
      </w:r>
    </w:p>
    <w:p>
      <w:pPr>
        <w:ind w:firstLine="480"/>
        <w:rPr>
          <w:rFonts w:ascii="Times New Roman" w:hAnsi="Times New Roman" w:cs="Times New Roman"/>
          <w:color w:val="FF0066"/>
        </w:rPr>
      </w:pPr>
      <w:r>
        <w:rPr>
          <w:rFonts w:ascii="Times New Roman" w:hAnsi="Times New Roman" w:cs="Times New Roman"/>
          <w:color w:val="FF0066"/>
        </w:rPr>
        <w:t>码头顶面高程</w:t>
      </w:r>
      <w:r>
        <w:rPr>
          <w:rFonts w:hint="eastAsia" w:ascii="宋体" w:hAnsi="宋体" w:cs="宋体"/>
          <w:color w:val="FF0066"/>
        </w:rPr>
        <w:t>▽</w:t>
      </w:r>
      <w:r>
        <w:rPr>
          <w:rFonts w:ascii="Times New Roman" w:hAnsi="Times New Roman" w:cs="Times New Roman"/>
          <w:color w:val="FF0066"/>
        </w:rPr>
        <w:t>14.0m，结构顶部采用 C30 钢筋砼压顶，压顶尺寸为1.0×0.9（m），压顶上部设置宽度为0.5m 护轮坎（兼做防浪墙）。墙高 10.5m，采用C25夹石砼结构（夹石量≤15%），底部为宽度 8.8m 的 C25 砼底板，厚 1m，墙身间隔10m设置一道2cm结构缝，结构缝填充聚乙烯板材料，墙背结构缝处通长粘贴宽100cm 的 300g/m2 的土工布带以防漏土。墙身设上下三层排水管，间距 1.5m 交错布置，横向排水为φ75mmPVC管，在墙后孔口处纵向设φ100mm软式管与φ80mm 软式排水管相连，并用碎石与土工布包裹。墙后填土采用开挖土回填，压实度不小于0.90。</w:t>
      </w:r>
    </w:p>
    <w:p>
      <w:pPr>
        <w:ind w:firstLine="480"/>
        <w:rPr>
          <w:rFonts w:ascii="Times New Roman" w:hAnsi="Times New Roman" w:cs="Times New Roman"/>
          <w:color w:val="FF0066"/>
        </w:rPr>
      </w:pPr>
      <w:r>
        <w:rPr>
          <w:rFonts w:ascii="Times New Roman" w:hAnsi="Times New Roman" w:cs="Times New Roman"/>
          <w:color w:val="FF0066"/>
        </w:rPr>
        <w:t>码头前沿设置2个SA-A300H×2500L 型橡胶护舷。底板以下采用100cm厚抛石基床。港池通过疏浚形成，底高程为4.5m，边坡坡度按1：3 控制，表面设砼预制块护坡。</w:t>
      </w:r>
    </w:p>
    <w:p>
      <w:pPr>
        <w:ind w:firstLine="0" w:firstLineChars="0"/>
        <w:rPr>
          <w:rFonts w:ascii="Times New Roman" w:hAnsi="Times New Roman" w:cs="Times New Roman"/>
          <w:color w:val="FF0066"/>
        </w:rPr>
      </w:pPr>
      <w:r>
        <w:rPr>
          <w:rFonts w:ascii="Times New Roman" w:hAnsi="Times New Roman" w:cs="Times New Roman"/>
        </w:rPr>
        <w:drawing>
          <wp:inline distT="0" distB="0" distL="0" distR="0">
            <wp:extent cx="5752465" cy="3966210"/>
            <wp:effectExtent l="0" t="0" r="0" b="0"/>
            <wp:docPr id="97" name="图片 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true" noChangeArrowheads="true"/>
                    </pic:cNvPicPr>
                  </pic:nvPicPr>
                  <pic:blipFill>
                    <a:blip r:embed="rId179"/>
                    <a:srcRect/>
                    <a:stretch>
                      <a:fillRect/>
                    </a:stretch>
                  </pic:blipFill>
                  <pic:spPr>
                    <a:xfrm>
                      <a:off x="0" y="0"/>
                      <a:ext cx="5752465" cy="3966210"/>
                    </a:xfrm>
                    <a:prstGeom prst="rect">
                      <a:avLst/>
                    </a:prstGeom>
                    <a:noFill/>
                    <a:ln>
                      <a:noFill/>
                    </a:ln>
                  </pic:spPr>
                </pic:pic>
              </a:graphicData>
            </a:graphic>
          </wp:inline>
        </w:drawing>
      </w:r>
    </w:p>
    <w:p>
      <w:pPr>
        <w:ind w:firstLine="480"/>
        <w:rPr>
          <w:rFonts w:ascii="Times New Roman" w:hAnsi="Times New Roman" w:cs="Times New Roman"/>
          <w:color w:val="FF0066"/>
        </w:rPr>
      </w:pPr>
      <w:r>
        <w:rPr>
          <w:rFonts w:ascii="Times New Roman" w:hAnsi="Times New Roman" w:cs="Times New Roman"/>
          <w:color w:val="FF0066"/>
        </w:rPr>
        <w:t>（2）码头与河道的连接方式</w:t>
      </w:r>
    </w:p>
    <w:p>
      <w:pPr>
        <w:ind w:firstLine="480"/>
        <w:rPr>
          <w:rFonts w:ascii="Times New Roman" w:hAnsi="Times New Roman" w:cs="Times New Roman"/>
          <w:color w:val="FF0066"/>
        </w:rPr>
      </w:pPr>
      <w:r>
        <w:rPr>
          <w:rFonts w:ascii="Times New Roman" w:hAnsi="Times New Roman" w:cs="Times New Roman"/>
          <w:color w:val="FF0066"/>
        </w:rPr>
        <w:t xml:space="preserve">拟建码头上游侧（控制点 A~B 段）全长180m，布置在撮镇灌溉渠引水口段南岸滩地；下游侧（控制点 B~C 段）全长 460m，布置在灌溉渠下游店埠河左岸背水侧。 </w:t>
      </w:r>
    </w:p>
    <w:p>
      <w:pPr>
        <w:ind w:firstLine="480"/>
        <w:rPr>
          <w:rFonts w:ascii="Times New Roman" w:hAnsi="Times New Roman" w:cs="Times New Roman"/>
          <w:color w:val="FF0066"/>
        </w:rPr>
      </w:pPr>
      <w:r>
        <w:rPr>
          <w:rFonts w:ascii="Times New Roman" w:hAnsi="Times New Roman" w:cs="Times New Roman"/>
          <w:color w:val="FF0066"/>
        </w:rPr>
        <w:fldChar w:fldCharType="begin"/>
      </w:r>
      <w:r>
        <w:rPr>
          <w:rFonts w:ascii="Times New Roman" w:hAnsi="Times New Roman" w:cs="Times New Roman"/>
          <w:color w:val="FF0066"/>
        </w:rPr>
        <w:instrText xml:space="preserve"> = 1 \* GB3 </w:instrText>
      </w:r>
      <w:r>
        <w:rPr>
          <w:rFonts w:ascii="Times New Roman" w:hAnsi="Times New Roman" w:cs="Times New Roman"/>
          <w:color w:val="FF0066"/>
        </w:rPr>
        <w:fldChar w:fldCharType="separate"/>
      </w:r>
      <w:r>
        <w:rPr>
          <w:rFonts w:hint="eastAsia" w:ascii="宋体" w:hAnsi="宋体" w:cs="宋体"/>
          <w:color w:val="FF0066"/>
        </w:rPr>
        <w:t>①</w:t>
      </w:r>
      <w:r>
        <w:rPr>
          <w:rFonts w:ascii="Times New Roman" w:hAnsi="Times New Roman" w:cs="Times New Roman"/>
          <w:color w:val="FF0066"/>
        </w:rPr>
        <w:fldChar w:fldCharType="end"/>
      </w:r>
      <w:r>
        <w:rPr>
          <w:rFonts w:ascii="Times New Roman" w:hAnsi="Times New Roman" w:cs="Times New Roman"/>
          <w:color w:val="FF0066"/>
        </w:rPr>
        <w:t xml:space="preserve">与店埠河连接方式 </w:t>
      </w:r>
    </w:p>
    <w:p>
      <w:pPr>
        <w:ind w:firstLine="480"/>
        <w:rPr>
          <w:rFonts w:ascii="Times New Roman" w:hAnsi="Times New Roman" w:cs="Times New Roman"/>
          <w:color w:val="FF0066"/>
        </w:rPr>
      </w:pPr>
      <w:r>
        <w:rPr>
          <w:rFonts w:ascii="Times New Roman" w:hAnsi="Times New Roman" w:cs="Times New Roman"/>
          <w:color w:val="FF0066"/>
        </w:rPr>
        <w:t xml:space="preserve">码头上游侧全长180m，对撮镇灌溉渠疏浚至4.5m形成港池，边坡为1:3，并在 10.0m高程设置5m宽平台，开挖范围北延至店埠河左岸滩地及部分堤防，影响到现有店埠河左岸、撮镇灌溉渠北岸约55m长堤防。该段堤防现状顶高程 14.5m左右，堤顶宽约6m，设有堤顶道路。 </w:t>
      </w:r>
    </w:p>
    <w:p>
      <w:pPr>
        <w:ind w:firstLine="480"/>
        <w:rPr>
          <w:rFonts w:ascii="Times New Roman" w:hAnsi="Times New Roman" w:cs="Times New Roman"/>
          <w:color w:val="FF0066"/>
        </w:rPr>
      </w:pPr>
      <w:r>
        <w:rPr>
          <w:rFonts w:ascii="Times New Roman" w:hAnsi="Times New Roman" w:cs="Times New Roman"/>
          <w:color w:val="FF0066"/>
        </w:rPr>
        <w:t xml:space="preserve">码头下游侧全长460m，兼做店埠河左岸堤防，其前沿线较原堤顶线后退约39m，对现有店埠河左岸堤防进行了拆除，并对河床疏浚至4.5m形成港池。 </w:t>
      </w:r>
    </w:p>
    <w:p>
      <w:pPr>
        <w:ind w:firstLine="480"/>
        <w:rPr>
          <w:rFonts w:ascii="Times New Roman" w:hAnsi="Times New Roman" w:cs="Times New Roman"/>
          <w:color w:val="FF0066"/>
        </w:rPr>
      </w:pPr>
      <w:r>
        <w:rPr>
          <w:rFonts w:ascii="Times New Roman" w:hAnsi="Times New Roman" w:cs="Times New Roman"/>
          <w:color w:val="FF0066"/>
        </w:rPr>
        <w:t>码头下游端新建堤防与店埠河现有堤防进行衔接。现状堤防顶高程14.5m，顶宽 6m，迎水坡坡比1:3，设有生态砼预制块护坡。衔接段长135m，堤防等级为2级，结构基本同现有堤防，堤顶高程14.50m，顶宽8m，迎水坡采用生态砼预制块护坡。</w:t>
      </w:r>
    </w:p>
    <w:p>
      <w:pPr>
        <w:ind w:left="480" w:hanging="480" w:hangingChars="200"/>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 2 \* GB3 </w:instrText>
      </w:r>
      <w:r>
        <w:rPr>
          <w:rFonts w:ascii="Times New Roman" w:hAnsi="Times New Roman" w:cs="Times New Roman"/>
        </w:rPr>
        <w:fldChar w:fldCharType="separate"/>
      </w:r>
      <w:r>
        <w:rPr>
          <w:rFonts w:hint="eastAsia" w:ascii="宋体" w:hAnsi="宋体" w:cs="宋体"/>
        </w:rPr>
        <w:t>②</w:t>
      </w:r>
      <w:r>
        <w:rPr>
          <w:rFonts w:ascii="Times New Roman" w:hAnsi="Times New Roman" w:cs="Times New Roman"/>
        </w:rPr>
        <w:fldChar w:fldCharType="end"/>
      </w:r>
      <w:r>
        <w:rPr>
          <w:rFonts w:ascii="Times New Roman" w:hAnsi="Times New Roman" w:cs="Times New Roman"/>
        </w:rPr>
        <w:t xml:space="preserve">与撮镇灌溉渠连接方式 </w:t>
      </w:r>
    </w:p>
    <w:p>
      <w:pPr>
        <w:pStyle w:val="3914"/>
        <w:rPr>
          <w:rFonts w:ascii="Times New Roman" w:hAnsi="Times New Roman" w:cs="Times New Roman"/>
        </w:rPr>
      </w:pPr>
      <w:r>
        <w:rPr>
          <w:rFonts w:ascii="Times New Roman" w:hAnsi="Times New Roman" w:cs="Times New Roman"/>
        </w:rPr>
        <w:t>拟建码头上游侧全长180m，布置在撮镇灌溉渠引水口段南侧滩地（滩面高程13.0m左右），兼做灌溉渠南岸堤防。该段对撮镇灌溉渠进行开挖形成港池。开挖底宽90m，底高程4.5m；北侧采用1:3的坡度过渡至撮镇灌溉渠北岸滩面衔接（滩面高程14.0m左右），并在10.0m 高程设5m宽平台，坡面采用生态砼预制块防护。码头上游端港池高程4.5m，采用1:6坡度与灌溉渠渠底（7.30m左右）衔接。</w:t>
      </w:r>
    </w:p>
    <w:p>
      <w:pPr>
        <w:ind w:firstLine="482"/>
        <w:rPr>
          <w:rFonts w:ascii="Times New Roman" w:hAnsi="Times New Roman" w:cs="Times New Roman"/>
          <w:color w:val="FF0066"/>
        </w:rPr>
      </w:pPr>
      <w:r>
        <w:rPr>
          <w:rFonts w:ascii="Times New Roman" w:hAnsi="Times New Roman" w:cs="Times New Roman"/>
          <w:b/>
          <w:bCs/>
        </w:rPr>
        <w:t>（2）工程区河道概况</w:t>
      </w:r>
    </w:p>
    <w:p>
      <w:pPr>
        <w:ind w:firstLine="480"/>
        <w:rPr>
          <w:rFonts w:ascii="Times New Roman" w:hAnsi="Times New Roman" w:cs="Times New Roman"/>
          <w:color w:val="FF0066"/>
        </w:rPr>
      </w:pPr>
      <w:r>
        <w:rPr>
          <w:rFonts w:ascii="Times New Roman" w:hAnsi="Times New Roman" w:cs="Times New Roman"/>
          <w:color w:val="FF0066"/>
        </w:rPr>
        <w:t xml:space="preserve">工程河段店埠河两岸堤防已于2018年实施整治。撮镇灌溉渠以上段左岸堤防防洪标准为50年一遇，现状堤顶高程14.8m左右，顶宽8m，迎水坡坡比1:3左右，采用生态联锁预制块护坡。该侧堤防与撮镇灌溉渠北岸堤防衔接。 </w:t>
      </w:r>
    </w:p>
    <w:p>
      <w:pPr>
        <w:ind w:firstLine="480"/>
        <w:rPr>
          <w:rFonts w:ascii="Times New Roman" w:hAnsi="Times New Roman" w:cs="Times New Roman"/>
          <w:color w:val="FF0066"/>
        </w:rPr>
      </w:pPr>
      <w:r>
        <w:rPr>
          <w:rFonts w:ascii="Times New Roman" w:hAnsi="Times New Roman" w:cs="Times New Roman"/>
          <w:color w:val="FF0066"/>
        </w:rPr>
        <w:t>右岸堤防以及撮镇灌溉渠以下段左岸堤防防洪标准为20年一遇，堤防顶宽6m，堤顶高程14.5m左右，堤顶宽6m，设有沥青砼道路。迎水坡坡比约1:3，采用生态联锁预制块护坡。</w:t>
      </w:r>
    </w:p>
    <w:p>
      <w:pPr>
        <w:ind w:firstLine="480"/>
        <w:rPr>
          <w:rFonts w:ascii="Times New Roman" w:hAnsi="Times New Roman" w:cs="Times New Roman"/>
          <w:color w:val="FF0066"/>
        </w:rPr>
      </w:pPr>
      <w:r>
        <w:rPr>
          <w:rFonts w:ascii="Times New Roman" w:hAnsi="Times New Roman" w:cs="Times New Roman"/>
          <w:color w:val="FF0066"/>
        </w:rPr>
        <w:t>拟建场地主要位于肥东县撮镇镇店埠河左岸，店埠河大桥上游约 500m～1000m 处。该项目区域西侧河道宽度约100-120m左右，现状水面高程约9.10m左右，水深约2-3m左右。</w:t>
      </w:r>
    </w:p>
    <w:p>
      <w:pPr>
        <w:ind w:firstLine="480"/>
        <w:rPr>
          <w:rFonts w:ascii="Times New Roman" w:hAnsi="Times New Roman" w:cs="Times New Roman"/>
          <w:color w:val="FF0066"/>
        </w:rPr>
      </w:pPr>
      <w:r>
        <w:rPr>
          <w:rFonts w:ascii="Times New Roman" w:hAnsi="Times New Roman" w:cs="Times New Roman"/>
          <w:color w:val="FF0066"/>
        </w:rPr>
        <w:t>撮镇灌溉渠位于合肥循环经济示范园园区内。所为店埠河左岸（东岸）引水渠。撮镇灌溉渠是引巢灌溉骨干工程，由一、二、三级站引水渠和一级南干渠，一级北干渠，二级南干渠，二级北干渠，三级南干渠，三级北干渠以及刘郢站北干渠组成，总长81.5km，灌溉桥头集、撮镇、店埠、石塘、包公镇等5 乡镇36万亩农田。其中，一级引水渠自店埠河临河口～撮镇一站进水池，长3.1km，现状渠底高程5.2～4.5m，底宽25～15m，边坡1:1.5～1:2，设计水位7.25～7.0m，设计流量23.4～21.8m</w:t>
      </w:r>
      <w:r>
        <w:rPr>
          <w:rFonts w:ascii="Times New Roman" w:hAnsi="Times New Roman" w:cs="Times New Roman"/>
          <w:color w:val="FF0066"/>
          <w:vertAlign w:val="superscript"/>
        </w:rPr>
        <w:t>3</w:t>
      </w:r>
      <w:r>
        <w:rPr>
          <w:rFonts w:ascii="Times New Roman" w:hAnsi="Times New Roman" w:cs="Times New Roman"/>
          <w:color w:val="FF0066"/>
        </w:rPr>
        <w:t>/s。</w:t>
      </w:r>
    </w:p>
    <w:p>
      <w:pPr>
        <w:ind w:firstLine="480"/>
        <w:rPr>
          <w:rFonts w:ascii="Times New Roman" w:hAnsi="Times New Roman" w:cs="Times New Roman"/>
          <w:color w:val="FF0066"/>
        </w:rPr>
      </w:pPr>
      <w:r>
        <w:rPr>
          <w:rFonts w:ascii="Times New Roman" w:hAnsi="Times New Roman" w:cs="Times New Roman"/>
          <w:color w:val="FF0066"/>
        </w:rPr>
        <w:t xml:space="preserve">撮镇灌溉渠引水口右岸（南岸）有仙井河汇入。仙井河全长约2.7km，主要功能为合肥循环经济示范园园区排涝，自东南向西北横穿本工程后方陆域。合肥循环经济示范园区管委会拟对仙井河进行改道，本次工程对现状仙井河进行填埋处理。 </w:t>
      </w:r>
    </w:p>
    <w:p>
      <w:pPr>
        <w:ind w:firstLine="480"/>
        <w:rPr>
          <w:rFonts w:ascii="Times New Roman" w:hAnsi="Times New Roman" w:cs="Times New Roman"/>
          <w:color w:val="FF0066"/>
        </w:rPr>
      </w:pPr>
      <w:r>
        <w:rPr>
          <w:rFonts w:ascii="Times New Roman" w:hAnsi="Times New Roman" w:cs="Times New Roman"/>
          <w:color w:val="FF0066"/>
        </w:rPr>
        <w:t>工程区店埠河左岸、拟建码头港池内现有余大郢泵站一座，主要功能为合肥循环经济示范园园区排涝及灌溉。合肥循环经济示范园区管委会拟对余大郢泵站进行拆除。</w:t>
      </w:r>
    </w:p>
    <w:p>
      <w:pPr>
        <w:ind w:firstLine="0" w:firstLineChars="0"/>
        <w:rPr>
          <w:rFonts w:ascii="Times New Roman" w:hAnsi="Times New Roman" w:cs="Times New Roman"/>
          <w:color w:val="FF0066"/>
        </w:rPr>
      </w:pPr>
      <w:r>
        <w:rPr>
          <w:rFonts w:ascii="Times New Roman" w:hAnsi="Times New Roman" w:cs="Times New Roman"/>
        </w:rPr>
        <mc:AlternateContent>
          <mc:Choice Requires="wps">
            <w:drawing>
              <wp:anchor distT="0" distB="0" distL="114300" distR="114300" simplePos="0" relativeHeight="251649024" behindDoc="0" locked="0" layoutInCell="1" allowOverlap="1">
                <wp:simplePos x="0" y="0"/>
                <wp:positionH relativeFrom="column">
                  <wp:posOffset>1548130</wp:posOffset>
                </wp:positionH>
                <wp:positionV relativeFrom="paragraph">
                  <wp:posOffset>1348105</wp:posOffset>
                </wp:positionV>
                <wp:extent cx="2990850" cy="1171575"/>
                <wp:effectExtent l="57150" t="38100" r="57150" b="19050"/>
                <wp:wrapNone/>
                <wp:docPr id="22" name="Freeform 1966"/>
                <wp:cNvGraphicFramePr/>
                <a:graphic xmlns:a="http://schemas.openxmlformats.org/drawingml/2006/main">
                  <a:graphicData uri="http://schemas.microsoft.com/office/word/2010/wordprocessingShape">
                    <wps:wsp>
                      <wps:cNvSpPr/>
                      <wps:spPr bwMode="auto">
                        <a:xfrm>
                          <a:off x="0" y="0"/>
                          <a:ext cx="2990850" cy="1171575"/>
                        </a:xfrm>
                        <a:custGeom>
                          <a:avLst/>
                          <a:gdLst>
                            <a:gd name="T0" fmla="*/ 0 w 4710"/>
                            <a:gd name="T1" fmla="*/ 255 h 1845"/>
                            <a:gd name="T2" fmla="*/ 1125 w 4710"/>
                            <a:gd name="T3" fmla="*/ 0 h 1845"/>
                            <a:gd name="T4" fmla="*/ 4710 w 4710"/>
                            <a:gd name="T5" fmla="*/ 210 h 1845"/>
                            <a:gd name="T6" fmla="*/ 2385 w 4710"/>
                            <a:gd name="T7" fmla="*/ 1845 h 1845"/>
                            <a:gd name="T8" fmla="*/ 0 w 4710"/>
                            <a:gd name="T9" fmla="*/ 255 h 1845"/>
                          </a:gdLst>
                          <a:ahLst/>
                          <a:cxnLst>
                            <a:cxn ang="0">
                              <a:pos x="T0" y="T1"/>
                            </a:cxn>
                            <a:cxn ang="0">
                              <a:pos x="T2" y="T3"/>
                            </a:cxn>
                            <a:cxn ang="0">
                              <a:pos x="T4" y="T5"/>
                            </a:cxn>
                            <a:cxn ang="0">
                              <a:pos x="T6" y="T7"/>
                            </a:cxn>
                            <a:cxn ang="0">
                              <a:pos x="T8" y="T9"/>
                            </a:cxn>
                          </a:cxnLst>
                          <a:rect l="0" t="0" r="r" b="b"/>
                          <a:pathLst>
                            <a:path w="4710" h="1845">
                              <a:moveTo>
                                <a:pt x="0" y="255"/>
                              </a:moveTo>
                              <a:lnTo>
                                <a:pt x="1125" y="0"/>
                              </a:lnTo>
                              <a:lnTo>
                                <a:pt x="4710" y="210"/>
                              </a:lnTo>
                              <a:lnTo>
                                <a:pt x="2385" y="1845"/>
                              </a:lnTo>
                              <a:lnTo>
                                <a:pt x="0" y="255"/>
                              </a:lnTo>
                              <a:close/>
                            </a:path>
                          </a:pathLst>
                        </a:custGeom>
                        <a:noFill/>
                        <a:ln w="28575">
                          <a:solidFill>
                            <a:srgbClr val="0070C0"/>
                          </a:solidFill>
                          <a:round/>
                        </a:ln>
                      </wps:spPr>
                      <wps:bodyPr rot="0" vert="horz" wrap="square" lIns="91440" tIns="45720" rIns="91440" bIns="45720" anchor="t" anchorCtr="false" upright="true">
                        <a:noAutofit/>
                      </wps:bodyPr>
                    </wps:wsp>
                  </a:graphicData>
                </a:graphic>
              </wp:anchor>
            </w:drawing>
          </mc:Choice>
          <mc:Fallback>
            <w:pict>
              <v:shape id="Freeform 1966" o:spid="_x0000_s1026" o:spt="100" style="position:absolute;left:0pt;margin-left:121.9pt;margin-top:106.15pt;height:92.25pt;width:235.5pt;z-index:251649024;mso-width-relative:page;mso-height-relative:page;" filled="f" stroked="t" coordsize="4710,1845" o:gfxdata="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" path="m0,255l1125,0,4710,210,2385,1845,0,255xe">
                <v:path o:connectlocs="0,161925;714375,0;2990850,133350;1514475,1171575;0,161925" o:connectangles="0,0,0,0,0"/>
                <v:fill on="f" focussize="0,0"/>
                <v:stroke weight="2.25pt" color="#0070C0" joinstyle="round"/>
                <v:imagedata o:title=""/>
                <o:lock v:ext="edit" aspectratio="f"/>
              </v:shape>
            </w:pict>
          </mc:Fallback>
        </mc:AlternateContent>
      </w:r>
      <w:r>
        <w:rPr>
          <w:rFonts w:ascii="Times New Roman" w:hAnsi="Times New Roman" w:cs="Times New Roman"/>
        </w:rPr>
        <w:drawing>
          <wp:inline distT="0" distB="0" distL="0" distR="0">
            <wp:extent cx="5762625" cy="3434080"/>
            <wp:effectExtent l="0" t="0" r="0" b="0"/>
            <wp:docPr id="98" name="图片 9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true" noChangeArrowheads="true"/>
                    </pic:cNvPicPr>
                  </pic:nvPicPr>
                  <pic:blipFill>
                    <a:blip r:embed="rId180"/>
                    <a:srcRect/>
                    <a:stretch>
                      <a:fillRect/>
                    </a:stretch>
                  </pic:blipFill>
                  <pic:spPr>
                    <a:xfrm>
                      <a:off x="0" y="0"/>
                      <a:ext cx="5762625" cy="3434080"/>
                    </a:xfrm>
                    <a:prstGeom prst="rect">
                      <a:avLst/>
                    </a:prstGeom>
                    <a:noFill/>
                    <a:ln>
                      <a:noFill/>
                    </a:ln>
                  </pic:spPr>
                </pic:pic>
              </a:graphicData>
            </a:graphic>
          </wp:inline>
        </w:drawing>
      </w:r>
    </w:p>
    <w:p>
      <w:pPr>
        <w:ind w:firstLine="482"/>
        <w:rPr>
          <w:rFonts w:ascii="Times New Roman" w:hAnsi="Times New Roman" w:cs="Times New Roman"/>
          <w:color w:val="FF0066"/>
        </w:rPr>
      </w:pPr>
      <w:r>
        <w:rPr>
          <w:rFonts w:ascii="Times New Roman" w:hAnsi="Times New Roman" w:cs="Times New Roman"/>
          <w:b/>
          <w:bCs/>
        </w:rPr>
        <w:t>（3）河道水文概况</w:t>
      </w:r>
    </w:p>
    <w:p>
      <w:pPr>
        <w:ind w:firstLine="480"/>
        <w:rPr>
          <w:rFonts w:ascii="Times New Roman" w:hAnsi="Times New Roman" w:cs="Times New Roman"/>
          <w:b/>
          <w:bCs/>
          <w:color w:val="auto"/>
          <w:szCs w:val="24"/>
        </w:rPr>
      </w:pPr>
      <w:bookmarkStart w:id="426" w:name="_Toc102984375"/>
      <w:r>
        <w:rPr>
          <w:rFonts w:ascii="Times New Roman" w:hAnsi="Times New Roman" w:cs="Times New Roman"/>
          <w:color w:val="auto"/>
          <w:szCs w:val="24"/>
        </w:rPr>
        <w:t>本项目所在店埠河是由三汊河汇入南淝河经施口入巢湖。未治理前，河道非常窄浅。</w:t>
      </w:r>
      <w:bookmarkEnd w:id="426"/>
    </w:p>
    <w:p>
      <w:pPr>
        <w:ind w:firstLine="480"/>
        <w:rPr>
          <w:rFonts w:ascii="Times New Roman" w:hAnsi="Times New Roman" w:cs="Times New Roman"/>
          <w:b/>
          <w:bCs/>
          <w:color w:val="auto"/>
          <w:szCs w:val="24"/>
        </w:rPr>
      </w:pPr>
      <w:bookmarkStart w:id="427" w:name="_Toc102984376"/>
      <w:r>
        <w:rPr>
          <w:rFonts w:ascii="Times New Roman" w:hAnsi="Times New Roman" w:cs="Times New Roman"/>
          <w:color w:val="auto"/>
          <w:szCs w:val="24"/>
        </w:rPr>
        <w:t>1972年10月，店埠河店埠至撮镇段，河床高程挖至7m，底宽拓宽至20m。撮镇至三汊河口段，河宽由20m拓宽至30m，河底高程由6m 挖至4.5m。店埠河河道表现为淤积，每年泥沙淤积量不变化不大，河道稳定性较好。1972年、1976年、2010年，分别对店埠至三汊河口段河道、店埠大李湾至撮镇合裕路下400m段，店埠河于2010年开始进行航道升级改造，这次工程，主要是对该河段主河槽疏浚拓宽、浚深河槽，对弯曲半径不足处采取削滩、切滩等工程措施改善航行条件；对河道狭窄的重要堤防段进行护岸、护坡；全线设置航标等措施，2018年全部完工并且通过交工验收，河道治理后，河床将进一步趋于稳定。</w:t>
      </w:r>
      <w:bookmarkEnd w:id="427"/>
    </w:p>
    <w:p>
      <w:pPr>
        <w:ind w:firstLine="480"/>
        <w:rPr>
          <w:rFonts w:ascii="Times New Roman" w:hAnsi="Times New Roman" w:cs="Times New Roman"/>
        </w:rPr>
      </w:pPr>
      <w:r>
        <w:rPr>
          <w:rFonts w:ascii="Times New Roman" w:hAnsi="Times New Roman" w:cs="Times New Roman"/>
        </w:rPr>
        <w:t>店埠河属季节性河流，汛期主要受本流域降水影响，同时受巢湖水位顶托，洪水过程消退缓慢；枯水季节，本流域天然径流较小，其水位主要受巢湖的回水影响。河流输沙以悬移质运动为主，其泥沙运动规律表现为：丰水、丰沙期受南淝河、巢湖水位顶托，水流变缓，流速降低，水流挟沙能力减弱，工程河段属稳定河道。</w:t>
      </w:r>
    </w:p>
    <w:p>
      <w:pPr>
        <w:ind w:firstLine="482"/>
        <w:rPr>
          <w:rFonts w:ascii="Times New Roman" w:hAnsi="Times New Roman" w:cs="Times New Roman"/>
          <w:color w:val="FF0066"/>
        </w:rPr>
      </w:pPr>
      <w:r>
        <w:rPr>
          <w:rFonts w:ascii="Times New Roman" w:hAnsi="Times New Roman" w:cs="Times New Roman"/>
          <w:b/>
          <w:bCs/>
        </w:rPr>
        <w:t>（4）工程建设对店埠河水文环境影响分析</w:t>
      </w:r>
    </w:p>
    <w:p>
      <w:pPr>
        <w:ind w:firstLine="480"/>
        <w:rPr>
          <w:rFonts w:ascii="Times New Roman" w:hAnsi="Times New Roman" w:cs="Times New Roman"/>
        </w:rPr>
      </w:pPr>
      <w:r>
        <w:rPr>
          <w:rFonts w:ascii="Times New Roman" w:hAnsi="Times New Roman" w:cs="Times New Roman"/>
        </w:rPr>
        <w:t>拟建东航码头重力式码头兼做店埠河左岸以及撮镇灌溉渠南岸堤防，堤防防洪标准为50年一遇。墙顶护轮坎兼做防浪墙，墙顶高程同现有左岸堤顶高程14.5m，高于规划20年一遇设计水位（12.91m）1.2m以上；码头平台高程14.0m，宽25m。均高于河道规划防洪要求。</w:t>
      </w:r>
    </w:p>
    <w:p>
      <w:pPr>
        <w:ind w:firstLine="480"/>
        <w:rPr>
          <w:rFonts w:ascii="Times New Roman" w:hAnsi="Times New Roman" w:cs="Times New Roman"/>
        </w:rPr>
      </w:pPr>
      <w:r>
        <w:rPr>
          <w:rFonts w:ascii="Times New Roman" w:hAnsi="Times New Roman" w:cs="Times New Roman"/>
        </w:rPr>
        <w:t>码头采用顺岸凹入式布置，现有店埠河左岸堤防向后退约39m开挖港池，码头兼做店埠河左岸及撮镇灌溉渠南岸堤防；码头下游端新建堤防与店埠河现有堤防进行衔接；码头前沿不超过岸线利用管理规划规定的临水控制线，不缩窄河道过水断面。同时对码头前沿港池疏浚至4.5m高程。在河道20年一遇、50年一遇工况下，工程后河道断面平均行洪断面面积较工程前分别增加了437m</w:t>
      </w:r>
      <w:r>
        <w:rPr>
          <w:rFonts w:ascii="Times New Roman" w:hAnsi="Times New Roman" w:cs="Times New Roman"/>
          <w:vertAlign w:val="superscript"/>
        </w:rPr>
        <w:t>2</w:t>
      </w:r>
      <w:r>
        <w:rPr>
          <w:rFonts w:ascii="Times New Roman" w:hAnsi="Times New Roman" w:cs="Times New Roman"/>
        </w:rPr>
        <w:t>、533m</w:t>
      </w:r>
      <w:r>
        <w:rPr>
          <w:rFonts w:ascii="Times New Roman" w:hAnsi="Times New Roman" w:cs="Times New Roman"/>
          <w:vertAlign w:val="superscript"/>
        </w:rPr>
        <w:t>2</w:t>
      </w:r>
      <w:r>
        <w:rPr>
          <w:rFonts w:ascii="Times New Roman" w:hAnsi="Times New Roman" w:cs="Times New Roman"/>
        </w:rPr>
        <w:t>。因此，码头的建设及港池的开挖，没有减小码头处河道的行洪面积，不影响河道的行洪能力。工程建成后，该段河道丰、枯水季节的来水、来沙量，以及大水时过洪流量不会因为工程的建设发生明显的变化，河道总体流态也不会有明显改变。同时，港池的开挖增加了河道行洪断面，洪水流速有一定的减小，</w:t>
      </w:r>
      <w:r>
        <w:rPr>
          <w:rFonts w:hint="eastAsia" w:ascii="Times New Roman" w:hAnsi="Times New Roman" w:cs="Times New Roman"/>
        </w:rPr>
        <w:t>工程的建设可以</w:t>
      </w:r>
      <w:r>
        <w:rPr>
          <w:rFonts w:ascii="Times New Roman" w:hAnsi="Times New Roman" w:cs="Times New Roman"/>
        </w:rPr>
        <w:t xml:space="preserve">保证河势的稳定。 </w:t>
      </w:r>
    </w:p>
    <w:p>
      <w:pPr>
        <w:ind w:firstLine="480"/>
        <w:rPr>
          <w:rFonts w:ascii="Times New Roman" w:hAnsi="Times New Roman" w:cs="Times New Roman"/>
        </w:rPr>
      </w:pPr>
      <w:r>
        <w:rPr>
          <w:rFonts w:ascii="Times New Roman" w:hAnsi="Times New Roman" w:cs="Times New Roman"/>
        </w:rPr>
        <w:t>本工程的建设对店埠河总体河势、局部河势稳定及水文情势均无明显不利影响。</w:t>
      </w:r>
    </w:p>
    <w:p>
      <w:pPr>
        <w:pStyle w:val="4"/>
        <w:rPr>
          <w:rFonts w:ascii="Times New Roman" w:hAnsi="Times New Roman" w:cs="Times New Roman"/>
          <w:color w:val="auto"/>
          <w:szCs w:val="24"/>
        </w:rPr>
      </w:pPr>
      <w:bookmarkStart w:id="428" w:name="_Toc104733408"/>
      <w:bookmarkStart w:id="429" w:name="_Toc102984377"/>
      <w:r>
        <w:rPr>
          <w:rFonts w:ascii="Times New Roman" w:hAnsi="Times New Roman" w:cs="Times New Roman"/>
          <w:color w:val="auto"/>
          <w:szCs w:val="24"/>
        </w:rPr>
        <w:t>5.3.2污废水排放环境影响分析</w:t>
      </w:r>
      <w:bookmarkEnd w:id="428"/>
      <w:bookmarkEnd w:id="429"/>
    </w:p>
    <w:p>
      <w:pPr>
        <w:ind w:firstLine="482"/>
        <w:rPr>
          <w:rFonts w:ascii="Times New Roman" w:hAnsi="Times New Roman" w:cs="Times New Roman"/>
          <w:b/>
          <w:bCs/>
        </w:rPr>
      </w:pPr>
      <w:r>
        <w:rPr>
          <w:rFonts w:ascii="Times New Roman" w:hAnsi="Times New Roman" w:cs="Times New Roman"/>
          <w:b/>
          <w:bCs/>
        </w:rPr>
        <w:t>（1）污废水收集及排放方式</w:t>
      </w:r>
    </w:p>
    <w:p>
      <w:pPr>
        <w:ind w:firstLine="480"/>
        <w:rPr>
          <w:rFonts w:ascii="Times New Roman" w:hAnsi="Times New Roman" w:cs="Times New Roman"/>
          <w:color w:val="auto"/>
        </w:rPr>
      </w:pPr>
      <w:r>
        <w:rPr>
          <w:rFonts w:ascii="Times New Roman" w:hAnsi="Times New Roman" w:cs="Times New Roman"/>
          <w:color w:val="auto"/>
        </w:rPr>
        <w:t>本项目码头泊位拟设置船舶生活污水、油污水接收设施；船舶生活污水经码头平台接收装置接收后</w:t>
      </w:r>
      <w:r>
        <w:rPr>
          <w:rFonts w:hint="eastAsia" w:ascii="Times New Roman" w:hAnsi="Times New Roman" w:cs="Times New Roman"/>
          <w:color w:val="auto"/>
        </w:rPr>
        <w:t>送陆域化粪池</w:t>
      </w:r>
      <w:r>
        <w:rPr>
          <w:rFonts w:ascii="Times New Roman" w:hAnsi="Times New Roman" w:cs="Times New Roman"/>
          <w:color w:val="auto"/>
        </w:rPr>
        <w:t>预处理后接管排入合肥循环经济园污水处理厂处理；船舶油污水经码头平台接收装置接收后排入油污水储存池通过管道泵送后方陆域罐区的</w:t>
      </w:r>
      <w:r>
        <w:rPr>
          <w:rFonts w:hint="eastAsia" w:ascii="Times New Roman" w:hAnsi="Times New Roman" w:cs="Times New Roman"/>
          <w:color w:val="auto"/>
        </w:rPr>
        <w:t>含油</w:t>
      </w:r>
      <w:r>
        <w:rPr>
          <w:rFonts w:ascii="Times New Roman" w:hAnsi="Times New Roman" w:cs="Times New Roman"/>
          <w:color w:val="auto"/>
        </w:rPr>
        <w:t>污水处理装置</w:t>
      </w:r>
      <w:r>
        <w:rPr>
          <w:rFonts w:hint="eastAsia" w:ascii="Times New Roman" w:hAnsi="Times New Roman" w:cs="Times New Roman"/>
          <w:color w:val="auto"/>
          <w:szCs w:val="24"/>
          <w:shd w:val="clear" w:color="auto" w:fill="FFFFFF"/>
        </w:rPr>
        <w:t>（</w:t>
      </w:r>
      <w:r>
        <w:rPr>
          <w:rFonts w:ascii="Times New Roman" w:hAnsi="Times New Roman" w:cs="Times New Roman"/>
          <w:color w:val="auto"/>
          <w:szCs w:val="24"/>
          <w:shd w:val="clear" w:color="auto" w:fill="FFFFFF"/>
        </w:rPr>
        <w:t>处理能力为10m</w:t>
      </w:r>
      <w:r>
        <w:rPr>
          <w:rFonts w:ascii="Times New Roman" w:hAnsi="Times New Roman" w:cs="Times New Roman"/>
          <w:color w:val="auto"/>
          <w:szCs w:val="24"/>
          <w:shd w:val="clear" w:color="auto" w:fill="FFFFFF"/>
          <w:vertAlign w:val="superscript"/>
        </w:rPr>
        <w:t>3</w:t>
      </w:r>
      <w:r>
        <w:rPr>
          <w:rFonts w:ascii="Times New Roman" w:hAnsi="Times New Roman" w:cs="Times New Roman"/>
          <w:color w:val="auto"/>
          <w:szCs w:val="24"/>
          <w:shd w:val="clear" w:color="auto" w:fill="FFFFFF"/>
        </w:rPr>
        <w:t>/h</w:t>
      </w:r>
      <w:r>
        <w:rPr>
          <w:rFonts w:hint="eastAsia" w:ascii="Times New Roman" w:hAnsi="Times New Roman" w:cs="Times New Roman"/>
          <w:color w:val="auto"/>
          <w:szCs w:val="24"/>
          <w:shd w:val="clear" w:color="auto" w:fill="FFFFFF"/>
        </w:rPr>
        <w:t>，工艺沉砂+隔油+气浮+预曝气氧化+精密过滤）</w:t>
      </w:r>
      <w:r>
        <w:rPr>
          <w:rFonts w:ascii="Times New Roman" w:hAnsi="Times New Roman" w:cs="Times New Roman"/>
          <w:color w:val="auto"/>
        </w:rPr>
        <w:t>，经处理达标后接管排入合肥循环经济园污水处理厂。</w:t>
      </w:r>
    </w:p>
    <w:p>
      <w:pPr>
        <w:ind w:firstLine="480"/>
        <w:rPr>
          <w:rFonts w:ascii="Times New Roman" w:hAnsi="Times New Roman" w:cs="Times New Roman"/>
          <w:color w:val="auto"/>
        </w:rPr>
      </w:pPr>
      <w:r>
        <w:rPr>
          <w:rFonts w:ascii="Times New Roman" w:hAnsi="Times New Roman" w:cs="Times New Roman"/>
          <w:color w:val="auto"/>
        </w:rPr>
        <w:t>码头平台、罐区冲洗水、初期雨水经收集</w:t>
      </w:r>
      <w:r>
        <w:rPr>
          <w:rFonts w:ascii="Times New Roman" w:hAnsi="Times New Roman" w:cs="Times New Roman"/>
          <w:color w:val="auto"/>
          <w:spacing w:val="10"/>
          <w:szCs w:val="24"/>
        </w:rPr>
        <w:t>后通过泵送或自流经管道进入</w:t>
      </w:r>
      <w:r>
        <w:rPr>
          <w:rFonts w:ascii="Times New Roman" w:hAnsi="Times New Roman" w:cs="Times New Roman"/>
          <w:color w:val="auto"/>
        </w:rPr>
        <w:t>陆域罐区的油污水处理装置预处理后接管排入合肥循环经济园污水处理厂处理。后期清洁雨水切换至雨水系统排放。</w:t>
      </w:r>
    </w:p>
    <w:p>
      <w:pPr>
        <w:ind w:firstLine="480"/>
        <w:rPr>
          <w:rFonts w:ascii="Times New Roman" w:hAnsi="Times New Roman" w:cs="Times New Roman"/>
          <w:color w:val="auto"/>
        </w:rPr>
      </w:pPr>
      <w:r>
        <w:rPr>
          <w:rFonts w:ascii="Times New Roman" w:hAnsi="Times New Roman" w:cs="Times New Roman"/>
          <w:color w:val="auto"/>
        </w:rPr>
        <w:t>排水方式：码头油品及液体化工品泊位（1#-7#装卸装置四周均设置污水挡坎，即围堰，挡坎高25cm，宽20cm，挡坎围护面长30m，宽11.7m，围挡内设置污水明沟，正常情况下的初期雨水及冲洗废水，汇集通过污水明沟排入集污池（码头面设置2处，每处容积30m</w:t>
      </w:r>
      <w:r>
        <w:rPr>
          <w:rFonts w:ascii="Times New Roman" w:hAnsi="Times New Roman" w:cs="Times New Roman"/>
          <w:color w:val="auto"/>
          <w:vertAlign w:val="superscript"/>
        </w:rPr>
        <w:t>3</w:t>
      </w:r>
      <w:r>
        <w:rPr>
          <w:rFonts w:ascii="Times New Roman" w:hAnsi="Times New Roman" w:cs="Times New Roman"/>
          <w:color w:val="auto"/>
        </w:rPr>
        <w:t>），集污池内收集的废水通过潜水泵经码头平台管廊架上污水管道排入后方陆域含油污水处理装置处理，处理达标后再通过市政污水管网，送至合肥循环经济园污水处理厂统一处理；事故状态下的泄露物料及消防废水流入集污池，通过潜水泵经管廊架上污水管道通过闸阀切换排至后方陆域事故应急池，由收集后分批送污水处理装置处理达标后，送至合肥循环经济园污水处理厂统一处理。</w:t>
      </w:r>
    </w:p>
    <w:p>
      <w:pPr>
        <w:ind w:firstLine="480"/>
        <w:rPr>
          <w:rFonts w:ascii="Times New Roman" w:hAnsi="Times New Roman" w:cs="Times New Roman"/>
          <w:color w:val="auto"/>
        </w:rPr>
      </w:pPr>
      <w:r>
        <w:rPr>
          <w:rFonts w:hint="eastAsia" w:ascii="Times New Roman" w:hAnsi="Times New Roman" w:cs="Times New Roman"/>
          <w:color w:val="auto"/>
        </w:rPr>
        <w:t>罐区设置围堰收集冲洗废水和初期雨水，装车区设置收集沟收集冲洗废水和初期雨水，送</w:t>
      </w:r>
      <w:r>
        <w:rPr>
          <w:rFonts w:ascii="Times New Roman" w:hAnsi="Times New Roman" w:cs="Times New Roman"/>
          <w:color w:val="auto"/>
        </w:rPr>
        <w:t>陆域罐区的</w:t>
      </w:r>
      <w:r>
        <w:rPr>
          <w:rFonts w:hint="eastAsia" w:ascii="Times New Roman" w:hAnsi="Times New Roman" w:cs="Times New Roman"/>
          <w:color w:val="auto"/>
        </w:rPr>
        <w:t>含油</w:t>
      </w:r>
      <w:r>
        <w:rPr>
          <w:rFonts w:ascii="Times New Roman" w:hAnsi="Times New Roman" w:cs="Times New Roman"/>
          <w:color w:val="auto"/>
        </w:rPr>
        <w:t>污水处理装置</w:t>
      </w:r>
      <w:r>
        <w:rPr>
          <w:rFonts w:hint="eastAsia" w:ascii="Times New Roman" w:hAnsi="Times New Roman" w:cs="Times New Roman"/>
          <w:color w:val="auto"/>
        </w:rPr>
        <w:t>。</w:t>
      </w:r>
    </w:p>
    <w:p>
      <w:pPr>
        <w:ind w:firstLine="480"/>
        <w:rPr>
          <w:rFonts w:ascii="Times New Roman" w:hAnsi="Times New Roman" w:cs="Times New Roman"/>
          <w:color w:val="auto"/>
        </w:rPr>
      </w:pPr>
      <w:r>
        <w:rPr>
          <w:rFonts w:ascii="Times New Roman" w:hAnsi="Times New Roman" w:cs="Times New Roman"/>
          <w:color w:val="auto"/>
        </w:rPr>
        <w:t>本项目整个码头区排污口设置在港口路，接入港口路污水井。</w:t>
      </w:r>
    </w:p>
    <w:p>
      <w:pPr>
        <w:ind w:firstLine="482"/>
        <w:rPr>
          <w:rFonts w:ascii="Times New Roman" w:hAnsi="Times New Roman" w:cs="Times New Roman"/>
          <w:b/>
          <w:bCs/>
        </w:rPr>
      </w:pPr>
      <w:r>
        <w:rPr>
          <w:rFonts w:ascii="Times New Roman" w:hAnsi="Times New Roman" w:cs="Times New Roman"/>
          <w:b/>
          <w:bCs/>
        </w:rPr>
        <w:t>（2）依托的区域污水处理厂情况</w:t>
      </w:r>
    </w:p>
    <w:p>
      <w:pPr>
        <w:adjustRightInd/>
        <w:snapToGrid/>
        <w:ind w:firstLine="480"/>
        <w:rPr>
          <w:rFonts w:ascii="Times New Roman" w:hAnsi="Times New Roman" w:cs="Times New Roman"/>
          <w:color w:val="auto"/>
          <w:szCs w:val="24"/>
        </w:rPr>
      </w:pPr>
      <w:r>
        <w:rPr>
          <w:rFonts w:ascii="Times New Roman" w:hAnsi="Times New Roman" w:cs="Times New Roman"/>
          <w:color w:val="auto"/>
          <w:szCs w:val="24"/>
        </w:rPr>
        <w:t>合肥循环经济园区内现有3万吨/日工业污水处理厂及配套污水管网。污水处理厂位于宏图大道与四顶山路交口西北角，该项目投资13000万元，采用国际先进的序批式活性污泥法处理工艺（SBR），2010年便已建成并投入运营。主体工艺为主体工艺为气浮+水解酸化+改良SBR+过滤+消毒，处理后出水达到</w:t>
      </w:r>
      <w:r>
        <w:rPr>
          <w:rFonts w:ascii="Times New Roman" w:hAnsi="Times New Roman" w:cs="Times New Roman"/>
          <w:color w:val="auto"/>
          <w:kern w:val="0"/>
          <w:szCs w:val="24"/>
        </w:rPr>
        <w:t>《巢湖流域城镇污水处理厂和工业行业主要水污染物排放限值》（DB34/2710-2016）中表1“城镇污水处理厂Ⅱ”相应排放限值后排入店埠河。</w:t>
      </w:r>
      <w:r>
        <w:rPr>
          <w:rFonts w:ascii="Times New Roman" w:hAnsi="Times New Roman" w:cs="Times New Roman"/>
          <w:color w:val="auto"/>
          <w:szCs w:val="24"/>
        </w:rPr>
        <w:t>污水处理厂为BOT项目，投资方为马来西亚联熹水处理有限公司。</w:t>
      </w:r>
    </w:p>
    <w:p>
      <w:pPr>
        <w:adjustRightInd/>
        <w:snapToGrid/>
        <w:ind w:firstLine="480"/>
        <w:rPr>
          <w:rFonts w:ascii="Times New Roman" w:hAnsi="Times New Roman" w:cs="Times New Roman"/>
          <w:color w:val="auto"/>
          <w:szCs w:val="24"/>
        </w:rPr>
      </w:pPr>
      <w:r>
        <w:rPr>
          <w:rFonts w:ascii="Times New Roman" w:hAnsi="Times New Roman" w:cs="Times New Roman"/>
          <w:color w:val="auto"/>
          <w:szCs w:val="24"/>
        </w:rPr>
        <w:t>园区现有工业污水处理厂处理工艺如下所示。</w:t>
      </w:r>
    </w:p>
    <w:p>
      <w:pPr>
        <w:adjustRightInd/>
        <w:snapToGrid/>
        <w:ind w:firstLine="480"/>
        <w:rPr>
          <w:rFonts w:ascii="Times New Roman" w:hAnsi="Times New Roman" w:cs="Times New Roman"/>
          <w:color w:val="auto"/>
          <w:szCs w:val="24"/>
        </w:rPr>
      </w:pPr>
      <w:r>
        <w:rPr>
          <w:rFonts w:ascii="Times New Roman" w:hAnsi="Times New Roman" w:cs="Times New Roman"/>
        </w:rPr>
        <w:drawing>
          <wp:inline distT="0" distB="0" distL="0" distR="0">
            <wp:extent cx="5497195" cy="4040505"/>
            <wp:effectExtent l="0" t="0" r="0" b="0"/>
            <wp:docPr id="99" name="图片 9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true" noChangeArrowheads="true"/>
                    </pic:cNvPicPr>
                  </pic:nvPicPr>
                  <pic:blipFill>
                    <a:blip r:embed="rId181"/>
                    <a:srcRect/>
                    <a:stretch>
                      <a:fillRect/>
                    </a:stretch>
                  </pic:blipFill>
                  <pic:spPr>
                    <a:xfrm>
                      <a:off x="0" y="0"/>
                      <a:ext cx="5497195" cy="4040505"/>
                    </a:xfrm>
                    <a:prstGeom prst="rect">
                      <a:avLst/>
                    </a:prstGeom>
                    <a:noFill/>
                    <a:ln>
                      <a:noFill/>
                    </a:ln>
                  </pic:spPr>
                </pic:pic>
              </a:graphicData>
            </a:graphic>
          </wp:inline>
        </w:drawing>
      </w:r>
    </w:p>
    <w:p>
      <w:pPr>
        <w:adjustRightInd/>
        <w:snapToGrid/>
        <w:spacing w:line="500" w:lineRule="exact"/>
        <w:ind w:firstLine="0" w:firstLineChars="0"/>
        <w:jc w:val="center"/>
        <w:rPr>
          <w:rFonts w:ascii="Times New Roman" w:hAnsi="Times New Roman" w:eastAsia="黑体" w:cs="Times New Roman"/>
          <w:color w:val="auto"/>
          <w:szCs w:val="24"/>
        </w:rPr>
      </w:pPr>
      <w:r>
        <w:rPr>
          <w:rFonts w:ascii="Times New Roman" w:hAnsi="Times New Roman" w:eastAsia="黑体" w:cs="Times New Roman"/>
          <w:color w:val="auto"/>
          <w:szCs w:val="24"/>
        </w:rPr>
        <w:t>图5.3-1   园区现有工业污水处理厂处理工艺流程</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工艺说明：</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按设计园区企业进入污水处理厂的废水采取一企一管的方式接入调节池，污水在此调节水质和水量（调节池的有效容积为4000m</w:t>
      </w:r>
      <w:r>
        <w:rPr>
          <w:rFonts w:ascii="Times New Roman" w:hAnsi="Times New Roman" w:cs="Times New Roman"/>
          <w:color w:val="auto"/>
          <w:szCs w:val="24"/>
          <w:vertAlign w:val="superscript"/>
        </w:rPr>
        <w:t>3</w:t>
      </w:r>
      <w:r>
        <w:rPr>
          <w:rFonts w:ascii="Times New Roman" w:hAnsi="Times New Roman" w:cs="Times New Roman"/>
          <w:color w:val="auto"/>
          <w:szCs w:val="24"/>
        </w:rPr>
        <w:t>），再进入提升泵房，通过粗细格栅除去大块SS后泵入化学反应池，调节pH后加药絮凝，通过气浮池去除SS后，自流进入水解酸化池进一步分解。</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废水随后进入改良SBR反应池进行全面降解，SBR出水再根据处理的水质情况，加药进一步去除色度、SS等，通过气浮砂滤组合装置处理，保证出水达标。</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综合废水从调节池经提升泵提升至化学反应池加药，以物理化学法经气浮池去除污水中悬浮物和有害物质，以保证后续生物处理工艺的正常运行。</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工程使用的RWT-RVC气浮池的特点：</w:t>
      </w:r>
    </w:p>
    <w:p>
      <w:pPr>
        <w:adjustRightInd/>
        <w:snapToGrid/>
        <w:spacing w:line="500" w:lineRule="exact"/>
        <w:ind w:firstLine="480"/>
        <w:rPr>
          <w:rFonts w:ascii="Times New Roman" w:hAnsi="Times New Roman" w:cs="Times New Roman"/>
          <w:color w:val="auto"/>
          <w:szCs w:val="24"/>
        </w:rPr>
      </w:pPr>
      <w:r>
        <w:rPr>
          <w:rFonts w:hint="eastAsia" w:ascii="宋体" w:hAnsi="宋体" w:cs="宋体"/>
          <w:color w:val="auto"/>
          <w:szCs w:val="24"/>
        </w:rPr>
        <w:t>①</w:t>
      </w:r>
      <w:r>
        <w:rPr>
          <w:rFonts w:ascii="Times New Roman" w:hAnsi="Times New Roman" w:cs="Times New Roman"/>
          <w:color w:val="auto"/>
          <w:szCs w:val="24"/>
        </w:rPr>
        <w:t>首先是所用的水箱只有0.5m深，这使得气泡和上浮的固体移动的距离很短。</w:t>
      </w:r>
    </w:p>
    <w:p>
      <w:pPr>
        <w:adjustRightInd/>
        <w:snapToGrid/>
        <w:spacing w:line="500" w:lineRule="exact"/>
        <w:ind w:firstLine="480"/>
        <w:rPr>
          <w:rFonts w:ascii="Times New Roman" w:hAnsi="Times New Roman" w:cs="Times New Roman"/>
          <w:color w:val="auto"/>
          <w:szCs w:val="24"/>
        </w:rPr>
      </w:pPr>
      <w:r>
        <w:rPr>
          <w:rFonts w:hint="eastAsia" w:ascii="宋体" w:hAnsi="宋体" w:cs="宋体"/>
          <w:color w:val="auto"/>
          <w:szCs w:val="24"/>
        </w:rPr>
        <w:t>②</w:t>
      </w:r>
      <w:r>
        <w:rPr>
          <w:rFonts w:ascii="Times New Roman" w:hAnsi="Times New Roman" w:cs="Times New Roman"/>
          <w:color w:val="auto"/>
          <w:szCs w:val="24"/>
        </w:rPr>
        <w:t>进来的水是经过一个转动径向送水的装置来输入。进水的流量和送水装置的旋转速度相配合使溶气水的混合物基本上是以“零速度”进入水箱。这样的静止状态，即没有横流也没有速度梯度令絮凝固体有效上浮，把清水留在水箱下层。</w:t>
      </w:r>
    </w:p>
    <w:p>
      <w:pPr>
        <w:adjustRightInd/>
        <w:snapToGrid/>
        <w:spacing w:line="500" w:lineRule="exact"/>
        <w:ind w:firstLine="480"/>
        <w:rPr>
          <w:rFonts w:ascii="Times New Roman" w:hAnsi="Times New Roman" w:cs="Times New Roman"/>
          <w:color w:val="auto"/>
          <w:szCs w:val="24"/>
        </w:rPr>
      </w:pPr>
      <w:r>
        <w:rPr>
          <w:rFonts w:hint="eastAsia" w:ascii="宋体" w:hAnsi="宋体" w:cs="宋体"/>
          <w:color w:val="auto"/>
          <w:szCs w:val="24"/>
        </w:rPr>
        <w:t>③</w:t>
      </w:r>
      <w:r>
        <w:rPr>
          <w:rFonts w:ascii="Times New Roman" w:hAnsi="Times New Roman" w:cs="Times New Roman"/>
          <w:color w:val="auto"/>
          <w:szCs w:val="24"/>
        </w:rPr>
        <w:t>浮在水面的污泥层是用一个螺旋铲刮走。它顺着水箱的圆周旋转，使污泥层得以维持静止。能够达到很高的污泥稳定度而减少了污泥脱水系统的载荷量。</w:t>
      </w:r>
    </w:p>
    <w:p>
      <w:pPr>
        <w:adjustRightInd/>
        <w:snapToGrid/>
        <w:spacing w:line="500" w:lineRule="exact"/>
        <w:ind w:firstLine="480"/>
        <w:rPr>
          <w:rFonts w:ascii="Times New Roman" w:hAnsi="Times New Roman" w:cs="Times New Roman"/>
          <w:color w:val="auto"/>
          <w:szCs w:val="24"/>
        </w:rPr>
      </w:pPr>
      <w:r>
        <w:rPr>
          <w:rFonts w:hint="eastAsia" w:ascii="宋体" w:hAnsi="宋体" w:cs="宋体"/>
          <w:color w:val="auto"/>
          <w:szCs w:val="24"/>
        </w:rPr>
        <w:t>④</w:t>
      </w:r>
      <w:r>
        <w:rPr>
          <w:rFonts w:ascii="Times New Roman" w:hAnsi="Times New Roman" w:cs="Times New Roman"/>
          <w:color w:val="auto"/>
          <w:szCs w:val="24"/>
        </w:rPr>
        <w:t>气浮池也考虑了沉砂排除设计。所有较重的物质将由此气浮池底部的刮泥片刮至凹槽，再由空气薄膜阀间隔性排除。</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水解酸化池：</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如果污水的可生化性较差，则采用水解酸化工艺，在兼性菌的作用下使污水中的难降解的大分子物质分解为易被微生物降解的小分子物质，提高了污水的可生化性以便后续SBR处理系统处理。水解酸化池有效容积：5540m</w:t>
      </w:r>
      <w:r>
        <w:rPr>
          <w:rFonts w:ascii="Times New Roman" w:hAnsi="Times New Roman" w:cs="Times New Roman"/>
          <w:color w:val="auto"/>
          <w:szCs w:val="24"/>
          <w:vertAlign w:val="superscript"/>
        </w:rPr>
        <w:t>3</w:t>
      </w:r>
      <w:r>
        <w:rPr>
          <w:rFonts w:ascii="Times New Roman" w:hAnsi="Times New Roman" w:cs="Times New Roman"/>
          <w:color w:val="auto"/>
          <w:szCs w:val="24"/>
        </w:rPr>
        <w:t>（1座）。</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SBR工艺过程中运行机理：</w:t>
      </w:r>
    </w:p>
    <w:p>
      <w:pPr>
        <w:adjustRightInd/>
        <w:snapToGrid/>
        <w:spacing w:line="500" w:lineRule="exact"/>
        <w:ind w:firstLine="480"/>
        <w:rPr>
          <w:rFonts w:ascii="Times New Roman" w:hAnsi="Times New Roman" w:cs="Times New Roman"/>
          <w:color w:val="auto"/>
          <w:szCs w:val="24"/>
        </w:rPr>
      </w:pPr>
      <w:r>
        <w:rPr>
          <w:rFonts w:hint="eastAsia" w:ascii="宋体" w:hAnsi="宋体" w:cs="宋体"/>
          <w:color w:val="auto"/>
          <w:szCs w:val="24"/>
        </w:rPr>
        <w:t>①</w:t>
      </w:r>
      <w:r>
        <w:rPr>
          <w:rFonts w:ascii="Times New Roman" w:hAnsi="Times New Roman" w:cs="Times New Roman"/>
          <w:color w:val="auto"/>
          <w:szCs w:val="24"/>
        </w:rPr>
        <w:t>污水进入SBR池后与沉淀的高浓度污泥混合，污水中的有机物首先被菌胶团吸附，并进行生物降解，此时反硝化菌利用污水中的有机物作为碳源，将残留混合液中的NO</w:t>
      </w:r>
      <w:r>
        <w:rPr>
          <w:rFonts w:ascii="Times New Roman" w:hAnsi="Times New Roman" w:cs="Times New Roman"/>
          <w:color w:val="auto"/>
          <w:szCs w:val="24"/>
          <w:vertAlign w:val="subscript"/>
        </w:rPr>
        <w:t>3</w:t>
      </w:r>
      <w:r>
        <w:rPr>
          <w:rFonts w:ascii="Times New Roman" w:hAnsi="Times New Roman" w:cs="Times New Roman"/>
          <w:color w:val="auto"/>
          <w:szCs w:val="24"/>
        </w:rPr>
        <w:t>-N和NO</w:t>
      </w:r>
      <w:r>
        <w:rPr>
          <w:rFonts w:ascii="Times New Roman" w:hAnsi="Times New Roman" w:cs="Times New Roman"/>
          <w:color w:val="auto"/>
          <w:szCs w:val="24"/>
          <w:vertAlign w:val="subscript"/>
        </w:rPr>
        <w:t>2</w:t>
      </w:r>
      <w:r>
        <w:rPr>
          <w:rFonts w:ascii="Times New Roman" w:hAnsi="Times New Roman" w:cs="Times New Roman"/>
          <w:color w:val="auto"/>
          <w:szCs w:val="24"/>
        </w:rPr>
        <w:t>-N还原为N</w:t>
      </w:r>
      <w:r>
        <w:rPr>
          <w:rFonts w:ascii="Times New Roman" w:hAnsi="Times New Roman" w:cs="Times New Roman"/>
          <w:color w:val="auto"/>
          <w:szCs w:val="24"/>
          <w:vertAlign w:val="subscript"/>
        </w:rPr>
        <w:t>2</w:t>
      </w:r>
      <w:r>
        <w:rPr>
          <w:rFonts w:ascii="Times New Roman" w:hAnsi="Times New Roman" w:cs="Times New Roman"/>
          <w:color w:val="auto"/>
          <w:szCs w:val="24"/>
        </w:rPr>
        <w:t>释放到空气中，完成脱氮过程。进水过程中采用限制性曝气。</w:t>
      </w:r>
    </w:p>
    <w:p>
      <w:pPr>
        <w:adjustRightInd/>
        <w:snapToGrid/>
        <w:spacing w:line="500" w:lineRule="exact"/>
        <w:ind w:firstLine="480"/>
        <w:rPr>
          <w:rFonts w:ascii="Times New Roman" w:hAnsi="Times New Roman" w:cs="Times New Roman"/>
          <w:color w:val="auto"/>
          <w:szCs w:val="24"/>
        </w:rPr>
      </w:pPr>
      <w:r>
        <w:rPr>
          <w:rFonts w:hint="eastAsia" w:ascii="宋体" w:hAnsi="宋体" w:cs="宋体"/>
          <w:color w:val="auto"/>
          <w:szCs w:val="24"/>
        </w:rPr>
        <w:t>②</w:t>
      </w:r>
      <w:r>
        <w:rPr>
          <w:rFonts w:ascii="Times New Roman" w:hAnsi="Times New Roman" w:cs="Times New Roman"/>
          <w:color w:val="auto"/>
          <w:szCs w:val="24"/>
        </w:rPr>
        <w:t>进水过程中进行搅拌，不曝气，使池中混合液处于厌氧状态，含磷污泥释放磷，使污水中磷浓度升高，溶解性有机物被微生物细胞吸收而使污水中的BOD</w:t>
      </w:r>
      <w:r>
        <w:rPr>
          <w:rFonts w:ascii="Times New Roman" w:hAnsi="Times New Roman" w:cs="Times New Roman"/>
          <w:color w:val="auto"/>
          <w:szCs w:val="24"/>
          <w:vertAlign w:val="subscript"/>
        </w:rPr>
        <w:t>5</w:t>
      </w:r>
      <w:r>
        <w:rPr>
          <w:rFonts w:ascii="Times New Roman" w:hAnsi="Times New Roman" w:cs="Times New Roman"/>
          <w:color w:val="auto"/>
          <w:szCs w:val="24"/>
        </w:rPr>
        <w:t>浓度下降；</w:t>
      </w:r>
    </w:p>
    <w:p>
      <w:pPr>
        <w:adjustRightInd/>
        <w:snapToGrid/>
        <w:spacing w:line="500" w:lineRule="exact"/>
        <w:ind w:firstLine="480"/>
        <w:rPr>
          <w:rFonts w:ascii="Times New Roman" w:hAnsi="Times New Roman" w:cs="Times New Roman"/>
          <w:color w:val="auto"/>
          <w:szCs w:val="24"/>
        </w:rPr>
      </w:pPr>
      <w:r>
        <w:rPr>
          <w:rFonts w:hint="eastAsia" w:ascii="宋体" w:hAnsi="宋体" w:cs="宋体"/>
          <w:color w:val="auto"/>
          <w:szCs w:val="24"/>
        </w:rPr>
        <w:t>③</w:t>
      </w:r>
      <w:r>
        <w:rPr>
          <w:rFonts w:ascii="Times New Roman" w:hAnsi="Times New Roman" w:cs="Times New Roman"/>
          <w:color w:val="auto"/>
          <w:szCs w:val="24"/>
        </w:rPr>
        <w:t>曝气：快速提高溶解氧浓度，有机物被微生物迅速生化降解而继续下降；有机氮被氨化而被硝化，使NH</w:t>
      </w:r>
      <w:r>
        <w:rPr>
          <w:rFonts w:ascii="Times New Roman" w:hAnsi="Times New Roman" w:cs="Times New Roman"/>
          <w:color w:val="auto"/>
          <w:szCs w:val="24"/>
          <w:vertAlign w:val="subscript"/>
        </w:rPr>
        <w:t>3</w:t>
      </w:r>
      <w:r>
        <w:rPr>
          <w:rFonts w:ascii="Times New Roman" w:hAnsi="Times New Roman" w:cs="Times New Roman"/>
          <w:color w:val="auto"/>
          <w:szCs w:val="24"/>
        </w:rPr>
        <w:t>-N浓度显著下降，但随着硝化过程使NO</w:t>
      </w:r>
      <w:r>
        <w:rPr>
          <w:rFonts w:ascii="Times New Roman" w:hAnsi="Times New Roman" w:cs="Times New Roman"/>
          <w:color w:val="auto"/>
          <w:szCs w:val="24"/>
          <w:vertAlign w:val="subscript"/>
        </w:rPr>
        <w:t>3</w:t>
      </w:r>
      <w:r>
        <w:rPr>
          <w:rFonts w:ascii="Times New Roman" w:hAnsi="Times New Roman" w:cs="Times New Roman"/>
          <w:color w:val="auto"/>
          <w:szCs w:val="24"/>
        </w:rPr>
        <w:t>-N的浓度增加。磷随着聚磷菌的过量摄取也以较快的速度下降。</w:t>
      </w:r>
    </w:p>
    <w:p>
      <w:pPr>
        <w:adjustRightInd/>
        <w:snapToGrid/>
        <w:spacing w:line="500" w:lineRule="exact"/>
        <w:ind w:firstLine="480"/>
        <w:rPr>
          <w:rFonts w:ascii="Times New Roman" w:hAnsi="Times New Roman" w:cs="Times New Roman"/>
          <w:color w:val="auto"/>
          <w:szCs w:val="24"/>
        </w:rPr>
      </w:pPr>
      <w:r>
        <w:rPr>
          <w:rFonts w:hint="eastAsia" w:ascii="宋体" w:hAnsi="宋体" w:cs="宋体"/>
          <w:color w:val="auto"/>
          <w:szCs w:val="24"/>
        </w:rPr>
        <w:t>④</w:t>
      </w:r>
      <w:r>
        <w:rPr>
          <w:rFonts w:ascii="Times New Roman" w:hAnsi="Times New Roman" w:cs="Times New Roman"/>
          <w:color w:val="auto"/>
          <w:szCs w:val="24"/>
        </w:rPr>
        <w:t>沉淀、滗水后，进行污泥排放，同时可兼做污泥闲置段，提高污泥活性，有利于第二周期的处理。</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气浮过滤池：</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SBR池出水经过气浮过滤池的气浮和过滤两套程序使污水稳定达标排放。</w:t>
      </w:r>
    </w:p>
    <w:p>
      <w:pPr>
        <w:adjustRightInd/>
        <w:snapToGrid/>
        <w:spacing w:line="500" w:lineRule="exact"/>
        <w:ind w:firstLine="480"/>
        <w:rPr>
          <w:rFonts w:ascii="Times New Roman" w:hAnsi="Times New Roman" w:cs="Times New Roman"/>
          <w:color w:val="auto"/>
          <w:szCs w:val="24"/>
        </w:rPr>
      </w:pPr>
      <w:r>
        <w:rPr>
          <w:rFonts w:ascii="Times New Roman" w:hAnsi="Times New Roman" w:cs="Times New Roman"/>
          <w:color w:val="auto"/>
          <w:szCs w:val="24"/>
        </w:rPr>
        <w:t>园区现有工业污水处理厂实际处理规模约为2.13万m</w:t>
      </w:r>
      <w:r>
        <w:rPr>
          <w:rFonts w:ascii="Times New Roman" w:hAnsi="Times New Roman" w:cs="Times New Roman"/>
          <w:color w:val="auto"/>
          <w:szCs w:val="24"/>
          <w:vertAlign w:val="superscript"/>
        </w:rPr>
        <w:t>3</w:t>
      </w:r>
      <w:r>
        <w:rPr>
          <w:rFonts w:ascii="Times New Roman" w:hAnsi="Times New Roman" w:cs="Times New Roman"/>
          <w:color w:val="auto"/>
          <w:szCs w:val="24"/>
        </w:rPr>
        <w:t>/d，污水处理厂运营稳定，年达标率100%。</w:t>
      </w:r>
    </w:p>
    <w:p>
      <w:pPr>
        <w:ind w:firstLine="480"/>
        <w:rPr>
          <w:rFonts w:ascii="Times New Roman" w:hAnsi="Times New Roman" w:cs="Times New Roman"/>
          <w:color w:val="auto"/>
        </w:rPr>
        <w:sectPr>
          <w:pgSz w:w="11906" w:h="16838"/>
          <w:pgMar w:top="1417" w:right="1417" w:bottom="1417" w:left="1417" w:header="850" w:footer="992" w:gutter="0"/>
          <w:cols w:space="720" w:num="1"/>
          <w:docGrid w:type="lines" w:linePitch="333" w:charSpace="0"/>
        </w:sectPr>
      </w:pPr>
    </w:p>
    <w:p>
      <w:pPr>
        <w:ind w:firstLine="141" w:firstLineChars="59"/>
        <w:jc w:val="center"/>
        <w:rPr>
          <w:rFonts w:ascii="Times New Roman" w:hAnsi="Times New Roman" w:cs="Times New Roman"/>
          <w:color w:val="auto"/>
        </w:rPr>
      </w:pPr>
      <w:r>
        <w:rPr>
          <w:rFonts w:ascii="Times New Roman" w:hAnsi="Times New Roman" w:cs="Times New Roman"/>
          <w:color w:val="auto"/>
        </w:rPr>
        <w:drawing>
          <wp:inline distT="0" distB="0" distL="0" distR="0">
            <wp:extent cx="11844655" cy="8378190"/>
            <wp:effectExtent l="0" t="0" r="0" b="0"/>
            <wp:docPr id="100" name="图片 1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true" noChangeArrowheads="true"/>
                    </pic:cNvPicPr>
                  </pic:nvPicPr>
                  <pic:blipFill>
                    <a:blip r:embed="rId182" cstate="hqprint"/>
                    <a:srcRect/>
                    <a:stretch>
                      <a:fillRect/>
                    </a:stretch>
                  </pic:blipFill>
                  <pic:spPr>
                    <a:xfrm>
                      <a:off x="0" y="0"/>
                      <a:ext cx="11844655" cy="8378190"/>
                    </a:xfrm>
                    <a:prstGeom prst="rect">
                      <a:avLst/>
                    </a:prstGeom>
                    <a:noFill/>
                    <a:ln>
                      <a:noFill/>
                    </a:ln>
                  </pic:spPr>
                </pic:pic>
              </a:graphicData>
            </a:graphic>
          </wp:inline>
        </w:drawing>
      </w:r>
    </w:p>
    <w:p>
      <w:pPr>
        <w:pStyle w:val="25"/>
        <w:ind w:firstLine="482"/>
        <w:jc w:val="center"/>
        <w:rPr>
          <w:rFonts w:ascii="Times New Roman" w:hAnsi="Times New Roman" w:cs="Times New Roman"/>
          <w:b/>
          <w:bCs/>
          <w:color w:val="auto"/>
        </w:rPr>
      </w:pPr>
      <w:r>
        <w:rPr>
          <w:rFonts w:ascii="Times New Roman" w:hAnsi="Times New Roman" w:cs="Times New Roman"/>
          <w:b/>
          <w:bCs/>
          <w:color w:val="auto"/>
        </w:rPr>
        <w:t>图5.3-1.1    本项目码头污水管网图（一）</w:t>
      </w:r>
    </w:p>
    <w:p>
      <w:pPr>
        <w:pStyle w:val="25"/>
        <w:ind w:firstLine="480"/>
        <w:rPr>
          <w:rFonts w:ascii="Times New Roman" w:hAnsi="Times New Roman" w:cs="Times New Roman"/>
          <w:color w:val="auto"/>
        </w:rPr>
      </w:pPr>
    </w:p>
    <w:p>
      <w:pPr>
        <w:pStyle w:val="3550"/>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0" distR="0">
            <wp:extent cx="11929745" cy="8474075"/>
            <wp:effectExtent l="0" t="0" r="0" b="0"/>
            <wp:docPr id="101" name="图片 1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true" noChangeArrowheads="true"/>
                    </pic:cNvPicPr>
                  </pic:nvPicPr>
                  <pic:blipFill>
                    <a:blip r:embed="rId183" cstate="hqprint"/>
                    <a:srcRect/>
                    <a:stretch>
                      <a:fillRect/>
                    </a:stretch>
                  </pic:blipFill>
                  <pic:spPr>
                    <a:xfrm>
                      <a:off x="0" y="0"/>
                      <a:ext cx="11929745" cy="8474075"/>
                    </a:xfrm>
                    <a:prstGeom prst="rect">
                      <a:avLst/>
                    </a:prstGeom>
                    <a:noFill/>
                    <a:ln>
                      <a:noFill/>
                    </a:ln>
                  </pic:spPr>
                </pic:pic>
              </a:graphicData>
            </a:graphic>
          </wp:inline>
        </w:drawing>
      </w:r>
      <w:r>
        <w:rPr>
          <w:rFonts w:ascii="Times New Roman" w:hAnsi="Times New Roman" w:cs="Times New Roman"/>
          <w:color w:val="auto"/>
        </w:rPr>
        <mc:AlternateContent>
          <mc:Choice Requires="wps">
            <w:drawing>
              <wp:anchor distT="0" distB="0" distL="114300" distR="114300" simplePos="0" relativeHeight="251650048" behindDoc="0" locked="0" layoutInCell="1" allowOverlap="1">
                <wp:simplePos x="0" y="0"/>
                <wp:positionH relativeFrom="column">
                  <wp:posOffset>2080895</wp:posOffset>
                </wp:positionH>
                <wp:positionV relativeFrom="paragraph">
                  <wp:posOffset>1537970</wp:posOffset>
                </wp:positionV>
                <wp:extent cx="6181725" cy="2686050"/>
                <wp:effectExtent l="0" t="0" r="0" b="0"/>
                <wp:wrapNone/>
                <wp:docPr id="218" name="AutoShape 848"/>
                <wp:cNvGraphicFramePr/>
                <a:graphic xmlns:a="http://schemas.openxmlformats.org/drawingml/2006/main">
                  <a:graphicData uri="http://schemas.microsoft.com/office/word/2010/wordprocessingShape">
                    <wps:wsp>
                      <wps:cNvCnPr>
                        <a:cxnSpLocks noChangeShapeType="true"/>
                      </wps:cNvCnPr>
                      <wps:spPr bwMode="auto">
                        <a:xfrm>
                          <a:off x="0" y="0"/>
                          <a:ext cx="6181725" cy="2686050"/>
                        </a:xfrm>
                        <a:prstGeom prst="straightConnector1">
                          <a:avLst/>
                        </a:prstGeom>
                        <a:noFill/>
                        <a:ln>
                          <a:noFill/>
                        </a:ln>
                      </wps:spPr>
                      <wps:bodyPr/>
                    </wps:wsp>
                  </a:graphicData>
                </a:graphic>
              </wp:anchor>
            </w:drawing>
          </mc:Choice>
          <mc:Fallback>
            <w:pict>
              <v:shape id="AutoShape 848" o:spid="_x0000_s1026" o:spt="32" type="#_x0000_t32" style="position:absolute;left:0pt;margin-left:163.85pt;margin-top:121.1pt;height:211.5pt;width:486.75pt;z-index:251650048;mso-width-relative:page;mso-height-relative:page;" filled="f" stroked="f" coordsize="21600,21600" o:gfxdata="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FgAAAGRycy9QSwECFAAU&#10;AAAACACHTuJA7yfPENoAAAAMAQAADwAAAAAAAAABACAAAAA4AAAAZHJzL2Rvd25yZXYueG1sUEsB&#10;AhQAFAAAAAgAh07iQCJuHaOkAQAANQMAAA4AAAAAAAAAAQAgAAAAPwEAAGRycy9lMm9Eb2MueG1s&#10;UEsFBgAAAAAGAAYAWQEAAFUFAAAAAA==&#10;">
                <v:fill on="f" focussize="0,0"/>
                <v:stroke on="f"/>
                <v:imagedata o:title=""/>
                <o:lock v:ext="edit" aspectratio="f"/>
              </v:shape>
            </w:pict>
          </mc:Fallback>
        </mc:AlternateContent>
      </w:r>
    </w:p>
    <w:p>
      <w:pPr>
        <w:pStyle w:val="3550"/>
        <w:ind w:firstLine="0" w:firstLineChars="0"/>
        <w:jc w:val="center"/>
        <w:rPr>
          <w:rFonts w:ascii="Times New Roman" w:hAnsi="Times New Roman" w:eastAsia="等线" w:cs="Times New Roman"/>
          <w:color w:val="auto"/>
        </w:rPr>
        <w:sectPr>
          <w:pgSz w:w="23808" w:h="16840" w:orient="landscape"/>
          <w:pgMar w:top="1418" w:right="1418" w:bottom="1418" w:left="1418" w:header="851" w:footer="992" w:gutter="0"/>
          <w:cols w:space="720" w:num="1"/>
          <w:docGrid w:type="linesAndChars" w:linePitch="333" w:charSpace="0"/>
        </w:sectPr>
      </w:pPr>
      <w:r>
        <w:rPr>
          <w:rFonts w:ascii="Times New Roman" w:hAnsi="Times New Roman" w:cs="Times New Roman"/>
          <w:b/>
          <w:bCs/>
          <w:color w:val="auto"/>
        </w:rPr>
        <w:t xml:space="preserve">    图5.3-1.2    本项目罐区污水管网图（二）</w:t>
      </w:r>
    </w:p>
    <w:p>
      <w:pPr>
        <w:ind w:firstLine="0" w:firstLineChars="0"/>
        <w:jc w:val="center"/>
        <w:rPr>
          <w:rFonts w:ascii="Times New Roman" w:hAnsi="Times New Roman" w:cs="Times New Roman"/>
          <w:color w:val="auto"/>
        </w:rPr>
      </w:pPr>
      <w:r>
        <w:rPr>
          <w:rFonts w:ascii="Times New Roman" w:hAnsi="Times New Roman" w:cs="Times New Roman"/>
          <w:color w:val="auto"/>
        </w:rPr>
        <mc:AlternateContent>
          <mc:Choice Requires="wps">
            <w:drawing>
              <wp:anchor distT="0" distB="0" distL="114300" distR="114300" simplePos="0" relativeHeight="251651072" behindDoc="0" locked="0" layoutInCell="1" allowOverlap="1">
                <wp:simplePos x="0" y="0"/>
                <wp:positionH relativeFrom="column">
                  <wp:posOffset>2240915</wp:posOffset>
                </wp:positionH>
                <wp:positionV relativeFrom="paragraph">
                  <wp:posOffset>1674495</wp:posOffset>
                </wp:positionV>
                <wp:extent cx="152400" cy="219075"/>
                <wp:effectExtent l="26670" t="41275" r="20955" b="6350"/>
                <wp:wrapNone/>
                <wp:docPr id="217" name="AutoShape 862"/>
                <wp:cNvGraphicFramePr/>
                <a:graphic xmlns:a="http://schemas.openxmlformats.org/drawingml/2006/main">
                  <a:graphicData uri="http://schemas.microsoft.com/office/word/2010/wordprocessingShape">
                    <wps:wsp>
                      <wps:cNvSpPr>
                        <a:spLocks noChangeArrowheads="true"/>
                      </wps:cNvSpPr>
                      <wps:spPr bwMode="auto">
                        <a:xfrm>
                          <a:off x="0" y="0"/>
                          <a:ext cx="152400" cy="219075"/>
                        </a:xfrm>
                        <a:prstGeom prst="star4">
                          <a:avLst>
                            <a:gd name="adj" fmla="val 12500"/>
                          </a:avLst>
                        </a:prstGeom>
                        <a:solidFill>
                          <a:srgbClr val="FF0000"/>
                        </a:solidFill>
                        <a:ln w="9525">
                          <a:solidFill>
                            <a:srgbClr val="FFFF00"/>
                          </a:solidFill>
                          <a:miter lim="800000"/>
                        </a:ln>
                      </wps:spPr>
                      <wps:bodyPr rot="0" vert="horz" wrap="square" lIns="91440" tIns="45720" rIns="91440" bIns="45720" anchor="t" anchorCtr="false" upright="true">
                        <a:noAutofit/>
                      </wps:bodyPr>
                    </wps:wsp>
                  </a:graphicData>
                </a:graphic>
              </wp:anchor>
            </w:drawing>
          </mc:Choice>
          <mc:Fallback>
            <w:pict>
              <v:shape id="AutoShape 862" o:spid="_x0000_s1026" o:spt="187" type="#_x0000_t187" style="position:absolute;left:0pt;margin-left:176.45pt;margin-top:131.85pt;height:17.25pt;width:12pt;z-index:251651072;mso-width-relative:page;mso-height-relative:page;" fillcolor="#FF0000" filled="t" stroked="t" coordsize="21600,21600" o:gfxdata="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WAAAAZHJzL1BLAQIUABQAAAAIAIdO4kAxOlV32wAAAAsBAAAPAAAAAAAAAAEAIAAA&#10;ADgAAABkcnMvZG93bnJldi54bWxQSwECFAAUAAAACACHTuJAruYhFywCAABeBAAADgAAAAAAAAAB&#10;ACAAAABAAQAAZHJzL2Uyb0RvYy54bWxQSwUGAAAAAAYABgBZAQAA3gUAAAAA&#10;" adj="8100">
                <v:fill on="t" focussize="0,0"/>
                <v:stroke color="#FFFF00" miterlimit="8" joinstyle="miter"/>
                <v:imagedata o:title=""/>
                <o:lock v:ext="edit" aspectratio="f"/>
              </v:shape>
            </w:pict>
          </mc:Fallback>
        </mc:AlternateContent>
      </w:r>
      <w:r>
        <w:rPr>
          <w:rFonts w:ascii="Times New Roman" w:hAnsi="Times New Roman" w:cs="Times New Roman"/>
          <w:color w:val="auto"/>
        </w:rPr>
        <mc:AlternateContent>
          <mc:Choice Requires="wps">
            <w:drawing>
              <wp:anchor distT="0" distB="0" distL="114300" distR="114300" simplePos="0" relativeHeight="251652096" behindDoc="0" locked="0" layoutInCell="1" allowOverlap="1">
                <wp:simplePos x="0" y="0"/>
                <wp:positionH relativeFrom="column">
                  <wp:posOffset>1102360</wp:posOffset>
                </wp:positionH>
                <wp:positionV relativeFrom="paragraph">
                  <wp:posOffset>823595</wp:posOffset>
                </wp:positionV>
                <wp:extent cx="1167130" cy="328295"/>
                <wp:effectExtent l="21590" t="19050" r="97155" b="700405"/>
                <wp:wrapNone/>
                <wp:docPr id="216" name="AutoShape 861"/>
                <wp:cNvGraphicFramePr/>
                <a:graphic xmlns:a="http://schemas.openxmlformats.org/drawingml/2006/main">
                  <a:graphicData uri="http://schemas.microsoft.com/office/word/2010/wordprocessingShape">
                    <wps:wsp>
                      <wps:cNvSpPr>
                        <a:spLocks noChangeArrowheads="true"/>
                      </wps:cNvSpPr>
                      <wps:spPr bwMode="auto">
                        <a:xfrm>
                          <a:off x="0" y="0"/>
                          <a:ext cx="1167130" cy="328295"/>
                        </a:xfrm>
                        <a:prstGeom prst="wedgeRectCallout">
                          <a:avLst>
                            <a:gd name="adj1" fmla="val 52773"/>
                            <a:gd name="adj2" fmla="val 235495"/>
                          </a:avLst>
                        </a:prstGeom>
                        <a:noFill/>
                        <a:ln w="28575">
                          <a:solidFill>
                            <a:srgbClr val="FF0000"/>
                          </a:solidFill>
                          <a:round/>
                        </a:ln>
                      </wps:spPr>
                      <wps:txbx>
                        <w:txbxContent>
                          <w:p>
                            <w:pPr>
                              <w:spacing w:line="240" w:lineRule="auto"/>
                              <w:ind w:firstLine="0" w:firstLineChars="0"/>
                              <w:jc w:val="center"/>
                              <w:rPr>
                                <w:b/>
                                <w:bCs/>
                                <w:color w:val="002060"/>
                              </w:rPr>
                            </w:pPr>
                            <w:r>
                              <w:rPr>
                                <w:rFonts w:hint="eastAsia"/>
                                <w:b/>
                                <w:bCs/>
                                <w:color w:val="002060"/>
                                <w:highlight w:val="yellow"/>
                              </w:rPr>
                              <w:t>本项目所在地</w:t>
                            </w:r>
                          </w:p>
                        </w:txbxContent>
                      </wps:txbx>
                      <wps:bodyPr rot="0" vert="horz" wrap="square" lIns="91440" tIns="45720" rIns="91440" bIns="45720" anchor="ctr" anchorCtr="false" upright="true">
                        <a:noAutofit/>
                      </wps:bodyPr>
                    </wps:wsp>
                  </a:graphicData>
                </a:graphic>
              </wp:anchor>
            </w:drawing>
          </mc:Choice>
          <mc:Fallback>
            <w:pict>
              <v:shape id="AutoShape 861" o:spid="_x0000_s1026" o:spt="61" type="#_x0000_t61" style="position:absolute;left:0pt;margin-left:86.8pt;margin-top:64.85pt;height:25.85pt;width:91.9pt;z-index:251652096;v-text-anchor:middle;mso-width-relative:page;mso-height-relative:page;" filled="f" stroked="t" coordsize="21600,21600" o:gfxdata="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wvBm/tkAAAAL&#10;AQAADwAAAAAAAAABACAAAAA4AAAAZHJzL2Rvd25yZXYueG1sUEsBAhQAFAAAAAgAh07iQEpgoBo+&#10;AgAAaAQAAA4AAAAAAAAAAQAgAAAAPgEAAGRycy9lMm9Eb2MueG1sUEsFBgAAAAAGAAYAWQEAAO4F&#10;AAAAAA==&#10;" adj="22199,61667">
                <v:fill on="f" focussize="0,0"/>
                <v:stroke weight="2.25pt" color="#FF0000" joinstyle="round"/>
                <v:imagedata o:title=""/>
                <o:lock v:ext="edit" aspectratio="f"/>
                <v:textbox>
                  <w:txbxContent>
                    <w:p>
                      <w:pPr>
                        <w:spacing w:line="240" w:lineRule="auto"/>
                        <w:ind w:firstLine="0" w:firstLineChars="0"/>
                        <w:jc w:val="center"/>
                        <w:rPr>
                          <w:b/>
                          <w:bCs/>
                          <w:color w:val="002060"/>
                        </w:rPr>
                      </w:pPr>
                      <w:r>
                        <w:rPr>
                          <w:rFonts w:hint="eastAsia"/>
                          <w:b/>
                          <w:bCs/>
                          <w:color w:val="002060"/>
                          <w:highlight w:val="yellow"/>
                        </w:rPr>
                        <w:t>本项目所在地</w:t>
                      </w:r>
                    </w:p>
                  </w:txbxContent>
                </v:textbox>
              </v:shape>
            </w:pict>
          </mc:Fallback>
        </mc:AlternateContent>
      </w:r>
      <w:r>
        <w:rPr>
          <w:rFonts w:ascii="Times New Roman" w:hAnsi="Times New Roman" w:cs="Times New Roman"/>
        </w:rPr>
        <w:drawing>
          <wp:inline distT="0" distB="0" distL="0" distR="0">
            <wp:extent cx="7761605" cy="5454650"/>
            <wp:effectExtent l="0" t="0" r="0" b="0"/>
            <wp:docPr id="102" name="图片 1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true" noChangeArrowheads="true"/>
                    </pic:cNvPicPr>
                  </pic:nvPicPr>
                  <pic:blipFill>
                    <a:blip r:embed="rId184"/>
                    <a:srcRect/>
                    <a:stretch>
                      <a:fillRect/>
                    </a:stretch>
                  </pic:blipFill>
                  <pic:spPr>
                    <a:xfrm>
                      <a:off x="0" y="0"/>
                      <a:ext cx="7761605" cy="5454650"/>
                    </a:xfrm>
                    <a:prstGeom prst="rect">
                      <a:avLst/>
                    </a:prstGeom>
                    <a:noFill/>
                    <a:ln>
                      <a:noFill/>
                    </a:ln>
                  </pic:spPr>
                </pic:pic>
              </a:graphicData>
            </a:graphic>
          </wp:inline>
        </w:drawing>
      </w:r>
    </w:p>
    <w:p>
      <w:pPr>
        <w:ind w:firstLine="0" w:firstLineChars="0"/>
        <w:jc w:val="center"/>
        <w:rPr>
          <w:rFonts w:ascii="Times New Roman" w:hAnsi="Times New Roman" w:cs="Times New Roman"/>
          <w:b/>
          <w:bCs/>
          <w:color w:val="auto"/>
        </w:rPr>
      </w:pPr>
      <w:r>
        <w:rPr>
          <w:rFonts w:ascii="Times New Roman" w:hAnsi="Times New Roman" w:cs="Times New Roman"/>
          <w:b/>
          <w:bCs/>
          <w:color w:val="auto"/>
        </w:rPr>
        <w:t>图5.3-2    合肥循环经济园排水规划图</w:t>
      </w:r>
    </w:p>
    <w:p>
      <w:pPr>
        <w:ind w:firstLine="0" w:firstLineChars="0"/>
        <w:rPr>
          <w:rFonts w:ascii="Times New Roman" w:hAnsi="Times New Roman" w:cs="Times New Roman"/>
          <w:color w:val="auto"/>
        </w:rPr>
        <w:sectPr>
          <w:pgSz w:w="16838" w:h="11906" w:orient="landscape"/>
          <w:pgMar w:top="1418" w:right="1418" w:bottom="1418" w:left="1418" w:header="851" w:footer="992" w:gutter="0"/>
          <w:cols w:space="720" w:num="1"/>
          <w:docGrid w:type="linesAndChars" w:linePitch="333" w:charSpace="0"/>
        </w:sectPr>
      </w:pPr>
    </w:p>
    <w:p>
      <w:pPr>
        <w:ind w:firstLine="480"/>
        <w:rPr>
          <w:rFonts w:ascii="Times New Roman" w:hAnsi="Times New Roman" w:cs="Times New Roman"/>
          <w:color w:val="auto"/>
          <w:szCs w:val="24"/>
        </w:rPr>
      </w:pPr>
      <w:r>
        <w:rPr>
          <w:rFonts w:ascii="Times New Roman" w:hAnsi="Times New Roman" w:cs="Times New Roman"/>
          <w:color w:val="auto"/>
        </w:rPr>
        <w:t>废水污染物排放信息表见表5.3-1~4。</w:t>
      </w:r>
    </w:p>
    <w:p>
      <w:pPr>
        <w:pStyle w:val="1062"/>
        <w:widowControl w:val="0"/>
        <w:spacing w:line="240" w:lineRule="auto"/>
        <w:ind w:left="0"/>
        <w:rPr>
          <w:rFonts w:ascii="Times New Roman" w:hAnsi="Times New Roman" w:eastAsia="宋体" w:cs="Times New Roman"/>
          <w:bCs/>
          <w:color w:val="auto"/>
          <w:sz w:val="21"/>
          <w:szCs w:val="21"/>
        </w:rPr>
      </w:pPr>
    </w:p>
    <w:p>
      <w:pPr>
        <w:pStyle w:val="1062"/>
        <w:widowControl w:val="0"/>
        <w:spacing w:line="240" w:lineRule="auto"/>
        <w:ind w:left="0"/>
        <w:rPr>
          <w:rFonts w:ascii="Times New Roman" w:hAnsi="Times New Roman" w:eastAsia="宋体" w:cs="Times New Roman"/>
          <w:bCs/>
          <w:color w:val="auto"/>
          <w:sz w:val="21"/>
          <w:szCs w:val="21"/>
          <w:lang w:val="zh-CN"/>
        </w:rPr>
      </w:pPr>
      <w:r>
        <w:rPr>
          <w:rFonts w:ascii="Times New Roman" w:hAnsi="Times New Roman" w:eastAsia="宋体" w:cs="Times New Roman"/>
          <w:bCs/>
          <w:color w:val="auto"/>
          <w:sz w:val="21"/>
          <w:szCs w:val="21"/>
        </w:rPr>
        <w:t>表</w:t>
      </w:r>
      <w:r>
        <w:rPr>
          <w:rFonts w:ascii="Times New Roman" w:hAnsi="Times New Roman" w:eastAsia="宋体" w:cs="Times New Roman"/>
          <w:bCs/>
          <w:color w:val="auto"/>
          <w:sz w:val="21"/>
          <w:szCs w:val="21"/>
          <w:lang w:val="zh-CN"/>
        </w:rPr>
        <w:t>5.3-1  废水类别、污染物及污染治理设施信息表</w:t>
      </w:r>
    </w:p>
    <w:tbl>
      <w:tblPr>
        <w:tblStyle w:val="62"/>
        <w:tblW w:w="1336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25"/>
        <w:gridCol w:w="1276"/>
        <w:gridCol w:w="1189"/>
        <w:gridCol w:w="1418"/>
        <w:gridCol w:w="1134"/>
        <w:gridCol w:w="850"/>
        <w:gridCol w:w="1559"/>
        <w:gridCol w:w="1418"/>
        <w:gridCol w:w="850"/>
        <w:gridCol w:w="994"/>
        <w:gridCol w:w="22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425"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序号</w:t>
            </w:r>
          </w:p>
        </w:tc>
        <w:tc>
          <w:tcPr>
            <w:tcW w:w="1276"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废水类别</w:t>
            </w:r>
          </w:p>
        </w:tc>
        <w:tc>
          <w:tcPr>
            <w:tcW w:w="1189"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污染物种类</w:t>
            </w:r>
          </w:p>
        </w:tc>
        <w:tc>
          <w:tcPr>
            <w:tcW w:w="1418"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排放去向</w:t>
            </w:r>
          </w:p>
        </w:tc>
        <w:tc>
          <w:tcPr>
            <w:tcW w:w="1134"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排放规律</w:t>
            </w:r>
          </w:p>
        </w:tc>
        <w:tc>
          <w:tcPr>
            <w:tcW w:w="3827"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治理措施</w:t>
            </w:r>
          </w:p>
        </w:tc>
        <w:tc>
          <w:tcPr>
            <w:tcW w:w="850"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排放口</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编号</w:t>
            </w:r>
          </w:p>
        </w:tc>
        <w:tc>
          <w:tcPr>
            <w:tcW w:w="994"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排放口设置是否符合要求</w:t>
            </w:r>
          </w:p>
        </w:tc>
        <w:tc>
          <w:tcPr>
            <w:tcW w:w="2254"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排放口</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425"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127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1189"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1418"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1134"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850"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污染治理设施编号</w:t>
            </w:r>
          </w:p>
        </w:tc>
        <w:tc>
          <w:tcPr>
            <w:tcW w:w="1559"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污染治理设施名称</w:t>
            </w:r>
          </w:p>
        </w:tc>
        <w:tc>
          <w:tcPr>
            <w:tcW w:w="1418"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污染治理设施工艺</w:t>
            </w:r>
          </w:p>
        </w:tc>
        <w:tc>
          <w:tcPr>
            <w:tcW w:w="850"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994"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254"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425"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276"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码头平台、罐区冲洗水、初期雨水、接受的船舶油污水</w:t>
            </w:r>
          </w:p>
        </w:tc>
        <w:tc>
          <w:tcPr>
            <w:tcW w:w="1189" w:type="dxa"/>
            <w:vAlign w:val="center"/>
          </w:tcPr>
          <w:p>
            <w:pPr>
              <w:pStyle w:val="861"/>
              <w:rPr>
                <w:szCs w:val="18"/>
              </w:rPr>
            </w:pPr>
            <w:r>
              <w:rPr>
                <w:szCs w:val="18"/>
              </w:rPr>
              <w:t>COD、SS、石油类</w:t>
            </w:r>
          </w:p>
        </w:tc>
        <w:tc>
          <w:tcPr>
            <w:tcW w:w="1418" w:type="dxa"/>
            <w:vAlign w:val="center"/>
          </w:tcPr>
          <w:p>
            <w:pPr>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接管至陆域污水预处理设施；进入合肥循环经济园污水处理厂处理</w:t>
            </w:r>
          </w:p>
        </w:tc>
        <w:tc>
          <w:tcPr>
            <w:tcW w:w="1134"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间断排放，排放期间流量稳定</w:t>
            </w:r>
          </w:p>
        </w:tc>
        <w:tc>
          <w:tcPr>
            <w:tcW w:w="850"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559"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中和池+</w:t>
            </w:r>
            <w:r>
              <w:rPr>
                <w:rFonts w:ascii="Times New Roman" w:hAnsi="Times New Roman" w:cs="Times New Roman"/>
                <w:color w:val="auto"/>
                <w:sz w:val="18"/>
                <w:szCs w:val="18"/>
              </w:rPr>
              <w:t>密闭式含油污水处理装置</w:t>
            </w:r>
          </w:p>
        </w:tc>
        <w:tc>
          <w:tcPr>
            <w:tcW w:w="1418"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隔油沉淀池</w:t>
            </w:r>
          </w:p>
        </w:tc>
        <w:tc>
          <w:tcPr>
            <w:tcW w:w="850"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94"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sym w:font="Wingdings 2" w:char="0052"/>
            </w:r>
            <w:r>
              <w:rPr>
                <w:rFonts w:ascii="Times New Roman" w:hAnsi="Times New Roman" w:cs="Times New Roman"/>
                <w:color w:val="auto"/>
                <w:sz w:val="18"/>
                <w:szCs w:val="18"/>
              </w:rPr>
              <w:t>是</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□否</w:t>
            </w:r>
          </w:p>
        </w:tc>
        <w:tc>
          <w:tcPr>
            <w:tcW w:w="2254"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sym w:font="Wingdings 2" w:char="0052"/>
            </w:r>
            <w:r>
              <w:rPr>
                <w:rFonts w:ascii="Times New Roman" w:hAnsi="Times New Roman" w:cs="Times New Roman"/>
                <w:color w:val="auto"/>
                <w:sz w:val="18"/>
                <w:szCs w:val="18"/>
              </w:rPr>
              <w:t>企业总排</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□雨水排放</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□清净下水排放</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□温排水排放</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□车间或车间处理设施排放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425"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276"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码头生活污水、接收的船舶生活污水</w:t>
            </w:r>
          </w:p>
        </w:tc>
        <w:tc>
          <w:tcPr>
            <w:tcW w:w="1189"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COD、BOD</w:t>
            </w:r>
            <w:r>
              <w:rPr>
                <w:rFonts w:ascii="Times New Roman" w:hAnsi="Times New Roman" w:cs="Times New Roman"/>
                <w:color w:val="auto"/>
                <w:sz w:val="18"/>
                <w:szCs w:val="18"/>
                <w:vertAlign w:val="subscript"/>
              </w:rPr>
              <w:t>5</w:t>
            </w:r>
            <w:r>
              <w:rPr>
                <w:rFonts w:ascii="Times New Roman" w:hAnsi="Times New Roman" w:cs="Times New Roman"/>
                <w:color w:val="auto"/>
                <w:sz w:val="18"/>
                <w:szCs w:val="18"/>
              </w:rPr>
              <w:t>、SS、氨氮、动植物油</w:t>
            </w:r>
          </w:p>
        </w:tc>
        <w:tc>
          <w:tcPr>
            <w:tcW w:w="1418" w:type="dxa"/>
            <w:vAlign w:val="center"/>
          </w:tcPr>
          <w:p>
            <w:pPr>
              <w:pStyle w:val="861"/>
              <w:rPr>
                <w:szCs w:val="18"/>
              </w:rPr>
            </w:pPr>
            <w:r>
              <w:rPr>
                <w:kern w:val="2"/>
                <w:szCs w:val="18"/>
              </w:rPr>
              <w:t>化粪池处理后通过园区配套的生活污水管网进入合肥循环经济园污水处理厂处理</w:t>
            </w:r>
          </w:p>
        </w:tc>
        <w:tc>
          <w:tcPr>
            <w:tcW w:w="1134"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间断排放，排放期间流量稳定</w:t>
            </w:r>
          </w:p>
        </w:tc>
        <w:tc>
          <w:tcPr>
            <w:tcW w:w="850"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559"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隔油池+化粪池</w:t>
            </w:r>
          </w:p>
        </w:tc>
        <w:tc>
          <w:tcPr>
            <w:tcW w:w="1418"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隔油+</w:t>
            </w:r>
            <w:r>
              <w:rPr>
                <w:rFonts w:ascii="Times New Roman" w:hAnsi="Times New Roman" w:cs="Times New Roman"/>
                <w:color w:val="auto"/>
                <w:sz w:val="18"/>
                <w:szCs w:val="18"/>
              </w:rPr>
              <w:t>化粪池</w:t>
            </w:r>
          </w:p>
        </w:tc>
        <w:tc>
          <w:tcPr>
            <w:tcW w:w="850"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94"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sym w:font="Wingdings 2" w:char="0052"/>
            </w:r>
            <w:r>
              <w:rPr>
                <w:rFonts w:ascii="Times New Roman" w:hAnsi="Times New Roman" w:cs="Times New Roman"/>
                <w:color w:val="auto"/>
                <w:sz w:val="18"/>
                <w:szCs w:val="18"/>
              </w:rPr>
              <w:t>是</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□否</w:t>
            </w:r>
          </w:p>
        </w:tc>
        <w:tc>
          <w:tcPr>
            <w:tcW w:w="2254"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sym w:font="Wingdings 2" w:char="0052"/>
            </w:r>
            <w:r>
              <w:rPr>
                <w:rFonts w:ascii="Times New Roman" w:hAnsi="Times New Roman" w:cs="Times New Roman"/>
                <w:color w:val="auto"/>
                <w:sz w:val="18"/>
                <w:szCs w:val="18"/>
              </w:rPr>
              <w:t>企业总排</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□雨水排放</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□清净下水排放</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□温排水排放</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□车间或车间处理设施排放</w:t>
            </w:r>
          </w:p>
        </w:tc>
      </w:tr>
    </w:tbl>
    <w:p>
      <w:pPr>
        <w:pStyle w:val="1062"/>
        <w:widowControl w:val="0"/>
        <w:spacing w:before="168" w:beforeLines="50"/>
        <w:ind w:left="0"/>
        <w:rPr>
          <w:rFonts w:ascii="Times New Roman" w:hAnsi="Times New Roman" w:eastAsia="宋体" w:cs="Times New Roman"/>
          <w:bCs/>
          <w:color w:val="auto"/>
          <w:sz w:val="21"/>
          <w:szCs w:val="21"/>
          <w:lang w:val="zh-CN"/>
        </w:rPr>
      </w:pPr>
      <w:r>
        <w:rPr>
          <w:rFonts w:ascii="Times New Roman" w:hAnsi="Times New Roman" w:eastAsia="宋体" w:cs="Times New Roman"/>
          <w:bCs/>
          <w:color w:val="auto"/>
          <w:sz w:val="21"/>
          <w:szCs w:val="21"/>
          <w:lang w:val="zh-CN"/>
        </w:rPr>
        <w:t>表5.</w:t>
      </w:r>
      <w:r>
        <w:rPr>
          <w:rFonts w:ascii="Times New Roman" w:hAnsi="Times New Roman" w:eastAsia="宋体" w:cs="Times New Roman"/>
          <w:bCs/>
          <w:color w:val="auto"/>
          <w:sz w:val="21"/>
          <w:szCs w:val="21"/>
        </w:rPr>
        <w:t>3</w:t>
      </w:r>
      <w:r>
        <w:rPr>
          <w:rFonts w:ascii="Times New Roman" w:hAnsi="Times New Roman" w:eastAsia="宋体" w:cs="Times New Roman"/>
          <w:bCs/>
          <w:color w:val="auto"/>
          <w:sz w:val="21"/>
          <w:szCs w:val="21"/>
          <w:lang w:val="zh-CN"/>
        </w:rPr>
        <w:t>-2  废水污染物排放清单</w:t>
      </w:r>
    </w:p>
    <w:tbl>
      <w:tblPr>
        <w:tblStyle w:val="62"/>
        <w:tblW w:w="1316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623"/>
        <w:gridCol w:w="1624"/>
        <w:gridCol w:w="2282"/>
        <w:gridCol w:w="2869"/>
        <w:gridCol w:w="2385"/>
        <w:gridCol w:w="238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99" w:hRule="atLeast"/>
          <w:jc w:val="center"/>
        </w:trPr>
        <w:tc>
          <w:tcPr>
            <w:tcW w:w="1623" w:type="dxa"/>
            <w:vAlign w:val="center"/>
          </w:tcPr>
          <w:p>
            <w:pPr>
              <w:pStyle w:val="861"/>
              <w:rPr>
                <w:kern w:val="2"/>
                <w:szCs w:val="18"/>
              </w:rPr>
            </w:pPr>
            <w:r>
              <w:rPr>
                <w:kern w:val="2"/>
                <w:szCs w:val="18"/>
              </w:rPr>
              <w:t>序号</w:t>
            </w:r>
          </w:p>
        </w:tc>
        <w:tc>
          <w:tcPr>
            <w:tcW w:w="1624" w:type="dxa"/>
            <w:vAlign w:val="center"/>
          </w:tcPr>
          <w:p>
            <w:pPr>
              <w:pStyle w:val="861"/>
              <w:rPr>
                <w:kern w:val="2"/>
                <w:szCs w:val="18"/>
              </w:rPr>
            </w:pPr>
            <w:r>
              <w:rPr>
                <w:kern w:val="2"/>
                <w:szCs w:val="18"/>
              </w:rPr>
              <w:t>污染物</w:t>
            </w:r>
          </w:p>
        </w:tc>
        <w:tc>
          <w:tcPr>
            <w:tcW w:w="2282" w:type="dxa"/>
            <w:vAlign w:val="center"/>
          </w:tcPr>
          <w:p>
            <w:pPr>
              <w:pStyle w:val="861"/>
              <w:rPr>
                <w:kern w:val="2"/>
                <w:szCs w:val="18"/>
              </w:rPr>
            </w:pPr>
            <w:r>
              <w:rPr>
                <w:kern w:val="2"/>
                <w:szCs w:val="18"/>
              </w:rPr>
              <w:t>污水厂接管标准（mg/L）</w:t>
            </w:r>
          </w:p>
        </w:tc>
        <w:tc>
          <w:tcPr>
            <w:tcW w:w="2869" w:type="dxa"/>
            <w:vAlign w:val="center"/>
          </w:tcPr>
          <w:p>
            <w:pPr>
              <w:pStyle w:val="861"/>
              <w:rPr>
                <w:kern w:val="2"/>
                <w:szCs w:val="18"/>
              </w:rPr>
            </w:pPr>
            <w:r>
              <w:rPr>
                <w:rFonts w:hint="eastAsia"/>
                <w:kern w:val="2"/>
                <w:szCs w:val="18"/>
              </w:rPr>
              <w:t>污水处理出水</w:t>
            </w:r>
            <w:r>
              <w:rPr>
                <w:kern w:val="2"/>
                <w:szCs w:val="18"/>
              </w:rPr>
              <w:t>排放浓度（mg/L）</w:t>
            </w:r>
          </w:p>
        </w:tc>
        <w:tc>
          <w:tcPr>
            <w:tcW w:w="2385" w:type="dxa"/>
            <w:vAlign w:val="center"/>
          </w:tcPr>
          <w:p>
            <w:pPr>
              <w:pStyle w:val="861"/>
              <w:rPr>
                <w:kern w:val="2"/>
                <w:szCs w:val="18"/>
              </w:rPr>
            </w:pPr>
            <w:r>
              <w:rPr>
                <w:rFonts w:hint="eastAsia"/>
                <w:kern w:val="2"/>
                <w:szCs w:val="18"/>
              </w:rPr>
              <w:t>接管</w:t>
            </w:r>
            <w:r>
              <w:rPr>
                <w:kern w:val="2"/>
                <w:szCs w:val="18"/>
              </w:rPr>
              <w:t>排放量（t/a）</w:t>
            </w:r>
          </w:p>
        </w:tc>
        <w:tc>
          <w:tcPr>
            <w:tcW w:w="2385" w:type="dxa"/>
          </w:tcPr>
          <w:p>
            <w:pPr>
              <w:pStyle w:val="861"/>
              <w:rPr>
                <w:kern w:val="2"/>
                <w:szCs w:val="18"/>
              </w:rPr>
            </w:pPr>
            <w:r>
              <w:rPr>
                <w:rFonts w:hint="eastAsia"/>
                <w:kern w:val="2"/>
                <w:szCs w:val="18"/>
              </w:rPr>
              <w:t>环境排放量</w:t>
            </w:r>
            <w:r>
              <w:rPr>
                <w:kern w:val="2"/>
                <w:szCs w:val="18"/>
              </w:rPr>
              <w:t>（t/a）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81" w:hRule="atLeast"/>
          <w:jc w:val="center"/>
        </w:trPr>
        <w:tc>
          <w:tcPr>
            <w:tcW w:w="1623" w:type="dxa"/>
            <w:vAlign w:val="center"/>
          </w:tcPr>
          <w:p>
            <w:pPr>
              <w:pStyle w:val="861"/>
              <w:rPr>
                <w:kern w:val="2"/>
                <w:szCs w:val="18"/>
              </w:rPr>
            </w:pPr>
            <w:r>
              <w:rPr>
                <w:kern w:val="2"/>
                <w:szCs w:val="18"/>
              </w:rPr>
              <w:t>1</w:t>
            </w:r>
          </w:p>
        </w:tc>
        <w:tc>
          <w:tcPr>
            <w:tcW w:w="1624" w:type="dxa"/>
            <w:vAlign w:val="center"/>
          </w:tcPr>
          <w:p>
            <w:pPr>
              <w:pStyle w:val="861"/>
              <w:rPr>
                <w:kern w:val="2"/>
                <w:szCs w:val="18"/>
              </w:rPr>
            </w:pPr>
            <w:r>
              <w:rPr>
                <w:kern w:val="2"/>
                <w:szCs w:val="18"/>
              </w:rPr>
              <w:t>pH</w:t>
            </w:r>
          </w:p>
        </w:tc>
        <w:tc>
          <w:tcPr>
            <w:tcW w:w="2282" w:type="dxa"/>
            <w:vAlign w:val="center"/>
          </w:tcPr>
          <w:p>
            <w:pPr>
              <w:pStyle w:val="861"/>
              <w:rPr>
                <w:kern w:val="2"/>
                <w:szCs w:val="18"/>
              </w:rPr>
            </w:pPr>
            <w:r>
              <w:rPr>
                <w:kern w:val="2"/>
                <w:szCs w:val="18"/>
              </w:rPr>
              <w:t>6~9</w:t>
            </w:r>
          </w:p>
        </w:tc>
        <w:tc>
          <w:tcPr>
            <w:tcW w:w="2869" w:type="dxa"/>
            <w:vAlign w:val="center"/>
          </w:tcPr>
          <w:p>
            <w:pPr>
              <w:pStyle w:val="861"/>
              <w:rPr>
                <w:kern w:val="2"/>
                <w:szCs w:val="18"/>
              </w:rPr>
            </w:pPr>
            <w:r>
              <w:rPr>
                <w:kern w:val="2"/>
                <w:szCs w:val="18"/>
              </w:rPr>
              <w:t>6~9</w:t>
            </w:r>
          </w:p>
        </w:tc>
        <w:tc>
          <w:tcPr>
            <w:tcW w:w="2385" w:type="dxa"/>
            <w:vAlign w:val="center"/>
          </w:tcPr>
          <w:p>
            <w:pPr>
              <w:pStyle w:val="861"/>
              <w:rPr>
                <w:kern w:val="2"/>
                <w:szCs w:val="18"/>
              </w:rPr>
            </w:pPr>
            <w:r>
              <w:rPr>
                <w:kern w:val="2"/>
                <w:szCs w:val="18"/>
              </w:rPr>
              <w:t>/</w:t>
            </w:r>
          </w:p>
        </w:tc>
        <w:tc>
          <w:tcPr>
            <w:tcW w:w="2385" w:type="dxa"/>
          </w:tcPr>
          <w:p>
            <w:pPr>
              <w:pStyle w:val="861"/>
              <w:rPr>
                <w:kern w:val="2"/>
                <w:szCs w:val="18"/>
              </w:rPr>
            </w:pPr>
            <w:r>
              <w:rPr>
                <w:kern w:val="2"/>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5" w:hRule="atLeast"/>
          <w:jc w:val="center"/>
        </w:trPr>
        <w:tc>
          <w:tcPr>
            <w:tcW w:w="1623" w:type="dxa"/>
            <w:vAlign w:val="center"/>
          </w:tcPr>
          <w:p>
            <w:pPr>
              <w:pStyle w:val="861"/>
              <w:rPr>
                <w:kern w:val="2"/>
                <w:szCs w:val="18"/>
              </w:rPr>
            </w:pPr>
            <w:r>
              <w:rPr>
                <w:kern w:val="2"/>
                <w:szCs w:val="18"/>
              </w:rPr>
              <w:t>2</w:t>
            </w:r>
          </w:p>
        </w:tc>
        <w:tc>
          <w:tcPr>
            <w:tcW w:w="1624" w:type="dxa"/>
            <w:vAlign w:val="center"/>
          </w:tcPr>
          <w:p>
            <w:pPr>
              <w:pStyle w:val="861"/>
              <w:rPr>
                <w:kern w:val="2"/>
                <w:szCs w:val="18"/>
              </w:rPr>
            </w:pPr>
            <w:r>
              <w:rPr>
                <w:kern w:val="2"/>
                <w:szCs w:val="18"/>
              </w:rPr>
              <w:t>COD</w:t>
            </w:r>
          </w:p>
        </w:tc>
        <w:tc>
          <w:tcPr>
            <w:tcW w:w="2282" w:type="dxa"/>
            <w:vAlign w:val="center"/>
          </w:tcPr>
          <w:p>
            <w:pPr>
              <w:pStyle w:val="861"/>
              <w:rPr>
                <w:kern w:val="2"/>
                <w:szCs w:val="18"/>
              </w:rPr>
            </w:pPr>
            <w:r>
              <w:rPr>
                <w:kern w:val="2"/>
                <w:szCs w:val="18"/>
              </w:rPr>
              <w:t>500</w:t>
            </w:r>
          </w:p>
        </w:tc>
        <w:tc>
          <w:tcPr>
            <w:tcW w:w="2869" w:type="dxa"/>
            <w:vAlign w:val="center"/>
          </w:tcPr>
          <w:p>
            <w:pPr>
              <w:pStyle w:val="861"/>
              <w:rPr>
                <w:kern w:val="2"/>
                <w:szCs w:val="18"/>
              </w:rPr>
            </w:pPr>
            <w:r>
              <w:rPr>
                <w:kern w:val="2"/>
                <w:szCs w:val="18"/>
              </w:rPr>
              <w:t>50</w:t>
            </w:r>
          </w:p>
        </w:tc>
        <w:tc>
          <w:tcPr>
            <w:tcW w:w="2385" w:type="dxa"/>
            <w:vAlign w:val="center"/>
          </w:tcPr>
          <w:p>
            <w:pPr>
              <w:pStyle w:val="861"/>
              <w:rPr>
                <w:kern w:val="2"/>
                <w:szCs w:val="18"/>
              </w:rPr>
            </w:pPr>
            <w:r>
              <w:rPr>
                <w:kern w:val="2"/>
                <w:szCs w:val="18"/>
              </w:rPr>
              <w:t>5.03</w:t>
            </w:r>
          </w:p>
        </w:tc>
        <w:tc>
          <w:tcPr>
            <w:tcW w:w="2385" w:type="dxa"/>
          </w:tcPr>
          <w:p>
            <w:pPr>
              <w:pStyle w:val="861"/>
              <w:rPr>
                <w:kern w:val="2"/>
                <w:szCs w:val="18"/>
              </w:rPr>
            </w:pPr>
            <w:r>
              <w:rPr>
                <w:rFonts w:hint="eastAsia"/>
                <w:kern w:val="2"/>
                <w:szCs w:val="18"/>
              </w:rPr>
              <w:t>2</w:t>
            </w:r>
            <w:r>
              <w:rPr>
                <w:kern w:val="2"/>
                <w:szCs w:val="18"/>
              </w:rPr>
              <w:t>.51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45" w:hRule="atLeast"/>
          <w:jc w:val="center"/>
        </w:trPr>
        <w:tc>
          <w:tcPr>
            <w:tcW w:w="1623" w:type="dxa"/>
            <w:vAlign w:val="center"/>
          </w:tcPr>
          <w:p>
            <w:pPr>
              <w:pStyle w:val="861"/>
              <w:rPr>
                <w:kern w:val="2"/>
                <w:szCs w:val="18"/>
              </w:rPr>
            </w:pPr>
            <w:r>
              <w:rPr>
                <w:kern w:val="2"/>
                <w:szCs w:val="18"/>
              </w:rPr>
              <w:t>3</w:t>
            </w:r>
          </w:p>
        </w:tc>
        <w:tc>
          <w:tcPr>
            <w:tcW w:w="1624" w:type="dxa"/>
            <w:vAlign w:val="center"/>
          </w:tcPr>
          <w:p>
            <w:pPr>
              <w:pStyle w:val="861"/>
              <w:rPr>
                <w:kern w:val="2"/>
                <w:szCs w:val="18"/>
              </w:rPr>
            </w:pPr>
            <w:r>
              <w:rPr>
                <w:kern w:val="2"/>
                <w:szCs w:val="18"/>
              </w:rPr>
              <w:t>NH</w:t>
            </w:r>
            <w:r>
              <w:rPr>
                <w:kern w:val="2"/>
                <w:szCs w:val="18"/>
                <w:vertAlign w:val="subscript"/>
              </w:rPr>
              <w:t>3</w:t>
            </w:r>
            <w:r>
              <w:rPr>
                <w:kern w:val="2"/>
                <w:szCs w:val="18"/>
              </w:rPr>
              <w:t>-N</w:t>
            </w:r>
          </w:p>
        </w:tc>
        <w:tc>
          <w:tcPr>
            <w:tcW w:w="2282" w:type="dxa"/>
            <w:vAlign w:val="center"/>
          </w:tcPr>
          <w:p>
            <w:pPr>
              <w:pStyle w:val="861"/>
              <w:rPr>
                <w:kern w:val="2"/>
                <w:szCs w:val="18"/>
              </w:rPr>
            </w:pPr>
            <w:r>
              <w:rPr>
                <w:kern w:val="2"/>
                <w:szCs w:val="18"/>
              </w:rPr>
              <w:t>30</w:t>
            </w:r>
          </w:p>
        </w:tc>
        <w:tc>
          <w:tcPr>
            <w:tcW w:w="2869" w:type="dxa"/>
            <w:vAlign w:val="center"/>
          </w:tcPr>
          <w:p>
            <w:pPr>
              <w:pStyle w:val="861"/>
              <w:rPr>
                <w:kern w:val="2"/>
                <w:szCs w:val="18"/>
              </w:rPr>
            </w:pPr>
            <w:r>
              <w:rPr>
                <w:kern w:val="2"/>
                <w:szCs w:val="18"/>
              </w:rPr>
              <w:t>5</w:t>
            </w:r>
          </w:p>
        </w:tc>
        <w:tc>
          <w:tcPr>
            <w:tcW w:w="2385" w:type="dxa"/>
            <w:vAlign w:val="center"/>
          </w:tcPr>
          <w:p>
            <w:pPr>
              <w:pStyle w:val="861"/>
              <w:rPr>
                <w:kern w:val="2"/>
                <w:szCs w:val="18"/>
              </w:rPr>
            </w:pPr>
            <w:r>
              <w:rPr>
                <w:kern w:val="2"/>
                <w:szCs w:val="18"/>
              </w:rPr>
              <w:t>1.26</w:t>
            </w:r>
          </w:p>
        </w:tc>
        <w:tc>
          <w:tcPr>
            <w:tcW w:w="2385" w:type="dxa"/>
          </w:tcPr>
          <w:p>
            <w:pPr>
              <w:pStyle w:val="861"/>
              <w:rPr>
                <w:kern w:val="2"/>
                <w:szCs w:val="18"/>
              </w:rPr>
            </w:pPr>
            <w:r>
              <w:rPr>
                <w:rFonts w:hint="eastAsia"/>
                <w:kern w:val="2"/>
                <w:szCs w:val="18"/>
              </w:rPr>
              <w:t>0</w:t>
            </w:r>
            <w:r>
              <w:rPr>
                <w:kern w:val="2"/>
                <w:szCs w:val="18"/>
              </w:rPr>
              <w:t>.251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114" w:hRule="atLeast"/>
          <w:jc w:val="center"/>
        </w:trPr>
        <w:tc>
          <w:tcPr>
            <w:tcW w:w="1623" w:type="dxa"/>
            <w:vAlign w:val="center"/>
          </w:tcPr>
          <w:p>
            <w:pPr>
              <w:pStyle w:val="861"/>
              <w:rPr>
                <w:kern w:val="2"/>
                <w:szCs w:val="18"/>
              </w:rPr>
            </w:pPr>
            <w:r>
              <w:rPr>
                <w:kern w:val="2"/>
                <w:szCs w:val="18"/>
              </w:rPr>
              <w:t>4</w:t>
            </w:r>
          </w:p>
        </w:tc>
        <w:tc>
          <w:tcPr>
            <w:tcW w:w="1624" w:type="dxa"/>
            <w:vAlign w:val="center"/>
          </w:tcPr>
          <w:p>
            <w:pPr>
              <w:pStyle w:val="861"/>
              <w:rPr>
                <w:kern w:val="2"/>
                <w:szCs w:val="18"/>
              </w:rPr>
            </w:pPr>
            <w:r>
              <w:rPr>
                <w:kern w:val="2"/>
                <w:szCs w:val="18"/>
              </w:rPr>
              <w:t>石油类</w:t>
            </w:r>
          </w:p>
        </w:tc>
        <w:tc>
          <w:tcPr>
            <w:tcW w:w="2282" w:type="dxa"/>
            <w:vAlign w:val="center"/>
          </w:tcPr>
          <w:p>
            <w:pPr>
              <w:pStyle w:val="861"/>
              <w:rPr>
                <w:kern w:val="2"/>
                <w:szCs w:val="18"/>
              </w:rPr>
            </w:pPr>
            <w:r>
              <w:rPr>
                <w:kern w:val="2"/>
                <w:szCs w:val="18"/>
              </w:rPr>
              <w:t>20</w:t>
            </w:r>
          </w:p>
        </w:tc>
        <w:tc>
          <w:tcPr>
            <w:tcW w:w="2869" w:type="dxa"/>
            <w:vAlign w:val="center"/>
          </w:tcPr>
          <w:p>
            <w:pPr>
              <w:pStyle w:val="861"/>
              <w:rPr>
                <w:kern w:val="2"/>
                <w:szCs w:val="18"/>
              </w:rPr>
            </w:pPr>
            <w:r>
              <w:rPr>
                <w:kern w:val="2"/>
                <w:szCs w:val="18"/>
              </w:rPr>
              <w:t>1.0</w:t>
            </w:r>
          </w:p>
        </w:tc>
        <w:tc>
          <w:tcPr>
            <w:tcW w:w="2385" w:type="dxa"/>
            <w:vAlign w:val="center"/>
          </w:tcPr>
          <w:p>
            <w:pPr>
              <w:pStyle w:val="861"/>
              <w:rPr>
                <w:kern w:val="2"/>
                <w:szCs w:val="18"/>
              </w:rPr>
            </w:pPr>
            <w:r>
              <w:rPr>
                <w:kern w:val="2"/>
                <w:szCs w:val="18"/>
              </w:rPr>
              <w:t>0.5</w:t>
            </w:r>
          </w:p>
        </w:tc>
        <w:tc>
          <w:tcPr>
            <w:tcW w:w="2385" w:type="dxa"/>
          </w:tcPr>
          <w:p>
            <w:pPr>
              <w:pStyle w:val="861"/>
              <w:rPr>
                <w:kern w:val="2"/>
                <w:szCs w:val="18"/>
              </w:rPr>
            </w:pPr>
            <w:r>
              <w:rPr>
                <w:rFonts w:hint="eastAsia"/>
                <w:kern w:val="2"/>
                <w:szCs w:val="18"/>
              </w:rPr>
              <w:t>0</w:t>
            </w:r>
            <w:r>
              <w:rPr>
                <w:kern w:val="2"/>
                <w:szCs w:val="18"/>
              </w:rPr>
              <w:t>.05</w:t>
            </w:r>
          </w:p>
        </w:tc>
      </w:tr>
    </w:tbl>
    <w:p>
      <w:pPr>
        <w:ind w:firstLine="480"/>
        <w:rPr>
          <w:rFonts w:ascii="Times New Roman" w:hAnsi="Times New Roman" w:cs="Times New Roman"/>
          <w:color w:val="auto"/>
        </w:rPr>
        <w:sectPr>
          <w:pgSz w:w="16838" w:h="11906" w:orient="landscape"/>
          <w:pgMar w:top="1417" w:right="1417" w:bottom="1417" w:left="1417" w:header="850" w:footer="992" w:gutter="0"/>
          <w:cols w:space="720" w:num="1"/>
          <w:docGrid w:type="lines" w:linePitch="336" w:charSpace="0"/>
        </w:sectPr>
      </w:pPr>
    </w:p>
    <w:p>
      <w:pPr>
        <w:pStyle w:val="4"/>
        <w:rPr>
          <w:rFonts w:ascii="Times New Roman" w:hAnsi="Times New Roman" w:cs="Times New Roman"/>
          <w:color w:val="auto"/>
          <w:szCs w:val="24"/>
        </w:rPr>
      </w:pPr>
      <w:bookmarkStart w:id="430" w:name="_Toc104733409"/>
      <w:bookmarkStart w:id="431" w:name="_Toc102984378"/>
      <w:r>
        <w:rPr>
          <w:rFonts w:ascii="Times New Roman" w:hAnsi="Times New Roman" w:cs="Times New Roman"/>
          <w:color w:val="auto"/>
          <w:szCs w:val="24"/>
        </w:rPr>
        <w:t>5.3.2地表水环境影响评价自查表</w:t>
      </w:r>
      <w:bookmarkEnd w:id="430"/>
      <w:bookmarkEnd w:id="431"/>
    </w:p>
    <w:p>
      <w:pPr>
        <w:pStyle w:val="1062"/>
        <w:widowControl w:val="0"/>
        <w:spacing w:line="240" w:lineRule="auto"/>
        <w:ind w:left="0"/>
        <w:rPr>
          <w:rFonts w:ascii="Times New Roman" w:hAnsi="Times New Roman" w:eastAsia="宋体" w:cs="Times New Roman"/>
          <w:bCs/>
          <w:color w:val="auto"/>
          <w:sz w:val="21"/>
          <w:szCs w:val="21"/>
          <w:lang w:val="zh-CN"/>
        </w:rPr>
      </w:pPr>
      <w:r>
        <w:rPr>
          <w:rFonts w:ascii="Times New Roman" w:hAnsi="Times New Roman" w:eastAsia="宋体" w:cs="Times New Roman"/>
          <w:bCs/>
          <w:color w:val="auto"/>
          <w:sz w:val="21"/>
          <w:szCs w:val="21"/>
          <w:lang w:val="zh-CN"/>
        </w:rPr>
        <w:t>表5.</w:t>
      </w:r>
      <w:r>
        <w:rPr>
          <w:rFonts w:ascii="Times New Roman" w:hAnsi="Times New Roman" w:eastAsia="宋体" w:cs="Times New Roman"/>
          <w:bCs/>
          <w:color w:val="auto"/>
          <w:sz w:val="21"/>
          <w:szCs w:val="21"/>
        </w:rPr>
        <w:t>3</w:t>
      </w:r>
      <w:r>
        <w:rPr>
          <w:rFonts w:ascii="Times New Roman" w:hAnsi="Times New Roman" w:eastAsia="宋体" w:cs="Times New Roman"/>
          <w:bCs/>
          <w:color w:val="auto"/>
          <w:sz w:val="21"/>
          <w:szCs w:val="21"/>
          <w:lang w:val="zh-CN"/>
        </w:rPr>
        <w:t>-</w:t>
      </w:r>
      <w:r>
        <w:rPr>
          <w:rFonts w:ascii="Times New Roman" w:hAnsi="Times New Roman" w:eastAsia="宋体" w:cs="Times New Roman"/>
          <w:bCs/>
          <w:color w:val="auto"/>
          <w:sz w:val="21"/>
          <w:szCs w:val="21"/>
        </w:rPr>
        <w:t>3</w:t>
      </w:r>
      <w:r>
        <w:rPr>
          <w:rFonts w:ascii="Times New Roman" w:hAnsi="Times New Roman" w:eastAsia="宋体" w:cs="Times New Roman"/>
          <w:bCs/>
          <w:color w:val="auto"/>
          <w:sz w:val="21"/>
          <w:szCs w:val="21"/>
          <w:lang w:val="zh-CN"/>
        </w:rPr>
        <w:t xml:space="preserve">   地表水环境影响评价自查表</w:t>
      </w:r>
    </w:p>
    <w:tbl>
      <w:tblPr>
        <w:tblStyle w:val="62"/>
        <w:tblW w:w="1417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6"/>
        <w:gridCol w:w="2533"/>
        <w:gridCol w:w="2488"/>
        <w:gridCol w:w="867"/>
        <w:gridCol w:w="166"/>
        <w:gridCol w:w="1108"/>
        <w:gridCol w:w="1343"/>
        <w:gridCol w:w="59"/>
        <w:gridCol w:w="739"/>
        <w:gridCol w:w="1962"/>
        <w:gridCol w:w="690"/>
        <w:gridCol w:w="16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3119" w:type="dxa"/>
            <w:gridSpan w:val="2"/>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工作内容</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影响识别</w:t>
            </w: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影响类型</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水污染影响型</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；水文要素影响型</w:t>
            </w:r>
            <w:r>
              <w:rPr>
                <w:rFonts w:ascii="Times New Roman" w:hAnsi="Times New Roman" w:cs="Times New Roman"/>
                <w:color w:val="auto"/>
                <w:sz w:val="18"/>
                <w:szCs w:val="18"/>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水环境保护目标</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饮用水水源保护区</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；应用水取水口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；涉水的自然保护区</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；重要湿地</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重点保护与珍惜水生生物的栖息地</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；重要水生生物的自然产卵场及索饵场、越冬场和洄游通道、天然渔场等渔业水体</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；涉水的风景名胜区</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；其他</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影响途径</w:t>
            </w:r>
          </w:p>
        </w:tc>
        <w:tc>
          <w:tcPr>
            <w:tcW w:w="5972"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水污染影响型</w:t>
            </w:r>
          </w:p>
        </w:tc>
        <w:tc>
          <w:tcPr>
            <w:tcW w:w="5083"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5972"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直接排放</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；间接排放</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；其他</w:t>
            </w:r>
            <w:r>
              <w:rPr>
                <w:rFonts w:ascii="Times New Roman" w:hAnsi="Times New Roman" w:cs="Times New Roman"/>
                <w:color w:val="auto"/>
                <w:sz w:val="18"/>
                <w:szCs w:val="18"/>
              </w:rPr>
              <w:sym w:font="Wingdings" w:char="00A8"/>
            </w:r>
          </w:p>
        </w:tc>
        <w:tc>
          <w:tcPr>
            <w:tcW w:w="5083"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水温</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；径流</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；水域面积</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影响因子</w:t>
            </w:r>
          </w:p>
        </w:tc>
        <w:tc>
          <w:tcPr>
            <w:tcW w:w="5972"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持久性污染物</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；有毒有害污染物</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；非持久性污染物</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pH值</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；热污染</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；富营养化</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；其他</w:t>
            </w:r>
            <w:r>
              <w:rPr>
                <w:rFonts w:ascii="Times New Roman" w:hAnsi="Times New Roman" w:cs="Times New Roman"/>
                <w:color w:val="auto"/>
                <w:sz w:val="18"/>
                <w:szCs w:val="18"/>
              </w:rPr>
              <w:sym w:font="Wingdings" w:char="00A8"/>
            </w:r>
          </w:p>
        </w:tc>
        <w:tc>
          <w:tcPr>
            <w:tcW w:w="5083"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水温</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；水位（水深）</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；流速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；流量</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；其他</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3119" w:type="dxa"/>
            <w:gridSpan w:val="2"/>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评价等级</w:t>
            </w:r>
          </w:p>
        </w:tc>
        <w:tc>
          <w:tcPr>
            <w:tcW w:w="5972"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水污染影响型</w:t>
            </w:r>
          </w:p>
        </w:tc>
        <w:tc>
          <w:tcPr>
            <w:tcW w:w="5083"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3119" w:type="dxa"/>
            <w:gridSpan w:val="2"/>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5972"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一级</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；二级</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；三级A</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；三级B</w:t>
            </w:r>
            <w:r>
              <w:rPr>
                <w:rFonts w:ascii="Times New Roman" w:hAnsi="Times New Roman" w:cs="Times New Roman"/>
                <w:color w:val="auto"/>
                <w:sz w:val="18"/>
                <w:szCs w:val="18"/>
              </w:rPr>
              <w:sym w:font="Wingdings" w:char="00FE"/>
            </w:r>
          </w:p>
        </w:tc>
        <w:tc>
          <w:tcPr>
            <w:tcW w:w="5083"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一级</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；二级</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；三级</w:t>
            </w:r>
            <w:r>
              <w:rPr>
                <w:rFonts w:ascii="Times New Roman" w:hAnsi="Times New Roman" w:cs="Times New Roman"/>
                <w:color w:val="auto"/>
                <w:sz w:val="18"/>
                <w:szCs w:val="18"/>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现状调查</w:t>
            </w:r>
          </w:p>
        </w:tc>
        <w:tc>
          <w:tcPr>
            <w:tcW w:w="2533"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区域污染源</w:t>
            </w:r>
          </w:p>
        </w:tc>
        <w:tc>
          <w:tcPr>
            <w:tcW w:w="5972"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调查项目</w:t>
            </w:r>
          </w:p>
        </w:tc>
        <w:tc>
          <w:tcPr>
            <w:tcW w:w="5083"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3355" w:type="dxa"/>
            <w:gridSpan w:val="2"/>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已建</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；在建</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；扩建</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；其他</w:t>
            </w:r>
            <w:r>
              <w:rPr>
                <w:rFonts w:ascii="Times New Roman" w:hAnsi="Times New Roman" w:cs="Times New Roman"/>
                <w:color w:val="auto"/>
                <w:sz w:val="18"/>
                <w:szCs w:val="18"/>
              </w:rPr>
              <w:sym w:font="Wingdings" w:char="00FE"/>
            </w:r>
          </w:p>
        </w:tc>
        <w:tc>
          <w:tcPr>
            <w:tcW w:w="2617"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拟替代的污染源</w:t>
            </w:r>
            <w:r>
              <w:rPr>
                <w:rFonts w:ascii="Times New Roman" w:hAnsi="Times New Roman" w:cs="Times New Roman"/>
                <w:color w:val="auto"/>
                <w:sz w:val="18"/>
                <w:szCs w:val="18"/>
              </w:rPr>
              <w:sym w:font="Wingdings" w:char="00A8"/>
            </w:r>
          </w:p>
        </w:tc>
        <w:tc>
          <w:tcPr>
            <w:tcW w:w="5083"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排污许可证</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；环评</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；环保验收</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；既有实测</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；现场监测</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；入河排放口数据</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；其他</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受影响水体环境质量</w:t>
            </w:r>
          </w:p>
        </w:tc>
        <w:tc>
          <w:tcPr>
            <w:tcW w:w="5972"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调查时期</w:t>
            </w:r>
          </w:p>
        </w:tc>
        <w:tc>
          <w:tcPr>
            <w:tcW w:w="5083"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5972"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丰水期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；平水期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；枯水期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；冰封期</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春季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；夏季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；秋季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；冬季</w:t>
            </w:r>
            <w:r>
              <w:rPr>
                <w:rFonts w:ascii="Times New Roman" w:hAnsi="Times New Roman" w:cs="Times New Roman"/>
                <w:color w:val="auto"/>
                <w:sz w:val="18"/>
                <w:szCs w:val="18"/>
              </w:rPr>
              <w:sym w:font="Wingdings" w:char="00A8"/>
            </w:r>
          </w:p>
        </w:tc>
        <w:tc>
          <w:tcPr>
            <w:tcW w:w="5083"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生态环境主管部门</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；补充监测</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；其他</w:t>
            </w:r>
            <w:r>
              <w:rPr>
                <w:rFonts w:ascii="Times New Roman" w:hAnsi="Times New Roman" w:cs="Times New Roman"/>
                <w:color w:val="auto"/>
                <w:sz w:val="18"/>
                <w:szCs w:val="18"/>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区域水资源开发利用状况</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未开发</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；开发量40%以下</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；开发量40%以上</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水文情势调查</w:t>
            </w:r>
          </w:p>
        </w:tc>
        <w:tc>
          <w:tcPr>
            <w:tcW w:w="5972"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调查时期</w:t>
            </w:r>
          </w:p>
        </w:tc>
        <w:tc>
          <w:tcPr>
            <w:tcW w:w="5083"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5972"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丰水期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；平水期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；枯水期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；冰封期</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春季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；夏季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；秋季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；冬季</w:t>
            </w:r>
            <w:r>
              <w:rPr>
                <w:rFonts w:ascii="Times New Roman" w:hAnsi="Times New Roman" w:cs="Times New Roman"/>
                <w:color w:val="auto"/>
                <w:sz w:val="18"/>
                <w:szCs w:val="18"/>
              </w:rPr>
              <w:sym w:font="Wingdings" w:char="00A8"/>
            </w:r>
          </w:p>
        </w:tc>
        <w:tc>
          <w:tcPr>
            <w:tcW w:w="5083"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生态环境主管部门</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；补充监测</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；其他</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补充监测</w:t>
            </w:r>
          </w:p>
        </w:tc>
        <w:tc>
          <w:tcPr>
            <w:tcW w:w="5972"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监测时期</w:t>
            </w:r>
          </w:p>
        </w:tc>
        <w:tc>
          <w:tcPr>
            <w:tcW w:w="2760"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监测因子</w:t>
            </w:r>
          </w:p>
        </w:tc>
        <w:tc>
          <w:tcPr>
            <w:tcW w:w="2323" w:type="dxa"/>
            <w:gridSpan w:val="2"/>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监测断面或点位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5972" w:type="dxa"/>
            <w:gridSpan w:val="5"/>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丰水期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；平水期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；枯水期</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；冰封期</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春季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；夏季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；秋季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；冬季</w:t>
            </w:r>
            <w:r>
              <w:rPr>
                <w:rFonts w:ascii="Times New Roman" w:hAnsi="Times New Roman" w:cs="Times New Roman"/>
                <w:color w:val="auto"/>
                <w:sz w:val="18"/>
                <w:szCs w:val="18"/>
              </w:rPr>
              <w:sym w:font="Wingdings" w:char="00FE"/>
            </w:r>
          </w:p>
        </w:tc>
        <w:tc>
          <w:tcPr>
            <w:tcW w:w="2760"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2323" w:type="dxa"/>
            <w:gridSpan w:val="2"/>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监测断面或点位个数（/）个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现状评价</w:t>
            </w: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评价范围</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河流：店埠河；长度（2.0）km；湖库、河口及近岸海域：面积（）km</w:t>
            </w:r>
            <w:r>
              <w:rPr>
                <w:rFonts w:ascii="Times New Roman" w:hAnsi="Times New Roman" w:cs="Times New Roman"/>
                <w:color w:val="auto"/>
                <w:sz w:val="18"/>
                <w:szCs w:val="18"/>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评价因子</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评价标准</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河流、湖库、河口：I类</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；II类</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；III类</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；IV类</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；V类</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近岸海域：第一类</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；第二类</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；第三类</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；第四类</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规划年评价标准（）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评价时期</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丰水期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；平水期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；枯水期</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；冰封期</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春季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；夏季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；秋季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；冬季</w:t>
            </w:r>
            <w:r>
              <w:rPr>
                <w:rFonts w:ascii="Times New Roman" w:hAnsi="Times New Roman" w:cs="Times New Roman"/>
                <w:color w:val="auto"/>
                <w:sz w:val="18"/>
                <w:szCs w:val="18"/>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评价结论</w:t>
            </w:r>
          </w:p>
        </w:tc>
        <w:tc>
          <w:tcPr>
            <w:tcW w:w="9422" w:type="dxa"/>
            <w:gridSpan w:val="9"/>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水环境功能区或水功能区、近岸海域环境功能区水质达标状况</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：达标</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；不达标</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水环境控制单元或断面水质达标状况</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：达标</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；不达标</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水环境保护目标质量状况</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：达标</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；不达标</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对照断面、控制断面等代表性断面的水质状况</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：达标</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；不达标</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底泥污染评价</w:t>
            </w:r>
            <w:r>
              <w:rPr>
                <w:rFonts w:ascii="Times New Roman" w:hAnsi="Times New Roman" w:cs="Times New Roman"/>
                <w:color w:val="auto"/>
                <w:sz w:val="18"/>
                <w:szCs w:val="18"/>
              </w:rPr>
              <w:sym w:font="Wingdings" w:char="00FE"/>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水资源与开发利用程度及其水文情势评价</w:t>
            </w:r>
            <w:r>
              <w:rPr>
                <w:rFonts w:ascii="Times New Roman" w:hAnsi="Times New Roman" w:cs="Times New Roman"/>
                <w:color w:val="auto"/>
                <w:sz w:val="18"/>
                <w:szCs w:val="18"/>
              </w:rPr>
              <w:sym w:font="Wingdings" w:char="00FE"/>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水环境质量回顾性评价</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流域（区域）水资源（包括水能资源）与开发利用总体状况、生态流量管理要求与现状满足程度、建设项目占用水域的水流状况与河湖演变状况</w:t>
            </w:r>
            <w:r>
              <w:rPr>
                <w:rFonts w:ascii="Times New Roman" w:hAnsi="Times New Roman" w:cs="Times New Roman"/>
                <w:color w:val="auto"/>
                <w:sz w:val="18"/>
                <w:szCs w:val="18"/>
              </w:rPr>
              <w:sym w:font="Wingdings" w:char="00A8"/>
            </w:r>
          </w:p>
        </w:tc>
        <w:tc>
          <w:tcPr>
            <w:tcW w:w="16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达标区</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不达标区</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影响预测</w:t>
            </w: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预测范围</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河流：长度（/）km；湖库、河口及近岸海域：面积（/）km</w:t>
            </w:r>
            <w:r>
              <w:rPr>
                <w:rFonts w:ascii="Times New Roman" w:hAnsi="Times New Roman" w:cs="Times New Roman"/>
                <w:color w:val="auto"/>
                <w:sz w:val="18"/>
                <w:szCs w:val="18"/>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预测因子</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预测时期</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丰水期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；平水期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；枯水期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；冰封期</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春季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；夏季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；秋季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；冬季</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设计水文条件</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预测情景</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建设期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；生产运行期</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；服务期满后</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正常工况</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；非正常工况</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污染控制和减缓措施方案</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区（流）域环境质量改善目标要求情景</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预测方法</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数值解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；解析解</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；其他</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导则推荐模式</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；其他</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影响评价</w:t>
            </w: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水污染控制和水环境影响减缓措施有效性评价</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区（流）域水环境质量改善目标</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；替代削减源</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水环境影响评价</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排放口混合区外满足水环境管理要求</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水环境功能区或水功能区、近岸海域环境功能区水质达标</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满足水环境保护目标水域水环境质量要求</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水环境控制单元或断面水质达标</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满足重点水污染物排放总量控制指标要求，重点行业建设项目， 主要污染物排放满足等量或减量替代要求</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满足区（流）域水环境质量改善目标要求</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水文要素影响型建设项目同时应包括水文情势变化评价、主要水文特征值影响评价、生态流量符合性评价</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对于新设或调整入河（湖库、近岸海域）排放口的建设项目，应包括排放口设置的环境合理性评价</w:t>
            </w:r>
            <w:r>
              <w:rPr>
                <w:rFonts w:ascii="Times New Roman" w:hAnsi="Times New Roman" w:cs="Times New Roman"/>
                <w:color w:val="auto"/>
                <w:sz w:val="18"/>
                <w:szCs w:val="18"/>
              </w:rPr>
              <w:sym w:font="Wingdings" w:char="00A8"/>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满足生态保护红线、水环境质量底线、资源利用上线和环境准入清单管理要求</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污染源排放量核算</w:t>
            </w:r>
          </w:p>
        </w:tc>
        <w:tc>
          <w:tcPr>
            <w:tcW w:w="3521"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污染物名称</w:t>
            </w:r>
          </w:p>
        </w:tc>
        <w:tc>
          <w:tcPr>
            <w:tcW w:w="2510"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排放量/（t/a）</w:t>
            </w:r>
          </w:p>
        </w:tc>
        <w:tc>
          <w:tcPr>
            <w:tcW w:w="5024" w:type="dxa"/>
            <w:gridSpan w:val="4"/>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排放浓度/（mg/L）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3521"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（COD）</w:t>
            </w:r>
          </w:p>
        </w:tc>
        <w:tc>
          <w:tcPr>
            <w:tcW w:w="2510"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r>
              <w:rPr>
                <w:rFonts w:ascii="Times New Roman" w:hAnsi="Times New Roman" w:cs="Times New Roman"/>
                <w:color w:val="auto"/>
                <w:kern w:val="0"/>
                <w:sz w:val="18"/>
                <w:szCs w:val="18"/>
                <w:lang w:bidi="ar"/>
              </w:rPr>
              <w:t>5.03</w:t>
            </w:r>
            <w:r>
              <w:rPr>
                <w:rFonts w:ascii="Times New Roman" w:hAnsi="Times New Roman" w:cs="Times New Roman"/>
                <w:color w:val="auto"/>
                <w:sz w:val="18"/>
                <w:szCs w:val="18"/>
              </w:rPr>
              <w:t>）</w:t>
            </w:r>
          </w:p>
        </w:tc>
        <w:tc>
          <w:tcPr>
            <w:tcW w:w="5024" w:type="dxa"/>
            <w:gridSpan w:val="4"/>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3521"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（氨氮）</w:t>
            </w:r>
          </w:p>
        </w:tc>
        <w:tc>
          <w:tcPr>
            <w:tcW w:w="2510"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r>
              <w:rPr>
                <w:rFonts w:ascii="Times New Roman" w:hAnsi="Times New Roman" w:cs="Times New Roman"/>
                <w:color w:val="auto"/>
                <w:kern w:val="0"/>
                <w:sz w:val="18"/>
                <w:szCs w:val="18"/>
                <w:lang w:bidi="ar"/>
              </w:rPr>
              <w:t>1.26</w:t>
            </w:r>
            <w:r>
              <w:rPr>
                <w:rFonts w:ascii="Times New Roman" w:hAnsi="Times New Roman" w:cs="Times New Roman"/>
                <w:color w:val="auto"/>
                <w:sz w:val="18"/>
                <w:szCs w:val="18"/>
              </w:rPr>
              <w:t>）</w:t>
            </w:r>
          </w:p>
        </w:tc>
        <w:tc>
          <w:tcPr>
            <w:tcW w:w="5024" w:type="dxa"/>
            <w:gridSpan w:val="4"/>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替代原排放情况</w:t>
            </w:r>
          </w:p>
        </w:tc>
        <w:tc>
          <w:tcPr>
            <w:tcW w:w="2488"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污染源名称</w:t>
            </w:r>
          </w:p>
        </w:tc>
        <w:tc>
          <w:tcPr>
            <w:tcW w:w="2141"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排污许可证编号</w:t>
            </w:r>
          </w:p>
        </w:tc>
        <w:tc>
          <w:tcPr>
            <w:tcW w:w="2141"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污染物名称</w:t>
            </w:r>
          </w:p>
        </w:tc>
        <w:tc>
          <w:tcPr>
            <w:tcW w:w="1962"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排放量/（t/a）</w:t>
            </w:r>
          </w:p>
        </w:tc>
        <w:tc>
          <w:tcPr>
            <w:tcW w:w="2323" w:type="dxa"/>
            <w:gridSpan w:val="2"/>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排放浓度/（mg/L）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488"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2141"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2141"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962"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2323" w:type="dxa"/>
            <w:gridSpan w:val="2"/>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生态流量确定</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生态流量：一般水期（ ）m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/s；鱼类繁殖期（ ）m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/s；其他（ ）m</w:t>
            </w:r>
            <w:r>
              <w:rPr>
                <w:rFonts w:ascii="Times New Roman" w:hAnsi="Times New Roman" w:cs="Times New Roman"/>
                <w:color w:val="auto"/>
                <w:sz w:val="18"/>
                <w:szCs w:val="18"/>
                <w:vertAlign w:val="superscript"/>
              </w:rPr>
              <w:t>3</w:t>
            </w:r>
            <w:r>
              <w:rPr>
                <w:rFonts w:ascii="Times New Roman" w:hAnsi="Times New Roman" w:cs="Times New Roman"/>
                <w:color w:val="auto"/>
                <w:sz w:val="18"/>
                <w:szCs w:val="18"/>
              </w:rPr>
              <w:t>/s</w:t>
            </w:r>
          </w:p>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生态水位：一般水期（ ）m；鱼类繁殖期（ ）m；其他（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防治措施</w:t>
            </w: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环保措施</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污水处理设施</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；水文减缓设施</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；生态流量保障设施</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；区域削减</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；依托其他工程措施</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；其他</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restart"/>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监测计划</w:t>
            </w:r>
          </w:p>
        </w:tc>
        <w:tc>
          <w:tcPr>
            <w:tcW w:w="3521"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10"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环境质量</w:t>
            </w:r>
          </w:p>
        </w:tc>
        <w:tc>
          <w:tcPr>
            <w:tcW w:w="5024" w:type="dxa"/>
            <w:gridSpan w:val="4"/>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3521"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监测方式</w:t>
            </w:r>
          </w:p>
        </w:tc>
        <w:tc>
          <w:tcPr>
            <w:tcW w:w="2510"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手动</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；自动</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；无监测</w:t>
            </w:r>
            <w:r>
              <w:rPr>
                <w:rFonts w:ascii="Times New Roman" w:hAnsi="Times New Roman" w:cs="Times New Roman"/>
                <w:color w:val="auto"/>
                <w:sz w:val="18"/>
                <w:szCs w:val="18"/>
              </w:rPr>
              <w:sym w:font="Wingdings" w:char="00A8"/>
            </w:r>
          </w:p>
        </w:tc>
        <w:tc>
          <w:tcPr>
            <w:tcW w:w="5024" w:type="dxa"/>
            <w:gridSpan w:val="4"/>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手动</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；自动</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无监测</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3521"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监测点位</w:t>
            </w:r>
          </w:p>
        </w:tc>
        <w:tc>
          <w:tcPr>
            <w:tcW w:w="2510"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5024" w:type="dxa"/>
            <w:gridSpan w:val="4"/>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（总排口）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3521"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监测因子</w:t>
            </w:r>
          </w:p>
        </w:tc>
        <w:tc>
          <w:tcPr>
            <w:tcW w:w="2510" w:type="dxa"/>
            <w:gridSpan w:val="3"/>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5024" w:type="dxa"/>
            <w:gridSpan w:val="4"/>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w:t>
            </w:r>
            <w:r>
              <w:rPr>
                <w:rFonts w:ascii="Times New Roman" w:hAnsi="Times New Roman" w:cs="Times New Roman"/>
                <w:color w:val="auto"/>
                <w:kern w:val="0"/>
                <w:sz w:val="18"/>
                <w:szCs w:val="18"/>
              </w:rPr>
              <w:t>废水量、</w:t>
            </w:r>
            <w:r>
              <w:rPr>
                <w:rFonts w:ascii="Times New Roman" w:hAnsi="Times New Roman" w:cs="Times New Roman"/>
                <w:color w:val="auto"/>
                <w:sz w:val="18"/>
                <w:szCs w:val="18"/>
              </w:rPr>
              <w:t>pH、COD、BOD</w:t>
            </w:r>
            <w:r>
              <w:rPr>
                <w:rFonts w:ascii="Times New Roman" w:hAnsi="Times New Roman" w:cs="Times New Roman"/>
                <w:color w:val="auto"/>
                <w:sz w:val="18"/>
                <w:szCs w:val="18"/>
                <w:vertAlign w:val="subscript"/>
              </w:rPr>
              <w:t>5</w:t>
            </w:r>
            <w:r>
              <w:rPr>
                <w:rFonts w:ascii="Times New Roman" w:hAnsi="Times New Roman" w:cs="Times New Roman"/>
                <w:color w:val="auto"/>
                <w:sz w:val="18"/>
                <w:szCs w:val="18"/>
              </w:rPr>
              <w:t>、氨氮、石油类）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86" w:type="dxa"/>
            <w:vMerge w:val="continue"/>
            <w:vAlign w:val="center"/>
          </w:tcPr>
          <w:p>
            <w:pPr>
              <w:widowControl/>
              <w:spacing w:line="240" w:lineRule="auto"/>
              <w:ind w:firstLine="0" w:firstLineChars="0"/>
              <w:jc w:val="center"/>
              <w:rPr>
                <w:rFonts w:ascii="Times New Roman" w:hAnsi="Times New Roman" w:cs="Times New Roman"/>
                <w:color w:val="auto"/>
                <w:sz w:val="18"/>
                <w:szCs w:val="18"/>
              </w:rPr>
            </w:pPr>
          </w:p>
        </w:tc>
        <w:tc>
          <w:tcPr>
            <w:tcW w:w="2533" w:type="dxa"/>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污染物排放清单</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sym w:font="Wingdings" w:char="00FE"/>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3119" w:type="dxa"/>
            <w:gridSpan w:val="2"/>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评价结论</w:t>
            </w:r>
          </w:p>
        </w:tc>
        <w:tc>
          <w:tcPr>
            <w:tcW w:w="11055" w:type="dxa"/>
            <w:gridSpan w:val="10"/>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可以接受</w:t>
            </w:r>
            <w:r>
              <w:rPr>
                <w:rFonts w:ascii="Times New Roman" w:hAnsi="Times New Roman" w:cs="Times New Roman"/>
                <w:color w:val="auto"/>
                <w:sz w:val="18"/>
                <w:szCs w:val="18"/>
              </w:rPr>
              <w:sym w:font="Wingdings" w:char="00FE"/>
            </w:r>
            <w:r>
              <w:rPr>
                <w:rFonts w:ascii="Times New Roman" w:hAnsi="Times New Roman" w:cs="Times New Roman"/>
                <w:color w:val="auto"/>
                <w:sz w:val="18"/>
                <w:szCs w:val="18"/>
              </w:rPr>
              <w:t>；不可以接受</w:t>
            </w:r>
            <w:r>
              <w:rPr>
                <w:rFonts w:ascii="Times New Roman" w:hAnsi="Times New Roman" w:cs="Times New Roman"/>
                <w:color w:val="auto"/>
                <w:sz w:val="18"/>
                <w:szCs w:val="18"/>
              </w:rPr>
              <w:sym w:font="Wingdings" w:char="00A8"/>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4174" w:type="dxa"/>
            <w:gridSpan w:val="12"/>
            <w:vAlign w:val="center"/>
          </w:tcPr>
          <w:p>
            <w:pPr>
              <w:widowControl/>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注：“</w:t>
            </w:r>
            <w:r>
              <w:rPr>
                <w:rFonts w:ascii="Times New Roman" w:hAnsi="Times New Roman" w:cs="Times New Roman"/>
                <w:color w:val="auto"/>
                <w:sz w:val="18"/>
                <w:szCs w:val="18"/>
              </w:rPr>
              <w:sym w:font="Wingdings" w:char="00A8"/>
            </w:r>
            <w:r>
              <w:rPr>
                <w:rFonts w:ascii="Times New Roman" w:hAnsi="Times New Roman" w:cs="Times New Roman"/>
                <w:color w:val="auto"/>
                <w:sz w:val="18"/>
                <w:szCs w:val="18"/>
              </w:rPr>
              <w:t>”为勾选项，可√；“（）”为内容填写项；“备注”为其他补充内容</w:t>
            </w:r>
          </w:p>
        </w:tc>
      </w:tr>
    </w:tbl>
    <w:p>
      <w:pPr>
        <w:ind w:firstLine="480"/>
        <w:rPr>
          <w:rFonts w:ascii="Times New Roman" w:hAnsi="Times New Roman" w:cs="Times New Roman"/>
          <w:color w:val="auto"/>
        </w:rPr>
        <w:sectPr>
          <w:pgSz w:w="16838" w:h="11906" w:orient="landscape"/>
          <w:pgMar w:top="1417" w:right="1417" w:bottom="1417" w:left="1417" w:header="850" w:footer="992" w:gutter="0"/>
          <w:cols w:space="720" w:num="1"/>
          <w:docGrid w:type="lines" w:linePitch="333" w:charSpace="0"/>
        </w:sectPr>
      </w:pPr>
    </w:p>
    <w:bookmarkEnd w:id="423"/>
    <w:p>
      <w:pPr>
        <w:pStyle w:val="3"/>
        <w:numPr>
          <w:ilvl w:val="0"/>
          <w:numId w:val="0"/>
        </w:numPr>
        <w:spacing w:before="0" w:after="0"/>
        <w:rPr>
          <w:rFonts w:ascii="Times New Roman" w:hAnsi="Times New Roman" w:cs="Times New Roman"/>
          <w:color w:val="auto"/>
          <w:sz w:val="28"/>
          <w:szCs w:val="28"/>
        </w:rPr>
      </w:pPr>
      <w:bookmarkStart w:id="432" w:name="_Toc104733410"/>
      <w:bookmarkStart w:id="433" w:name="_Toc27142"/>
      <w:bookmarkStart w:id="434" w:name="_Toc102979836"/>
      <w:bookmarkStart w:id="435" w:name="_Toc20575"/>
      <w:bookmarkStart w:id="436" w:name="_Toc29703"/>
      <w:r>
        <w:rPr>
          <w:rFonts w:ascii="Times New Roman" w:hAnsi="Times New Roman" w:cs="Times New Roman"/>
          <w:color w:val="auto"/>
          <w:sz w:val="28"/>
          <w:szCs w:val="28"/>
        </w:rPr>
        <w:t>5.4 营运期声环境影响预测与评价</w:t>
      </w:r>
      <w:bookmarkEnd w:id="432"/>
      <w:bookmarkEnd w:id="433"/>
      <w:bookmarkEnd w:id="434"/>
      <w:bookmarkEnd w:id="435"/>
      <w:bookmarkEnd w:id="436"/>
    </w:p>
    <w:p>
      <w:pPr>
        <w:pStyle w:val="4"/>
        <w:rPr>
          <w:rFonts w:ascii="Times New Roman" w:hAnsi="Times New Roman" w:cs="Times New Roman"/>
          <w:color w:val="auto"/>
        </w:rPr>
      </w:pPr>
      <w:bookmarkStart w:id="437" w:name="_Toc102984380"/>
      <w:bookmarkStart w:id="438" w:name="_Toc104733411"/>
      <w:r>
        <w:rPr>
          <w:rFonts w:ascii="Times New Roman" w:hAnsi="Times New Roman" w:cs="Times New Roman"/>
          <w:color w:val="auto"/>
        </w:rPr>
        <w:t>5.4.1 噪声预测</w:t>
      </w:r>
      <w:bookmarkEnd w:id="437"/>
      <w:bookmarkEnd w:id="438"/>
    </w:p>
    <w:p>
      <w:pPr>
        <w:pStyle w:val="16"/>
        <w:spacing w:line="360" w:lineRule="auto"/>
        <w:ind w:firstLine="480"/>
        <w:rPr>
          <w:color w:val="auto"/>
          <w:sz w:val="24"/>
        </w:rPr>
      </w:pPr>
      <w:r>
        <w:rPr>
          <w:color w:val="auto"/>
          <w:sz w:val="24"/>
        </w:rPr>
        <w:t>本项目所用装卸泵、扫线泵等设备均选用低噪声设备，并采取了相应的噪声污染防治措施。</w:t>
      </w:r>
    </w:p>
    <w:p>
      <w:pPr>
        <w:ind w:firstLine="422"/>
        <w:jc w:val="center"/>
        <w:rPr>
          <w:rFonts w:ascii="Times New Roman" w:hAnsi="Times New Roman" w:cs="Times New Roman"/>
          <w:b/>
          <w:bCs/>
          <w:color w:val="auto"/>
          <w:sz w:val="20"/>
          <w:szCs w:val="20"/>
        </w:rPr>
      </w:pPr>
      <w:r>
        <w:rPr>
          <w:rFonts w:ascii="Times New Roman" w:hAnsi="Times New Roman" w:cs="Times New Roman"/>
          <w:b/>
          <w:bCs/>
          <w:color w:val="auto"/>
          <w:sz w:val="21"/>
          <w:szCs w:val="21"/>
        </w:rPr>
        <w:t>表5.4-1    项目营运期主要噪声源情况一览表</w:t>
      </w:r>
    </w:p>
    <w:tbl>
      <w:tblPr>
        <w:tblStyle w:val="62"/>
        <w:tblW w:w="9214"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4"/>
        <w:gridCol w:w="1430"/>
        <w:gridCol w:w="1275"/>
        <w:gridCol w:w="709"/>
        <w:gridCol w:w="1134"/>
        <w:gridCol w:w="992"/>
        <w:gridCol w:w="992"/>
        <w:gridCol w:w="20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0" w:hRule="atLeast"/>
          <w:tblHeader/>
        </w:trPr>
        <w:tc>
          <w:tcPr>
            <w:tcW w:w="67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序号</w:t>
            </w:r>
          </w:p>
        </w:tc>
        <w:tc>
          <w:tcPr>
            <w:tcW w:w="1430"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源强位置</w:t>
            </w:r>
          </w:p>
        </w:tc>
        <w:tc>
          <w:tcPr>
            <w:tcW w:w="1275"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机械名称</w:t>
            </w:r>
          </w:p>
        </w:tc>
        <w:tc>
          <w:tcPr>
            <w:tcW w:w="709"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台数</w:t>
            </w:r>
          </w:p>
        </w:tc>
        <w:tc>
          <w:tcPr>
            <w:tcW w:w="113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声压级</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[dB)]</w:t>
            </w:r>
          </w:p>
        </w:tc>
        <w:tc>
          <w:tcPr>
            <w:tcW w:w="992"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hint="eastAsia" w:ascii="Times New Roman" w:hAnsi="Times New Roman" w:cs="Times New Roman"/>
                <w:b/>
                <w:bCs/>
                <w:color w:val="auto"/>
                <w:sz w:val="18"/>
                <w:szCs w:val="18"/>
              </w:rPr>
              <w:t>对应距离</w:t>
            </w:r>
          </w:p>
        </w:tc>
        <w:tc>
          <w:tcPr>
            <w:tcW w:w="992"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布置方式</w:t>
            </w:r>
          </w:p>
        </w:tc>
        <w:tc>
          <w:tcPr>
            <w:tcW w:w="2008"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设备降噪措施及</w:t>
            </w:r>
          </w:p>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降噪效果dB（A）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9" w:hRule="atLeast"/>
        </w:trPr>
        <w:tc>
          <w:tcPr>
            <w:tcW w:w="67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1</w:t>
            </w:r>
          </w:p>
        </w:tc>
        <w:tc>
          <w:tcPr>
            <w:tcW w:w="143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公路装车区</w:t>
            </w:r>
          </w:p>
        </w:tc>
        <w:tc>
          <w:tcPr>
            <w:tcW w:w="127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公路装车泵</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20</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室内</w:t>
            </w:r>
          </w:p>
        </w:tc>
        <w:tc>
          <w:tcPr>
            <w:tcW w:w="20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减振、厂房隔声，综合降噪量不少于15dB(A)。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9" w:hRule="atLeast"/>
        </w:trPr>
        <w:tc>
          <w:tcPr>
            <w:tcW w:w="67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2</w:t>
            </w:r>
          </w:p>
        </w:tc>
        <w:tc>
          <w:tcPr>
            <w:tcW w:w="143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码头平台</w:t>
            </w:r>
          </w:p>
        </w:tc>
        <w:tc>
          <w:tcPr>
            <w:tcW w:w="127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卸船泵</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7</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室内</w:t>
            </w:r>
          </w:p>
        </w:tc>
        <w:tc>
          <w:tcPr>
            <w:tcW w:w="20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减振、厂房隔声，综合降噪量不少于15dB(A)。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79" w:hRule="atLeast"/>
        </w:trPr>
        <w:tc>
          <w:tcPr>
            <w:tcW w:w="67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3</w:t>
            </w:r>
          </w:p>
        </w:tc>
        <w:tc>
          <w:tcPr>
            <w:tcW w:w="143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公路装车区</w:t>
            </w:r>
          </w:p>
        </w:tc>
        <w:tc>
          <w:tcPr>
            <w:tcW w:w="127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乙醇调和泵</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室内</w:t>
            </w:r>
          </w:p>
        </w:tc>
        <w:tc>
          <w:tcPr>
            <w:tcW w:w="20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减振、厂房隔声，综合降噪量不少于15dB(A)。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9" w:hRule="atLeast"/>
        </w:trPr>
        <w:tc>
          <w:tcPr>
            <w:tcW w:w="67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4</w:t>
            </w:r>
          </w:p>
        </w:tc>
        <w:tc>
          <w:tcPr>
            <w:tcW w:w="143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码头平台</w:t>
            </w:r>
          </w:p>
        </w:tc>
        <w:tc>
          <w:tcPr>
            <w:tcW w:w="127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扫仓泵</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室内</w:t>
            </w:r>
          </w:p>
        </w:tc>
        <w:tc>
          <w:tcPr>
            <w:tcW w:w="20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减振、厂房隔声，综合降噪量不少于15dB(A)。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9" w:hRule="atLeast"/>
        </w:trPr>
        <w:tc>
          <w:tcPr>
            <w:tcW w:w="67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5</w:t>
            </w:r>
          </w:p>
        </w:tc>
        <w:tc>
          <w:tcPr>
            <w:tcW w:w="143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公路卸车区</w:t>
            </w:r>
          </w:p>
        </w:tc>
        <w:tc>
          <w:tcPr>
            <w:tcW w:w="127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卸车泵</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室内</w:t>
            </w:r>
          </w:p>
        </w:tc>
        <w:tc>
          <w:tcPr>
            <w:tcW w:w="20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减振、厂房隔声，综合降噪量不少于15dB(A)。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trPr>
        <w:tc>
          <w:tcPr>
            <w:tcW w:w="67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6</w:t>
            </w:r>
          </w:p>
        </w:tc>
        <w:tc>
          <w:tcPr>
            <w:tcW w:w="143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罐区</w:t>
            </w:r>
          </w:p>
        </w:tc>
        <w:tc>
          <w:tcPr>
            <w:tcW w:w="127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装船泵</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2</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室外</w:t>
            </w:r>
          </w:p>
        </w:tc>
        <w:tc>
          <w:tcPr>
            <w:tcW w:w="20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减振，综合降噪量不少于10dB(A)。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19" w:hRule="atLeast"/>
        </w:trPr>
        <w:tc>
          <w:tcPr>
            <w:tcW w:w="67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7</w:t>
            </w:r>
          </w:p>
        </w:tc>
        <w:tc>
          <w:tcPr>
            <w:tcW w:w="143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含油污水处理装置</w:t>
            </w:r>
          </w:p>
        </w:tc>
        <w:tc>
          <w:tcPr>
            <w:tcW w:w="127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污水泵</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3</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85</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室外</w:t>
            </w:r>
          </w:p>
        </w:tc>
        <w:tc>
          <w:tcPr>
            <w:tcW w:w="20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减振，综合降噪量不少于10dB(A)。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trPr>
        <w:tc>
          <w:tcPr>
            <w:tcW w:w="67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8</w:t>
            </w:r>
          </w:p>
        </w:tc>
        <w:tc>
          <w:tcPr>
            <w:tcW w:w="143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氮气站</w:t>
            </w:r>
          </w:p>
        </w:tc>
        <w:tc>
          <w:tcPr>
            <w:tcW w:w="127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制氮机</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1</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90</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室内</w:t>
            </w:r>
          </w:p>
        </w:tc>
        <w:tc>
          <w:tcPr>
            <w:tcW w:w="20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减振，综合降噪量不少于10dB(A)。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trPr>
        <w:tc>
          <w:tcPr>
            <w:tcW w:w="67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9</w:t>
            </w:r>
          </w:p>
        </w:tc>
        <w:tc>
          <w:tcPr>
            <w:tcW w:w="143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泡沫站</w:t>
            </w:r>
          </w:p>
        </w:tc>
        <w:tc>
          <w:tcPr>
            <w:tcW w:w="127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空调外机</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4</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80</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设备外1m</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室外</w:t>
            </w:r>
          </w:p>
        </w:tc>
        <w:tc>
          <w:tcPr>
            <w:tcW w:w="20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减振，综合降噪量不少于10dB(A)。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trPr>
        <w:tc>
          <w:tcPr>
            <w:tcW w:w="674" w:type="dxa"/>
            <w:vAlign w:val="center"/>
          </w:tcPr>
          <w:p>
            <w:pPr>
              <w:spacing w:line="240" w:lineRule="auto"/>
              <w:ind w:firstLine="0" w:firstLineChars="0"/>
              <w:contextualSpacing/>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10</w:t>
            </w:r>
          </w:p>
        </w:tc>
        <w:tc>
          <w:tcPr>
            <w:tcW w:w="1430"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厂内</w:t>
            </w:r>
          </w:p>
        </w:tc>
        <w:tc>
          <w:tcPr>
            <w:tcW w:w="1275"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运输罐车</w:t>
            </w:r>
          </w:p>
        </w:tc>
        <w:tc>
          <w:tcPr>
            <w:tcW w:w="709"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1134"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75</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992"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hint="eastAsia" w:ascii="Times New Roman" w:hAnsi="Times New Roman" w:cs="Times New Roman"/>
                <w:color w:val="auto"/>
                <w:sz w:val="18"/>
                <w:szCs w:val="18"/>
              </w:rPr>
              <w:t>移动声源</w:t>
            </w:r>
          </w:p>
        </w:tc>
        <w:tc>
          <w:tcPr>
            <w:tcW w:w="2008" w:type="dxa"/>
            <w:vAlign w:val="center"/>
          </w:tcPr>
          <w:p>
            <w:pPr>
              <w:spacing w:line="240" w:lineRule="auto"/>
              <w:ind w:firstLine="0" w:firstLineChars="0"/>
              <w:contextualSpacing/>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r>
    </w:tbl>
    <w:p>
      <w:pPr>
        <w:pStyle w:val="16"/>
        <w:spacing w:line="360" w:lineRule="auto"/>
        <w:ind w:firstLine="480"/>
        <w:rPr>
          <w:color w:val="auto"/>
          <w:sz w:val="24"/>
        </w:rPr>
      </w:pPr>
      <w:r>
        <w:rPr>
          <w:color w:val="auto"/>
          <w:sz w:val="24"/>
        </w:rPr>
        <w:t>根据声源的特征和所在位置，应用相应的计算模式计算各声源对各预测点（即噪声现状测点）产生的贡献值。</w:t>
      </w:r>
    </w:p>
    <w:p>
      <w:pPr>
        <w:pStyle w:val="5"/>
        <w:keepNext w:val="0"/>
        <w:keepLines w:val="0"/>
        <w:numPr>
          <w:ilvl w:val="3"/>
          <w:numId w:val="0"/>
        </w:numPr>
        <w:tabs>
          <w:tab w:val="left" w:pos="1080"/>
        </w:tabs>
        <w:spacing w:after="0" w:line="360" w:lineRule="auto"/>
        <w:rPr>
          <w:rFonts w:ascii="Times New Roman" w:hAnsi="Times New Roman" w:eastAsia="宋体" w:cs="Times New Roman"/>
          <w:color w:val="auto"/>
          <w:spacing w:val="-2"/>
          <w:sz w:val="24"/>
          <w:szCs w:val="22"/>
        </w:rPr>
      </w:pPr>
      <w:r>
        <w:rPr>
          <w:rFonts w:ascii="Times New Roman" w:hAnsi="Times New Roman" w:eastAsia="宋体" w:cs="Times New Roman"/>
          <w:color w:val="auto"/>
          <w:spacing w:val="-2"/>
          <w:sz w:val="24"/>
          <w:szCs w:val="22"/>
        </w:rPr>
        <w:t>5.4.1.1 预测模式</w:t>
      </w:r>
    </w:p>
    <w:p>
      <w:pPr>
        <w:ind w:firstLine="480"/>
        <w:rPr>
          <w:rFonts w:ascii="Times New Roman" w:hAnsi="Times New Roman" w:cs="Times New Roman"/>
          <w:color w:val="auto"/>
        </w:rPr>
      </w:pPr>
      <w:r>
        <w:rPr>
          <w:rFonts w:ascii="Times New Roman" w:hAnsi="Times New Roman" w:cs="Times New Roman"/>
          <w:color w:val="auto"/>
        </w:rPr>
        <w:t>以项目区西南角预测点为原点，选择一个坐标系，确定各噪声源位置，并测量各噪声源到预测点的距离，将各噪声源视为半自由状态噪声源，按声能量在空气传播中衰减模式可计算出某噪声源在预测点的声压级</w:t>
      </w:r>
      <w:r>
        <w:rPr>
          <w:rFonts w:hint="eastAsia" w:ascii="Times New Roman" w:hAnsi="Times New Roman" w:cs="Times New Roman"/>
          <w:color w:val="auto"/>
        </w:rPr>
        <w:t>。</w:t>
      </w:r>
    </w:p>
    <w:p>
      <w:pPr>
        <w:adjustRightInd/>
        <w:ind w:firstLine="480"/>
        <w:jc w:val="left"/>
        <w:rPr>
          <w:rFonts w:ascii="Times New Roman" w:hAnsi="Times New Roman" w:cs="Times New Roman"/>
          <w:color w:val="auto"/>
          <w:spacing w:val="3"/>
          <w:kern w:val="0"/>
          <w:szCs w:val="24"/>
        </w:rPr>
      </w:pPr>
      <w:r>
        <w:rPr>
          <w:rFonts w:ascii="Times New Roman" w:hAnsi="Times New Roman" w:cs="Times New Roman"/>
          <w:color w:val="auto"/>
          <w:szCs w:val="24"/>
        </w:rPr>
        <w:t>根据工程噪声源特点，预测采用《环境影响评价技术导则声环境》（HJ2.4-20</w:t>
      </w:r>
      <w:r>
        <w:rPr>
          <w:rFonts w:hint="eastAsia" w:ascii="Times New Roman" w:hAnsi="Times New Roman" w:cs="Times New Roman"/>
          <w:color w:val="auto"/>
          <w:szCs w:val="24"/>
        </w:rPr>
        <w:t>21</w:t>
      </w:r>
      <w:r>
        <w:rPr>
          <w:rFonts w:ascii="Times New Roman" w:hAnsi="Times New Roman" w:cs="Times New Roman"/>
          <w:color w:val="auto"/>
          <w:szCs w:val="24"/>
        </w:rPr>
        <w:t>）附录A.2</w:t>
      </w:r>
      <w:r>
        <w:rPr>
          <w:rFonts w:hint="eastAsia" w:ascii="Times New Roman" w:hAnsi="Times New Roman" w:cs="Times New Roman"/>
          <w:color w:val="auto"/>
          <w:szCs w:val="24"/>
        </w:rPr>
        <w:t>和B</w:t>
      </w:r>
      <w:r>
        <w:rPr>
          <w:rFonts w:ascii="Times New Roman" w:hAnsi="Times New Roman" w:cs="Times New Roman"/>
          <w:color w:val="auto"/>
          <w:szCs w:val="24"/>
        </w:rPr>
        <w:t>.1.5中的工业噪声预测计算模式</w:t>
      </w:r>
      <w:r>
        <w:rPr>
          <w:rFonts w:hint="eastAsia" w:ascii="Times New Roman" w:hAnsi="Times New Roman" w:cs="Times New Roman"/>
          <w:color w:val="auto"/>
          <w:szCs w:val="24"/>
        </w:rPr>
        <w:t>和户外声传播的衰减公式</w:t>
      </w:r>
      <w:r>
        <w:rPr>
          <w:rFonts w:ascii="Times New Roman" w:hAnsi="Times New Roman" w:cs="Times New Roman"/>
          <w:color w:val="auto"/>
          <w:kern w:val="0"/>
          <w:szCs w:val="24"/>
        </w:rPr>
        <w:t>。</w:t>
      </w:r>
      <w:r>
        <w:rPr>
          <w:rFonts w:ascii="Times New Roman" w:hAnsi="Times New Roman" w:cs="Times New Roman"/>
          <w:color w:val="auto"/>
          <w:spacing w:val="3"/>
          <w:kern w:val="0"/>
          <w:szCs w:val="24"/>
        </w:rPr>
        <w:t>噪声预测模式如下：</w:t>
      </w:r>
    </w:p>
    <w:p>
      <w:pPr>
        <w:adjustRightInd/>
        <w:ind w:firstLine="480"/>
        <w:rPr>
          <w:rFonts w:ascii="Times New Roman" w:hAnsi="Times New Roman" w:cs="Times New Roman"/>
          <w:bCs/>
          <w:color w:val="auto"/>
          <w:szCs w:val="24"/>
        </w:rPr>
      </w:pPr>
      <w:r>
        <w:rPr>
          <w:rFonts w:ascii="Times New Roman" w:hAnsi="Times New Roman" w:cs="Times New Roman"/>
          <w:bCs/>
          <w:color w:val="auto"/>
          <w:szCs w:val="24"/>
        </w:rPr>
        <w:t>1）室外点声源预测模式</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根据《环境影响评价技术导则--声环境》（HJ2.4-2021），已知点声源的A声压级设第</w:t>
      </w:r>
      <w:r>
        <w:rPr>
          <w:rFonts w:hint="eastAsia" w:ascii="Times New Roman" w:hAnsi="Times New Roman" w:cs="Times New Roman"/>
          <w:color w:val="auto"/>
          <w:szCs w:val="24"/>
        </w:rPr>
        <w:t>i</w:t>
      </w:r>
      <w:r>
        <w:rPr>
          <w:rFonts w:ascii="Times New Roman" w:hAnsi="Times New Roman" w:cs="Times New Roman"/>
          <w:color w:val="auto"/>
          <w:szCs w:val="24"/>
        </w:rPr>
        <w:t>个室外声源在预测点产生的A声级为L</w:t>
      </w:r>
      <w:r>
        <w:rPr>
          <w:rFonts w:ascii="Times New Roman" w:hAnsi="Times New Roman" w:cs="Times New Roman"/>
          <w:color w:val="auto"/>
          <w:szCs w:val="24"/>
          <w:vertAlign w:val="subscript"/>
        </w:rPr>
        <w:t>Ai</w:t>
      </w:r>
      <w:r>
        <w:rPr>
          <w:rFonts w:ascii="Times New Roman" w:hAnsi="Times New Roman" w:cs="Times New Roman"/>
          <w:color w:val="auto"/>
          <w:szCs w:val="24"/>
        </w:rPr>
        <w:t>，在T时间内该声源工作时间为i</w:t>
      </w:r>
      <w:r>
        <w:rPr>
          <w:rFonts w:ascii="Times New Roman" w:hAnsi="Times New Roman" w:cs="Times New Roman"/>
          <w:color w:val="auto"/>
          <w:szCs w:val="24"/>
          <w:vertAlign w:val="subscript"/>
        </w:rPr>
        <w:t>t</w:t>
      </w:r>
      <w:r>
        <w:rPr>
          <w:rFonts w:ascii="Times New Roman" w:hAnsi="Times New Roman" w:cs="Times New Roman"/>
          <w:color w:val="auto"/>
          <w:szCs w:val="24"/>
        </w:rPr>
        <w:t>；第</w:t>
      </w:r>
      <w:r>
        <w:rPr>
          <w:rFonts w:hint="eastAsia" w:ascii="Times New Roman" w:hAnsi="Times New Roman" w:cs="Times New Roman"/>
          <w:color w:val="auto"/>
          <w:szCs w:val="24"/>
        </w:rPr>
        <w:t>j</w:t>
      </w:r>
      <w:r>
        <w:rPr>
          <w:rFonts w:ascii="Times New Roman" w:hAnsi="Times New Roman" w:cs="Times New Roman"/>
          <w:color w:val="auto"/>
          <w:szCs w:val="24"/>
        </w:rPr>
        <w:t>个等效室外声源在预测点产生的A声级为L</w:t>
      </w:r>
      <w:r>
        <w:rPr>
          <w:rFonts w:ascii="Times New Roman" w:hAnsi="Times New Roman" w:cs="Times New Roman"/>
          <w:color w:val="auto"/>
          <w:szCs w:val="24"/>
          <w:vertAlign w:val="subscript"/>
        </w:rPr>
        <w:t>Aj</w:t>
      </w:r>
      <w:r>
        <w:rPr>
          <w:rFonts w:ascii="Times New Roman" w:hAnsi="Times New Roman" w:cs="Times New Roman"/>
          <w:color w:val="auto"/>
          <w:szCs w:val="24"/>
        </w:rPr>
        <w:t>，在 T时间内该声源工作时间为t</w:t>
      </w:r>
      <w:r>
        <w:rPr>
          <w:rFonts w:ascii="Times New Roman" w:hAnsi="Times New Roman" w:cs="Times New Roman"/>
          <w:color w:val="auto"/>
          <w:szCs w:val="24"/>
          <w:vertAlign w:val="subscript"/>
        </w:rPr>
        <w:t>j</w:t>
      </w:r>
      <w:r>
        <w:rPr>
          <w:rFonts w:ascii="Times New Roman" w:hAnsi="Times New Roman" w:cs="Times New Roman"/>
          <w:color w:val="auto"/>
          <w:szCs w:val="24"/>
        </w:rPr>
        <w:t>，则拟建工程声源对预测点产生的贡献值（Leqg）为：</w:t>
      </w:r>
    </w:p>
    <w:p>
      <w:pPr>
        <w:adjustRightInd/>
        <w:ind w:firstLine="480"/>
        <w:jc w:val="center"/>
        <w:rPr>
          <w:rFonts w:ascii="Times New Roman" w:hAnsi="Times New Roman" w:cs="Times New Roman"/>
          <w:color w:val="auto"/>
          <w:szCs w:val="24"/>
        </w:rPr>
      </w:pPr>
      <w:r>
        <w:rPr>
          <w:rFonts w:ascii="Times New Roman" w:hAnsi="Times New Roman" w:cs="Times New Roman"/>
        </w:rPr>
        <w:drawing>
          <wp:inline distT="0" distB="0" distL="0" distR="0">
            <wp:extent cx="3342640" cy="761365"/>
            <wp:effectExtent l="0" t="0" r="0" b="635"/>
            <wp:docPr id="898" name="图片 89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8" name="图片 898"/>
                    <pic:cNvPicPr>
                      <a:picLocks noChangeAspect="true"/>
                    </pic:cNvPicPr>
                  </pic:nvPicPr>
                  <pic:blipFill>
                    <a:blip r:embed="rId185"/>
                    <a:stretch>
                      <a:fillRect/>
                    </a:stretch>
                  </pic:blipFill>
                  <pic:spPr>
                    <a:xfrm>
                      <a:off x="0" y="0"/>
                      <a:ext cx="3342857" cy="761905"/>
                    </a:xfrm>
                    <a:prstGeom prst="rect">
                      <a:avLst/>
                    </a:prstGeom>
                  </pic:spPr>
                </pic:pic>
              </a:graphicData>
            </a:graphic>
          </wp:inline>
        </w:drawing>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式中：Leqg——建设项目声源在预测点产生的噪声贡献值，dB；</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T ——用于计算等效声级的时间，s；</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N ——室外声源个数；</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ti ——在 T 时间内 i 声源工作时间，s；</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M ——等效室外声源个数；</w:t>
      </w:r>
    </w:p>
    <w:p>
      <w:pPr>
        <w:adjustRightInd/>
        <w:ind w:left="480" w:leftChars="200" w:firstLine="0" w:firstLineChars="0"/>
        <w:rPr>
          <w:rFonts w:ascii="Times New Roman" w:hAnsi="Times New Roman" w:cs="Times New Roman"/>
          <w:color w:val="auto"/>
          <w:szCs w:val="24"/>
        </w:rPr>
      </w:pPr>
      <w:r>
        <w:rPr>
          <w:rFonts w:ascii="Times New Roman" w:hAnsi="Times New Roman" w:cs="Times New Roman"/>
          <w:color w:val="auto"/>
          <w:szCs w:val="24"/>
        </w:rPr>
        <w:t>tj——在 T 时间内 j 声源工作时间，s。</w:t>
      </w:r>
      <w:r>
        <w:rPr>
          <w:rFonts w:ascii="Times New Roman" w:hAnsi="Times New Roman" w:cs="Times New Roman"/>
          <w:color w:val="auto"/>
          <w:szCs w:val="24"/>
        </w:rPr>
        <w:cr/>
      </w:r>
      <w:r>
        <w:rPr>
          <w:rFonts w:ascii="Times New Roman" w:hAnsi="Times New Roman" w:cs="Times New Roman"/>
          <w:color w:val="auto"/>
          <w:szCs w:val="24"/>
        </w:rPr>
        <w:t>2</w:t>
      </w:r>
      <w:r>
        <w:rPr>
          <w:rFonts w:hint="eastAsia" w:ascii="Times New Roman" w:hAnsi="Times New Roman" w:cs="Times New Roman"/>
          <w:color w:val="auto"/>
          <w:szCs w:val="24"/>
        </w:rPr>
        <w:t>） 无指向性点声源几何发散衰减</w:t>
      </w:r>
    </w:p>
    <w:p>
      <w:pPr>
        <w:adjustRightInd/>
        <w:ind w:firstLine="480"/>
        <w:rPr>
          <w:rFonts w:ascii="Times New Roman" w:hAnsi="Times New Roman" w:cs="Times New Roman"/>
          <w:color w:val="auto"/>
          <w:szCs w:val="24"/>
        </w:rPr>
      </w:pPr>
      <w:r>
        <w:rPr>
          <w:rFonts w:hint="eastAsia" w:ascii="Times New Roman" w:hAnsi="Times New Roman" w:cs="Times New Roman"/>
          <w:color w:val="auto"/>
          <w:szCs w:val="24"/>
        </w:rPr>
        <w:t>无指向性点声源几何发散衰减的基本公式是：</w:t>
      </w:r>
    </w:p>
    <w:p>
      <w:pPr>
        <w:adjustRightInd/>
        <w:ind w:firstLine="480"/>
        <w:rPr>
          <w:rFonts w:ascii="Times New Roman" w:hAnsi="Times New Roman" w:cs="Times New Roman"/>
          <w:color w:val="auto"/>
          <w:szCs w:val="24"/>
        </w:rPr>
      </w:pPr>
      <w:r>
        <w:drawing>
          <wp:inline distT="0" distB="0" distL="0" distR="0">
            <wp:extent cx="2752090" cy="437515"/>
            <wp:effectExtent l="0" t="0" r="0" b="635"/>
            <wp:docPr id="899" name="图片 89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9" name="图片 899"/>
                    <pic:cNvPicPr>
                      <a:picLocks noChangeAspect="true"/>
                    </pic:cNvPicPr>
                  </pic:nvPicPr>
                  <pic:blipFill>
                    <a:blip r:embed="rId186"/>
                    <a:stretch>
                      <a:fillRect/>
                    </a:stretch>
                  </pic:blipFill>
                  <pic:spPr>
                    <a:xfrm>
                      <a:off x="0" y="0"/>
                      <a:ext cx="2752381" cy="438095"/>
                    </a:xfrm>
                    <a:prstGeom prst="rect">
                      <a:avLst/>
                    </a:prstGeom>
                  </pic:spPr>
                </pic:pic>
              </a:graphicData>
            </a:graphic>
          </wp:inline>
        </w:drawing>
      </w:r>
    </w:p>
    <w:p>
      <w:pPr>
        <w:adjustRightInd/>
        <w:ind w:firstLine="480"/>
        <w:rPr>
          <w:rFonts w:ascii="Times New Roman" w:hAnsi="Times New Roman" w:cs="Times New Roman"/>
          <w:color w:val="auto"/>
          <w:szCs w:val="24"/>
        </w:rPr>
      </w:pPr>
      <w:r>
        <w:rPr>
          <w:rFonts w:hint="eastAsia" w:ascii="Times New Roman" w:hAnsi="Times New Roman" w:cs="Times New Roman"/>
          <w:color w:val="auto"/>
          <w:szCs w:val="24"/>
        </w:rPr>
        <w:t>式中：Lp(r) ——预测点处声压级，dB；</w:t>
      </w:r>
    </w:p>
    <w:p>
      <w:pPr>
        <w:adjustRightInd/>
        <w:ind w:firstLine="480"/>
        <w:rPr>
          <w:rFonts w:ascii="Times New Roman" w:hAnsi="Times New Roman" w:cs="Times New Roman"/>
          <w:color w:val="auto"/>
          <w:szCs w:val="24"/>
        </w:rPr>
      </w:pPr>
      <w:r>
        <w:rPr>
          <w:rFonts w:hint="eastAsia" w:ascii="Times New Roman" w:hAnsi="Times New Roman" w:cs="Times New Roman"/>
          <w:color w:val="auto"/>
          <w:szCs w:val="24"/>
        </w:rPr>
        <w:t>Lp(r0) ——参考位置r0处的声压级，dB；</w:t>
      </w:r>
    </w:p>
    <w:p>
      <w:pPr>
        <w:adjustRightInd/>
        <w:ind w:firstLine="480"/>
        <w:rPr>
          <w:rFonts w:ascii="Times New Roman" w:hAnsi="Times New Roman" w:cs="Times New Roman"/>
          <w:color w:val="auto"/>
          <w:szCs w:val="24"/>
        </w:rPr>
      </w:pPr>
      <w:r>
        <w:rPr>
          <w:rFonts w:hint="eastAsia" w:ascii="Times New Roman" w:hAnsi="Times New Roman" w:cs="Times New Roman"/>
          <w:color w:val="auto"/>
          <w:szCs w:val="24"/>
        </w:rPr>
        <w:t>r ——预测点距声源的距离；</w:t>
      </w:r>
    </w:p>
    <w:p>
      <w:pPr>
        <w:adjustRightInd/>
        <w:ind w:firstLine="480"/>
        <w:rPr>
          <w:rFonts w:ascii="Times New Roman" w:hAnsi="Times New Roman" w:cs="Times New Roman"/>
          <w:color w:val="auto"/>
          <w:szCs w:val="24"/>
        </w:rPr>
      </w:pPr>
      <w:r>
        <w:rPr>
          <w:rFonts w:hint="eastAsia" w:ascii="Times New Roman" w:hAnsi="Times New Roman" w:cs="Times New Roman"/>
          <w:color w:val="auto"/>
          <w:szCs w:val="24"/>
        </w:rPr>
        <w:t>r0——参考位置距声源的距离。</w:t>
      </w:r>
    </w:p>
    <w:p>
      <w:pPr>
        <w:adjustRightInd/>
        <w:ind w:firstLine="480"/>
        <w:rPr>
          <w:rFonts w:ascii="Times New Roman" w:hAnsi="Times New Roman" w:cs="Times New Roman"/>
          <w:color w:val="auto"/>
          <w:szCs w:val="24"/>
        </w:rPr>
      </w:pPr>
      <w:r>
        <w:rPr>
          <w:rFonts w:hint="eastAsia" w:ascii="Times New Roman" w:hAnsi="Times New Roman" w:cs="Times New Roman"/>
          <w:color w:val="auto"/>
          <w:szCs w:val="24"/>
        </w:rPr>
        <w:t>式中第二项表示了点声源的几何发散衰减：</w:t>
      </w:r>
    </w:p>
    <w:p>
      <w:pPr>
        <w:adjustRightInd/>
        <w:ind w:firstLine="480"/>
        <w:rPr>
          <w:rFonts w:ascii="Times New Roman" w:hAnsi="Times New Roman" w:cs="Times New Roman"/>
          <w:color w:val="auto"/>
          <w:kern w:val="0"/>
          <w:szCs w:val="24"/>
        </w:rPr>
      </w:pPr>
      <w:r>
        <w:drawing>
          <wp:inline distT="0" distB="0" distL="0" distR="0">
            <wp:extent cx="1780540" cy="494665"/>
            <wp:effectExtent l="0" t="0" r="0" b="635"/>
            <wp:docPr id="900" name="图片 9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0" name="图片 900"/>
                    <pic:cNvPicPr>
                      <a:picLocks noChangeAspect="true"/>
                    </pic:cNvPicPr>
                  </pic:nvPicPr>
                  <pic:blipFill>
                    <a:blip r:embed="rId187"/>
                    <a:stretch>
                      <a:fillRect/>
                    </a:stretch>
                  </pic:blipFill>
                  <pic:spPr>
                    <a:xfrm>
                      <a:off x="0" y="0"/>
                      <a:ext cx="1780952" cy="495238"/>
                    </a:xfrm>
                    <a:prstGeom prst="rect">
                      <a:avLst/>
                    </a:prstGeom>
                  </pic:spPr>
                </pic:pic>
              </a:graphicData>
            </a:graphic>
          </wp:inline>
        </w:drawing>
      </w:r>
    </w:p>
    <w:p>
      <w:pPr>
        <w:adjustRightInd/>
        <w:ind w:firstLine="480"/>
        <w:rPr>
          <w:rFonts w:ascii="Times New Roman" w:hAnsi="Times New Roman" w:cs="Times New Roman"/>
          <w:color w:val="auto"/>
          <w:kern w:val="0"/>
          <w:szCs w:val="24"/>
        </w:rPr>
      </w:pPr>
      <w:r>
        <w:rPr>
          <w:rFonts w:hint="eastAsia" w:ascii="Times New Roman" w:hAnsi="Times New Roman" w:cs="Times New Roman"/>
          <w:color w:val="auto"/>
          <w:kern w:val="0"/>
          <w:szCs w:val="24"/>
        </w:rPr>
        <w:t>式中：Adiv ——几何发散引起的衰减，dB；</w:t>
      </w:r>
    </w:p>
    <w:p>
      <w:pPr>
        <w:adjustRightInd/>
        <w:ind w:firstLine="480"/>
        <w:rPr>
          <w:rFonts w:ascii="Times New Roman" w:hAnsi="Times New Roman" w:cs="Times New Roman"/>
          <w:color w:val="auto"/>
          <w:kern w:val="0"/>
          <w:szCs w:val="24"/>
        </w:rPr>
      </w:pPr>
      <w:r>
        <w:rPr>
          <w:rFonts w:hint="eastAsia" w:ascii="Times New Roman" w:hAnsi="Times New Roman" w:cs="Times New Roman"/>
          <w:color w:val="auto"/>
          <w:kern w:val="0"/>
          <w:szCs w:val="24"/>
        </w:rPr>
        <w:t>r ——预测点距声源的距离；</w:t>
      </w:r>
    </w:p>
    <w:p>
      <w:pPr>
        <w:adjustRightInd/>
        <w:ind w:firstLine="480"/>
        <w:rPr>
          <w:rFonts w:ascii="Times New Roman" w:hAnsi="Times New Roman" w:cs="Times New Roman"/>
          <w:color w:val="auto"/>
          <w:spacing w:val="-2"/>
        </w:rPr>
      </w:pPr>
      <w:r>
        <w:rPr>
          <w:rFonts w:hint="eastAsia" w:ascii="Times New Roman" w:hAnsi="Times New Roman" w:cs="Times New Roman"/>
          <w:color w:val="auto"/>
          <w:kern w:val="0"/>
          <w:szCs w:val="24"/>
        </w:rPr>
        <w:t>r0——参考位置距声源的距离。</w:t>
      </w:r>
      <w:r>
        <w:rPr>
          <w:rFonts w:ascii="Times New Roman" w:hAnsi="Times New Roman" w:cs="Times New Roman"/>
          <w:color w:val="auto"/>
          <w:kern w:val="0"/>
          <w:szCs w:val="24"/>
        </w:rPr>
        <w:cr/>
      </w:r>
      <w:r>
        <w:rPr>
          <w:rFonts w:ascii="Times New Roman" w:hAnsi="Times New Roman" w:cs="Times New Roman"/>
          <w:color w:val="auto"/>
          <w:spacing w:val="-2"/>
        </w:rPr>
        <w:t>5.4.1.2 预测结果</w:t>
      </w:r>
    </w:p>
    <w:p>
      <w:pPr>
        <w:pStyle w:val="16"/>
        <w:spacing w:line="360" w:lineRule="auto"/>
        <w:ind w:firstLine="480"/>
        <w:rPr>
          <w:color w:val="auto"/>
          <w:sz w:val="24"/>
        </w:rPr>
      </w:pPr>
      <w:r>
        <w:rPr>
          <w:color w:val="auto"/>
          <w:sz w:val="24"/>
        </w:rPr>
        <w:t>在考虑各噪声源经过消声、隔声等措施将噪后，根据噪声预测模式，将有关参数代入公式计算，预测工程噪声源对各向厂界的影响。</w:t>
      </w:r>
    </w:p>
    <w:p>
      <w:pPr>
        <w:pStyle w:val="16"/>
        <w:spacing w:line="360" w:lineRule="auto"/>
        <w:ind w:firstLine="480"/>
        <w:rPr>
          <w:color w:val="auto"/>
          <w:sz w:val="24"/>
        </w:rPr>
      </w:pPr>
      <w:r>
        <w:rPr>
          <w:color w:val="auto"/>
          <w:sz w:val="24"/>
        </w:rPr>
        <w:t>根据计算，码头各类机泵噪声进行影响预测后，各预测点噪声预测结果见表5.4-2。</w:t>
      </w:r>
    </w:p>
    <w:p>
      <w:pPr>
        <w:pStyle w:val="1429"/>
        <w:spacing w:line="240" w:lineRule="auto"/>
        <w:ind w:firstLine="422"/>
        <w:rPr>
          <w:rFonts w:ascii="Times New Roman" w:hAnsi="Times New Roman"/>
          <w:color w:val="auto"/>
        </w:rPr>
      </w:pPr>
      <w:r>
        <w:rPr>
          <w:rFonts w:ascii="Times New Roman" w:hAnsi="Times New Roman"/>
          <w:color w:val="auto"/>
        </w:rPr>
        <w:t>表5.4-2     各预测点声环境影响预测结果单位：dB(A)</w:t>
      </w:r>
    </w:p>
    <w:tbl>
      <w:tblPr>
        <w:tblStyle w:val="62"/>
        <w:tblW w:w="952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6"/>
        <w:gridCol w:w="1028"/>
        <w:gridCol w:w="1029"/>
        <w:gridCol w:w="1030"/>
        <w:gridCol w:w="669"/>
        <w:gridCol w:w="621"/>
        <w:gridCol w:w="1030"/>
        <w:gridCol w:w="1030"/>
        <w:gridCol w:w="1030"/>
        <w:gridCol w:w="714"/>
        <w:gridCol w:w="574"/>
        <w:gridCol w:w="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54" w:hRule="atLeast"/>
          <w:tblHeader/>
          <w:jc w:val="center"/>
        </w:trPr>
        <w:tc>
          <w:tcPr>
            <w:tcW w:w="767" w:type="dxa"/>
            <w:vMerge w:val="restart"/>
            <w:vAlign w:val="center"/>
          </w:tcPr>
          <w:p>
            <w:pPr>
              <w:pStyle w:val="861"/>
              <w:widowControl w:val="0"/>
              <w:snapToGrid/>
              <w:rPr>
                <w:sz w:val="21"/>
                <w:szCs w:val="21"/>
              </w:rPr>
            </w:pPr>
            <w:r>
              <w:rPr>
                <w:rFonts w:hint="eastAsia"/>
                <w:sz w:val="21"/>
                <w:szCs w:val="21"/>
              </w:rPr>
              <w:t>厂界</w:t>
            </w:r>
          </w:p>
        </w:tc>
        <w:tc>
          <w:tcPr>
            <w:tcW w:w="4379" w:type="dxa"/>
            <w:gridSpan w:val="5"/>
            <w:vAlign w:val="center"/>
          </w:tcPr>
          <w:p>
            <w:pPr>
              <w:pStyle w:val="861"/>
              <w:widowControl w:val="0"/>
              <w:snapToGrid/>
              <w:rPr>
                <w:sz w:val="21"/>
                <w:szCs w:val="21"/>
              </w:rPr>
            </w:pPr>
            <w:r>
              <w:rPr>
                <w:sz w:val="21"/>
                <w:szCs w:val="21"/>
              </w:rPr>
              <w:t>昼间</w:t>
            </w:r>
          </w:p>
        </w:tc>
        <w:tc>
          <w:tcPr>
            <w:tcW w:w="4381" w:type="dxa"/>
            <w:gridSpan w:val="6"/>
            <w:vAlign w:val="center"/>
          </w:tcPr>
          <w:p>
            <w:pPr>
              <w:pStyle w:val="861"/>
              <w:widowControl w:val="0"/>
              <w:snapToGrid/>
              <w:rPr>
                <w:sz w:val="21"/>
                <w:szCs w:val="21"/>
              </w:rPr>
            </w:pPr>
            <w:r>
              <w:rPr>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gridAfter w:val="1"/>
          <w:wAfter w:w="6" w:type="dxa"/>
          <w:trHeight w:val="254" w:hRule="atLeast"/>
          <w:tblHeader/>
          <w:jc w:val="center"/>
        </w:trPr>
        <w:tc>
          <w:tcPr>
            <w:tcW w:w="767" w:type="dxa"/>
            <w:vMerge w:val="continue"/>
            <w:vAlign w:val="center"/>
          </w:tcPr>
          <w:p>
            <w:pPr>
              <w:pStyle w:val="861"/>
              <w:widowControl w:val="0"/>
              <w:snapToGrid/>
              <w:rPr>
                <w:sz w:val="21"/>
                <w:szCs w:val="21"/>
              </w:rPr>
            </w:pPr>
          </w:p>
        </w:tc>
        <w:tc>
          <w:tcPr>
            <w:tcW w:w="1029" w:type="dxa"/>
            <w:vAlign w:val="center"/>
          </w:tcPr>
          <w:p>
            <w:pPr>
              <w:pStyle w:val="861"/>
              <w:widowControl w:val="0"/>
              <w:snapToGrid/>
              <w:rPr>
                <w:sz w:val="21"/>
                <w:szCs w:val="21"/>
              </w:rPr>
            </w:pPr>
            <w:r>
              <w:rPr>
                <w:sz w:val="21"/>
                <w:szCs w:val="21"/>
              </w:rPr>
              <w:t>背景值</w:t>
            </w:r>
          </w:p>
        </w:tc>
        <w:tc>
          <w:tcPr>
            <w:tcW w:w="1030" w:type="dxa"/>
            <w:vAlign w:val="center"/>
          </w:tcPr>
          <w:p>
            <w:pPr>
              <w:pStyle w:val="861"/>
              <w:widowControl w:val="0"/>
              <w:snapToGrid/>
              <w:rPr>
                <w:sz w:val="21"/>
                <w:szCs w:val="21"/>
              </w:rPr>
            </w:pPr>
            <w:r>
              <w:rPr>
                <w:sz w:val="21"/>
                <w:szCs w:val="21"/>
              </w:rPr>
              <w:t>贡献值</w:t>
            </w:r>
          </w:p>
        </w:tc>
        <w:tc>
          <w:tcPr>
            <w:tcW w:w="1030" w:type="dxa"/>
            <w:vAlign w:val="center"/>
          </w:tcPr>
          <w:p>
            <w:pPr>
              <w:pStyle w:val="861"/>
              <w:widowControl w:val="0"/>
              <w:snapToGrid/>
              <w:rPr>
                <w:sz w:val="21"/>
                <w:szCs w:val="21"/>
              </w:rPr>
            </w:pPr>
            <w:r>
              <w:rPr>
                <w:sz w:val="21"/>
                <w:szCs w:val="21"/>
              </w:rPr>
              <w:t>预测值</w:t>
            </w:r>
          </w:p>
        </w:tc>
        <w:tc>
          <w:tcPr>
            <w:tcW w:w="669" w:type="dxa"/>
            <w:tcBorders>
              <w:right w:val="single" w:color="auto" w:sz="12" w:space="0"/>
            </w:tcBorders>
            <w:vAlign w:val="center"/>
          </w:tcPr>
          <w:p>
            <w:pPr>
              <w:pStyle w:val="861"/>
              <w:widowControl w:val="0"/>
              <w:snapToGrid/>
              <w:rPr>
                <w:sz w:val="21"/>
                <w:szCs w:val="21"/>
              </w:rPr>
            </w:pPr>
            <w:r>
              <w:rPr>
                <w:sz w:val="21"/>
                <w:szCs w:val="21"/>
              </w:rPr>
              <w:t>评价结果</w:t>
            </w:r>
          </w:p>
        </w:tc>
        <w:tc>
          <w:tcPr>
            <w:tcW w:w="618" w:type="dxa"/>
            <w:tcBorders>
              <w:left w:val="single" w:color="auto" w:sz="12" w:space="0"/>
            </w:tcBorders>
            <w:vAlign w:val="center"/>
          </w:tcPr>
          <w:p>
            <w:pPr>
              <w:pStyle w:val="861"/>
              <w:widowControl w:val="0"/>
              <w:snapToGrid/>
              <w:rPr>
                <w:sz w:val="21"/>
                <w:szCs w:val="21"/>
              </w:rPr>
            </w:pPr>
            <w:r>
              <w:rPr>
                <w:rFonts w:hint="eastAsia"/>
                <w:sz w:val="21"/>
                <w:szCs w:val="21"/>
              </w:rPr>
              <w:t>执行标准</w:t>
            </w:r>
          </w:p>
        </w:tc>
        <w:tc>
          <w:tcPr>
            <w:tcW w:w="1030" w:type="dxa"/>
            <w:vAlign w:val="center"/>
          </w:tcPr>
          <w:p>
            <w:pPr>
              <w:pStyle w:val="861"/>
              <w:widowControl w:val="0"/>
              <w:snapToGrid/>
              <w:rPr>
                <w:sz w:val="21"/>
                <w:szCs w:val="21"/>
              </w:rPr>
            </w:pPr>
            <w:r>
              <w:rPr>
                <w:sz w:val="21"/>
                <w:szCs w:val="21"/>
              </w:rPr>
              <w:t>背景值</w:t>
            </w:r>
          </w:p>
        </w:tc>
        <w:tc>
          <w:tcPr>
            <w:tcW w:w="1030" w:type="dxa"/>
            <w:vAlign w:val="center"/>
          </w:tcPr>
          <w:p>
            <w:pPr>
              <w:pStyle w:val="861"/>
              <w:widowControl w:val="0"/>
              <w:snapToGrid/>
              <w:rPr>
                <w:sz w:val="21"/>
                <w:szCs w:val="21"/>
              </w:rPr>
            </w:pPr>
            <w:r>
              <w:rPr>
                <w:sz w:val="21"/>
                <w:szCs w:val="21"/>
              </w:rPr>
              <w:t>贡献值</w:t>
            </w:r>
          </w:p>
        </w:tc>
        <w:tc>
          <w:tcPr>
            <w:tcW w:w="1030" w:type="dxa"/>
            <w:vAlign w:val="center"/>
          </w:tcPr>
          <w:p>
            <w:pPr>
              <w:pStyle w:val="861"/>
              <w:widowControl w:val="0"/>
              <w:snapToGrid/>
              <w:rPr>
                <w:sz w:val="21"/>
                <w:szCs w:val="21"/>
              </w:rPr>
            </w:pPr>
            <w:r>
              <w:rPr>
                <w:sz w:val="21"/>
                <w:szCs w:val="21"/>
              </w:rPr>
              <w:t>预测值</w:t>
            </w:r>
          </w:p>
        </w:tc>
        <w:tc>
          <w:tcPr>
            <w:tcW w:w="714" w:type="dxa"/>
            <w:tcBorders>
              <w:right w:val="single" w:color="auto" w:sz="12" w:space="0"/>
            </w:tcBorders>
            <w:vAlign w:val="center"/>
          </w:tcPr>
          <w:p>
            <w:pPr>
              <w:pStyle w:val="861"/>
              <w:widowControl w:val="0"/>
              <w:snapToGrid/>
              <w:rPr>
                <w:sz w:val="21"/>
                <w:szCs w:val="21"/>
              </w:rPr>
            </w:pPr>
            <w:r>
              <w:rPr>
                <w:sz w:val="21"/>
                <w:szCs w:val="21"/>
              </w:rPr>
              <w:t>评价结果</w:t>
            </w:r>
          </w:p>
        </w:tc>
        <w:tc>
          <w:tcPr>
            <w:tcW w:w="574" w:type="dxa"/>
            <w:tcBorders>
              <w:left w:val="single" w:color="auto" w:sz="12" w:space="0"/>
            </w:tcBorders>
            <w:vAlign w:val="center"/>
          </w:tcPr>
          <w:p>
            <w:pPr>
              <w:pStyle w:val="861"/>
              <w:widowControl w:val="0"/>
              <w:snapToGrid/>
              <w:rPr>
                <w:sz w:val="21"/>
                <w:szCs w:val="21"/>
              </w:rPr>
            </w:pPr>
            <w:r>
              <w:rPr>
                <w:rFonts w:hint="eastAsia"/>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gridAfter w:val="1"/>
          <w:wAfter w:w="6" w:type="dxa"/>
          <w:trHeight w:val="254" w:hRule="atLeast"/>
          <w:jc w:val="center"/>
        </w:trPr>
        <w:tc>
          <w:tcPr>
            <w:tcW w:w="767" w:type="dxa"/>
            <w:vAlign w:val="center"/>
          </w:tcPr>
          <w:p>
            <w:pPr>
              <w:pStyle w:val="861"/>
              <w:widowControl w:val="0"/>
              <w:snapToGrid/>
              <w:rPr>
                <w:sz w:val="21"/>
                <w:szCs w:val="21"/>
              </w:rPr>
            </w:pPr>
            <w:r>
              <w:rPr>
                <w:rFonts w:hint="eastAsia"/>
                <w:sz w:val="21"/>
                <w:szCs w:val="21"/>
              </w:rPr>
              <w:t>东</w:t>
            </w:r>
          </w:p>
        </w:tc>
        <w:tc>
          <w:tcPr>
            <w:tcW w:w="1029" w:type="dxa"/>
            <w:vAlign w:val="center"/>
          </w:tcPr>
          <w:p>
            <w:pPr>
              <w:pStyle w:val="861"/>
              <w:widowControl w:val="0"/>
              <w:snapToGrid/>
              <w:rPr>
                <w:sz w:val="21"/>
                <w:szCs w:val="21"/>
              </w:rPr>
            </w:pPr>
            <w:r>
              <w:rPr>
                <w:sz w:val="21"/>
                <w:szCs w:val="21"/>
              </w:rPr>
              <w:t>55.0</w:t>
            </w:r>
          </w:p>
        </w:tc>
        <w:tc>
          <w:tcPr>
            <w:tcW w:w="1030" w:type="dxa"/>
            <w:vAlign w:val="center"/>
          </w:tcPr>
          <w:p>
            <w:pPr>
              <w:pStyle w:val="2556"/>
              <w:rPr>
                <w:rFonts w:ascii="Times New Roman" w:hAnsi="Times New Roman" w:cs="Times New Roman"/>
                <w:color w:val="auto"/>
                <w:szCs w:val="21"/>
              </w:rPr>
            </w:pPr>
            <w:r>
              <w:rPr>
                <w:rFonts w:ascii="Times New Roman" w:hAnsi="Times New Roman" w:cs="Times New Roman"/>
                <w:color w:val="auto"/>
              </w:rPr>
              <w:t>50.5</w:t>
            </w:r>
          </w:p>
        </w:tc>
        <w:tc>
          <w:tcPr>
            <w:tcW w:w="1030" w:type="dxa"/>
            <w:vAlign w:val="center"/>
          </w:tcPr>
          <w:p>
            <w:pPr>
              <w:pStyle w:val="861"/>
              <w:widowControl w:val="0"/>
              <w:snapToGrid/>
              <w:rPr>
                <w:sz w:val="21"/>
                <w:szCs w:val="21"/>
              </w:rPr>
            </w:pPr>
            <w:r>
              <w:rPr>
                <w:rFonts w:hint="eastAsia"/>
                <w:sz w:val="21"/>
                <w:szCs w:val="21"/>
              </w:rPr>
              <w:t>5</w:t>
            </w:r>
            <w:r>
              <w:rPr>
                <w:sz w:val="21"/>
                <w:szCs w:val="21"/>
              </w:rPr>
              <w:t>6.3</w:t>
            </w:r>
          </w:p>
        </w:tc>
        <w:tc>
          <w:tcPr>
            <w:tcW w:w="669" w:type="dxa"/>
            <w:tcBorders>
              <w:right w:val="single" w:color="auto" w:sz="12" w:space="0"/>
            </w:tcBorders>
            <w:vAlign w:val="center"/>
          </w:tcPr>
          <w:p>
            <w:pPr>
              <w:pStyle w:val="861"/>
              <w:widowControl w:val="0"/>
              <w:snapToGrid/>
              <w:rPr>
                <w:sz w:val="21"/>
                <w:szCs w:val="21"/>
              </w:rPr>
            </w:pPr>
            <w:r>
              <w:rPr>
                <w:sz w:val="21"/>
                <w:szCs w:val="21"/>
              </w:rPr>
              <w:t>达标</w:t>
            </w:r>
          </w:p>
        </w:tc>
        <w:tc>
          <w:tcPr>
            <w:tcW w:w="618" w:type="dxa"/>
            <w:tcBorders>
              <w:left w:val="single" w:color="auto" w:sz="12" w:space="0"/>
            </w:tcBorders>
            <w:vAlign w:val="center"/>
          </w:tcPr>
          <w:p>
            <w:pPr>
              <w:pStyle w:val="861"/>
              <w:widowControl w:val="0"/>
              <w:snapToGrid/>
              <w:rPr>
                <w:sz w:val="21"/>
                <w:szCs w:val="21"/>
              </w:rPr>
            </w:pPr>
            <w:r>
              <w:rPr>
                <w:rFonts w:hint="eastAsia"/>
                <w:sz w:val="21"/>
                <w:szCs w:val="21"/>
              </w:rPr>
              <w:t>6</w:t>
            </w:r>
            <w:r>
              <w:rPr>
                <w:sz w:val="21"/>
                <w:szCs w:val="21"/>
              </w:rPr>
              <w:t>5</w:t>
            </w:r>
          </w:p>
        </w:tc>
        <w:tc>
          <w:tcPr>
            <w:tcW w:w="1030" w:type="dxa"/>
            <w:vAlign w:val="center"/>
          </w:tcPr>
          <w:p>
            <w:pPr>
              <w:pStyle w:val="861"/>
              <w:widowControl w:val="0"/>
              <w:snapToGrid/>
              <w:rPr>
                <w:sz w:val="21"/>
                <w:szCs w:val="21"/>
              </w:rPr>
            </w:pPr>
            <w:r>
              <w:rPr>
                <w:sz w:val="21"/>
                <w:szCs w:val="21"/>
              </w:rPr>
              <w:t>47.1</w:t>
            </w:r>
          </w:p>
        </w:tc>
        <w:tc>
          <w:tcPr>
            <w:tcW w:w="1030" w:type="dxa"/>
            <w:vAlign w:val="center"/>
          </w:tcPr>
          <w:p>
            <w:pPr>
              <w:pStyle w:val="2556"/>
              <w:rPr>
                <w:rFonts w:ascii="Times New Roman" w:hAnsi="Times New Roman" w:cs="Times New Roman"/>
                <w:color w:val="auto"/>
                <w:szCs w:val="21"/>
              </w:rPr>
            </w:pPr>
            <w:r>
              <w:rPr>
                <w:rFonts w:hint="eastAsia" w:ascii="Times New Roman" w:hAnsi="Times New Roman" w:cs="Times New Roman"/>
                <w:color w:val="auto"/>
                <w:szCs w:val="21"/>
              </w:rPr>
              <w:t>/</w:t>
            </w:r>
          </w:p>
        </w:tc>
        <w:tc>
          <w:tcPr>
            <w:tcW w:w="1030" w:type="dxa"/>
            <w:vAlign w:val="center"/>
          </w:tcPr>
          <w:p>
            <w:pPr>
              <w:pStyle w:val="861"/>
              <w:widowControl w:val="0"/>
              <w:snapToGrid/>
              <w:rPr>
                <w:sz w:val="21"/>
                <w:szCs w:val="21"/>
              </w:rPr>
            </w:pPr>
            <w:r>
              <w:rPr>
                <w:rFonts w:hint="eastAsia"/>
                <w:szCs w:val="21"/>
              </w:rPr>
              <w:t>/</w:t>
            </w:r>
          </w:p>
        </w:tc>
        <w:tc>
          <w:tcPr>
            <w:tcW w:w="714" w:type="dxa"/>
            <w:tcBorders>
              <w:right w:val="single" w:color="auto" w:sz="12" w:space="0"/>
            </w:tcBorders>
            <w:vAlign w:val="center"/>
          </w:tcPr>
          <w:p>
            <w:pPr>
              <w:pStyle w:val="861"/>
              <w:widowControl w:val="0"/>
              <w:snapToGrid/>
              <w:rPr>
                <w:sz w:val="21"/>
                <w:szCs w:val="21"/>
              </w:rPr>
            </w:pPr>
            <w:r>
              <w:rPr>
                <w:sz w:val="21"/>
                <w:szCs w:val="21"/>
              </w:rPr>
              <w:t>达标</w:t>
            </w:r>
          </w:p>
        </w:tc>
        <w:tc>
          <w:tcPr>
            <w:tcW w:w="574" w:type="dxa"/>
            <w:tcBorders>
              <w:left w:val="single" w:color="auto" w:sz="12" w:space="0"/>
            </w:tcBorders>
            <w:vAlign w:val="center"/>
          </w:tcPr>
          <w:p>
            <w:pPr>
              <w:pStyle w:val="861"/>
              <w:widowControl w:val="0"/>
              <w:snapToGrid/>
              <w:rPr>
                <w:sz w:val="21"/>
                <w:szCs w:val="21"/>
              </w:rPr>
            </w:pPr>
            <w:r>
              <w:rPr>
                <w:sz w:val="21"/>
                <w:szCs w:val="21"/>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gridAfter w:val="1"/>
          <w:wAfter w:w="6" w:type="dxa"/>
          <w:trHeight w:val="254" w:hRule="atLeast"/>
          <w:jc w:val="center"/>
        </w:trPr>
        <w:tc>
          <w:tcPr>
            <w:tcW w:w="767" w:type="dxa"/>
            <w:vAlign w:val="center"/>
          </w:tcPr>
          <w:p>
            <w:pPr>
              <w:pStyle w:val="861"/>
              <w:widowControl w:val="0"/>
              <w:snapToGrid/>
              <w:rPr>
                <w:sz w:val="21"/>
                <w:szCs w:val="21"/>
              </w:rPr>
            </w:pPr>
            <w:r>
              <w:rPr>
                <w:rFonts w:hint="eastAsia"/>
                <w:sz w:val="21"/>
                <w:szCs w:val="21"/>
              </w:rPr>
              <w:t>南</w:t>
            </w:r>
          </w:p>
        </w:tc>
        <w:tc>
          <w:tcPr>
            <w:tcW w:w="1029" w:type="dxa"/>
            <w:vAlign w:val="center"/>
          </w:tcPr>
          <w:p>
            <w:pPr>
              <w:pStyle w:val="861"/>
              <w:widowControl w:val="0"/>
              <w:snapToGrid/>
              <w:rPr>
                <w:sz w:val="21"/>
                <w:szCs w:val="21"/>
              </w:rPr>
            </w:pPr>
            <w:r>
              <w:rPr>
                <w:sz w:val="21"/>
                <w:szCs w:val="21"/>
              </w:rPr>
              <w:t>52.7</w:t>
            </w:r>
          </w:p>
        </w:tc>
        <w:tc>
          <w:tcPr>
            <w:tcW w:w="1030" w:type="dxa"/>
            <w:vAlign w:val="center"/>
          </w:tcPr>
          <w:p>
            <w:pPr>
              <w:pStyle w:val="2556"/>
              <w:rPr>
                <w:rFonts w:ascii="Times New Roman" w:hAnsi="Times New Roman" w:cs="Times New Roman"/>
                <w:color w:val="auto"/>
                <w:szCs w:val="21"/>
              </w:rPr>
            </w:pPr>
            <w:r>
              <w:rPr>
                <w:rFonts w:ascii="Times New Roman" w:hAnsi="Times New Roman" w:cs="Times New Roman"/>
                <w:color w:val="auto"/>
              </w:rPr>
              <w:t>53.5</w:t>
            </w:r>
          </w:p>
        </w:tc>
        <w:tc>
          <w:tcPr>
            <w:tcW w:w="1030" w:type="dxa"/>
            <w:vAlign w:val="center"/>
          </w:tcPr>
          <w:p>
            <w:pPr>
              <w:pStyle w:val="861"/>
              <w:widowControl w:val="0"/>
              <w:snapToGrid/>
              <w:rPr>
                <w:sz w:val="21"/>
                <w:szCs w:val="21"/>
              </w:rPr>
            </w:pPr>
            <w:r>
              <w:rPr>
                <w:rFonts w:hint="eastAsia"/>
                <w:sz w:val="21"/>
                <w:szCs w:val="21"/>
              </w:rPr>
              <w:t>5</w:t>
            </w:r>
            <w:r>
              <w:rPr>
                <w:sz w:val="21"/>
                <w:szCs w:val="21"/>
              </w:rPr>
              <w:t>6.1</w:t>
            </w:r>
          </w:p>
        </w:tc>
        <w:tc>
          <w:tcPr>
            <w:tcW w:w="669" w:type="dxa"/>
            <w:tcBorders>
              <w:right w:val="single" w:color="auto" w:sz="12" w:space="0"/>
            </w:tcBorders>
            <w:vAlign w:val="center"/>
          </w:tcPr>
          <w:p>
            <w:pPr>
              <w:pStyle w:val="861"/>
              <w:widowControl w:val="0"/>
              <w:snapToGrid/>
              <w:rPr>
                <w:sz w:val="21"/>
                <w:szCs w:val="21"/>
              </w:rPr>
            </w:pPr>
            <w:r>
              <w:rPr>
                <w:sz w:val="21"/>
                <w:szCs w:val="21"/>
              </w:rPr>
              <w:t>达标</w:t>
            </w:r>
          </w:p>
        </w:tc>
        <w:tc>
          <w:tcPr>
            <w:tcW w:w="618" w:type="dxa"/>
            <w:tcBorders>
              <w:left w:val="single" w:color="auto" w:sz="12" w:space="0"/>
            </w:tcBorders>
            <w:vAlign w:val="center"/>
          </w:tcPr>
          <w:p>
            <w:pPr>
              <w:pStyle w:val="861"/>
              <w:widowControl w:val="0"/>
              <w:snapToGrid/>
              <w:rPr>
                <w:sz w:val="21"/>
                <w:szCs w:val="21"/>
              </w:rPr>
            </w:pPr>
            <w:r>
              <w:rPr>
                <w:rFonts w:hint="eastAsia"/>
                <w:sz w:val="21"/>
                <w:szCs w:val="21"/>
              </w:rPr>
              <w:t>6</w:t>
            </w:r>
            <w:r>
              <w:rPr>
                <w:sz w:val="21"/>
                <w:szCs w:val="21"/>
              </w:rPr>
              <w:t>5</w:t>
            </w:r>
          </w:p>
        </w:tc>
        <w:tc>
          <w:tcPr>
            <w:tcW w:w="1030" w:type="dxa"/>
            <w:vAlign w:val="center"/>
          </w:tcPr>
          <w:p>
            <w:pPr>
              <w:pStyle w:val="861"/>
              <w:widowControl w:val="0"/>
              <w:snapToGrid/>
              <w:rPr>
                <w:sz w:val="21"/>
                <w:szCs w:val="21"/>
              </w:rPr>
            </w:pPr>
            <w:r>
              <w:rPr>
                <w:sz w:val="21"/>
                <w:szCs w:val="21"/>
              </w:rPr>
              <w:t>46.0</w:t>
            </w:r>
          </w:p>
        </w:tc>
        <w:tc>
          <w:tcPr>
            <w:tcW w:w="1030" w:type="dxa"/>
            <w:vAlign w:val="center"/>
          </w:tcPr>
          <w:p>
            <w:pPr>
              <w:pStyle w:val="2556"/>
              <w:rPr>
                <w:rFonts w:ascii="Times New Roman" w:hAnsi="Times New Roman" w:cs="Times New Roman"/>
                <w:color w:val="auto"/>
                <w:szCs w:val="21"/>
              </w:rPr>
            </w:pPr>
            <w:r>
              <w:rPr>
                <w:rFonts w:hint="eastAsia" w:ascii="Times New Roman" w:hAnsi="Times New Roman" w:cs="Times New Roman"/>
                <w:color w:val="auto"/>
                <w:szCs w:val="21"/>
              </w:rPr>
              <w:t>/</w:t>
            </w:r>
          </w:p>
        </w:tc>
        <w:tc>
          <w:tcPr>
            <w:tcW w:w="1030" w:type="dxa"/>
            <w:vAlign w:val="center"/>
          </w:tcPr>
          <w:p>
            <w:pPr>
              <w:pStyle w:val="861"/>
              <w:widowControl w:val="0"/>
              <w:snapToGrid/>
              <w:rPr>
                <w:sz w:val="21"/>
                <w:szCs w:val="21"/>
              </w:rPr>
            </w:pPr>
            <w:r>
              <w:rPr>
                <w:rFonts w:hint="eastAsia"/>
                <w:szCs w:val="21"/>
              </w:rPr>
              <w:t>/</w:t>
            </w:r>
          </w:p>
        </w:tc>
        <w:tc>
          <w:tcPr>
            <w:tcW w:w="714" w:type="dxa"/>
            <w:tcBorders>
              <w:right w:val="single" w:color="auto" w:sz="12" w:space="0"/>
            </w:tcBorders>
            <w:vAlign w:val="center"/>
          </w:tcPr>
          <w:p>
            <w:pPr>
              <w:pStyle w:val="861"/>
              <w:widowControl w:val="0"/>
              <w:snapToGrid/>
              <w:rPr>
                <w:sz w:val="21"/>
                <w:szCs w:val="21"/>
              </w:rPr>
            </w:pPr>
            <w:r>
              <w:rPr>
                <w:sz w:val="21"/>
                <w:szCs w:val="21"/>
              </w:rPr>
              <w:t>达标</w:t>
            </w:r>
          </w:p>
        </w:tc>
        <w:tc>
          <w:tcPr>
            <w:tcW w:w="574" w:type="dxa"/>
            <w:tcBorders>
              <w:left w:val="single" w:color="auto" w:sz="12" w:space="0"/>
            </w:tcBorders>
            <w:vAlign w:val="center"/>
          </w:tcPr>
          <w:p>
            <w:pPr>
              <w:pStyle w:val="861"/>
              <w:widowControl w:val="0"/>
              <w:snapToGrid/>
              <w:rPr>
                <w:sz w:val="21"/>
                <w:szCs w:val="21"/>
              </w:rPr>
            </w:pPr>
            <w:r>
              <w:rPr>
                <w:sz w:val="21"/>
                <w:szCs w:val="21"/>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gridAfter w:val="1"/>
          <w:wAfter w:w="6" w:type="dxa"/>
          <w:trHeight w:val="254" w:hRule="atLeast"/>
          <w:jc w:val="center"/>
        </w:trPr>
        <w:tc>
          <w:tcPr>
            <w:tcW w:w="767" w:type="dxa"/>
            <w:vAlign w:val="center"/>
          </w:tcPr>
          <w:p>
            <w:pPr>
              <w:pStyle w:val="861"/>
              <w:widowControl w:val="0"/>
              <w:snapToGrid/>
              <w:rPr>
                <w:sz w:val="21"/>
                <w:szCs w:val="21"/>
              </w:rPr>
            </w:pPr>
            <w:r>
              <w:rPr>
                <w:rFonts w:hint="eastAsia"/>
                <w:sz w:val="21"/>
                <w:szCs w:val="21"/>
              </w:rPr>
              <w:t>西</w:t>
            </w:r>
          </w:p>
        </w:tc>
        <w:tc>
          <w:tcPr>
            <w:tcW w:w="1029" w:type="dxa"/>
            <w:vAlign w:val="center"/>
          </w:tcPr>
          <w:p>
            <w:pPr>
              <w:pStyle w:val="861"/>
              <w:widowControl w:val="0"/>
              <w:snapToGrid/>
              <w:rPr>
                <w:sz w:val="21"/>
                <w:szCs w:val="21"/>
              </w:rPr>
            </w:pPr>
            <w:r>
              <w:rPr>
                <w:sz w:val="21"/>
                <w:szCs w:val="21"/>
              </w:rPr>
              <w:t>53.0</w:t>
            </w:r>
          </w:p>
        </w:tc>
        <w:tc>
          <w:tcPr>
            <w:tcW w:w="1030" w:type="dxa"/>
            <w:vAlign w:val="center"/>
          </w:tcPr>
          <w:p>
            <w:pPr>
              <w:pStyle w:val="2556"/>
              <w:rPr>
                <w:rFonts w:ascii="Times New Roman" w:hAnsi="Times New Roman" w:cs="Times New Roman"/>
                <w:color w:val="auto"/>
                <w:szCs w:val="21"/>
              </w:rPr>
            </w:pPr>
            <w:r>
              <w:rPr>
                <w:rFonts w:ascii="Times New Roman" w:hAnsi="Times New Roman" w:cs="Times New Roman"/>
                <w:color w:val="auto"/>
              </w:rPr>
              <w:t>53.6</w:t>
            </w:r>
          </w:p>
        </w:tc>
        <w:tc>
          <w:tcPr>
            <w:tcW w:w="1030" w:type="dxa"/>
            <w:vAlign w:val="center"/>
          </w:tcPr>
          <w:p>
            <w:pPr>
              <w:pStyle w:val="861"/>
              <w:widowControl w:val="0"/>
              <w:snapToGrid/>
              <w:rPr>
                <w:sz w:val="21"/>
                <w:szCs w:val="21"/>
              </w:rPr>
            </w:pPr>
            <w:r>
              <w:rPr>
                <w:rFonts w:hint="eastAsia"/>
                <w:sz w:val="21"/>
                <w:szCs w:val="21"/>
              </w:rPr>
              <w:t>5</w:t>
            </w:r>
            <w:r>
              <w:rPr>
                <w:sz w:val="21"/>
                <w:szCs w:val="21"/>
              </w:rPr>
              <w:t>6.2</w:t>
            </w:r>
          </w:p>
        </w:tc>
        <w:tc>
          <w:tcPr>
            <w:tcW w:w="669" w:type="dxa"/>
            <w:tcBorders>
              <w:right w:val="single" w:color="auto" w:sz="12" w:space="0"/>
            </w:tcBorders>
            <w:vAlign w:val="center"/>
          </w:tcPr>
          <w:p>
            <w:pPr>
              <w:pStyle w:val="861"/>
              <w:widowControl w:val="0"/>
              <w:snapToGrid/>
              <w:rPr>
                <w:sz w:val="21"/>
                <w:szCs w:val="21"/>
              </w:rPr>
            </w:pPr>
            <w:r>
              <w:rPr>
                <w:sz w:val="21"/>
                <w:szCs w:val="21"/>
              </w:rPr>
              <w:t>达标</w:t>
            </w:r>
          </w:p>
        </w:tc>
        <w:tc>
          <w:tcPr>
            <w:tcW w:w="618" w:type="dxa"/>
            <w:tcBorders>
              <w:left w:val="single" w:color="auto" w:sz="12" w:space="0"/>
            </w:tcBorders>
            <w:vAlign w:val="center"/>
          </w:tcPr>
          <w:p>
            <w:pPr>
              <w:pStyle w:val="861"/>
              <w:widowControl w:val="0"/>
              <w:snapToGrid/>
              <w:rPr>
                <w:sz w:val="21"/>
                <w:szCs w:val="21"/>
              </w:rPr>
            </w:pPr>
            <w:r>
              <w:rPr>
                <w:rFonts w:hint="eastAsia"/>
                <w:sz w:val="21"/>
                <w:szCs w:val="21"/>
              </w:rPr>
              <w:t>7</w:t>
            </w:r>
            <w:r>
              <w:rPr>
                <w:sz w:val="21"/>
                <w:szCs w:val="21"/>
              </w:rPr>
              <w:t>0</w:t>
            </w:r>
          </w:p>
        </w:tc>
        <w:tc>
          <w:tcPr>
            <w:tcW w:w="1030" w:type="dxa"/>
            <w:vAlign w:val="center"/>
          </w:tcPr>
          <w:p>
            <w:pPr>
              <w:pStyle w:val="861"/>
              <w:widowControl w:val="0"/>
              <w:snapToGrid/>
              <w:rPr>
                <w:sz w:val="21"/>
                <w:szCs w:val="21"/>
              </w:rPr>
            </w:pPr>
            <w:r>
              <w:rPr>
                <w:sz w:val="21"/>
                <w:szCs w:val="21"/>
              </w:rPr>
              <w:t>45.7</w:t>
            </w:r>
          </w:p>
        </w:tc>
        <w:tc>
          <w:tcPr>
            <w:tcW w:w="1030" w:type="dxa"/>
            <w:vAlign w:val="center"/>
          </w:tcPr>
          <w:p>
            <w:pPr>
              <w:pStyle w:val="2556"/>
              <w:rPr>
                <w:rFonts w:ascii="Times New Roman" w:hAnsi="Times New Roman" w:cs="Times New Roman"/>
                <w:color w:val="auto"/>
                <w:szCs w:val="21"/>
              </w:rPr>
            </w:pPr>
            <w:r>
              <w:rPr>
                <w:rFonts w:hint="eastAsia" w:ascii="Times New Roman" w:hAnsi="Times New Roman" w:cs="Times New Roman"/>
                <w:color w:val="auto"/>
                <w:szCs w:val="21"/>
              </w:rPr>
              <w:t>/</w:t>
            </w:r>
          </w:p>
        </w:tc>
        <w:tc>
          <w:tcPr>
            <w:tcW w:w="1030" w:type="dxa"/>
            <w:vAlign w:val="center"/>
          </w:tcPr>
          <w:p>
            <w:pPr>
              <w:pStyle w:val="861"/>
              <w:widowControl w:val="0"/>
              <w:snapToGrid/>
              <w:rPr>
                <w:sz w:val="21"/>
                <w:szCs w:val="21"/>
              </w:rPr>
            </w:pPr>
            <w:r>
              <w:rPr>
                <w:rFonts w:hint="eastAsia"/>
                <w:szCs w:val="21"/>
              </w:rPr>
              <w:t>/</w:t>
            </w:r>
          </w:p>
        </w:tc>
        <w:tc>
          <w:tcPr>
            <w:tcW w:w="714" w:type="dxa"/>
            <w:tcBorders>
              <w:right w:val="single" w:color="auto" w:sz="12" w:space="0"/>
            </w:tcBorders>
            <w:vAlign w:val="center"/>
          </w:tcPr>
          <w:p>
            <w:pPr>
              <w:pStyle w:val="861"/>
              <w:widowControl w:val="0"/>
              <w:snapToGrid/>
              <w:rPr>
                <w:sz w:val="21"/>
                <w:szCs w:val="21"/>
              </w:rPr>
            </w:pPr>
            <w:r>
              <w:rPr>
                <w:sz w:val="21"/>
                <w:szCs w:val="21"/>
              </w:rPr>
              <w:t>达标</w:t>
            </w:r>
          </w:p>
        </w:tc>
        <w:tc>
          <w:tcPr>
            <w:tcW w:w="574" w:type="dxa"/>
            <w:tcBorders>
              <w:left w:val="single" w:color="auto" w:sz="12" w:space="0"/>
            </w:tcBorders>
            <w:vAlign w:val="center"/>
          </w:tcPr>
          <w:p>
            <w:pPr>
              <w:pStyle w:val="861"/>
              <w:widowControl w:val="0"/>
              <w:snapToGrid/>
              <w:rPr>
                <w:sz w:val="21"/>
                <w:szCs w:val="21"/>
              </w:rPr>
            </w:pPr>
            <w:r>
              <w:rPr>
                <w:sz w:val="21"/>
                <w:szCs w:val="21"/>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gridAfter w:val="1"/>
          <w:wAfter w:w="6" w:type="dxa"/>
          <w:trHeight w:val="254" w:hRule="atLeast"/>
          <w:jc w:val="center"/>
        </w:trPr>
        <w:tc>
          <w:tcPr>
            <w:tcW w:w="767" w:type="dxa"/>
            <w:vAlign w:val="center"/>
          </w:tcPr>
          <w:p>
            <w:pPr>
              <w:pStyle w:val="861"/>
              <w:widowControl w:val="0"/>
              <w:snapToGrid/>
              <w:rPr>
                <w:sz w:val="21"/>
                <w:szCs w:val="21"/>
              </w:rPr>
            </w:pPr>
            <w:r>
              <w:rPr>
                <w:rFonts w:hint="eastAsia"/>
                <w:sz w:val="21"/>
                <w:szCs w:val="21"/>
              </w:rPr>
              <w:t>北</w:t>
            </w:r>
          </w:p>
        </w:tc>
        <w:tc>
          <w:tcPr>
            <w:tcW w:w="1029" w:type="dxa"/>
            <w:vAlign w:val="center"/>
          </w:tcPr>
          <w:p>
            <w:pPr>
              <w:pStyle w:val="861"/>
              <w:widowControl w:val="0"/>
              <w:snapToGrid/>
              <w:rPr>
                <w:sz w:val="21"/>
                <w:szCs w:val="21"/>
              </w:rPr>
            </w:pPr>
            <w:r>
              <w:rPr>
                <w:sz w:val="21"/>
                <w:szCs w:val="21"/>
              </w:rPr>
              <w:t>53.0</w:t>
            </w:r>
          </w:p>
        </w:tc>
        <w:tc>
          <w:tcPr>
            <w:tcW w:w="1030" w:type="dxa"/>
            <w:vAlign w:val="center"/>
          </w:tcPr>
          <w:p>
            <w:pPr>
              <w:pStyle w:val="2556"/>
              <w:rPr>
                <w:rFonts w:ascii="Times New Roman" w:hAnsi="Times New Roman" w:cs="Times New Roman"/>
                <w:color w:val="auto"/>
                <w:szCs w:val="21"/>
              </w:rPr>
            </w:pPr>
            <w:r>
              <w:rPr>
                <w:rFonts w:ascii="Times New Roman" w:hAnsi="Times New Roman" w:cs="Times New Roman"/>
                <w:color w:val="auto"/>
              </w:rPr>
              <w:t>51.5</w:t>
            </w:r>
          </w:p>
        </w:tc>
        <w:tc>
          <w:tcPr>
            <w:tcW w:w="1030" w:type="dxa"/>
            <w:vAlign w:val="center"/>
          </w:tcPr>
          <w:p>
            <w:pPr>
              <w:pStyle w:val="861"/>
              <w:widowControl w:val="0"/>
              <w:snapToGrid/>
              <w:rPr>
                <w:sz w:val="21"/>
                <w:szCs w:val="21"/>
              </w:rPr>
            </w:pPr>
            <w:r>
              <w:rPr>
                <w:rFonts w:hint="eastAsia"/>
                <w:sz w:val="21"/>
                <w:szCs w:val="21"/>
              </w:rPr>
              <w:t>5</w:t>
            </w:r>
            <w:r>
              <w:rPr>
                <w:sz w:val="21"/>
                <w:szCs w:val="21"/>
              </w:rPr>
              <w:t>5.3</w:t>
            </w:r>
          </w:p>
        </w:tc>
        <w:tc>
          <w:tcPr>
            <w:tcW w:w="669" w:type="dxa"/>
            <w:tcBorders>
              <w:right w:val="single" w:color="auto" w:sz="12" w:space="0"/>
            </w:tcBorders>
            <w:vAlign w:val="center"/>
          </w:tcPr>
          <w:p>
            <w:pPr>
              <w:pStyle w:val="861"/>
              <w:widowControl w:val="0"/>
              <w:snapToGrid/>
              <w:rPr>
                <w:sz w:val="21"/>
                <w:szCs w:val="21"/>
              </w:rPr>
            </w:pPr>
            <w:r>
              <w:rPr>
                <w:sz w:val="21"/>
                <w:szCs w:val="21"/>
              </w:rPr>
              <w:t>达标</w:t>
            </w:r>
          </w:p>
        </w:tc>
        <w:tc>
          <w:tcPr>
            <w:tcW w:w="618" w:type="dxa"/>
            <w:tcBorders>
              <w:left w:val="single" w:color="auto" w:sz="12" w:space="0"/>
            </w:tcBorders>
            <w:vAlign w:val="center"/>
          </w:tcPr>
          <w:p>
            <w:pPr>
              <w:pStyle w:val="861"/>
              <w:widowControl w:val="0"/>
              <w:snapToGrid/>
              <w:rPr>
                <w:sz w:val="21"/>
                <w:szCs w:val="21"/>
              </w:rPr>
            </w:pPr>
            <w:r>
              <w:rPr>
                <w:rFonts w:hint="eastAsia"/>
                <w:sz w:val="21"/>
                <w:szCs w:val="21"/>
              </w:rPr>
              <w:t>6</w:t>
            </w:r>
            <w:r>
              <w:rPr>
                <w:sz w:val="21"/>
                <w:szCs w:val="21"/>
              </w:rPr>
              <w:t>5</w:t>
            </w:r>
          </w:p>
        </w:tc>
        <w:tc>
          <w:tcPr>
            <w:tcW w:w="1030" w:type="dxa"/>
            <w:vAlign w:val="center"/>
          </w:tcPr>
          <w:p>
            <w:pPr>
              <w:pStyle w:val="861"/>
              <w:widowControl w:val="0"/>
              <w:snapToGrid/>
              <w:rPr>
                <w:sz w:val="21"/>
                <w:szCs w:val="21"/>
              </w:rPr>
            </w:pPr>
            <w:r>
              <w:rPr>
                <w:sz w:val="21"/>
                <w:szCs w:val="21"/>
              </w:rPr>
              <w:t>46.1</w:t>
            </w:r>
          </w:p>
        </w:tc>
        <w:tc>
          <w:tcPr>
            <w:tcW w:w="1030" w:type="dxa"/>
            <w:vAlign w:val="center"/>
          </w:tcPr>
          <w:p>
            <w:pPr>
              <w:pStyle w:val="2556"/>
              <w:rPr>
                <w:rFonts w:ascii="Times New Roman" w:hAnsi="Times New Roman" w:cs="Times New Roman"/>
                <w:color w:val="auto"/>
                <w:szCs w:val="21"/>
              </w:rPr>
            </w:pPr>
            <w:r>
              <w:rPr>
                <w:rFonts w:hint="eastAsia" w:ascii="Times New Roman" w:hAnsi="Times New Roman" w:cs="Times New Roman"/>
                <w:color w:val="auto"/>
                <w:szCs w:val="21"/>
              </w:rPr>
              <w:t>/</w:t>
            </w:r>
          </w:p>
        </w:tc>
        <w:tc>
          <w:tcPr>
            <w:tcW w:w="1030" w:type="dxa"/>
            <w:vAlign w:val="center"/>
          </w:tcPr>
          <w:p>
            <w:pPr>
              <w:pStyle w:val="861"/>
              <w:widowControl w:val="0"/>
              <w:snapToGrid/>
              <w:rPr>
                <w:sz w:val="21"/>
                <w:szCs w:val="21"/>
              </w:rPr>
            </w:pPr>
            <w:r>
              <w:rPr>
                <w:rFonts w:hint="eastAsia"/>
                <w:szCs w:val="21"/>
              </w:rPr>
              <w:t>/</w:t>
            </w:r>
          </w:p>
        </w:tc>
        <w:tc>
          <w:tcPr>
            <w:tcW w:w="714" w:type="dxa"/>
            <w:tcBorders>
              <w:right w:val="single" w:color="auto" w:sz="12" w:space="0"/>
            </w:tcBorders>
            <w:vAlign w:val="center"/>
          </w:tcPr>
          <w:p>
            <w:pPr>
              <w:pStyle w:val="861"/>
              <w:widowControl w:val="0"/>
              <w:snapToGrid/>
              <w:rPr>
                <w:sz w:val="21"/>
                <w:szCs w:val="21"/>
              </w:rPr>
            </w:pPr>
            <w:r>
              <w:rPr>
                <w:sz w:val="21"/>
                <w:szCs w:val="21"/>
              </w:rPr>
              <w:t>达标</w:t>
            </w:r>
          </w:p>
        </w:tc>
        <w:tc>
          <w:tcPr>
            <w:tcW w:w="574" w:type="dxa"/>
            <w:tcBorders>
              <w:left w:val="single" w:color="auto" w:sz="12" w:space="0"/>
            </w:tcBorders>
            <w:vAlign w:val="center"/>
          </w:tcPr>
          <w:p>
            <w:pPr>
              <w:pStyle w:val="861"/>
              <w:widowControl w:val="0"/>
              <w:snapToGrid/>
              <w:rPr>
                <w:sz w:val="21"/>
                <w:szCs w:val="21"/>
              </w:rPr>
            </w:pPr>
            <w:r>
              <w:rPr>
                <w:sz w:val="21"/>
                <w:szCs w:val="21"/>
              </w:rPr>
              <w:t>55</w:t>
            </w:r>
          </w:p>
        </w:tc>
      </w:tr>
    </w:tbl>
    <w:p>
      <w:pPr>
        <w:tabs>
          <w:tab w:val="left" w:pos="7125"/>
        </w:tabs>
        <w:spacing w:line="520" w:lineRule="exact"/>
        <w:ind w:firstLine="480"/>
        <w:rPr>
          <w:rFonts w:ascii="Times New Roman" w:hAnsi="Times New Roman" w:cs="Times New Roman"/>
          <w:color w:val="auto"/>
        </w:rPr>
      </w:pPr>
      <w:r>
        <w:rPr>
          <w:rFonts w:ascii="Times New Roman" w:hAnsi="Times New Roman" w:cs="Times New Roman"/>
          <w:color w:val="auto"/>
        </w:rPr>
        <w:t>由上表预测结果表明，项目运营后经采取本评价提出的噪声防治措施并经减震、隔声、距离衰减后边界噪声均</w:t>
      </w:r>
      <w:r>
        <w:rPr>
          <w:rFonts w:ascii="Times New Roman" w:hAnsi="Times New Roman" w:cs="Times New Roman"/>
          <w:bCs/>
          <w:color w:val="auto"/>
        </w:rPr>
        <w:t>能满足</w:t>
      </w:r>
      <w:r>
        <w:rPr>
          <w:rFonts w:ascii="Times New Roman" w:hAnsi="Times New Roman" w:cs="Times New Roman"/>
          <w:color w:val="auto"/>
        </w:rPr>
        <w:t>《工业企业厂界环境噪声排放标准》（GB12348-2008）中3类及4类排放标准要求。</w:t>
      </w:r>
      <w:r>
        <w:rPr>
          <w:rFonts w:hint="eastAsia" w:ascii="Times New Roman" w:hAnsi="Times New Roman" w:cs="Times New Roman"/>
          <w:color w:val="auto"/>
        </w:rPr>
        <w:t>本项目夜间（2</w:t>
      </w:r>
      <w:r>
        <w:rPr>
          <w:rFonts w:ascii="Times New Roman" w:hAnsi="Times New Roman" w:cs="Times New Roman"/>
          <w:color w:val="auto"/>
        </w:rPr>
        <w:t>2</w:t>
      </w:r>
      <w:r>
        <w:rPr>
          <w:rFonts w:hint="eastAsia" w:ascii="Times New Roman" w:hAnsi="Times New Roman" w:cs="Times New Roman"/>
          <w:color w:val="auto"/>
        </w:rPr>
        <w:t>:</w:t>
      </w:r>
      <w:r>
        <w:rPr>
          <w:rFonts w:ascii="Times New Roman" w:hAnsi="Times New Roman" w:cs="Times New Roman"/>
          <w:color w:val="auto"/>
        </w:rPr>
        <w:t>00-6</w:t>
      </w:r>
      <w:r>
        <w:rPr>
          <w:rFonts w:hint="eastAsia" w:ascii="Times New Roman" w:hAnsi="Times New Roman" w:cs="Times New Roman"/>
          <w:color w:val="auto"/>
        </w:rPr>
        <w:t>:</w:t>
      </w:r>
      <w:r>
        <w:rPr>
          <w:rFonts w:ascii="Times New Roman" w:hAnsi="Times New Roman" w:cs="Times New Roman"/>
          <w:color w:val="auto"/>
        </w:rPr>
        <w:t>00</w:t>
      </w:r>
      <w:r>
        <w:rPr>
          <w:rFonts w:hint="eastAsia" w:ascii="Times New Roman" w:hAnsi="Times New Roman" w:cs="Times New Roman"/>
          <w:color w:val="auto"/>
        </w:rPr>
        <w:t>）不进行装卸车及装卸车作业。</w:t>
      </w:r>
      <w:r>
        <w:rPr>
          <w:rFonts w:ascii="Times New Roman" w:hAnsi="Times New Roman" w:cs="Times New Roman"/>
          <w:color w:val="auto"/>
        </w:rPr>
        <w:t>本项目运营后，不改变评价区域声环境质量现状功能级别。</w:t>
      </w:r>
    </w:p>
    <w:p>
      <w:pPr>
        <w:adjustRightInd/>
        <w:snapToGrid/>
        <w:spacing w:line="240" w:lineRule="auto"/>
        <w:ind w:firstLine="0" w:firstLineChars="0"/>
        <w:jc w:val="center"/>
      </w:pPr>
      <w:r>
        <w:drawing>
          <wp:inline distT="0" distB="0" distL="0" distR="0">
            <wp:extent cx="5922645" cy="4157345"/>
            <wp:effectExtent l="0" t="0" r="0" b="0"/>
            <wp:docPr id="10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7" name="图片 1"/>
                    <pic:cNvPicPr>
                      <a:picLocks noChangeAspect="true" noChangeArrowheads="true"/>
                    </pic:cNvPicPr>
                  </pic:nvPicPr>
                  <pic:blipFill>
                    <a:blip r:embed="rId188" cstate="print"/>
                    <a:srcRect/>
                    <a:stretch>
                      <a:fillRect/>
                    </a:stretch>
                  </pic:blipFill>
                  <pic:spPr>
                    <a:xfrm>
                      <a:off x="0" y="0"/>
                      <a:ext cx="5922645" cy="4157345"/>
                    </a:xfrm>
                    <a:prstGeom prst="rect">
                      <a:avLst/>
                    </a:prstGeom>
                    <a:noFill/>
                    <a:ln>
                      <a:noFill/>
                    </a:ln>
                  </pic:spPr>
                </pic:pic>
              </a:graphicData>
            </a:graphic>
          </wp:inline>
        </w:drawing>
      </w:r>
    </w:p>
    <w:p>
      <w:pPr>
        <w:pStyle w:val="1429"/>
        <w:spacing w:line="240" w:lineRule="auto"/>
        <w:ind w:firstLine="422"/>
        <w:rPr>
          <w:rFonts w:ascii="Times New Roman" w:hAnsi="Times New Roman"/>
          <w:color w:val="auto"/>
        </w:rPr>
      </w:pPr>
      <w:r>
        <w:rPr>
          <w:rFonts w:hint="eastAsia" w:ascii="Times New Roman" w:hAnsi="Times New Roman"/>
          <w:color w:val="auto"/>
        </w:rPr>
        <w:t>图</w:t>
      </w:r>
      <w:r>
        <w:rPr>
          <w:rFonts w:ascii="Times New Roman" w:hAnsi="Times New Roman"/>
          <w:color w:val="auto"/>
        </w:rPr>
        <w:t xml:space="preserve">5.4-1     </w:t>
      </w:r>
      <w:r>
        <w:rPr>
          <w:rFonts w:hint="eastAsia" w:ascii="Times New Roman" w:hAnsi="Times New Roman"/>
          <w:color w:val="auto"/>
        </w:rPr>
        <w:t>本项目噪声预测等值线图（单位：</w:t>
      </w:r>
      <w:r>
        <w:rPr>
          <w:rFonts w:ascii="Times New Roman" w:hAnsi="Times New Roman"/>
          <w:color w:val="auto"/>
        </w:rPr>
        <w:t>dB(A)</w:t>
      </w:r>
      <w:r>
        <w:rPr>
          <w:rFonts w:hint="eastAsia" w:ascii="Times New Roman" w:hAnsi="Times New Roman"/>
          <w:color w:val="auto"/>
        </w:rPr>
        <w:t xml:space="preserve"> ）</w:t>
      </w:r>
    </w:p>
    <w:p>
      <w:pPr>
        <w:adjustRightInd/>
        <w:snapToGrid/>
        <w:spacing w:line="240" w:lineRule="auto"/>
        <w:ind w:firstLine="0" w:firstLineChars="0"/>
        <w:jc w:val="center"/>
      </w:pPr>
    </w:p>
    <w:p>
      <w:pPr>
        <w:pStyle w:val="5"/>
        <w:keepNext w:val="0"/>
        <w:keepLines w:val="0"/>
        <w:numPr>
          <w:ilvl w:val="3"/>
          <w:numId w:val="0"/>
        </w:numPr>
        <w:tabs>
          <w:tab w:val="left" w:pos="1080"/>
        </w:tabs>
        <w:spacing w:after="0" w:line="360" w:lineRule="auto"/>
        <w:rPr>
          <w:rFonts w:ascii="Times New Roman" w:hAnsi="Times New Roman" w:eastAsia="宋体" w:cs="Times New Roman"/>
          <w:color w:val="auto"/>
          <w:spacing w:val="-2"/>
          <w:sz w:val="24"/>
          <w:szCs w:val="22"/>
        </w:rPr>
      </w:pPr>
      <w:r>
        <w:rPr>
          <w:rFonts w:ascii="Times New Roman" w:hAnsi="Times New Roman" w:eastAsia="宋体" w:cs="Times New Roman"/>
          <w:color w:val="auto"/>
          <w:spacing w:val="-2"/>
          <w:sz w:val="24"/>
          <w:szCs w:val="22"/>
        </w:rPr>
        <w:t>5.4.1.2 预测结果</w:t>
      </w:r>
    </w:p>
    <w:p>
      <w:pPr>
        <w:adjustRightInd/>
        <w:snapToGrid/>
        <w:spacing w:line="240" w:lineRule="auto"/>
        <w:ind w:firstLine="0" w:firstLineChars="0"/>
        <w:jc w:val="center"/>
        <w:rPr>
          <w:rFonts w:ascii="Times New Roman" w:hAnsi="Times New Roman" w:cs="Times New Roman"/>
          <w:b/>
          <w:color w:val="auto"/>
          <w:sz w:val="21"/>
          <w:szCs w:val="21"/>
        </w:rPr>
      </w:pPr>
      <w:r>
        <w:rPr>
          <w:rFonts w:hint="eastAsia"/>
        </w:rPr>
        <w:t>表</w:t>
      </w:r>
      <w:r>
        <w:rPr>
          <w:rFonts w:hint="eastAsia" w:ascii="Times New Roman" w:hAnsi="Times New Roman" w:cs="Times New Roman"/>
          <w:b/>
          <w:color w:val="auto"/>
          <w:sz w:val="21"/>
          <w:szCs w:val="21"/>
        </w:rPr>
        <w:t>5.</w:t>
      </w:r>
      <w:r>
        <w:rPr>
          <w:rFonts w:ascii="Times New Roman" w:hAnsi="Times New Roman" w:cs="Times New Roman"/>
          <w:b/>
          <w:color w:val="auto"/>
          <w:sz w:val="21"/>
          <w:szCs w:val="21"/>
        </w:rPr>
        <w:t>4</w:t>
      </w:r>
      <w:r>
        <w:rPr>
          <w:rFonts w:hint="eastAsia" w:ascii="Times New Roman" w:hAnsi="Times New Roman" w:cs="Times New Roman"/>
          <w:b/>
          <w:color w:val="auto"/>
          <w:sz w:val="21"/>
          <w:szCs w:val="21"/>
        </w:rPr>
        <w:t>-1  声环境影响评价自查表</w:t>
      </w:r>
    </w:p>
    <w:tbl>
      <w:tblPr>
        <w:tblStyle w:val="62"/>
        <w:tblW w:w="9070" w:type="dxa"/>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010"/>
        <w:gridCol w:w="1591"/>
        <w:gridCol w:w="934"/>
        <w:gridCol w:w="555"/>
        <w:gridCol w:w="555"/>
        <w:gridCol w:w="1079"/>
        <w:gridCol w:w="686"/>
        <w:gridCol w:w="450"/>
        <w:gridCol w:w="555"/>
        <w:gridCol w:w="512"/>
        <w:gridCol w:w="114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6" w:hRule="atLeast"/>
        </w:trPr>
        <w:tc>
          <w:tcPr>
            <w:tcW w:w="2601" w:type="dxa"/>
            <w:gridSpan w:val="2"/>
            <w:tcBorders>
              <w:top w:val="single" w:color="auto" w:sz="12"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工作内容</w:t>
            </w:r>
          </w:p>
        </w:tc>
        <w:tc>
          <w:tcPr>
            <w:tcW w:w="6469" w:type="dxa"/>
            <w:gridSpan w:val="9"/>
            <w:tcBorders>
              <w:top w:val="single" w:color="auto" w:sz="12"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自查项目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5" w:hRule="atLeast"/>
        </w:trPr>
        <w:tc>
          <w:tcPr>
            <w:tcW w:w="1010" w:type="dxa"/>
            <w:vMerge w:val="restart"/>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评价等级与范围</w:t>
            </w: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评价等级</w:t>
            </w:r>
          </w:p>
        </w:tc>
        <w:tc>
          <w:tcPr>
            <w:tcW w:w="6469" w:type="dxa"/>
            <w:gridSpan w:val="9"/>
            <w:tcBorders>
              <w:top w:val="single" w:color="auto" w:sz="4" w:space="0"/>
              <w:left w:val="single" w:color="auto" w:sz="4" w:space="0"/>
              <w:bottom w:val="single" w:color="auto" w:sz="4" w:space="0"/>
              <w:right w:val="nil"/>
            </w:tcBorders>
            <w:vAlign w:val="center"/>
          </w:tcPr>
          <w:p>
            <w:pPr>
              <w:tabs>
                <w:tab w:val="left" w:pos="2103"/>
                <w:tab w:val="left" w:pos="3635"/>
              </w:tabs>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一级□</w:t>
            </w:r>
            <w:r>
              <w:rPr>
                <w:rFonts w:ascii="Times New Roman" w:hAnsi="Times New Roman" w:cs="Times New Roman"/>
                <w:color w:val="auto"/>
                <w:kern w:val="0"/>
                <w:sz w:val="18"/>
                <w:szCs w:val="18"/>
                <w:lang w:eastAsia="en-US"/>
              </w:rPr>
              <w:tab/>
            </w:r>
            <w:r>
              <w:rPr>
                <w:rFonts w:ascii="Times New Roman" w:hAnsi="Times New Roman" w:cs="Times New Roman"/>
                <w:color w:val="auto"/>
                <w:kern w:val="0"/>
                <w:sz w:val="18"/>
                <w:szCs w:val="18"/>
                <w:lang w:eastAsia="en-US"/>
              </w:rPr>
              <w:t>二</w:t>
            </w:r>
            <w:r>
              <w:rPr>
                <w:rFonts w:ascii="Times New Roman" w:hAnsi="Times New Roman" w:cs="Times New Roman"/>
                <w:color w:val="auto"/>
                <w:spacing w:val="-3"/>
                <w:kern w:val="0"/>
                <w:sz w:val="18"/>
                <w:szCs w:val="18"/>
                <w:lang w:eastAsia="en-US"/>
              </w:rPr>
              <w:t>级</w:t>
            </w:r>
            <w:r>
              <w:rPr>
                <w:rFonts w:ascii="Times New Roman" w:hAnsi="Times New Roman" w:cs="Times New Roman"/>
                <w:color w:val="auto"/>
                <w:kern w:val="0"/>
                <w:sz w:val="18"/>
                <w:szCs w:val="18"/>
                <w:lang w:eastAsia="en-US"/>
              </w:rPr>
              <w:t>□</w:t>
            </w:r>
            <w:r>
              <w:rPr>
                <w:rFonts w:ascii="Times New Roman" w:hAnsi="Times New Roman" w:cs="Times New Roman"/>
                <w:color w:val="auto"/>
                <w:kern w:val="0"/>
                <w:sz w:val="18"/>
                <w:szCs w:val="18"/>
                <w:lang w:eastAsia="en-US"/>
              </w:rPr>
              <w:tab/>
            </w:r>
            <w:r>
              <w:rPr>
                <w:rFonts w:ascii="Times New Roman" w:hAnsi="Times New Roman" w:cs="Times New Roman"/>
                <w:color w:val="auto"/>
                <w:kern w:val="0"/>
                <w:sz w:val="18"/>
                <w:szCs w:val="18"/>
                <w:lang w:eastAsia="en-US"/>
              </w:rPr>
              <w:t>三级</w:t>
            </w:r>
            <w:r>
              <w:rPr>
                <w:rFonts w:ascii="Times New Roman" w:hAnsi="Times New Roman" w:cs="Times New Roman"/>
                <w:color w:val="auto"/>
                <w:kern w:val="0"/>
                <w:sz w:val="18"/>
                <w:szCs w:val="18"/>
                <w:lang w:eastAsia="en-US"/>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4" w:hRule="atLeast"/>
        </w:trPr>
        <w:tc>
          <w:tcPr>
            <w:tcW w:w="1010" w:type="dxa"/>
            <w:vMerge w:val="continue"/>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评价范围</w:t>
            </w:r>
          </w:p>
        </w:tc>
        <w:tc>
          <w:tcPr>
            <w:tcW w:w="6469" w:type="dxa"/>
            <w:gridSpan w:val="9"/>
            <w:tcBorders>
              <w:top w:val="single" w:color="auto" w:sz="4" w:space="0"/>
              <w:left w:val="single" w:color="auto" w:sz="4" w:space="0"/>
              <w:bottom w:val="single" w:color="auto" w:sz="4" w:space="0"/>
              <w:right w:val="nil"/>
            </w:tcBorders>
            <w:vAlign w:val="center"/>
          </w:tcPr>
          <w:p>
            <w:pPr>
              <w:tabs>
                <w:tab w:val="left" w:pos="2384"/>
                <w:tab w:val="left" w:pos="5315"/>
              </w:tabs>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200</w:t>
            </w:r>
            <w:r>
              <w:rPr>
                <w:rFonts w:ascii="Times New Roman" w:hAnsi="Times New Roman" w:cs="Times New Roman"/>
                <w:color w:val="auto"/>
                <w:spacing w:val="-2"/>
                <w:kern w:val="0"/>
                <w:sz w:val="18"/>
                <w:szCs w:val="18"/>
                <w:lang w:eastAsia="en-US"/>
              </w:rPr>
              <w:t xml:space="preserve"> </w:t>
            </w:r>
            <w:r>
              <w:rPr>
                <w:rFonts w:ascii="Times New Roman" w:hAnsi="Times New Roman" w:cs="Times New Roman"/>
                <w:color w:val="auto"/>
                <w:kern w:val="0"/>
                <w:sz w:val="18"/>
                <w:szCs w:val="18"/>
                <w:lang w:eastAsia="en-US"/>
              </w:rPr>
              <w:t>m</w:t>
            </w:r>
            <w:r>
              <w:rPr>
                <w:rFonts w:ascii="Times New Roman" w:hAnsi="Times New Roman" w:cs="Times New Roman"/>
                <w:color w:val="auto"/>
                <w:kern w:val="0"/>
                <w:sz w:val="18"/>
                <w:szCs w:val="18"/>
                <w:lang w:eastAsia="en-US"/>
              </w:rPr>
              <w:sym w:font="Wingdings 2" w:char="0052"/>
            </w:r>
            <w:r>
              <w:rPr>
                <w:rFonts w:ascii="Times New Roman" w:hAnsi="Times New Roman" w:cs="Times New Roman"/>
                <w:color w:val="auto"/>
                <w:kern w:val="0"/>
                <w:sz w:val="18"/>
                <w:szCs w:val="18"/>
                <w:lang w:eastAsia="en-US"/>
              </w:rPr>
              <w:tab/>
            </w:r>
            <w:r>
              <w:rPr>
                <w:rFonts w:ascii="Times New Roman" w:hAnsi="Times New Roman" w:cs="Times New Roman"/>
                <w:color w:val="auto"/>
                <w:spacing w:val="-3"/>
                <w:kern w:val="0"/>
                <w:sz w:val="18"/>
                <w:szCs w:val="18"/>
                <w:lang w:eastAsia="en-US"/>
              </w:rPr>
              <w:t>大</w:t>
            </w:r>
            <w:r>
              <w:rPr>
                <w:rFonts w:ascii="Times New Roman" w:hAnsi="Times New Roman" w:cs="Times New Roman"/>
                <w:color w:val="auto"/>
                <w:kern w:val="0"/>
                <w:sz w:val="18"/>
                <w:szCs w:val="18"/>
                <w:lang w:eastAsia="en-US"/>
              </w:rPr>
              <w:t>于</w:t>
            </w:r>
            <w:r>
              <w:rPr>
                <w:rFonts w:ascii="Times New Roman" w:hAnsi="Times New Roman" w:cs="Times New Roman"/>
                <w:color w:val="auto"/>
                <w:spacing w:val="-46"/>
                <w:kern w:val="0"/>
                <w:sz w:val="18"/>
                <w:szCs w:val="18"/>
                <w:lang w:eastAsia="en-US"/>
              </w:rPr>
              <w:t xml:space="preserve"> </w:t>
            </w:r>
            <w:r>
              <w:rPr>
                <w:rFonts w:ascii="Times New Roman" w:hAnsi="Times New Roman" w:cs="Times New Roman"/>
                <w:color w:val="auto"/>
                <w:kern w:val="0"/>
                <w:sz w:val="18"/>
                <w:szCs w:val="18"/>
                <w:lang w:eastAsia="en-US"/>
              </w:rPr>
              <w:t>200 m□</w:t>
            </w:r>
            <w:r>
              <w:rPr>
                <w:rFonts w:ascii="Times New Roman" w:hAnsi="Times New Roman" w:cs="Times New Roman"/>
                <w:color w:val="auto"/>
                <w:kern w:val="0"/>
                <w:sz w:val="18"/>
                <w:szCs w:val="18"/>
                <w:lang w:eastAsia="en-US"/>
              </w:rPr>
              <w:tab/>
            </w:r>
            <w:r>
              <w:rPr>
                <w:rFonts w:ascii="Times New Roman" w:hAnsi="Times New Roman" w:cs="Times New Roman"/>
                <w:color w:val="auto"/>
                <w:kern w:val="0"/>
                <w:sz w:val="18"/>
                <w:szCs w:val="18"/>
                <w:lang w:eastAsia="en-US"/>
              </w:rPr>
              <w:t>小于</w:t>
            </w:r>
            <w:r>
              <w:rPr>
                <w:rFonts w:ascii="Times New Roman" w:hAnsi="Times New Roman" w:cs="Times New Roman"/>
                <w:color w:val="auto"/>
                <w:spacing w:val="-48"/>
                <w:kern w:val="0"/>
                <w:sz w:val="18"/>
                <w:szCs w:val="18"/>
                <w:lang w:eastAsia="en-US"/>
              </w:rPr>
              <w:t xml:space="preserve"> </w:t>
            </w:r>
            <w:r>
              <w:rPr>
                <w:rFonts w:ascii="Times New Roman" w:hAnsi="Times New Roman" w:cs="Times New Roman"/>
                <w:color w:val="auto"/>
                <w:kern w:val="0"/>
                <w:sz w:val="18"/>
                <w:szCs w:val="18"/>
                <w:lang w:eastAsia="en-US"/>
              </w:rPr>
              <w:t>200 m□</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72" w:hRule="atLeast"/>
        </w:trPr>
        <w:tc>
          <w:tcPr>
            <w:tcW w:w="1010" w:type="dxa"/>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评价因子</w:t>
            </w: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评价因子</w:t>
            </w:r>
          </w:p>
        </w:tc>
        <w:tc>
          <w:tcPr>
            <w:tcW w:w="2044" w:type="dxa"/>
            <w:gridSpan w:val="3"/>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等效连续 A 声级</w:t>
            </w:r>
            <w:r>
              <w:rPr>
                <w:rFonts w:ascii="Times New Roman" w:hAnsi="Times New Roman" w:cs="Times New Roman"/>
                <w:color w:val="auto"/>
                <w:kern w:val="0"/>
                <w:sz w:val="18"/>
                <w:szCs w:val="18"/>
                <w:lang w:eastAsia="en-US"/>
              </w:rPr>
              <w:sym w:font="Wingdings 2" w:char="0052"/>
            </w:r>
          </w:p>
        </w:tc>
        <w:tc>
          <w:tcPr>
            <w:tcW w:w="1765" w:type="dxa"/>
            <w:gridSpan w:val="2"/>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最大 A 声级□</w:t>
            </w:r>
          </w:p>
        </w:tc>
        <w:tc>
          <w:tcPr>
            <w:tcW w:w="2660" w:type="dxa"/>
            <w:gridSpan w:val="4"/>
            <w:tcBorders>
              <w:top w:val="single" w:color="auto" w:sz="4"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计权等效连续感觉噪声级□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0" w:hRule="atLeast"/>
        </w:trPr>
        <w:tc>
          <w:tcPr>
            <w:tcW w:w="1010" w:type="dxa"/>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评价标准</w:t>
            </w: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评价标准</w:t>
            </w:r>
          </w:p>
        </w:tc>
        <w:tc>
          <w:tcPr>
            <w:tcW w:w="2044" w:type="dxa"/>
            <w:gridSpan w:val="3"/>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国家标准</w:t>
            </w:r>
            <w:r>
              <w:rPr>
                <w:rFonts w:ascii="Times New Roman" w:hAnsi="Times New Roman" w:cs="Times New Roman"/>
                <w:color w:val="auto"/>
                <w:kern w:val="0"/>
                <w:sz w:val="18"/>
                <w:szCs w:val="18"/>
                <w:lang w:eastAsia="en-US"/>
              </w:rPr>
              <w:sym w:font="Wingdings 2" w:char="0052"/>
            </w:r>
          </w:p>
        </w:tc>
        <w:tc>
          <w:tcPr>
            <w:tcW w:w="1765" w:type="dxa"/>
            <w:gridSpan w:val="2"/>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地方标准□</w:t>
            </w:r>
          </w:p>
        </w:tc>
        <w:tc>
          <w:tcPr>
            <w:tcW w:w="2660" w:type="dxa"/>
            <w:gridSpan w:val="4"/>
            <w:tcBorders>
              <w:top w:val="single" w:color="auto" w:sz="4"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国外标准□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7" w:hRule="atLeast"/>
        </w:trPr>
        <w:tc>
          <w:tcPr>
            <w:tcW w:w="1010" w:type="dxa"/>
            <w:vMerge w:val="restart"/>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p>
          <w:p>
            <w:pPr>
              <w:adjustRightInd/>
              <w:spacing w:line="240" w:lineRule="auto"/>
              <w:ind w:firstLine="0" w:firstLineChars="0"/>
              <w:jc w:val="center"/>
              <w:rPr>
                <w:rFonts w:ascii="Times New Roman" w:hAnsi="Times New Roman" w:cs="Times New Roman"/>
                <w:color w:val="auto"/>
                <w:kern w:val="0"/>
                <w:sz w:val="18"/>
                <w:szCs w:val="18"/>
                <w:lang w:eastAsia="en-US"/>
              </w:rPr>
            </w:pPr>
          </w:p>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现状评价</w:t>
            </w: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环境功能区</w:t>
            </w:r>
          </w:p>
        </w:tc>
        <w:tc>
          <w:tcPr>
            <w:tcW w:w="934"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0 类区□</w:t>
            </w:r>
          </w:p>
        </w:tc>
        <w:tc>
          <w:tcPr>
            <w:tcW w:w="1110" w:type="dxa"/>
            <w:gridSpan w:val="2"/>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1 类区□</w:t>
            </w:r>
          </w:p>
        </w:tc>
        <w:tc>
          <w:tcPr>
            <w:tcW w:w="1079"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2 类区□</w:t>
            </w:r>
          </w:p>
        </w:tc>
        <w:tc>
          <w:tcPr>
            <w:tcW w:w="1136" w:type="dxa"/>
            <w:gridSpan w:val="2"/>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3 类区</w:t>
            </w:r>
            <w:r>
              <w:rPr>
                <w:rFonts w:ascii="Times New Roman" w:hAnsi="Times New Roman" w:cs="Times New Roman"/>
                <w:color w:val="auto"/>
                <w:kern w:val="0"/>
                <w:sz w:val="18"/>
                <w:szCs w:val="18"/>
                <w:lang w:eastAsia="en-US"/>
              </w:rPr>
              <w:sym w:font="Wingdings 2" w:char="0052"/>
            </w:r>
          </w:p>
        </w:tc>
        <w:tc>
          <w:tcPr>
            <w:tcW w:w="1067" w:type="dxa"/>
            <w:gridSpan w:val="2"/>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4a 类区</w:t>
            </w:r>
            <w:r>
              <w:rPr>
                <w:rFonts w:ascii="Times New Roman" w:hAnsi="Times New Roman" w:cs="Times New Roman"/>
                <w:color w:val="auto"/>
                <w:kern w:val="0"/>
                <w:sz w:val="18"/>
                <w:szCs w:val="18"/>
                <w:lang w:eastAsia="en-US"/>
              </w:rPr>
              <w:sym w:font="Wingdings 2" w:char="0052"/>
            </w:r>
          </w:p>
        </w:tc>
        <w:tc>
          <w:tcPr>
            <w:tcW w:w="1143" w:type="dxa"/>
            <w:tcBorders>
              <w:top w:val="single" w:color="auto" w:sz="4"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4b 类区□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4" w:hRule="atLeast"/>
        </w:trPr>
        <w:tc>
          <w:tcPr>
            <w:tcW w:w="1010" w:type="dxa"/>
            <w:vMerge w:val="continue"/>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评价年度</w:t>
            </w:r>
          </w:p>
        </w:tc>
        <w:tc>
          <w:tcPr>
            <w:tcW w:w="1489" w:type="dxa"/>
            <w:gridSpan w:val="2"/>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初期□</w:t>
            </w:r>
          </w:p>
        </w:tc>
        <w:tc>
          <w:tcPr>
            <w:tcW w:w="1634" w:type="dxa"/>
            <w:gridSpan w:val="2"/>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近期</w:t>
            </w:r>
            <w:r>
              <w:rPr>
                <w:rFonts w:ascii="Times New Roman" w:hAnsi="Times New Roman" w:cs="Times New Roman"/>
                <w:color w:val="auto"/>
                <w:kern w:val="0"/>
                <w:sz w:val="18"/>
                <w:szCs w:val="18"/>
                <w:lang w:eastAsia="en-US"/>
              </w:rPr>
              <w:sym w:font="Wingdings 2" w:char="0052"/>
            </w:r>
          </w:p>
        </w:tc>
        <w:tc>
          <w:tcPr>
            <w:tcW w:w="1691" w:type="dxa"/>
            <w:gridSpan w:val="3"/>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中期□</w:t>
            </w:r>
          </w:p>
        </w:tc>
        <w:tc>
          <w:tcPr>
            <w:tcW w:w="1655" w:type="dxa"/>
            <w:gridSpan w:val="2"/>
            <w:tcBorders>
              <w:top w:val="single" w:color="auto" w:sz="4"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远期□</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82" w:hRule="atLeast"/>
        </w:trPr>
        <w:tc>
          <w:tcPr>
            <w:tcW w:w="1010" w:type="dxa"/>
            <w:vMerge w:val="continue"/>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现状调查方法</w:t>
            </w:r>
          </w:p>
        </w:tc>
        <w:tc>
          <w:tcPr>
            <w:tcW w:w="2044" w:type="dxa"/>
            <w:gridSpan w:val="3"/>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现场实测法</w:t>
            </w:r>
            <w:r>
              <w:rPr>
                <w:rFonts w:ascii="Times New Roman" w:hAnsi="Times New Roman" w:cs="Times New Roman"/>
                <w:color w:val="auto"/>
                <w:kern w:val="0"/>
                <w:sz w:val="18"/>
                <w:szCs w:val="18"/>
                <w:lang w:eastAsia="en-US"/>
              </w:rPr>
              <w:sym w:font="Wingdings 2" w:char="0052"/>
            </w:r>
          </w:p>
        </w:tc>
        <w:tc>
          <w:tcPr>
            <w:tcW w:w="2770" w:type="dxa"/>
            <w:gridSpan w:val="4"/>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现场实测加模型计算法□</w:t>
            </w:r>
          </w:p>
        </w:tc>
        <w:tc>
          <w:tcPr>
            <w:tcW w:w="1655" w:type="dxa"/>
            <w:gridSpan w:val="2"/>
            <w:tcBorders>
              <w:top w:val="single" w:color="auto" w:sz="4"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收集资料□</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4" w:hRule="atLeast"/>
        </w:trPr>
        <w:tc>
          <w:tcPr>
            <w:tcW w:w="1010" w:type="dxa"/>
            <w:vMerge w:val="continue"/>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现状评价</w:t>
            </w:r>
          </w:p>
        </w:tc>
        <w:tc>
          <w:tcPr>
            <w:tcW w:w="2044" w:type="dxa"/>
            <w:gridSpan w:val="3"/>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达标百分比</w:t>
            </w:r>
          </w:p>
        </w:tc>
        <w:tc>
          <w:tcPr>
            <w:tcW w:w="4425" w:type="dxa"/>
            <w:gridSpan w:val="6"/>
            <w:tcBorders>
              <w:top w:val="single" w:color="auto" w:sz="4"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hint="eastAsia" w:ascii="Times New Roman" w:hAnsi="Times New Roman" w:cs="Times New Roman"/>
                <w:color w:val="auto"/>
                <w:kern w:val="0"/>
                <w:sz w:val="18"/>
                <w:szCs w:val="18"/>
              </w:rPr>
              <w:t>100%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9" w:hRule="atLeast"/>
        </w:trPr>
        <w:tc>
          <w:tcPr>
            <w:tcW w:w="1010" w:type="dxa"/>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噪声源调查</w:t>
            </w: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噪声源调查方法</w:t>
            </w:r>
          </w:p>
        </w:tc>
        <w:tc>
          <w:tcPr>
            <w:tcW w:w="2044" w:type="dxa"/>
            <w:gridSpan w:val="3"/>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现场实测□</w:t>
            </w:r>
          </w:p>
        </w:tc>
        <w:tc>
          <w:tcPr>
            <w:tcW w:w="2770" w:type="dxa"/>
            <w:gridSpan w:val="4"/>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已有资料</w:t>
            </w:r>
            <w:r>
              <w:rPr>
                <w:rFonts w:ascii="Times New Roman" w:hAnsi="Times New Roman" w:cs="Times New Roman"/>
                <w:color w:val="auto"/>
                <w:kern w:val="0"/>
                <w:sz w:val="18"/>
                <w:szCs w:val="18"/>
                <w:lang w:eastAsia="en-US"/>
              </w:rPr>
              <w:sym w:font="Wingdings 2" w:char="0052"/>
            </w:r>
          </w:p>
        </w:tc>
        <w:tc>
          <w:tcPr>
            <w:tcW w:w="1655" w:type="dxa"/>
            <w:gridSpan w:val="2"/>
            <w:tcBorders>
              <w:top w:val="single" w:color="auto" w:sz="4"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研究成果□</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40" w:hRule="atLeast"/>
        </w:trPr>
        <w:tc>
          <w:tcPr>
            <w:tcW w:w="1010" w:type="dxa"/>
            <w:vMerge w:val="restart"/>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rPr>
            </w:pPr>
          </w:p>
          <w:p>
            <w:pPr>
              <w:adjustRightInd/>
              <w:spacing w:line="240" w:lineRule="auto"/>
              <w:ind w:firstLine="0" w:firstLineChars="0"/>
              <w:jc w:val="center"/>
              <w:rPr>
                <w:rFonts w:ascii="Times New Roman" w:hAnsi="Times New Roman" w:cs="Times New Roman"/>
                <w:color w:val="auto"/>
                <w:kern w:val="0"/>
                <w:sz w:val="18"/>
                <w:szCs w:val="18"/>
              </w:rPr>
            </w:pPr>
          </w:p>
          <w:p>
            <w:pPr>
              <w:adjustRightInd/>
              <w:spacing w:line="240" w:lineRule="auto"/>
              <w:ind w:firstLine="0" w:firstLineChars="0"/>
              <w:jc w:val="center"/>
              <w:rPr>
                <w:rFonts w:ascii="Times New Roman" w:hAnsi="Times New Roman" w:cs="Times New Roman"/>
                <w:color w:val="auto"/>
                <w:kern w:val="0"/>
                <w:sz w:val="18"/>
                <w:szCs w:val="18"/>
              </w:rPr>
            </w:pPr>
          </w:p>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声环境影响预测与评价</w:t>
            </w: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预测模型</w:t>
            </w:r>
          </w:p>
        </w:tc>
        <w:tc>
          <w:tcPr>
            <w:tcW w:w="3809" w:type="dxa"/>
            <w:gridSpan w:val="5"/>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导则推荐模型</w:t>
            </w:r>
            <w:r>
              <w:rPr>
                <w:rFonts w:ascii="Times New Roman" w:hAnsi="Times New Roman" w:cs="Times New Roman"/>
                <w:color w:val="auto"/>
                <w:kern w:val="0"/>
                <w:sz w:val="18"/>
                <w:szCs w:val="18"/>
                <w:lang w:eastAsia="en-US"/>
              </w:rPr>
              <w:sym w:font="Wingdings 2" w:char="0052"/>
            </w:r>
          </w:p>
        </w:tc>
        <w:tc>
          <w:tcPr>
            <w:tcW w:w="2660" w:type="dxa"/>
            <w:gridSpan w:val="4"/>
            <w:tcBorders>
              <w:top w:val="single" w:color="auto" w:sz="4" w:space="0"/>
              <w:left w:val="single" w:color="auto" w:sz="4" w:space="0"/>
              <w:bottom w:val="single" w:color="auto" w:sz="4" w:space="0"/>
              <w:right w:val="nil"/>
            </w:tcBorders>
            <w:vAlign w:val="center"/>
          </w:tcPr>
          <w:p>
            <w:pPr>
              <w:tabs>
                <w:tab w:val="left" w:pos="1633"/>
              </w:tabs>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其他□</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94" w:hRule="atLeast"/>
        </w:trPr>
        <w:tc>
          <w:tcPr>
            <w:tcW w:w="1010" w:type="dxa"/>
            <w:vMerge w:val="continue"/>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预测范围</w:t>
            </w:r>
          </w:p>
        </w:tc>
        <w:tc>
          <w:tcPr>
            <w:tcW w:w="2044" w:type="dxa"/>
            <w:gridSpan w:val="3"/>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200 m</w:t>
            </w:r>
            <w:r>
              <w:rPr>
                <w:rFonts w:ascii="Times New Roman" w:hAnsi="Times New Roman" w:cs="Times New Roman"/>
                <w:color w:val="auto"/>
                <w:kern w:val="0"/>
                <w:sz w:val="18"/>
                <w:szCs w:val="18"/>
                <w:lang w:eastAsia="en-US"/>
              </w:rPr>
              <w:sym w:font="Wingdings 2" w:char="0052"/>
            </w:r>
          </w:p>
        </w:tc>
        <w:tc>
          <w:tcPr>
            <w:tcW w:w="1765" w:type="dxa"/>
            <w:gridSpan w:val="2"/>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大于 200 m□</w:t>
            </w:r>
          </w:p>
        </w:tc>
        <w:tc>
          <w:tcPr>
            <w:tcW w:w="450"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p>
        </w:tc>
        <w:tc>
          <w:tcPr>
            <w:tcW w:w="2210" w:type="dxa"/>
            <w:gridSpan w:val="3"/>
            <w:tcBorders>
              <w:top w:val="single" w:color="auto" w:sz="4"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小于 200 m□</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4" w:hRule="atLeast"/>
        </w:trPr>
        <w:tc>
          <w:tcPr>
            <w:tcW w:w="1010" w:type="dxa"/>
            <w:vMerge w:val="continue"/>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预测因子</w:t>
            </w:r>
          </w:p>
        </w:tc>
        <w:tc>
          <w:tcPr>
            <w:tcW w:w="2044" w:type="dxa"/>
            <w:gridSpan w:val="3"/>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等效连续 A 声级</w:t>
            </w:r>
            <w:r>
              <w:rPr>
                <w:rFonts w:ascii="Times New Roman" w:hAnsi="Times New Roman" w:cs="Times New Roman"/>
                <w:color w:val="auto"/>
                <w:kern w:val="0"/>
                <w:sz w:val="18"/>
                <w:szCs w:val="18"/>
                <w:lang w:eastAsia="en-US"/>
              </w:rPr>
              <w:sym w:font="Wingdings 2" w:char="0052"/>
            </w:r>
          </w:p>
        </w:tc>
        <w:tc>
          <w:tcPr>
            <w:tcW w:w="1765" w:type="dxa"/>
            <w:gridSpan w:val="2"/>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最大 A 声级□</w:t>
            </w:r>
          </w:p>
        </w:tc>
        <w:tc>
          <w:tcPr>
            <w:tcW w:w="2660" w:type="dxa"/>
            <w:gridSpan w:val="4"/>
            <w:tcBorders>
              <w:top w:val="single" w:color="auto" w:sz="4"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计权等效连续感觉噪声级□</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0" w:hRule="atLeast"/>
        </w:trPr>
        <w:tc>
          <w:tcPr>
            <w:tcW w:w="1010" w:type="dxa"/>
            <w:vMerge w:val="continue"/>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厂界噪声贡献值</w:t>
            </w:r>
          </w:p>
        </w:tc>
        <w:tc>
          <w:tcPr>
            <w:tcW w:w="3809" w:type="dxa"/>
            <w:gridSpan w:val="5"/>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 xml:space="preserve">达标 </w:t>
            </w:r>
            <w:r>
              <w:rPr>
                <w:rFonts w:ascii="Times New Roman" w:hAnsi="Times New Roman" w:cs="Times New Roman"/>
                <w:color w:val="auto"/>
                <w:kern w:val="0"/>
                <w:sz w:val="18"/>
                <w:szCs w:val="18"/>
                <w:lang w:eastAsia="en-US"/>
              </w:rPr>
              <w:sym w:font="Wingdings 2" w:char="0052"/>
            </w:r>
          </w:p>
        </w:tc>
        <w:tc>
          <w:tcPr>
            <w:tcW w:w="2660" w:type="dxa"/>
            <w:gridSpan w:val="4"/>
            <w:tcBorders>
              <w:top w:val="single" w:color="auto" w:sz="4"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不达标□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7" w:hRule="atLeast"/>
        </w:trPr>
        <w:tc>
          <w:tcPr>
            <w:tcW w:w="1010" w:type="dxa"/>
            <w:vMerge w:val="continue"/>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声环境保护目标处噪声值</w:t>
            </w:r>
          </w:p>
        </w:tc>
        <w:tc>
          <w:tcPr>
            <w:tcW w:w="3809" w:type="dxa"/>
            <w:gridSpan w:val="5"/>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达标</w:t>
            </w:r>
            <w:r>
              <w:rPr>
                <w:rFonts w:ascii="Times New Roman" w:hAnsi="Times New Roman" w:cs="Times New Roman"/>
                <w:color w:val="auto"/>
                <w:kern w:val="0"/>
                <w:sz w:val="18"/>
                <w:szCs w:val="18"/>
                <w:lang w:eastAsia="en-US"/>
              </w:rPr>
              <w:sym w:font="Wingdings 2" w:char="0052"/>
            </w:r>
          </w:p>
        </w:tc>
        <w:tc>
          <w:tcPr>
            <w:tcW w:w="2660" w:type="dxa"/>
            <w:gridSpan w:val="4"/>
            <w:tcBorders>
              <w:top w:val="single" w:color="auto" w:sz="4"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不达标□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97" w:hRule="atLeast"/>
        </w:trPr>
        <w:tc>
          <w:tcPr>
            <w:tcW w:w="1010" w:type="dxa"/>
            <w:vMerge w:val="restart"/>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p>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环境监测计划</w:t>
            </w: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排放监测</w:t>
            </w:r>
          </w:p>
        </w:tc>
        <w:tc>
          <w:tcPr>
            <w:tcW w:w="3123" w:type="dxa"/>
            <w:gridSpan w:val="4"/>
            <w:tcBorders>
              <w:top w:val="single" w:color="auto" w:sz="4" w:space="0"/>
              <w:left w:val="single" w:color="auto" w:sz="4" w:space="0"/>
              <w:bottom w:val="single" w:color="auto" w:sz="4" w:space="0"/>
              <w:right w:val="single" w:color="auto" w:sz="4" w:space="0"/>
            </w:tcBorders>
            <w:vAlign w:val="center"/>
          </w:tcPr>
          <w:p>
            <w:pPr>
              <w:tabs>
                <w:tab w:val="left" w:pos="1621"/>
              </w:tabs>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厂界监测</w:t>
            </w:r>
            <w:r>
              <w:rPr>
                <w:rFonts w:ascii="Times New Roman" w:hAnsi="Times New Roman" w:cs="Times New Roman"/>
                <w:color w:val="auto"/>
                <w:kern w:val="0"/>
                <w:sz w:val="18"/>
                <w:szCs w:val="18"/>
                <w:lang w:eastAsia="en-US"/>
              </w:rPr>
              <w:sym w:font="Wingdings 2" w:char="0052"/>
            </w:r>
            <w:r>
              <w:rPr>
                <w:rFonts w:ascii="Times New Roman" w:hAnsi="Times New Roman" w:cs="Times New Roman"/>
                <w:color w:val="auto"/>
                <w:kern w:val="0"/>
                <w:sz w:val="18"/>
                <w:szCs w:val="18"/>
              </w:rPr>
              <w:tab/>
            </w:r>
            <w:r>
              <w:rPr>
                <w:rFonts w:ascii="Times New Roman" w:hAnsi="Times New Roman" w:cs="Times New Roman"/>
                <w:color w:val="auto"/>
                <w:kern w:val="0"/>
                <w:sz w:val="18"/>
                <w:szCs w:val="18"/>
              </w:rPr>
              <w:t>固定位置监</w:t>
            </w:r>
            <w:r>
              <w:rPr>
                <w:rFonts w:ascii="Times New Roman" w:hAnsi="Times New Roman" w:cs="Times New Roman"/>
                <w:color w:val="auto"/>
                <w:spacing w:val="-3"/>
                <w:kern w:val="0"/>
                <w:sz w:val="18"/>
                <w:szCs w:val="18"/>
              </w:rPr>
              <w:t>测</w:t>
            </w:r>
            <w:r>
              <w:rPr>
                <w:rFonts w:ascii="Times New Roman" w:hAnsi="Times New Roman" w:cs="Times New Roman"/>
                <w:color w:val="auto"/>
                <w:kern w:val="0"/>
                <w:sz w:val="18"/>
                <w:szCs w:val="18"/>
              </w:rPr>
              <w:t>□</w:t>
            </w:r>
          </w:p>
        </w:tc>
        <w:tc>
          <w:tcPr>
            <w:tcW w:w="2203" w:type="dxa"/>
            <w:gridSpan w:val="4"/>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自动监测□ 手动监测□</w:t>
            </w:r>
          </w:p>
        </w:tc>
        <w:tc>
          <w:tcPr>
            <w:tcW w:w="1143" w:type="dxa"/>
            <w:tcBorders>
              <w:top w:val="single" w:color="auto" w:sz="4"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无监测□</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8" w:hRule="atLeast"/>
        </w:trPr>
        <w:tc>
          <w:tcPr>
            <w:tcW w:w="1010" w:type="dxa"/>
            <w:vMerge w:val="continue"/>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sz w:val="18"/>
                <w:szCs w:val="18"/>
              </w:rPr>
            </w:pP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声环境保护目标处噪声监测</w:t>
            </w:r>
          </w:p>
        </w:tc>
        <w:tc>
          <w:tcPr>
            <w:tcW w:w="3123" w:type="dxa"/>
            <w:gridSpan w:val="4"/>
            <w:tcBorders>
              <w:top w:val="single" w:color="auto" w:sz="4" w:space="0"/>
              <w:left w:val="single" w:color="auto" w:sz="4" w:space="0"/>
              <w:bottom w:val="single" w:color="auto" w:sz="4" w:space="0"/>
              <w:right w:val="single" w:color="auto" w:sz="4" w:space="0"/>
            </w:tcBorders>
            <w:vAlign w:val="center"/>
          </w:tcPr>
          <w:p>
            <w:pPr>
              <w:tabs>
                <w:tab w:val="left" w:pos="2252"/>
              </w:tabs>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监测因子</w:t>
            </w:r>
            <w:r>
              <w:rPr>
                <w:rFonts w:ascii="Times New Roman" w:hAnsi="Times New Roman" w:cs="Times New Roman"/>
                <w:color w:val="auto"/>
                <w:spacing w:val="-92"/>
                <w:kern w:val="0"/>
                <w:sz w:val="18"/>
                <w:szCs w:val="18"/>
              </w:rPr>
              <w:t>：</w:t>
            </w:r>
            <w:r>
              <w:rPr>
                <w:rFonts w:ascii="Times New Roman" w:hAnsi="Times New Roman" w:cs="Times New Roman"/>
                <w:color w:val="auto"/>
                <w:kern w:val="0"/>
                <w:sz w:val="18"/>
                <w:szCs w:val="18"/>
              </w:rPr>
              <w:t>（</w:t>
            </w:r>
            <w:r>
              <w:rPr>
                <w:rFonts w:hint="eastAsia" w:ascii="Times New Roman" w:hAnsi="Times New Roman" w:cs="Times New Roman"/>
                <w:color w:val="auto"/>
                <w:kern w:val="0"/>
                <w:sz w:val="18"/>
                <w:szCs w:val="18"/>
              </w:rPr>
              <w:t>/</w:t>
            </w:r>
            <w:r>
              <w:rPr>
                <w:rFonts w:ascii="Times New Roman" w:hAnsi="Times New Roman" w:cs="Times New Roman"/>
                <w:color w:val="auto"/>
                <w:kern w:val="0"/>
                <w:sz w:val="18"/>
                <w:szCs w:val="18"/>
              </w:rPr>
              <w:t>）</w:t>
            </w:r>
          </w:p>
        </w:tc>
        <w:tc>
          <w:tcPr>
            <w:tcW w:w="2203" w:type="dxa"/>
            <w:gridSpan w:val="4"/>
            <w:tcBorders>
              <w:top w:val="single" w:color="auto" w:sz="4" w:space="0"/>
              <w:left w:val="single" w:color="auto" w:sz="4" w:space="0"/>
              <w:bottom w:val="single" w:color="auto" w:sz="4" w:space="0"/>
              <w:right w:val="single" w:color="auto" w:sz="4" w:space="0"/>
            </w:tcBorders>
            <w:vAlign w:val="center"/>
          </w:tcPr>
          <w:p>
            <w:pPr>
              <w:tabs>
                <w:tab w:val="left" w:pos="1735"/>
              </w:tabs>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监测点位数（</w:t>
            </w:r>
            <w:r>
              <w:rPr>
                <w:rFonts w:ascii="Times New Roman" w:hAnsi="Times New Roman" w:cs="Times New Roman"/>
                <w:color w:val="auto"/>
                <w:kern w:val="0"/>
                <w:sz w:val="18"/>
                <w:szCs w:val="18"/>
              </w:rPr>
              <w:t>/</w:t>
            </w:r>
            <w:r>
              <w:rPr>
                <w:rFonts w:ascii="Times New Roman" w:hAnsi="Times New Roman" w:cs="Times New Roman"/>
                <w:color w:val="auto"/>
                <w:kern w:val="0"/>
                <w:sz w:val="18"/>
                <w:szCs w:val="18"/>
                <w:lang w:eastAsia="en-US"/>
              </w:rPr>
              <w:t>）</w:t>
            </w:r>
          </w:p>
        </w:tc>
        <w:tc>
          <w:tcPr>
            <w:tcW w:w="1143" w:type="dxa"/>
            <w:tcBorders>
              <w:top w:val="single" w:color="auto" w:sz="4" w:space="0"/>
              <w:left w:val="single" w:color="auto" w:sz="4" w:space="0"/>
              <w:bottom w:val="single" w:color="auto" w:sz="4" w:space="0"/>
              <w:right w:val="nil"/>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无监测□</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4" w:hRule="atLeast"/>
        </w:trPr>
        <w:tc>
          <w:tcPr>
            <w:tcW w:w="1010" w:type="dxa"/>
            <w:tcBorders>
              <w:top w:val="single" w:color="auto" w:sz="4" w:space="0"/>
              <w:left w:val="nil"/>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评价结论</w:t>
            </w:r>
          </w:p>
        </w:tc>
        <w:tc>
          <w:tcPr>
            <w:tcW w:w="1591" w:type="dxa"/>
            <w:tcBorders>
              <w:top w:val="single" w:color="auto" w:sz="4" w:space="0"/>
              <w:left w:val="single" w:color="auto" w:sz="4" w:space="0"/>
              <w:bottom w:val="single" w:color="auto" w:sz="4" w:space="0"/>
              <w:right w:val="single" w:color="auto" w:sz="4" w:space="0"/>
            </w:tcBorders>
            <w:vAlign w:val="center"/>
          </w:tcPr>
          <w:p>
            <w:pPr>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环境影响</w:t>
            </w:r>
          </w:p>
        </w:tc>
        <w:tc>
          <w:tcPr>
            <w:tcW w:w="6469" w:type="dxa"/>
            <w:gridSpan w:val="9"/>
            <w:tcBorders>
              <w:top w:val="single" w:color="auto" w:sz="4" w:space="0"/>
              <w:left w:val="single" w:color="auto" w:sz="4" w:space="0"/>
              <w:bottom w:val="single" w:color="auto" w:sz="4" w:space="0"/>
              <w:right w:val="nil"/>
            </w:tcBorders>
            <w:vAlign w:val="center"/>
          </w:tcPr>
          <w:p>
            <w:pPr>
              <w:tabs>
                <w:tab w:val="left" w:pos="1202"/>
              </w:tabs>
              <w:adjustRightInd/>
              <w:spacing w:line="240" w:lineRule="auto"/>
              <w:ind w:firstLine="0" w:firstLineChars="0"/>
              <w:jc w:val="center"/>
              <w:rPr>
                <w:rFonts w:ascii="Times New Roman" w:hAnsi="Times New Roman" w:cs="Times New Roman"/>
                <w:color w:val="auto"/>
                <w:kern w:val="0"/>
                <w:sz w:val="18"/>
                <w:szCs w:val="18"/>
                <w:lang w:eastAsia="en-US"/>
              </w:rPr>
            </w:pPr>
            <w:r>
              <w:rPr>
                <w:rFonts w:ascii="Times New Roman" w:hAnsi="Times New Roman" w:cs="Times New Roman"/>
                <w:color w:val="auto"/>
                <w:kern w:val="0"/>
                <w:sz w:val="18"/>
                <w:szCs w:val="18"/>
                <w:lang w:eastAsia="en-US"/>
              </w:rPr>
              <w:t>可行</w:t>
            </w:r>
            <w:r>
              <w:rPr>
                <w:rFonts w:ascii="Times New Roman" w:hAnsi="Times New Roman" w:cs="Times New Roman"/>
                <w:color w:val="auto"/>
                <w:kern w:val="0"/>
                <w:sz w:val="18"/>
                <w:szCs w:val="18"/>
                <w:lang w:eastAsia="en-US"/>
              </w:rPr>
              <w:sym w:font="Wingdings 2" w:char="0052"/>
            </w:r>
            <w:r>
              <w:rPr>
                <w:rFonts w:ascii="Times New Roman" w:hAnsi="Times New Roman" w:cs="Times New Roman"/>
                <w:color w:val="auto"/>
                <w:kern w:val="0"/>
                <w:sz w:val="18"/>
                <w:szCs w:val="18"/>
                <w:lang w:eastAsia="en-US"/>
              </w:rPr>
              <w:tab/>
            </w:r>
            <w:r>
              <w:rPr>
                <w:rFonts w:ascii="Times New Roman" w:hAnsi="Times New Roman" w:cs="Times New Roman"/>
                <w:color w:val="auto"/>
                <w:kern w:val="0"/>
                <w:sz w:val="18"/>
                <w:szCs w:val="18"/>
                <w:lang w:eastAsia="en-US"/>
              </w:rPr>
              <w:t>不可行□</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6" w:hRule="atLeast"/>
        </w:trPr>
        <w:tc>
          <w:tcPr>
            <w:tcW w:w="9070" w:type="dxa"/>
            <w:gridSpan w:val="11"/>
            <w:tcBorders>
              <w:top w:val="single" w:color="auto" w:sz="4" w:space="0"/>
              <w:left w:val="nil"/>
              <w:bottom w:val="single" w:color="auto" w:sz="12" w:space="0"/>
              <w:right w:val="nil"/>
            </w:tcBorders>
            <w:vAlign w:val="center"/>
          </w:tcPr>
          <w:p>
            <w:pPr>
              <w:tabs>
                <w:tab w:val="left" w:pos="3079"/>
              </w:tabs>
              <w:adjustRightInd/>
              <w:spacing w:line="240" w:lineRule="auto"/>
              <w:ind w:firstLine="0" w:firstLineChars="0"/>
              <w:jc w:val="left"/>
              <w:rPr>
                <w:rFonts w:ascii="Times New Roman" w:hAnsi="Times New Roman" w:cs="Times New Roman"/>
                <w:color w:val="auto"/>
                <w:kern w:val="0"/>
                <w:sz w:val="18"/>
                <w:szCs w:val="18"/>
              </w:rPr>
            </w:pPr>
            <w:r>
              <w:rPr>
                <w:rFonts w:ascii="Times New Roman" w:hAnsi="Times New Roman" w:cs="Times New Roman"/>
                <w:color w:val="auto"/>
                <w:kern w:val="0"/>
                <w:sz w:val="18"/>
                <w:szCs w:val="18"/>
              </w:rPr>
              <w:t>注</w:t>
            </w:r>
            <w:r>
              <w:rPr>
                <w:rFonts w:ascii="Times New Roman" w:hAnsi="Times New Roman" w:cs="Times New Roman"/>
                <w:color w:val="auto"/>
                <w:spacing w:val="-92"/>
                <w:kern w:val="0"/>
                <w:sz w:val="18"/>
                <w:szCs w:val="18"/>
              </w:rPr>
              <w:t>：</w:t>
            </w:r>
            <w:r>
              <w:rPr>
                <w:rFonts w:ascii="Times New Roman" w:hAnsi="Times New Roman" w:cs="Times New Roman"/>
                <w:color w:val="auto"/>
                <w:kern w:val="0"/>
                <w:sz w:val="18"/>
                <w:szCs w:val="18"/>
              </w:rPr>
              <w:t>“□”</w:t>
            </w:r>
            <w:r>
              <w:rPr>
                <w:rFonts w:ascii="Times New Roman" w:hAnsi="Times New Roman" w:cs="Times New Roman"/>
                <w:color w:val="auto"/>
                <w:spacing w:val="1"/>
                <w:kern w:val="0"/>
                <w:sz w:val="18"/>
                <w:szCs w:val="18"/>
              </w:rPr>
              <w:t xml:space="preserve"> </w:t>
            </w:r>
            <w:r>
              <w:rPr>
                <w:rFonts w:ascii="Times New Roman" w:hAnsi="Times New Roman" w:cs="Times New Roman"/>
                <w:color w:val="auto"/>
                <w:kern w:val="0"/>
                <w:sz w:val="18"/>
                <w:szCs w:val="18"/>
              </w:rPr>
              <w:t>为勾选项</w:t>
            </w:r>
            <w:r>
              <w:rPr>
                <w:rFonts w:ascii="Times New Roman" w:hAnsi="Times New Roman" w:cs="Times New Roman"/>
                <w:color w:val="auto"/>
                <w:spacing w:val="1"/>
                <w:kern w:val="0"/>
                <w:sz w:val="18"/>
                <w:szCs w:val="18"/>
              </w:rPr>
              <w:t xml:space="preserve"> </w:t>
            </w:r>
            <w:r>
              <w:rPr>
                <w:rFonts w:ascii="Times New Roman" w:hAnsi="Times New Roman" w:cs="Times New Roman"/>
                <w:color w:val="auto"/>
                <w:kern w:val="0"/>
                <w:sz w:val="18"/>
                <w:szCs w:val="18"/>
              </w:rPr>
              <w:t>，可√</w:t>
            </w:r>
            <w:r>
              <w:rPr>
                <w:rFonts w:ascii="Times New Roman" w:hAnsi="Times New Roman" w:cs="Times New Roman"/>
                <w:color w:val="auto"/>
                <w:spacing w:val="1"/>
                <w:kern w:val="0"/>
                <w:sz w:val="18"/>
                <w:szCs w:val="18"/>
              </w:rPr>
              <w:t xml:space="preserve"> </w:t>
            </w:r>
            <w:r>
              <w:rPr>
                <w:rFonts w:ascii="Times New Roman" w:hAnsi="Times New Roman" w:cs="Times New Roman"/>
                <w:color w:val="auto"/>
                <w:spacing w:val="-92"/>
                <w:kern w:val="0"/>
                <w:sz w:val="18"/>
                <w:szCs w:val="18"/>
              </w:rPr>
              <w:t>；“</w:t>
            </w:r>
            <w:r>
              <w:rPr>
                <w:rFonts w:ascii="Times New Roman" w:hAnsi="Times New Roman" w:cs="Times New Roman"/>
                <w:color w:val="auto"/>
                <w:kern w:val="0"/>
                <w:sz w:val="18"/>
                <w:szCs w:val="18"/>
              </w:rPr>
              <w:t>（</w:t>
            </w:r>
            <w:r>
              <w:rPr>
                <w:rFonts w:ascii="Times New Roman" w:hAnsi="Times New Roman" w:cs="Times New Roman"/>
                <w:color w:val="auto"/>
                <w:kern w:val="0"/>
                <w:sz w:val="18"/>
                <w:szCs w:val="18"/>
              </w:rPr>
              <w:tab/>
            </w:r>
            <w:r>
              <w:rPr>
                <w:rFonts w:ascii="Times New Roman" w:hAnsi="Times New Roman" w:cs="Times New Roman"/>
                <w:color w:val="auto"/>
                <w:spacing w:val="-92"/>
                <w:kern w:val="0"/>
                <w:sz w:val="18"/>
                <w:szCs w:val="18"/>
              </w:rPr>
              <w:t>）</w:t>
            </w:r>
            <w:r>
              <w:rPr>
                <w:rFonts w:ascii="Times New Roman" w:hAnsi="Times New Roman" w:cs="Times New Roman"/>
                <w:color w:val="auto"/>
                <w:kern w:val="0"/>
                <w:sz w:val="18"/>
                <w:szCs w:val="18"/>
              </w:rPr>
              <w:t>”</w:t>
            </w:r>
            <w:r>
              <w:rPr>
                <w:rFonts w:ascii="Times New Roman" w:hAnsi="Times New Roman" w:cs="Times New Roman"/>
                <w:color w:val="auto"/>
                <w:spacing w:val="1"/>
                <w:kern w:val="0"/>
                <w:sz w:val="18"/>
                <w:szCs w:val="18"/>
              </w:rPr>
              <w:t xml:space="preserve"> </w:t>
            </w:r>
            <w:r>
              <w:rPr>
                <w:rFonts w:ascii="Times New Roman" w:hAnsi="Times New Roman" w:cs="Times New Roman"/>
                <w:color w:val="auto"/>
                <w:kern w:val="0"/>
                <w:sz w:val="18"/>
                <w:szCs w:val="18"/>
              </w:rPr>
              <w:t>为内容填写项。</w:t>
            </w:r>
          </w:p>
        </w:tc>
      </w:tr>
    </w:tbl>
    <w:p>
      <w:pPr>
        <w:pStyle w:val="3"/>
        <w:widowControl w:val="0"/>
        <w:numPr>
          <w:ilvl w:val="0"/>
          <w:numId w:val="0"/>
        </w:numPr>
        <w:spacing w:before="166" w:beforeLines="50" w:after="0"/>
        <w:rPr>
          <w:rFonts w:ascii="Times New Roman" w:hAnsi="Times New Roman" w:cs="Times New Roman"/>
          <w:color w:val="auto"/>
          <w:sz w:val="28"/>
          <w:szCs w:val="28"/>
        </w:rPr>
      </w:pPr>
      <w:bookmarkStart w:id="439" w:name="_Toc20949"/>
      <w:bookmarkStart w:id="440" w:name="_Toc102979837"/>
      <w:bookmarkStart w:id="441" w:name="_Toc31122"/>
      <w:bookmarkStart w:id="442" w:name="_Toc104733412"/>
      <w:bookmarkStart w:id="443" w:name="_Toc11441"/>
      <w:r>
        <w:rPr>
          <w:rFonts w:ascii="Times New Roman" w:hAnsi="Times New Roman" w:cs="Times New Roman"/>
          <w:color w:val="auto"/>
          <w:sz w:val="28"/>
          <w:szCs w:val="28"/>
        </w:rPr>
        <w:t>5.5 营运期固废环境影响预测与评价</w:t>
      </w:r>
      <w:bookmarkEnd w:id="439"/>
      <w:bookmarkEnd w:id="440"/>
      <w:bookmarkEnd w:id="441"/>
      <w:bookmarkEnd w:id="442"/>
      <w:bookmarkEnd w:id="443"/>
    </w:p>
    <w:p>
      <w:pPr>
        <w:ind w:firstLine="480"/>
        <w:rPr>
          <w:rFonts w:ascii="Times New Roman" w:hAnsi="Times New Roman" w:cs="Times New Roman"/>
          <w:color w:val="auto"/>
        </w:rPr>
      </w:pPr>
      <w:r>
        <w:rPr>
          <w:rFonts w:ascii="Times New Roman" w:hAnsi="Times New Roman" w:cs="Times New Roman"/>
          <w:color w:val="auto"/>
        </w:rPr>
        <w:t>项目固废产生环节如下：本项目营运期产生的固废主要是到港船舶垃圾、码头工作人员生活垃圾，以及油污水处理油泥、废弃棉纱、废活性炭。</w:t>
      </w:r>
    </w:p>
    <w:p>
      <w:pPr>
        <w:ind w:firstLine="480"/>
        <w:rPr>
          <w:rFonts w:ascii="Times New Roman" w:hAnsi="Times New Roman" w:cs="Times New Roman"/>
          <w:color w:val="auto"/>
        </w:rPr>
      </w:pPr>
      <w:r>
        <w:rPr>
          <w:rFonts w:ascii="Times New Roman" w:hAnsi="Times New Roman" w:cs="Times New Roman"/>
          <w:color w:val="auto"/>
        </w:rPr>
        <w:t>（1）码头工作人员生活垃圾</w:t>
      </w:r>
    </w:p>
    <w:p>
      <w:pPr>
        <w:ind w:firstLine="480"/>
        <w:rPr>
          <w:rFonts w:ascii="Times New Roman" w:hAnsi="Times New Roman" w:cs="Times New Roman"/>
          <w:color w:val="auto"/>
        </w:rPr>
      </w:pPr>
      <w:r>
        <w:rPr>
          <w:rFonts w:ascii="Times New Roman" w:hAnsi="Times New Roman" w:cs="Times New Roman"/>
          <w:color w:val="auto"/>
        </w:rPr>
        <w:t>本项目码头生活垃圾由环卫部门定期清运处理。</w:t>
      </w:r>
    </w:p>
    <w:p>
      <w:pPr>
        <w:ind w:firstLine="480"/>
        <w:rPr>
          <w:rFonts w:ascii="Times New Roman" w:hAnsi="Times New Roman" w:cs="Times New Roman"/>
          <w:color w:val="auto"/>
        </w:rPr>
      </w:pPr>
      <w:r>
        <w:rPr>
          <w:rFonts w:ascii="Times New Roman" w:hAnsi="Times New Roman" w:cs="Times New Roman"/>
          <w:color w:val="auto"/>
        </w:rPr>
        <w:t>（2）含油污泥、废机油</w:t>
      </w:r>
    </w:p>
    <w:p>
      <w:pPr>
        <w:ind w:firstLine="480"/>
        <w:rPr>
          <w:rFonts w:ascii="Times New Roman" w:hAnsi="Times New Roman" w:cs="Times New Roman"/>
          <w:color w:val="auto"/>
        </w:rPr>
      </w:pPr>
      <w:r>
        <w:rPr>
          <w:rFonts w:ascii="Times New Roman" w:hAnsi="Times New Roman" w:cs="Times New Roman"/>
          <w:color w:val="auto"/>
        </w:rPr>
        <w:t>码头污水、船舶油污水预处理产生的含油污泥属于 HW08 类危险废物，危废代码为 900-210-08；码头装卸设备维护产生的废机油属于 HW08 类危险废物，危废代码为 900-210-08；收集危废暂存库暂存，后送交有资质的危废处置单位。</w:t>
      </w:r>
    </w:p>
    <w:p>
      <w:pPr>
        <w:ind w:firstLine="480"/>
        <w:rPr>
          <w:rFonts w:ascii="Times New Roman" w:hAnsi="Times New Roman" w:cs="Times New Roman"/>
          <w:color w:val="auto"/>
        </w:rPr>
      </w:pPr>
      <w:r>
        <w:rPr>
          <w:rFonts w:ascii="Times New Roman" w:hAnsi="Times New Roman" w:cs="Times New Roman"/>
          <w:color w:val="auto"/>
        </w:rPr>
        <w:t>（3）废活性炭</w:t>
      </w:r>
    </w:p>
    <w:p>
      <w:pPr>
        <w:ind w:firstLine="480"/>
        <w:rPr>
          <w:rFonts w:ascii="Times New Roman" w:hAnsi="Times New Roman" w:cs="Times New Roman"/>
          <w:color w:val="auto"/>
        </w:rPr>
      </w:pPr>
      <w:r>
        <w:rPr>
          <w:rFonts w:ascii="Times New Roman" w:hAnsi="Times New Roman" w:cs="Times New Roman"/>
          <w:color w:val="auto"/>
        </w:rPr>
        <w:t>废活性炭属于危废 HW49 类危险废物，危废代码为 900-041-49。收集后依托后方陆域已批复验收的暂存库暂存，定期送交有资质的危废处置单位处置。</w:t>
      </w:r>
    </w:p>
    <w:p>
      <w:pPr>
        <w:ind w:firstLine="480"/>
        <w:rPr>
          <w:rFonts w:ascii="Times New Roman" w:hAnsi="Times New Roman" w:cs="Times New Roman"/>
          <w:color w:val="auto"/>
        </w:rPr>
      </w:pPr>
      <w:r>
        <w:rPr>
          <w:rFonts w:ascii="Times New Roman" w:hAnsi="Times New Roman" w:cs="Times New Roman"/>
          <w:color w:val="auto"/>
        </w:rPr>
        <w:t>（4）到港船舶固体废物</w:t>
      </w:r>
    </w:p>
    <w:p>
      <w:pPr>
        <w:ind w:firstLine="480"/>
        <w:rPr>
          <w:rFonts w:ascii="Times New Roman" w:hAnsi="Times New Roman" w:cs="Times New Roman"/>
          <w:color w:val="auto"/>
        </w:rPr>
      </w:pPr>
      <w:r>
        <w:rPr>
          <w:rFonts w:ascii="Times New Roman" w:hAnsi="Times New Roman" w:cs="Times New Roman"/>
          <w:color w:val="auto"/>
        </w:rPr>
        <w:t>船舶垃圾是船员日常生活产生的废弃物，主要是食物残渣、空罐头盒、废纸、塑料垃圾等。本项目码头接收设施接收后，交环卫部门定期清运。</w:t>
      </w:r>
    </w:p>
    <w:p>
      <w:pPr>
        <w:ind w:firstLine="480"/>
        <w:rPr>
          <w:rFonts w:ascii="Times New Roman" w:hAnsi="Times New Roman" w:cs="Times New Roman"/>
          <w:color w:val="auto"/>
        </w:rPr>
      </w:pPr>
      <w:r>
        <w:rPr>
          <w:rFonts w:ascii="Times New Roman" w:hAnsi="Times New Roman" w:cs="Times New Roman"/>
          <w:color w:val="auto"/>
        </w:rPr>
        <w:t>（5）化验室废液</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本项目化验室废液（废水）产生量约0.45t/d，预计全年化验批次100次；则化验室废液（废水）产生量约45t/a，室内积液桶收集暂存于危废暂存间，定期送交有资质的危废处置单位处置。</w:t>
      </w:r>
    </w:p>
    <w:p>
      <w:pPr>
        <w:pStyle w:val="25"/>
        <w:spacing w:line="360" w:lineRule="auto"/>
        <w:ind w:firstLine="480"/>
        <w:rPr>
          <w:rFonts w:ascii="Times New Roman" w:hAnsi="Times New Roman" w:cs="Times New Roman"/>
          <w:color w:val="auto"/>
        </w:rPr>
      </w:pPr>
      <w:r>
        <w:rPr>
          <w:rFonts w:hint="eastAsia" w:ascii="Times New Roman" w:hAnsi="Times New Roman" w:cs="Times New Roman"/>
          <w:color w:val="auto"/>
        </w:rPr>
        <w:t>（6）清罐油泥和清罐废水</w:t>
      </w:r>
    </w:p>
    <w:p>
      <w:pPr>
        <w:ind w:firstLine="480"/>
        <w:rPr>
          <w:rFonts w:ascii="Times New Roman" w:hAnsi="Times New Roman" w:cs="Times New Roman"/>
          <w:color w:val="auto"/>
        </w:rPr>
      </w:pPr>
      <w:r>
        <w:rPr>
          <w:rFonts w:ascii="Times New Roman" w:hAnsi="Times New Roman" w:cs="Times New Roman"/>
          <w:color w:val="auto"/>
        </w:rPr>
        <w:t>清罐残渣主要为清洗储罐时产生的底泥。储罐清洗采用COW清洗工艺，每5年清洗一次。根据建设单位相关管理规定，为减少清罐原油的损失，开罐清理前，应尽量降低液位，清罐残</w:t>
      </w:r>
      <w:r>
        <w:rPr>
          <w:rFonts w:ascii="Times New Roman" w:hAnsi="Times New Roman" w:cs="Times New Roman"/>
          <w:color w:val="auto"/>
          <w:szCs w:val="24"/>
        </w:rPr>
        <w:t>渣产生量约为15t</w:t>
      </w:r>
      <w:r>
        <w:rPr>
          <w:rFonts w:ascii="Times New Roman" w:hAnsi="Times New Roman" w:cs="Times New Roman"/>
          <w:szCs w:val="24"/>
        </w:rPr>
        <w:t>/</w:t>
      </w:r>
      <w:r>
        <w:rPr>
          <w:rFonts w:ascii="宋体" w:hAnsi="宋体" w:cs="Times New Roman"/>
          <w:szCs w:val="24"/>
        </w:rPr>
        <w:t>次（</w:t>
      </w:r>
      <w:r>
        <w:rPr>
          <w:rFonts w:ascii="Times New Roman" w:hAnsi="Times New Roman" w:cs="Times New Roman"/>
          <w:szCs w:val="24"/>
        </w:rPr>
        <w:t>5</w:t>
      </w:r>
      <w:r>
        <w:rPr>
          <w:rFonts w:ascii="宋体" w:hAnsi="宋体" w:cs="Times New Roman"/>
          <w:szCs w:val="24"/>
        </w:rPr>
        <w:t>年）</w:t>
      </w:r>
      <w:r>
        <w:rPr>
          <w:rFonts w:hint="eastAsia" w:ascii="Times New Roman" w:hAnsi="Times New Roman" w:cs="Times New Roman"/>
          <w:color w:val="auto"/>
          <w:szCs w:val="24"/>
        </w:rPr>
        <w:t>，产生清罐废水约</w:t>
      </w:r>
      <w:r>
        <w:rPr>
          <w:rFonts w:ascii="Times New Roman" w:hAnsi="Times New Roman" w:cs="Times New Roman"/>
          <w:szCs w:val="24"/>
        </w:rPr>
        <w:t>1000m</w:t>
      </w:r>
      <w:r>
        <w:rPr>
          <w:rFonts w:ascii="Times New Roman" w:hAnsi="Times New Roman" w:cs="Times New Roman"/>
          <w:szCs w:val="24"/>
          <w:vertAlign w:val="superscript"/>
        </w:rPr>
        <w:t>3</w:t>
      </w:r>
      <w:r>
        <w:rPr>
          <w:rFonts w:ascii="Times New Roman" w:hAnsi="Times New Roman" w:cs="Times New Roman"/>
          <w:szCs w:val="24"/>
        </w:rPr>
        <w:t>/</w:t>
      </w:r>
      <w:r>
        <w:rPr>
          <w:rFonts w:ascii="宋体" w:hAnsi="宋体" w:cs="Times New Roman"/>
          <w:szCs w:val="24"/>
        </w:rPr>
        <w:t>次（</w:t>
      </w:r>
      <w:r>
        <w:rPr>
          <w:rFonts w:ascii="Times New Roman" w:hAnsi="Times New Roman" w:cs="Times New Roman"/>
          <w:szCs w:val="24"/>
        </w:rPr>
        <w:t>5</w:t>
      </w:r>
      <w:r>
        <w:rPr>
          <w:rFonts w:ascii="宋体" w:hAnsi="宋体" w:cs="Times New Roman"/>
          <w:szCs w:val="24"/>
        </w:rPr>
        <w:t>年）</w:t>
      </w:r>
      <w:r>
        <w:rPr>
          <w:rFonts w:hint="eastAsia" w:ascii="宋体" w:hAnsi="宋体" w:cs="Times New Roman"/>
          <w:szCs w:val="24"/>
        </w:rPr>
        <w:t>。</w:t>
      </w:r>
    </w:p>
    <w:p>
      <w:pPr>
        <w:ind w:firstLine="480"/>
        <w:rPr>
          <w:rFonts w:ascii="Times New Roman" w:hAnsi="Times New Roman" w:cs="Times New Roman"/>
          <w:color w:val="auto"/>
        </w:rPr>
      </w:pPr>
      <w:r>
        <w:rPr>
          <w:rFonts w:hint="eastAsia" w:ascii="Times New Roman" w:hAnsi="Times New Roman" w:cs="Times New Roman"/>
          <w:color w:val="auto"/>
        </w:rPr>
        <w:t>根据建设单位提供的资料，</w:t>
      </w:r>
      <w:r>
        <w:rPr>
          <w:rFonts w:ascii="Times New Roman" w:hAnsi="Times New Roman" w:cs="Times New Roman"/>
          <w:color w:val="auto"/>
        </w:rPr>
        <w:t>本项目</w:t>
      </w:r>
      <w:r>
        <w:rPr>
          <w:rFonts w:hint="eastAsia" w:ascii="Times New Roman" w:hAnsi="Times New Roman" w:cs="Times New Roman"/>
          <w:color w:val="auto"/>
        </w:rPr>
        <w:t>运营期</w:t>
      </w:r>
      <w:r>
        <w:rPr>
          <w:rFonts w:ascii="Times New Roman" w:hAnsi="Times New Roman" w:cs="Times New Roman"/>
          <w:color w:val="auto"/>
        </w:rPr>
        <w:t>委托有资质的专业清罐队伍负责本项目的储罐清罐</w:t>
      </w:r>
      <w:r>
        <w:rPr>
          <w:rFonts w:hint="eastAsia" w:ascii="Times New Roman" w:hAnsi="Times New Roman" w:cs="Times New Roman"/>
          <w:color w:val="auto"/>
        </w:rPr>
        <w:t>；</w:t>
      </w:r>
      <w:r>
        <w:rPr>
          <w:rFonts w:ascii="Times New Roman" w:hAnsi="Times New Roman" w:cs="Times New Roman"/>
          <w:color w:val="auto"/>
        </w:rPr>
        <w:t>产生的</w:t>
      </w:r>
      <w:r>
        <w:rPr>
          <w:rFonts w:hint="eastAsia" w:ascii="Times New Roman" w:hAnsi="Times New Roman" w:cs="Times New Roman"/>
          <w:color w:val="auto"/>
        </w:rPr>
        <w:t>清罐废水、</w:t>
      </w:r>
      <w:r>
        <w:rPr>
          <w:rFonts w:ascii="Times New Roman" w:hAnsi="Times New Roman" w:cs="Times New Roman"/>
          <w:color w:val="auto"/>
        </w:rPr>
        <w:t>清罐残渣由清罐队伍负责清运处置</w:t>
      </w:r>
      <w:r>
        <w:rPr>
          <w:rFonts w:hint="eastAsia" w:ascii="Times New Roman" w:hAnsi="Times New Roman" w:cs="Times New Roman"/>
          <w:color w:val="auto"/>
        </w:rPr>
        <w:t>；清罐废水、</w:t>
      </w:r>
      <w:r>
        <w:rPr>
          <w:rFonts w:ascii="Times New Roman" w:hAnsi="Times New Roman" w:cs="Times New Roman"/>
          <w:color w:val="auto"/>
        </w:rPr>
        <w:t>清罐残渣属于危险废物，</w:t>
      </w:r>
      <w:r>
        <w:rPr>
          <w:rFonts w:hint="eastAsia" w:ascii="Times New Roman" w:hAnsi="Times New Roman" w:cs="Times New Roman"/>
          <w:color w:val="auto"/>
        </w:rPr>
        <w:t>建设单位应落实主体责任，督促</w:t>
      </w:r>
      <w:r>
        <w:rPr>
          <w:rFonts w:ascii="Times New Roman" w:hAnsi="Times New Roman" w:cs="Times New Roman"/>
          <w:color w:val="auto"/>
        </w:rPr>
        <w:t>清罐队伍</w:t>
      </w:r>
      <w:r>
        <w:rPr>
          <w:rFonts w:hint="eastAsia" w:ascii="Times New Roman" w:hAnsi="Times New Roman" w:cs="Times New Roman"/>
          <w:color w:val="auto"/>
        </w:rPr>
        <w:t>按照环保要求进行合理处置；</w:t>
      </w:r>
      <w:r>
        <w:rPr>
          <w:rFonts w:ascii="Times New Roman" w:hAnsi="Times New Roman" w:cs="Times New Roman"/>
          <w:color w:val="auto"/>
        </w:rPr>
        <w:t>不能直接排放到外环境中。</w:t>
      </w:r>
    </w:p>
    <w:p>
      <w:pPr>
        <w:ind w:firstLine="480"/>
        <w:rPr>
          <w:rFonts w:ascii="Times New Roman" w:hAnsi="Times New Roman" w:cs="Times New Roman"/>
          <w:color w:val="auto"/>
        </w:rPr>
      </w:pPr>
      <w:r>
        <w:rPr>
          <w:rFonts w:ascii="Times New Roman" w:hAnsi="Times New Roman" w:cs="Times New Roman"/>
          <w:color w:val="auto"/>
        </w:rPr>
        <w:t>上述各类固废经妥善处置后，对环境影响不大。</w:t>
      </w:r>
    </w:p>
    <w:p>
      <w:pPr>
        <w:pStyle w:val="3"/>
        <w:widowControl w:val="0"/>
        <w:numPr>
          <w:ilvl w:val="0"/>
          <w:numId w:val="0"/>
        </w:numPr>
        <w:tabs>
          <w:tab w:val="left" w:pos="426"/>
          <w:tab w:val="clear" w:pos="921"/>
        </w:tabs>
        <w:spacing w:before="0" w:after="0"/>
        <w:rPr>
          <w:rFonts w:ascii="Times New Roman" w:hAnsi="Times New Roman" w:cs="Times New Roman"/>
          <w:color w:val="auto"/>
          <w:sz w:val="28"/>
          <w:szCs w:val="28"/>
        </w:rPr>
      </w:pPr>
      <w:bookmarkStart w:id="444" w:name="_Toc7170"/>
      <w:bookmarkStart w:id="445" w:name="_Toc102979838"/>
      <w:bookmarkStart w:id="446" w:name="_Toc22089"/>
      <w:bookmarkStart w:id="447" w:name="_Toc13715"/>
      <w:bookmarkStart w:id="448" w:name="_Toc104733413"/>
      <w:r>
        <w:rPr>
          <w:rFonts w:ascii="Times New Roman" w:hAnsi="Times New Roman" w:cs="Times New Roman"/>
          <w:color w:val="auto"/>
          <w:sz w:val="28"/>
          <w:szCs w:val="28"/>
        </w:rPr>
        <w:t>5.6地下水环境影响预测与评价</w:t>
      </w:r>
      <w:bookmarkEnd w:id="444"/>
      <w:bookmarkEnd w:id="445"/>
      <w:bookmarkEnd w:id="446"/>
      <w:bookmarkEnd w:id="447"/>
      <w:bookmarkEnd w:id="448"/>
    </w:p>
    <w:p>
      <w:pPr>
        <w:pStyle w:val="4"/>
        <w:rPr>
          <w:rFonts w:ascii="Times New Roman" w:hAnsi="Times New Roman" w:cs="Times New Roman"/>
          <w:color w:val="auto"/>
          <w:szCs w:val="24"/>
          <w:shd w:val="clear" w:color="auto" w:fill="FFFFFF"/>
          <w:lang w:val="zh-CN"/>
        </w:rPr>
      </w:pPr>
      <w:bookmarkStart w:id="449" w:name="_Toc102984383"/>
      <w:bookmarkStart w:id="450" w:name="_Toc104733414"/>
      <w:r>
        <w:rPr>
          <w:rFonts w:ascii="Times New Roman" w:hAnsi="Times New Roman" w:cs="Times New Roman"/>
          <w:color w:val="auto"/>
        </w:rPr>
        <w:t>5.6.1区域</w:t>
      </w:r>
      <w:r>
        <w:rPr>
          <w:rFonts w:ascii="Times New Roman" w:hAnsi="Times New Roman" w:cs="Times New Roman"/>
          <w:color w:val="auto"/>
          <w:szCs w:val="24"/>
          <w:shd w:val="clear" w:color="auto" w:fill="FFFFFF"/>
        </w:rPr>
        <w:t>地下水赋存条件与分布规律</w:t>
      </w:r>
      <w:bookmarkEnd w:id="449"/>
      <w:bookmarkEnd w:id="450"/>
    </w:p>
    <w:p>
      <w:pPr>
        <w:adjustRightInd/>
        <w:ind w:firstLine="480"/>
        <w:rPr>
          <w:rFonts w:ascii="Times New Roman" w:hAnsi="Times New Roman" w:cs="Times New Roman"/>
          <w:color w:val="auto"/>
        </w:rPr>
      </w:pPr>
      <w:r>
        <w:rPr>
          <w:rFonts w:ascii="Times New Roman" w:hAnsi="Times New Roman" w:cs="Times New Roman"/>
          <w:color w:val="auto"/>
        </w:rPr>
        <w:t xml:space="preserve">（1）地形 </w:t>
      </w:r>
    </w:p>
    <w:p>
      <w:pPr>
        <w:adjustRightInd/>
        <w:ind w:firstLine="480"/>
        <w:rPr>
          <w:rFonts w:ascii="Times New Roman" w:hAnsi="Times New Roman" w:cs="Times New Roman"/>
          <w:color w:val="auto"/>
        </w:rPr>
      </w:pPr>
      <w:r>
        <w:rPr>
          <w:rFonts w:ascii="Times New Roman" w:hAnsi="Times New Roman" w:cs="Times New Roman"/>
          <w:color w:val="auto"/>
        </w:rPr>
        <w:t>境内地层由上太古界、下元古界、上侏罗纪、白垩系、下第三系和第四系组成。除东南部低山丘陵区外，全县几乎均被第四系所覆盖。厚度大体是高处薄，南部地 区厚。下、中更新纪分布于东部丘陵边缘的狭长地带，由粘土、砾石层等沉积物构成。上更新纪广布于起伏岗地，由棕黄色亚砂土、亚粘土组成，在江淮分水岭构成高 80～90m的二级阶地。全新纪分布于现代河流两侧，属近代堆积物，下部为亚砂土和砂砾，上部为亚粘土，组成河漫滩及一级阶地。</w:t>
      </w:r>
    </w:p>
    <w:p>
      <w:pPr>
        <w:adjustRightInd/>
        <w:ind w:firstLine="480"/>
        <w:rPr>
          <w:rFonts w:ascii="Times New Roman" w:hAnsi="Times New Roman" w:cs="Times New Roman"/>
          <w:color w:val="auto"/>
        </w:rPr>
      </w:pPr>
      <w:r>
        <w:rPr>
          <w:rFonts w:ascii="Times New Roman" w:hAnsi="Times New Roman" w:cs="Times New Roman"/>
          <w:color w:val="auto"/>
        </w:rPr>
        <w:t>经地表水长期侵蚀，形成岗冲起伏，垄畈相间的波状平原，地形特征是西北高， 东南低。地面标高一般在 12-45米之间，地形平均坡降约 3～5%，由四周向巢湖湖面倾斜。</w:t>
      </w:r>
    </w:p>
    <w:p>
      <w:pPr>
        <w:adjustRightInd/>
        <w:ind w:firstLine="480"/>
        <w:rPr>
          <w:rFonts w:ascii="Times New Roman" w:hAnsi="Times New Roman" w:cs="Times New Roman"/>
          <w:color w:val="auto"/>
        </w:rPr>
      </w:pPr>
      <w:r>
        <w:rPr>
          <w:rFonts w:ascii="Times New Roman" w:hAnsi="Times New Roman" w:cs="Times New Roman"/>
          <w:color w:val="auto"/>
        </w:rPr>
        <w:t xml:space="preserve">（2）地貌 </w:t>
      </w:r>
    </w:p>
    <w:p>
      <w:pPr>
        <w:adjustRightInd/>
        <w:ind w:firstLine="480"/>
        <w:rPr>
          <w:rFonts w:ascii="Times New Roman" w:hAnsi="Times New Roman" w:cs="Times New Roman"/>
          <w:color w:val="auto"/>
        </w:rPr>
      </w:pPr>
      <w:r>
        <w:rPr>
          <w:rFonts w:ascii="Times New Roman" w:hAnsi="Times New Roman" w:cs="Times New Roman"/>
          <w:color w:val="auto"/>
        </w:rPr>
        <w:t>区域地貌依据形态特征，属江淮波状平原，地貌类型单一，其微地貌可分为河漫滩和岗地（见图5.6-1），简述如下：</w:t>
      </w:r>
    </w:p>
    <w:p>
      <w:pPr>
        <w:adjustRightInd/>
        <w:snapToGrid/>
        <w:spacing w:line="240" w:lineRule="auto"/>
        <w:ind w:firstLine="0" w:firstLineChars="0"/>
        <w:jc w:val="center"/>
        <w:rPr>
          <w:rFonts w:ascii="Times New Roman" w:hAnsi="Times New Roman" w:cs="Times New Roman"/>
          <w:color w:val="auto"/>
          <w:sz w:val="21"/>
          <w:szCs w:val="28"/>
        </w:rPr>
      </w:pPr>
      <w:r>
        <w:rPr>
          <w:rFonts w:ascii="Times New Roman" w:hAnsi="Times New Roman" w:cs="Times New Roman"/>
          <w:color w:val="auto"/>
          <w:sz w:val="21"/>
          <w:szCs w:val="24"/>
        </w:rPr>
        <w:drawing>
          <wp:inline distT="0" distB="0" distL="0" distR="0">
            <wp:extent cx="5252720" cy="4444365"/>
            <wp:effectExtent l="0" t="0" r="0" b="0"/>
            <wp:docPr id="108" name="图片 108" descr="地质地形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8" name="图片 108" descr="地质地形图"/>
                    <pic:cNvPicPr>
                      <a:picLocks noChangeAspect="true" noChangeArrowheads="true"/>
                    </pic:cNvPicPr>
                  </pic:nvPicPr>
                  <pic:blipFill>
                    <a:blip r:embed="rId189" cstate="hqprint"/>
                    <a:srcRect/>
                    <a:stretch>
                      <a:fillRect/>
                    </a:stretch>
                  </pic:blipFill>
                  <pic:spPr>
                    <a:xfrm>
                      <a:off x="0" y="0"/>
                      <a:ext cx="5252720" cy="4444365"/>
                    </a:xfrm>
                    <a:prstGeom prst="rect">
                      <a:avLst/>
                    </a:prstGeom>
                    <a:noFill/>
                    <a:ln>
                      <a:noFill/>
                    </a:ln>
                  </pic:spPr>
                </pic:pic>
              </a:graphicData>
            </a:graphic>
          </wp:inline>
        </w:drawing>
      </w:r>
    </w:p>
    <w:p>
      <w:pPr>
        <w:pStyle w:val="1429"/>
        <w:spacing w:line="240" w:lineRule="auto"/>
        <w:ind w:firstLine="422"/>
        <w:rPr>
          <w:rFonts w:ascii="Times New Roman" w:hAnsi="Times New Roman"/>
          <w:color w:val="auto"/>
        </w:rPr>
      </w:pPr>
      <w:r>
        <w:rPr>
          <w:rFonts w:ascii="Times New Roman" w:hAnsi="Times New Roman"/>
          <w:color w:val="auto"/>
        </w:rPr>
        <w:t>图5.6-1     第四系地质地形图</w:t>
      </w:r>
    </w:p>
    <w:p>
      <w:pPr>
        <w:adjustRightInd/>
        <w:ind w:firstLine="480"/>
        <w:rPr>
          <w:rFonts w:ascii="Times New Roman" w:hAnsi="Times New Roman" w:cs="Times New Roman"/>
          <w:color w:val="auto"/>
        </w:rPr>
      </w:pPr>
      <w:r>
        <w:rPr>
          <w:rFonts w:ascii="Times New Roman" w:hAnsi="Times New Roman" w:cs="Times New Roman"/>
          <w:color w:val="auto"/>
        </w:rPr>
        <w:t>1、河漫滩</w:t>
      </w:r>
    </w:p>
    <w:p>
      <w:pPr>
        <w:adjustRightInd/>
        <w:ind w:firstLine="480"/>
        <w:rPr>
          <w:rFonts w:ascii="Times New Roman" w:hAnsi="Times New Roman" w:cs="Times New Roman"/>
          <w:color w:val="auto"/>
        </w:rPr>
      </w:pPr>
      <w:r>
        <w:rPr>
          <w:rFonts w:ascii="Times New Roman" w:hAnsi="Times New Roman" w:cs="Times New Roman"/>
          <w:color w:val="auto"/>
        </w:rPr>
        <w:t>位于评价区，沿南淝河、店埠河河流两岸分布，呈带状分布，由第四系全新统南淝河组（Q</w:t>
      </w:r>
      <w:r>
        <w:rPr>
          <w:rFonts w:ascii="Times New Roman" w:hAnsi="Times New Roman" w:cs="Times New Roman"/>
          <w:color w:val="auto"/>
          <w:vertAlign w:val="subscript"/>
        </w:rPr>
        <w:t>4n</w:t>
      </w:r>
      <w:r>
        <w:rPr>
          <w:rFonts w:ascii="Times New Roman" w:hAnsi="Times New Roman" w:cs="Times New Roman"/>
          <w:color w:val="auto"/>
        </w:rPr>
        <w:t>）松散层组成，岩性为粉质粘土，地形平坦，地面高程7.00-20.0m，相对高差13.0m。</w:t>
      </w:r>
    </w:p>
    <w:p>
      <w:pPr>
        <w:adjustRightInd/>
        <w:ind w:firstLine="480"/>
        <w:rPr>
          <w:rFonts w:ascii="Times New Roman" w:hAnsi="Times New Roman" w:cs="Times New Roman"/>
          <w:color w:val="auto"/>
        </w:rPr>
      </w:pPr>
      <w:r>
        <w:rPr>
          <w:rFonts w:ascii="Times New Roman" w:hAnsi="Times New Roman" w:cs="Times New Roman"/>
          <w:color w:val="auto"/>
        </w:rPr>
        <w:t>2、岗地</w:t>
      </w:r>
    </w:p>
    <w:p>
      <w:pPr>
        <w:adjustRightInd/>
        <w:ind w:firstLine="480"/>
        <w:rPr>
          <w:rFonts w:ascii="Times New Roman" w:hAnsi="Times New Roman" w:cs="Times New Roman"/>
          <w:color w:val="auto"/>
        </w:rPr>
      </w:pPr>
      <w:r>
        <w:rPr>
          <w:rFonts w:ascii="Times New Roman" w:hAnsi="Times New Roman" w:cs="Times New Roman"/>
          <w:color w:val="auto"/>
        </w:rPr>
        <w:t>分布于整个评价区内部及外围，呈宽带状或不规则状展布，地面标高20.0-50.0m，相对高差30.0m左右。评估区内地面高程高程9.88～10.53m，相对高差小于0.65m。地层分布为第四系上更新统下蜀组（Q</w:t>
      </w:r>
      <w:r>
        <w:rPr>
          <w:rFonts w:ascii="Times New Roman" w:hAnsi="Times New Roman" w:cs="Times New Roman"/>
          <w:color w:val="auto"/>
          <w:vertAlign w:val="subscript"/>
        </w:rPr>
        <w:t>3X</w:t>
      </w:r>
      <w:r>
        <w:rPr>
          <w:rFonts w:ascii="Times New Roman" w:hAnsi="Times New Roman" w:cs="Times New Roman"/>
          <w:color w:val="auto"/>
        </w:rPr>
        <w:t>）。</w:t>
      </w:r>
    </w:p>
    <w:p>
      <w:pPr>
        <w:adjustRightInd/>
        <w:ind w:firstLine="480"/>
        <w:rPr>
          <w:rFonts w:ascii="Times New Roman" w:hAnsi="Times New Roman" w:cs="Times New Roman"/>
          <w:color w:val="auto"/>
        </w:rPr>
      </w:pPr>
      <w:r>
        <w:rPr>
          <w:rFonts w:ascii="Times New Roman" w:hAnsi="Times New Roman" w:cs="Times New Roman"/>
          <w:color w:val="auto"/>
        </w:rPr>
        <w:t xml:space="preserve">（3）地质 </w:t>
      </w:r>
    </w:p>
    <w:p>
      <w:pPr>
        <w:adjustRightInd/>
        <w:ind w:firstLine="480"/>
        <w:rPr>
          <w:rFonts w:ascii="Times New Roman" w:hAnsi="Times New Roman" w:cs="Times New Roman"/>
          <w:color w:val="auto"/>
        </w:rPr>
      </w:pPr>
      <w:r>
        <w:rPr>
          <w:rFonts w:hint="eastAsia" w:ascii="宋体" w:hAnsi="宋体" w:cs="宋体"/>
          <w:color w:val="auto"/>
        </w:rPr>
        <w:t>①</w:t>
      </w:r>
      <w:r>
        <w:rPr>
          <w:rFonts w:ascii="Times New Roman" w:hAnsi="Times New Roman" w:cs="Times New Roman"/>
          <w:color w:val="auto"/>
        </w:rPr>
        <w:t>地层</w:t>
      </w:r>
    </w:p>
    <w:p>
      <w:pPr>
        <w:adjustRightInd/>
        <w:ind w:firstLine="480"/>
        <w:rPr>
          <w:rFonts w:ascii="Times New Roman" w:hAnsi="Times New Roman" w:cs="Times New Roman"/>
          <w:color w:val="auto"/>
        </w:rPr>
      </w:pPr>
      <w:r>
        <w:rPr>
          <w:rFonts w:ascii="Times New Roman" w:hAnsi="Times New Roman" w:cs="Times New Roman"/>
          <w:color w:val="auto"/>
        </w:rPr>
        <w:t>评估区位于合肥盆地南缘（区域地层见图5.6-2及表5.6-1）。评估区为第四系覆盖，主要地层有：</w:t>
      </w:r>
    </w:p>
    <w:p>
      <w:pPr>
        <w:pStyle w:val="1429"/>
        <w:spacing w:line="240" w:lineRule="auto"/>
        <w:ind w:firstLine="422"/>
        <w:rPr>
          <w:rFonts w:ascii="Times New Roman" w:hAnsi="Times New Roman"/>
          <w:color w:val="auto"/>
        </w:rPr>
      </w:pPr>
      <w:r>
        <w:rPr>
          <w:rFonts w:ascii="Times New Roman" w:hAnsi="Times New Roman"/>
          <w:color w:val="auto"/>
        </w:rPr>
        <w:t>表5.6-2   区域地层简表</w:t>
      </w:r>
    </w:p>
    <w:tbl>
      <w:tblPr>
        <w:tblStyle w:val="62"/>
        <w:tblW w:w="949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518"/>
        <w:gridCol w:w="861"/>
        <w:gridCol w:w="1026"/>
        <w:gridCol w:w="1145"/>
        <w:gridCol w:w="781"/>
        <w:gridCol w:w="1444"/>
        <w:gridCol w:w="37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9" w:hRule="atLeast"/>
          <w:jc w:val="center"/>
        </w:trPr>
        <w:tc>
          <w:tcPr>
            <w:tcW w:w="518"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界</w:t>
            </w:r>
          </w:p>
        </w:tc>
        <w:tc>
          <w:tcPr>
            <w:tcW w:w="861"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系</w:t>
            </w:r>
          </w:p>
        </w:tc>
        <w:tc>
          <w:tcPr>
            <w:tcW w:w="1026"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统</w:t>
            </w:r>
          </w:p>
        </w:tc>
        <w:tc>
          <w:tcPr>
            <w:tcW w:w="1145"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群组段</w:t>
            </w:r>
          </w:p>
        </w:tc>
        <w:tc>
          <w:tcPr>
            <w:tcW w:w="781"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代号</w:t>
            </w:r>
          </w:p>
        </w:tc>
        <w:tc>
          <w:tcPr>
            <w:tcW w:w="1444"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厚度（m）</w:t>
            </w:r>
          </w:p>
        </w:tc>
        <w:tc>
          <w:tcPr>
            <w:tcW w:w="3723" w:type="dxa"/>
            <w:vAlign w:val="center"/>
          </w:tcPr>
          <w:p>
            <w:pPr>
              <w:adjustRightInd/>
              <w:spacing w:line="240" w:lineRule="auto"/>
              <w:ind w:firstLine="42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岩    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11" w:hRule="atLeast"/>
          <w:jc w:val="center"/>
        </w:trPr>
        <w:tc>
          <w:tcPr>
            <w:tcW w:w="518" w:type="dxa"/>
            <w:vMerge w:val="restart"/>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新</w:t>
            </w:r>
          </w:p>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生</w:t>
            </w:r>
          </w:p>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界</w:t>
            </w:r>
          </w:p>
        </w:tc>
        <w:tc>
          <w:tcPr>
            <w:tcW w:w="861" w:type="dxa"/>
            <w:vMerge w:val="restart"/>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第四系</w:t>
            </w:r>
          </w:p>
        </w:tc>
        <w:tc>
          <w:tcPr>
            <w:tcW w:w="1026"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全新统</w:t>
            </w:r>
          </w:p>
        </w:tc>
        <w:tc>
          <w:tcPr>
            <w:tcW w:w="1145"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南淝河组</w:t>
            </w:r>
          </w:p>
        </w:tc>
        <w:tc>
          <w:tcPr>
            <w:tcW w:w="781"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Q</w:t>
            </w:r>
            <w:r>
              <w:rPr>
                <w:rFonts w:ascii="Times New Roman" w:hAnsi="Times New Roman" w:cs="Times New Roman"/>
                <w:color w:val="auto"/>
                <w:kern w:val="0"/>
                <w:sz w:val="18"/>
                <w:szCs w:val="18"/>
                <w:vertAlign w:val="subscript"/>
              </w:rPr>
              <w:t>4n</w:t>
            </w:r>
          </w:p>
        </w:tc>
        <w:tc>
          <w:tcPr>
            <w:tcW w:w="1444"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10-21</w:t>
            </w:r>
          </w:p>
        </w:tc>
        <w:tc>
          <w:tcPr>
            <w:tcW w:w="3723"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上部粘土，下部粉土、砂土。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19" w:hRule="atLeast"/>
          <w:jc w:val="center"/>
        </w:trPr>
        <w:tc>
          <w:tcPr>
            <w:tcW w:w="518"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rPr>
            </w:pPr>
          </w:p>
        </w:tc>
        <w:tc>
          <w:tcPr>
            <w:tcW w:w="861"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rPr>
            </w:pPr>
          </w:p>
        </w:tc>
        <w:tc>
          <w:tcPr>
            <w:tcW w:w="1026"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上更新统</w:t>
            </w:r>
          </w:p>
        </w:tc>
        <w:tc>
          <w:tcPr>
            <w:tcW w:w="1145"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下蜀组</w:t>
            </w:r>
          </w:p>
        </w:tc>
        <w:tc>
          <w:tcPr>
            <w:tcW w:w="781"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Q</w:t>
            </w:r>
            <w:r>
              <w:rPr>
                <w:rFonts w:ascii="Times New Roman" w:hAnsi="Times New Roman" w:cs="Times New Roman"/>
                <w:color w:val="auto"/>
                <w:kern w:val="0"/>
                <w:sz w:val="18"/>
                <w:szCs w:val="18"/>
                <w:vertAlign w:val="subscript"/>
              </w:rPr>
              <w:t>3X</w:t>
            </w:r>
          </w:p>
        </w:tc>
        <w:tc>
          <w:tcPr>
            <w:tcW w:w="1444"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20-30</w:t>
            </w:r>
          </w:p>
        </w:tc>
        <w:tc>
          <w:tcPr>
            <w:tcW w:w="3723"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灰黄、棕黄色粘土、亚粘土夹Fe、Mn结核，底部见粘土砾石层。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4" w:hRule="atLeast"/>
          <w:jc w:val="center"/>
        </w:trPr>
        <w:tc>
          <w:tcPr>
            <w:tcW w:w="518"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rPr>
            </w:pPr>
          </w:p>
        </w:tc>
        <w:tc>
          <w:tcPr>
            <w:tcW w:w="861"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第三系</w:t>
            </w:r>
          </w:p>
        </w:tc>
        <w:tc>
          <w:tcPr>
            <w:tcW w:w="1026"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古新统</w:t>
            </w:r>
          </w:p>
        </w:tc>
        <w:tc>
          <w:tcPr>
            <w:tcW w:w="1145"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定远组</w:t>
            </w:r>
          </w:p>
        </w:tc>
        <w:tc>
          <w:tcPr>
            <w:tcW w:w="781"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Edn</w:t>
            </w:r>
          </w:p>
        </w:tc>
        <w:tc>
          <w:tcPr>
            <w:tcW w:w="1444"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695</w:t>
            </w:r>
          </w:p>
        </w:tc>
        <w:tc>
          <w:tcPr>
            <w:tcW w:w="3723"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上部：棕红、棕褐色砂质泥岩。</w:t>
            </w:r>
          </w:p>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中部：棕红、棕褐色砂岩与泥岩互层。</w:t>
            </w:r>
          </w:p>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下部：棕红色、砖红色、紫红色含砾砂岩夹砂砾岩、粉砂岩、泥岩。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65" w:hRule="atLeast"/>
          <w:jc w:val="center"/>
        </w:trPr>
        <w:tc>
          <w:tcPr>
            <w:tcW w:w="518" w:type="dxa"/>
            <w:vMerge w:val="restart"/>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中 生 界</w:t>
            </w:r>
          </w:p>
        </w:tc>
        <w:tc>
          <w:tcPr>
            <w:tcW w:w="861"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白垩系</w:t>
            </w:r>
          </w:p>
        </w:tc>
        <w:tc>
          <w:tcPr>
            <w:tcW w:w="1026"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上统</w:t>
            </w:r>
          </w:p>
        </w:tc>
        <w:tc>
          <w:tcPr>
            <w:tcW w:w="1145"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张桥组</w:t>
            </w:r>
          </w:p>
        </w:tc>
        <w:tc>
          <w:tcPr>
            <w:tcW w:w="781"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K</w:t>
            </w:r>
            <w:r>
              <w:rPr>
                <w:rFonts w:ascii="Times New Roman" w:hAnsi="Times New Roman" w:cs="Times New Roman"/>
                <w:color w:val="auto"/>
                <w:kern w:val="0"/>
                <w:sz w:val="18"/>
                <w:szCs w:val="18"/>
                <w:vertAlign w:val="subscript"/>
              </w:rPr>
              <w:t>2z</w:t>
            </w:r>
          </w:p>
        </w:tc>
        <w:tc>
          <w:tcPr>
            <w:tcW w:w="1444"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&gt;611</w:t>
            </w:r>
          </w:p>
        </w:tc>
        <w:tc>
          <w:tcPr>
            <w:tcW w:w="3723"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砖红、棕红色细砂、粉砂岩，盆地边缘为砾岩、砂砾岩。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76" w:hRule="atLeast"/>
          <w:jc w:val="center"/>
        </w:trPr>
        <w:tc>
          <w:tcPr>
            <w:tcW w:w="518" w:type="dxa"/>
            <w:vMerge w:val="continue"/>
            <w:vAlign w:val="center"/>
          </w:tcPr>
          <w:p>
            <w:pPr>
              <w:adjustRightInd/>
              <w:spacing w:line="240" w:lineRule="auto"/>
              <w:ind w:firstLine="0" w:firstLineChars="0"/>
              <w:jc w:val="center"/>
              <w:rPr>
                <w:rFonts w:ascii="Times New Roman" w:hAnsi="Times New Roman" w:cs="Times New Roman"/>
                <w:color w:val="auto"/>
                <w:kern w:val="0"/>
                <w:sz w:val="18"/>
                <w:szCs w:val="18"/>
              </w:rPr>
            </w:pPr>
          </w:p>
        </w:tc>
        <w:tc>
          <w:tcPr>
            <w:tcW w:w="861"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侏罗系</w:t>
            </w:r>
          </w:p>
        </w:tc>
        <w:tc>
          <w:tcPr>
            <w:tcW w:w="1026"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上统</w:t>
            </w:r>
          </w:p>
        </w:tc>
        <w:tc>
          <w:tcPr>
            <w:tcW w:w="1145"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毛坦厂组</w:t>
            </w:r>
          </w:p>
        </w:tc>
        <w:tc>
          <w:tcPr>
            <w:tcW w:w="781"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J</w:t>
            </w:r>
            <w:r>
              <w:rPr>
                <w:rFonts w:ascii="Times New Roman" w:hAnsi="Times New Roman" w:cs="Times New Roman"/>
                <w:color w:val="auto"/>
                <w:kern w:val="0"/>
                <w:sz w:val="18"/>
                <w:szCs w:val="18"/>
                <w:vertAlign w:val="subscript"/>
              </w:rPr>
              <w:t>3m</w:t>
            </w:r>
          </w:p>
        </w:tc>
        <w:tc>
          <w:tcPr>
            <w:tcW w:w="1444"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40</w:t>
            </w:r>
          </w:p>
        </w:tc>
        <w:tc>
          <w:tcPr>
            <w:tcW w:w="3723" w:type="dxa"/>
            <w:vAlign w:val="center"/>
          </w:tcPr>
          <w:p>
            <w:pPr>
              <w:adjustRightInd/>
              <w:spacing w:line="240" w:lineRule="auto"/>
              <w:ind w:firstLine="0" w:firstLineChars="0"/>
              <w:jc w:val="center"/>
              <w:rPr>
                <w:rFonts w:ascii="Times New Roman" w:hAnsi="Times New Roman" w:cs="Times New Roman"/>
                <w:color w:val="auto"/>
                <w:kern w:val="0"/>
                <w:sz w:val="18"/>
                <w:szCs w:val="18"/>
              </w:rPr>
            </w:pPr>
            <w:r>
              <w:rPr>
                <w:rFonts w:ascii="Times New Roman" w:hAnsi="Times New Roman" w:cs="Times New Roman"/>
                <w:color w:val="auto"/>
                <w:kern w:val="0"/>
                <w:sz w:val="18"/>
                <w:szCs w:val="18"/>
              </w:rPr>
              <w:t>灰、灰紫色安山岩，安山质火山角砾岩、凝灰岩。</w:t>
            </w:r>
          </w:p>
        </w:tc>
      </w:tr>
    </w:tbl>
    <w:p>
      <w:pPr>
        <w:adjustRightInd/>
        <w:snapToGrid/>
        <w:spacing w:line="240" w:lineRule="auto"/>
        <w:ind w:right="-181" w:firstLine="480" w:firstLineChars="0"/>
        <w:rPr>
          <w:rFonts w:ascii="Times New Roman" w:hAnsi="Times New Roman" w:cs="Times New Roman"/>
          <w:color w:val="auto"/>
          <w:sz w:val="21"/>
          <w:szCs w:val="28"/>
        </w:rPr>
      </w:pPr>
    </w:p>
    <w:p>
      <w:pPr>
        <w:adjustRightInd/>
        <w:snapToGrid/>
        <w:ind w:firstLine="420"/>
        <w:rPr>
          <w:rFonts w:ascii="Times New Roman" w:hAnsi="Times New Roman" w:cs="Times New Roman"/>
          <w:color w:val="auto"/>
          <w:szCs w:val="24"/>
          <w:shd w:val="clear" w:color="auto" w:fill="FFFFFF"/>
        </w:rPr>
      </w:pPr>
      <w:r>
        <w:rPr>
          <w:rFonts w:ascii="Times New Roman" w:hAnsi="Times New Roman" w:cs="Times New Roman"/>
          <w:color w:val="auto"/>
          <w:sz w:val="21"/>
          <w:szCs w:val="28"/>
        </w:rPr>
        <mc:AlternateContent>
          <mc:Choice Requires="wpg">
            <w:drawing>
              <wp:inline distT="0" distB="0" distL="0" distR="0">
                <wp:extent cx="5380355" cy="4813935"/>
                <wp:effectExtent l="0" t="0" r="10795" b="0"/>
                <wp:docPr id="213" name="组合 4576"/>
                <wp:cNvGraphicFramePr/>
                <a:graphic xmlns:a="http://schemas.openxmlformats.org/drawingml/2006/main">
                  <a:graphicData uri="http://schemas.microsoft.com/office/word/2010/wordprocessingGroup">
                    <wpg:wgp>
                      <wpg:cNvGrpSpPr/>
                      <wpg:grpSpPr>
                        <a:xfrm>
                          <a:off x="0" y="0"/>
                          <a:ext cx="5380355" cy="4813935"/>
                          <a:chOff x="1917" y="7373"/>
                          <a:chExt cx="8473" cy="7581"/>
                        </a:xfrm>
                      </wpg:grpSpPr>
                      <pic:pic xmlns:pic="http://schemas.openxmlformats.org/drawingml/2006/picture">
                        <pic:nvPicPr>
                          <pic:cNvPr id="214" name="图片 4571" descr="NMM1ZF@DM9Y18(Y5@KK`U_Y"/>
                          <pic:cNvPicPr>
                            <a:picLocks noChangeAspect="true" noChangeArrowheads="true"/>
                          </pic:cNvPicPr>
                        </pic:nvPicPr>
                        <pic:blipFill>
                          <a:blip r:embed="rId190"/>
                          <a:srcRect/>
                          <a:stretch>
                            <a:fillRect/>
                          </a:stretch>
                        </pic:blipFill>
                        <pic:spPr>
                          <a:xfrm>
                            <a:off x="1917" y="7373"/>
                            <a:ext cx="8473" cy="7133"/>
                          </a:xfrm>
                          <a:prstGeom prst="rect">
                            <a:avLst/>
                          </a:prstGeom>
                          <a:noFill/>
                        </pic:spPr>
                      </pic:pic>
                      <wps:wsp>
                        <wps:cNvPr id="215" name="文本框 4572"/>
                        <wps:cNvSpPr txBox="true">
                          <a:spLocks noChangeArrowheads="true"/>
                        </wps:cNvSpPr>
                        <wps:spPr bwMode="auto">
                          <a:xfrm>
                            <a:off x="4017" y="14506"/>
                            <a:ext cx="4196" cy="448"/>
                          </a:xfrm>
                          <a:prstGeom prst="rect">
                            <a:avLst/>
                          </a:prstGeom>
                          <a:noFill/>
                          <a:ln>
                            <a:noFill/>
                          </a:ln>
                        </wps:spPr>
                        <wps:txbx>
                          <w:txbxContent>
                            <w:p>
                              <w:pPr>
                                <w:pStyle w:val="1429"/>
                                <w:spacing w:line="240" w:lineRule="auto"/>
                                <w:ind w:firstLine="422"/>
                              </w:pPr>
                              <w:r>
                                <w:rPr>
                                  <w:rFonts w:hint="eastAsia" w:ascii="Times New Roman" w:hAnsi="Times New Roman"/>
                                  <w:color w:val="auto"/>
                                </w:rPr>
                                <w:t>图</w:t>
                              </w:r>
                              <w:r>
                                <w:rPr>
                                  <w:rFonts w:ascii="Times New Roman" w:hAnsi="Times New Roman"/>
                                  <w:color w:val="auto"/>
                                </w:rPr>
                                <w:t>5.6</w:t>
                              </w:r>
                              <w:r>
                                <w:rPr>
                                  <w:rFonts w:hint="eastAsia" w:ascii="Times New Roman" w:hAnsi="Times New Roman"/>
                                  <w:color w:val="auto"/>
                                </w:rPr>
                                <w:t xml:space="preserve">-2 </w:t>
                              </w:r>
                              <w:r>
                                <w:rPr>
                                  <w:rFonts w:ascii="Times New Roman" w:hAnsi="Times New Roman"/>
                                  <w:color w:val="auto"/>
                                </w:rPr>
                                <w:t xml:space="preserve">   </w:t>
                              </w:r>
                              <w:r>
                                <w:rPr>
                                  <w:rFonts w:hint="eastAsia" w:ascii="Times New Roman" w:hAnsi="Times New Roman"/>
                                  <w:color w:val="auto"/>
                                </w:rPr>
                                <w:t>基岩地质图</w:t>
                              </w:r>
                            </w:p>
                          </w:txbxContent>
                        </wps:txbx>
                        <wps:bodyPr rot="0" vert="horz" wrap="square" lIns="91440" tIns="45720" rIns="91440" bIns="45720" anchor="t" anchorCtr="false" upright="true">
                          <a:spAutoFit/>
                        </wps:bodyPr>
                      </wps:wsp>
                    </wpg:wgp>
                  </a:graphicData>
                </a:graphic>
              </wp:inline>
            </w:drawing>
          </mc:Choice>
          <mc:Fallback>
            <w:pict>
              <v:group id="组合 4576" o:spid="_x0000_s1026" o:spt="203" style="height:379.05pt;width:423.65pt;" coordorigin="1917,7373" coordsize="8473,7581" o:gfxdata="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omDr62AAAAIQEAABkAAABkcnMvX3JlbHMv&#10;ZTJvRG9jLnhtbC5yZWxzhY9BasMwEEX3hdxBzD6WnUUoxbI3oeBtSA4wSGNZxBoJSS317SPIJoFA&#10;l/M//z2mH//8Kn4pZRdYQde0IIh1MI6tguvle/8JIhdkg2tgUrBRhnHYffRnWrHUUV5czKJSOCtY&#10;SolfUma9kMfchEhcmzkkj6WeycqI+oaW5KFtjzI9M2B4YYrJKEiT6UBctljN/7PDPDtNp6B/PHF5&#10;o5DOV3cFYrJUFHgyDh9h10S2IIdevjw23AF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">
                <o:lock v:ext="edit" aspectratio="f"/>
                <v:shape id="图片 4571" o:spid="_x0000_s1026" o:spt="75" alt="NMM1ZF@DM9Y18(Y5@KK`U_Y" type="#_x0000_t75" style="position:absolute;left:1917;top:7373;height:7133;width:8473;" filled="f" o:preferrelative="t" stroked="f" coordsize="21600,21600" o:gfxdata="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Mkldii+AAAA3AAAAA8AAAAAAAAAAQAgAAAAOAAAAGRycy9kb3ducmV2&#10;LnhtbFBLAQIUABQAAAAIAIdO4kAzLwWeOwAAADkAAAAQAAAAAAAAAAEAIAAAACMBAABkcnMvc2hh&#10;cGV4bWwueG1sUEsFBgAAAAAGAAYAWwEAAM0DAAAAAA==&#10;">
                  <v:fill on="f" focussize="0,0"/>
                  <v:stroke on="f"/>
                  <v:imagedata r:id="rId190" o:title=""/>
                  <o:lock v:ext="edit" aspectratio="t"/>
                </v:shape>
                <v:shape id="文本框 4572" o:spid="_x0000_s1026" o:spt="202" type="#_x0000_t202" style="position:absolute;left:4017;top:14506;height:448;width:4196;" filled="f" stroked="f" coordsize="21600,21600" o:gfxdata="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WAeFNvAAAANwAAAAPAAAAAAAAAAEAIAAAADgAAABkcnMvZG93bnJldi54&#10;bWxQSwECFAAUAAAACACHTuJAMy8FnjsAAAA5AAAAEAAAAAAAAAABACAAAAAhAQAAZHJzL3NoYXBl&#10;eG1sLnhtbFBLBQYAAAAABgAGAFsBAADLAwAAAAA=&#10;">
                  <v:fill on="f" focussize="0,0"/>
                  <v:stroke on="f"/>
                  <v:imagedata o:title=""/>
                  <o:lock v:ext="edit" aspectratio="f"/>
                  <v:textbox style="mso-fit-shape-to-text:t;">
                    <w:txbxContent>
                      <w:p>
                        <w:pPr>
                          <w:pStyle w:val="1429"/>
                          <w:spacing w:line="240" w:lineRule="auto"/>
                          <w:ind w:firstLine="422"/>
                        </w:pPr>
                        <w:r>
                          <w:rPr>
                            <w:rFonts w:hint="eastAsia" w:ascii="Times New Roman" w:hAnsi="Times New Roman"/>
                            <w:color w:val="auto"/>
                          </w:rPr>
                          <w:t>图</w:t>
                        </w:r>
                        <w:r>
                          <w:rPr>
                            <w:rFonts w:ascii="Times New Roman" w:hAnsi="Times New Roman"/>
                            <w:color w:val="auto"/>
                          </w:rPr>
                          <w:t>5.6</w:t>
                        </w:r>
                        <w:r>
                          <w:rPr>
                            <w:rFonts w:hint="eastAsia" w:ascii="Times New Roman" w:hAnsi="Times New Roman"/>
                            <w:color w:val="auto"/>
                          </w:rPr>
                          <w:t xml:space="preserve">-2 </w:t>
                        </w:r>
                        <w:r>
                          <w:rPr>
                            <w:rFonts w:ascii="Times New Roman" w:hAnsi="Times New Roman"/>
                            <w:color w:val="auto"/>
                          </w:rPr>
                          <w:t xml:space="preserve">   </w:t>
                        </w:r>
                        <w:r>
                          <w:rPr>
                            <w:rFonts w:hint="eastAsia" w:ascii="Times New Roman" w:hAnsi="Times New Roman"/>
                            <w:color w:val="auto"/>
                          </w:rPr>
                          <w:t>基岩地质图</w:t>
                        </w:r>
                      </w:p>
                    </w:txbxContent>
                  </v:textbox>
                </v:shape>
                <w10:wrap type="none"/>
                <w10:anchorlock/>
              </v:group>
            </w:pict>
          </mc:Fallback>
        </mc:AlternateContent>
      </w:r>
    </w:p>
    <w:p>
      <w:pPr>
        <w:adjustRightInd/>
        <w:ind w:firstLine="480"/>
        <w:rPr>
          <w:rFonts w:ascii="Times New Roman" w:hAnsi="Times New Roman" w:cs="Times New Roman"/>
          <w:color w:val="auto"/>
        </w:rPr>
      </w:pPr>
      <w:r>
        <w:rPr>
          <w:rFonts w:ascii="Times New Roman" w:hAnsi="Times New Roman" w:cs="Times New Roman"/>
          <w:color w:val="auto"/>
        </w:rPr>
        <w:t>（4）区域水文地质</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a、地下水类型及含水岩组特征</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根据评价区内含水介质、地下水赋存特征，可将评估区内地下水分为松散岩类孔隙水、红层碎屑岩类孔隙裂隙水两个含水岩组。阐述如下：</w:t>
      </w:r>
    </w:p>
    <w:p>
      <w:pPr>
        <w:adjustRightInd/>
        <w:ind w:firstLine="482"/>
        <w:rPr>
          <w:rFonts w:ascii="Times New Roman" w:hAnsi="Times New Roman" w:cs="Times New Roman"/>
          <w:b/>
          <w:color w:val="auto"/>
          <w:szCs w:val="24"/>
        </w:rPr>
      </w:pPr>
      <w:r>
        <w:rPr>
          <w:rFonts w:ascii="Times New Roman" w:hAnsi="Times New Roman" w:cs="Times New Roman"/>
          <w:b/>
          <w:color w:val="auto"/>
          <w:szCs w:val="24"/>
        </w:rPr>
        <w:t>松散岩类孔隙水</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分布于整个评价区，岩性为粘土，含孔隙水，一般具潜水-微承压性特征，含水层厚度20-30m，埋藏深度10-25m，地下水位埋深2-15m，单井出水量5-10m</w:t>
      </w:r>
      <w:r>
        <w:rPr>
          <w:rFonts w:ascii="Times New Roman" w:hAnsi="Times New Roman" w:cs="Times New Roman"/>
          <w:color w:val="auto"/>
          <w:szCs w:val="24"/>
          <w:vertAlign w:val="superscript"/>
        </w:rPr>
        <w:t>3</w:t>
      </w:r>
      <w:r>
        <w:rPr>
          <w:rFonts w:ascii="Times New Roman" w:hAnsi="Times New Roman" w:cs="Times New Roman"/>
          <w:color w:val="auto"/>
          <w:szCs w:val="24"/>
        </w:rPr>
        <w:t>/d。</w:t>
      </w:r>
    </w:p>
    <w:p>
      <w:pPr>
        <w:adjustRightInd/>
        <w:ind w:firstLine="482"/>
        <w:rPr>
          <w:rFonts w:ascii="Times New Roman" w:hAnsi="Times New Roman" w:cs="Times New Roman"/>
          <w:b/>
          <w:color w:val="auto"/>
          <w:szCs w:val="24"/>
        </w:rPr>
      </w:pPr>
      <w:r>
        <w:rPr>
          <w:rFonts w:ascii="Times New Roman" w:hAnsi="Times New Roman" w:cs="Times New Roman"/>
          <w:b/>
          <w:color w:val="auto"/>
          <w:szCs w:val="24"/>
        </w:rPr>
        <w:t>红层孔隙裂隙水</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该含水层组大部分隐伏在第四系松散层之下，含裂隙水、孔隙水，顶板埋深一般在30-45m，岩性为粉砂岩，细砂岩等，第三系砂岩为泥质胶结，裂隙不甚发育，风化带厚度一般为10m以上，砂岩赋水性中等至贫乏，钻孔涌水量一般在50～200m</w:t>
      </w:r>
      <w:r>
        <w:rPr>
          <w:rFonts w:ascii="Times New Roman" w:hAnsi="Times New Roman" w:cs="Times New Roman"/>
          <w:color w:val="auto"/>
          <w:szCs w:val="24"/>
          <w:vertAlign w:val="superscript"/>
        </w:rPr>
        <w:t>3</w:t>
      </w:r>
      <w:r>
        <w:rPr>
          <w:rFonts w:ascii="Times New Roman" w:hAnsi="Times New Roman" w:cs="Times New Roman"/>
          <w:color w:val="auto"/>
          <w:szCs w:val="24"/>
        </w:rPr>
        <w:t>/d。</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b、地下水的补、径、排关系</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评价区内两大含水系统—松散岩类孔隙水和碎屑岩类裂隙水的补给、迳流、排泄条件及其水力联系情况分述如下：</w:t>
      </w:r>
    </w:p>
    <w:p>
      <w:pPr>
        <w:adjustRightInd/>
        <w:ind w:firstLine="482"/>
        <w:rPr>
          <w:rFonts w:ascii="Times New Roman" w:hAnsi="Times New Roman" w:cs="Times New Roman"/>
          <w:b/>
          <w:color w:val="auto"/>
          <w:szCs w:val="24"/>
        </w:rPr>
      </w:pPr>
      <w:r>
        <w:rPr>
          <w:rFonts w:ascii="Times New Roman" w:hAnsi="Times New Roman" w:cs="Times New Roman"/>
          <w:b/>
          <w:color w:val="auto"/>
          <w:szCs w:val="24"/>
        </w:rPr>
        <w:t>松散岩类孔隙水</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第四系松散岩类孔隙水主要靠大气降水补给，由于粘土渗透性较差，大气降水只有部分直接渗透补给地下水，接受地表水渗流补给，地下水径流受地形地貌影响，但总的径流方向与地表泾流基本一致，由北东向南西泾流，排泄方式有：</w:t>
      </w:r>
      <w:r>
        <w:rPr>
          <w:rFonts w:hint="eastAsia" w:ascii="宋体" w:hAnsi="宋体" w:cs="宋体"/>
          <w:color w:val="auto"/>
          <w:szCs w:val="24"/>
        </w:rPr>
        <w:t>①历史</w:t>
      </w:r>
      <w:r>
        <w:rPr>
          <w:rFonts w:ascii="Times New Roman" w:hAnsi="Times New Roman" w:cs="Times New Roman"/>
          <w:color w:val="auto"/>
          <w:szCs w:val="24"/>
        </w:rPr>
        <w:t>人工浅井开采</w:t>
      </w:r>
      <w:r>
        <w:rPr>
          <w:rFonts w:hint="eastAsia" w:ascii="Times New Roman" w:hAnsi="Times New Roman" w:cs="Times New Roman"/>
          <w:color w:val="auto"/>
          <w:szCs w:val="24"/>
        </w:rPr>
        <w:t>（评价区现状水井不具有饮用功能）</w:t>
      </w:r>
      <w:r>
        <w:rPr>
          <w:rFonts w:ascii="Times New Roman" w:hAnsi="Times New Roman" w:cs="Times New Roman"/>
          <w:color w:val="auto"/>
          <w:szCs w:val="24"/>
        </w:rPr>
        <w:t>；</w:t>
      </w:r>
      <w:r>
        <w:rPr>
          <w:rFonts w:hint="eastAsia" w:ascii="宋体" w:hAnsi="宋体" w:cs="宋体"/>
          <w:color w:val="auto"/>
          <w:szCs w:val="24"/>
        </w:rPr>
        <w:t>②</w:t>
      </w:r>
      <w:r>
        <w:rPr>
          <w:rFonts w:ascii="Times New Roman" w:hAnsi="Times New Roman" w:cs="Times New Roman"/>
          <w:color w:val="auto"/>
          <w:szCs w:val="24"/>
        </w:rPr>
        <w:t>向河流排泄；</w:t>
      </w:r>
      <w:r>
        <w:rPr>
          <w:rFonts w:hint="eastAsia" w:ascii="宋体" w:hAnsi="宋体" w:cs="宋体"/>
          <w:color w:val="auto"/>
          <w:szCs w:val="24"/>
        </w:rPr>
        <w:t>③</w:t>
      </w:r>
      <w:r>
        <w:rPr>
          <w:rFonts w:ascii="Times New Roman" w:hAnsi="Times New Roman" w:cs="Times New Roman"/>
          <w:color w:val="auto"/>
          <w:szCs w:val="24"/>
        </w:rPr>
        <w:t>大气蒸发。</w:t>
      </w:r>
    </w:p>
    <w:p>
      <w:pPr>
        <w:adjustRightInd/>
        <w:ind w:firstLine="482"/>
        <w:rPr>
          <w:rFonts w:ascii="Times New Roman" w:hAnsi="Times New Roman" w:cs="Times New Roman"/>
          <w:b/>
          <w:color w:val="auto"/>
          <w:szCs w:val="24"/>
        </w:rPr>
      </w:pPr>
      <w:r>
        <w:rPr>
          <w:rFonts w:ascii="Times New Roman" w:hAnsi="Times New Roman" w:cs="Times New Roman"/>
          <w:b/>
          <w:color w:val="auto"/>
          <w:szCs w:val="24"/>
        </w:rPr>
        <w:t>红层孔隙裂隙水</w:t>
      </w:r>
    </w:p>
    <w:p>
      <w:pPr>
        <w:adjustRightInd/>
        <w:ind w:firstLine="480"/>
        <w:rPr>
          <w:rFonts w:ascii="Times New Roman" w:hAnsi="Times New Roman" w:cs="Times New Roman"/>
          <w:color w:val="auto"/>
          <w:szCs w:val="24"/>
        </w:rPr>
      </w:pPr>
      <w:r>
        <w:rPr>
          <w:rFonts w:ascii="Times New Roman" w:hAnsi="Times New Roman" w:cs="Times New Roman"/>
          <w:color w:val="auto"/>
          <w:szCs w:val="24"/>
        </w:rPr>
        <w:t>接受浅层地下水渗流补给，其次是区外地下水泾流补给。在重力作用下，一部分地下水沿裂隙发育带、断层破碎带向深部泾流；另一部分则发生水平运动，排泄方式主要是人工开采，以及地下泾流向区外排泄。</w:t>
      </w:r>
    </w:p>
    <w:p>
      <w:pPr>
        <w:adjustRightInd/>
        <w:ind w:firstLine="480"/>
        <w:rPr>
          <w:rFonts w:ascii="Times New Roman" w:hAnsi="Times New Roman" w:cs="Times New Roman"/>
          <w:color w:val="auto"/>
          <w:shd w:val="clear" w:color="auto" w:fill="FFFFFF"/>
        </w:rPr>
      </w:pPr>
      <w:r>
        <w:rPr>
          <w:rFonts w:ascii="Times New Roman" w:hAnsi="Times New Roman" w:cs="Times New Roman"/>
          <w:color w:val="auto"/>
          <w:szCs w:val="24"/>
        </w:rPr>
        <w:t>松散岩类孔隙水和红层孔隙裂隙水之间一般存在粘土隔水层，两含水层间基本无水力联系。</w:t>
      </w:r>
    </w:p>
    <w:p>
      <w:pPr>
        <w:pStyle w:val="4"/>
        <w:rPr>
          <w:rFonts w:ascii="Times New Roman" w:hAnsi="Times New Roman" w:cs="Times New Roman"/>
          <w:color w:val="auto"/>
          <w:szCs w:val="24"/>
          <w:shd w:val="clear" w:color="auto" w:fill="FFFFFF"/>
          <w:lang w:val="zh-CN"/>
        </w:rPr>
      </w:pPr>
      <w:bookmarkStart w:id="451" w:name="_Toc102984384"/>
      <w:bookmarkStart w:id="452" w:name="_Toc104733415"/>
      <w:r>
        <w:rPr>
          <w:rFonts w:ascii="Times New Roman" w:hAnsi="Times New Roman" w:cs="Times New Roman"/>
          <w:color w:val="auto"/>
        </w:rPr>
        <w:t>5.6.2项目区地层勘测情况</w:t>
      </w:r>
      <w:bookmarkEnd w:id="451"/>
      <w:bookmarkEnd w:id="452"/>
    </w:p>
    <w:p>
      <w:pPr>
        <w:pStyle w:val="25"/>
        <w:spacing w:line="360" w:lineRule="auto"/>
        <w:ind w:firstLine="480"/>
        <w:rPr>
          <w:rFonts w:ascii="Times New Roman" w:hAnsi="Times New Roman" w:cs="Times New Roman"/>
        </w:rPr>
      </w:pPr>
      <w:r>
        <w:rPr>
          <w:rFonts w:ascii="Times New Roman" w:hAnsi="Times New Roman" w:cs="Times New Roman"/>
        </w:rPr>
        <w:t>项目区土层中地下水主要为第四纪松散孔隙水和松散岩类孔隙承压水，其中：松散类孔隙潜水：主要分布于河流两岸第</w:t>
      </w:r>
      <w:r>
        <w:rPr>
          <w:rFonts w:hint="eastAsia" w:ascii="宋体" w:hAnsi="宋体" w:cs="宋体"/>
        </w:rPr>
        <w:t>②</w:t>
      </w:r>
      <w:r>
        <w:rPr>
          <w:rFonts w:ascii="Times New Roman" w:hAnsi="Times New Roman" w:cs="Times New Roman"/>
        </w:rPr>
        <w:t>-</w:t>
      </w:r>
      <w:r>
        <w:rPr>
          <w:rFonts w:hint="eastAsia" w:ascii="宋体" w:hAnsi="宋体" w:cs="宋体"/>
        </w:rPr>
        <w:t>⑦</w:t>
      </w:r>
      <w:r>
        <w:rPr>
          <w:rFonts w:ascii="Times New Roman" w:hAnsi="Times New Roman" w:cs="Times New Roman"/>
        </w:rPr>
        <w:t>层土内，赋存地下潜水，该层地下水与店埠河河水关系密切（地表水和大气降水汇入店埠河内）、形成互补关系，其含水层厚度较大，松散岩类孔隙承压水主要赋存于</w:t>
      </w:r>
      <w:r>
        <w:rPr>
          <w:rFonts w:hint="eastAsia" w:ascii="宋体" w:hAnsi="宋体" w:cs="宋体"/>
        </w:rPr>
        <w:t>⑧</w:t>
      </w:r>
      <w:r>
        <w:rPr>
          <w:rFonts w:ascii="Times New Roman" w:hAnsi="Times New Roman" w:cs="Times New Roman"/>
        </w:rPr>
        <w:t>层岩层中。</w:t>
      </w:r>
    </w:p>
    <w:p>
      <w:pPr>
        <w:pStyle w:val="25"/>
        <w:spacing w:line="360" w:lineRule="auto"/>
        <w:ind w:firstLine="480"/>
        <w:rPr>
          <w:rFonts w:ascii="Times New Roman" w:hAnsi="Times New Roman" w:cs="Times New Roman"/>
        </w:rPr>
      </w:pPr>
      <w:r>
        <w:rPr>
          <w:rFonts w:ascii="Times New Roman" w:hAnsi="Times New Roman" w:cs="Times New Roman"/>
        </w:rPr>
        <w:t>根据观测资料，该场地稳定地下水位一般在200米至3.50米之间，由于场地地势差异较大，地下水水位有一定差异。地下水变化幅度呈季节性变化，地下水一般变化幅度约1.50-3.00米左右（与西侧河水、周边沟塘水变化幅度密切联系）。</w:t>
      </w:r>
    </w:p>
    <w:p>
      <w:pPr>
        <w:ind w:firstLine="480"/>
        <w:rPr>
          <w:rFonts w:ascii="Times New Roman" w:hAnsi="Times New Roman" w:cs="Times New Roman"/>
          <w:szCs w:val="24"/>
          <w:lang w:val="zh-CN"/>
        </w:rPr>
      </w:pPr>
      <w:r>
        <w:rPr>
          <w:rFonts w:ascii="Times New Roman" w:hAnsi="Times New Roman" w:cs="Times New Roman"/>
          <w:szCs w:val="24"/>
          <w:lang w:val="zh-CN" w:bidi="ar"/>
        </w:rPr>
        <w:t>（3）场地浅表岩土层的渗透性</w:t>
      </w:r>
    </w:p>
    <w:p>
      <w:pPr>
        <w:ind w:firstLine="480"/>
        <w:rPr>
          <w:rFonts w:ascii="Times New Roman" w:hAnsi="Times New Roman" w:eastAsia="黑体" w:cs="Times New Roman"/>
          <w:sz w:val="21"/>
          <w:szCs w:val="21"/>
        </w:rPr>
      </w:pPr>
      <w:r>
        <w:rPr>
          <w:rFonts w:ascii="Times New Roman" w:hAnsi="Times New Roman" w:cs="Times New Roman"/>
          <w:szCs w:val="24"/>
          <w:lang w:bidi="ar"/>
        </w:rPr>
        <w:t>根据场地地质勘测报告，拟建</w:t>
      </w:r>
      <w:r>
        <w:rPr>
          <w:rFonts w:ascii="Times New Roman" w:hAnsi="Times New Roman" w:cs="Times New Roman"/>
          <w:szCs w:val="24"/>
          <w:lang w:val="zh-CN" w:bidi="ar"/>
        </w:rPr>
        <w:t>场地浅表岩土层的渗透系数如下：</w:t>
      </w:r>
    </w:p>
    <w:p>
      <w:pPr>
        <w:spacing w:line="240" w:lineRule="auto"/>
        <w:ind w:firstLine="422"/>
        <w:jc w:val="center"/>
        <w:rPr>
          <w:rFonts w:ascii="Times New Roman" w:hAnsi="Times New Roman" w:cs="Times New Roman"/>
          <w:b/>
          <w:color w:val="auto"/>
          <w:sz w:val="21"/>
        </w:rPr>
      </w:pPr>
      <w:r>
        <w:rPr>
          <w:rFonts w:ascii="Times New Roman" w:hAnsi="Times New Roman" w:cs="Times New Roman"/>
          <w:b/>
          <w:color w:val="auto"/>
          <w:sz w:val="21"/>
        </w:rPr>
        <w:t>表5.6-3   拟建场地土层渗透系数一览表</w:t>
      </w:r>
    </w:p>
    <w:tbl>
      <w:tblPr>
        <w:tblStyle w:val="62"/>
        <w:tblW w:w="920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03"/>
        <w:gridCol w:w="1587"/>
        <w:gridCol w:w="1765"/>
        <w:gridCol w:w="26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3" w:type="dxa"/>
            <w:vMerge w:val="restart"/>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土层编号及名称</w:t>
            </w:r>
          </w:p>
        </w:tc>
        <w:tc>
          <w:tcPr>
            <w:tcW w:w="3352" w:type="dxa"/>
            <w:gridSpan w:val="2"/>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渗透系数cm/s</w:t>
            </w:r>
          </w:p>
        </w:tc>
        <w:tc>
          <w:tcPr>
            <w:tcW w:w="2653" w:type="dxa"/>
            <w:vMerge w:val="restart"/>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透水性分级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3" w:type="dxa"/>
            <w:vMerge w:val="continue"/>
            <w:tcBorders>
              <w:tl2br w:val="nil"/>
              <w:tr2bl w:val="nil"/>
            </w:tcBorders>
            <w:shd w:val="clear" w:color="auto" w:fill="auto"/>
            <w:vAlign w:val="center"/>
          </w:tcPr>
          <w:p>
            <w:pPr>
              <w:spacing w:line="240" w:lineRule="auto"/>
              <w:ind w:firstLine="400"/>
              <w:rPr>
                <w:rFonts w:ascii="Times New Roman" w:hAnsi="Times New Roman" w:cs="Times New Roman"/>
                <w:sz w:val="20"/>
                <w:szCs w:val="20"/>
              </w:rPr>
            </w:pPr>
          </w:p>
        </w:tc>
        <w:tc>
          <w:tcPr>
            <w:tcW w:w="1587"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垂直Kv</w:t>
            </w:r>
          </w:p>
        </w:tc>
        <w:tc>
          <w:tcPr>
            <w:tcW w:w="1765" w:type="dxa"/>
            <w:tcBorders>
              <w:tl2br w:val="nil"/>
              <w:tr2bl w:val="nil"/>
            </w:tcBorders>
            <w:shd w:val="clear" w:color="auto" w:fill="auto"/>
            <w:vAlign w:val="center"/>
          </w:tcPr>
          <w:p>
            <w:pPr>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水平Kt</w:t>
            </w:r>
          </w:p>
        </w:tc>
        <w:tc>
          <w:tcPr>
            <w:tcW w:w="2653" w:type="dxa"/>
            <w:vMerge w:val="continue"/>
            <w:tcBorders>
              <w:tl2br w:val="nil"/>
              <w:tr2bl w:val="nil"/>
            </w:tcBorders>
            <w:shd w:val="clear" w:color="auto" w:fill="auto"/>
            <w:vAlign w:val="center"/>
          </w:tcPr>
          <w:p>
            <w:pPr>
              <w:spacing w:line="240" w:lineRule="auto"/>
              <w:ind w:firstLine="400"/>
              <w:rPr>
                <w:rFonts w:ascii="Times New Roman" w:hAnsi="Times New Roman" w:cs="Times New Roman"/>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hint="eastAsia" w:ascii="宋体" w:hAnsi="宋体" w:cs="宋体"/>
                <w:sz w:val="20"/>
                <w:szCs w:val="20"/>
                <w:lang w:bidi="ar"/>
              </w:rPr>
              <w:t>①</w:t>
            </w:r>
            <w:r>
              <w:rPr>
                <w:rFonts w:ascii="Times New Roman" w:hAnsi="Times New Roman" w:cs="Times New Roman"/>
                <w:kern w:val="0"/>
                <w:sz w:val="20"/>
                <w:szCs w:val="20"/>
                <w:lang w:bidi="ar"/>
              </w:rPr>
              <w:t>素填土</w:t>
            </w:r>
          </w:p>
        </w:tc>
        <w:tc>
          <w:tcPr>
            <w:tcW w:w="1587"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2.00×10</w:t>
            </w:r>
            <w:r>
              <w:rPr>
                <w:rFonts w:ascii="Times New Roman" w:hAnsi="Times New Roman" w:cs="Times New Roman"/>
                <w:sz w:val="20"/>
                <w:szCs w:val="20"/>
                <w:vertAlign w:val="superscript"/>
                <w:lang w:bidi="ar"/>
              </w:rPr>
              <w:t>-4</w:t>
            </w:r>
          </w:p>
        </w:tc>
        <w:tc>
          <w:tcPr>
            <w:tcW w:w="1765"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4.00×10</w:t>
            </w:r>
            <w:r>
              <w:rPr>
                <w:rFonts w:ascii="Times New Roman" w:hAnsi="Times New Roman" w:cs="Times New Roman"/>
                <w:sz w:val="20"/>
                <w:szCs w:val="20"/>
                <w:vertAlign w:val="superscript"/>
                <w:lang w:bidi="ar"/>
              </w:rPr>
              <w:t>-4</w:t>
            </w:r>
          </w:p>
        </w:tc>
        <w:tc>
          <w:tcPr>
            <w:tcW w:w="265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中等透水性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320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hint="eastAsia" w:ascii="宋体" w:hAnsi="宋体" w:cs="宋体"/>
                <w:sz w:val="20"/>
                <w:szCs w:val="20"/>
                <w:lang w:bidi="ar"/>
              </w:rPr>
              <w:t>②</w:t>
            </w:r>
            <w:r>
              <w:rPr>
                <w:rFonts w:ascii="Times New Roman" w:hAnsi="Times New Roman" w:cs="Times New Roman"/>
                <w:kern w:val="0"/>
                <w:sz w:val="20"/>
                <w:szCs w:val="20"/>
                <w:lang w:bidi="ar"/>
              </w:rPr>
              <w:t>粉质粘土</w:t>
            </w:r>
          </w:p>
        </w:tc>
        <w:tc>
          <w:tcPr>
            <w:tcW w:w="1587"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1.5×10</w:t>
            </w:r>
            <w:r>
              <w:rPr>
                <w:rFonts w:ascii="Times New Roman" w:hAnsi="Times New Roman" w:cs="Times New Roman"/>
                <w:sz w:val="20"/>
                <w:szCs w:val="20"/>
                <w:vertAlign w:val="superscript"/>
                <w:lang w:bidi="ar"/>
              </w:rPr>
              <w:t>-5</w:t>
            </w:r>
          </w:p>
        </w:tc>
        <w:tc>
          <w:tcPr>
            <w:tcW w:w="1765"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2.5×10</w:t>
            </w:r>
            <w:r>
              <w:rPr>
                <w:rFonts w:ascii="Times New Roman" w:hAnsi="Times New Roman" w:cs="Times New Roman"/>
                <w:sz w:val="20"/>
                <w:szCs w:val="20"/>
                <w:vertAlign w:val="superscript"/>
                <w:lang w:bidi="ar"/>
              </w:rPr>
              <w:t>-5</w:t>
            </w:r>
          </w:p>
        </w:tc>
        <w:tc>
          <w:tcPr>
            <w:tcW w:w="265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弱透水性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hint="eastAsia" w:ascii="宋体" w:hAnsi="宋体" w:cs="宋体"/>
                <w:kern w:val="0"/>
                <w:sz w:val="20"/>
                <w:szCs w:val="20"/>
                <w:lang w:bidi="ar"/>
              </w:rPr>
              <w:t>③</w:t>
            </w:r>
            <w:r>
              <w:rPr>
                <w:rFonts w:ascii="Times New Roman" w:hAnsi="Times New Roman" w:cs="Times New Roman"/>
                <w:kern w:val="0"/>
                <w:sz w:val="20"/>
                <w:szCs w:val="20"/>
                <w:lang w:bidi="ar"/>
              </w:rPr>
              <w:t>粉质粘土</w:t>
            </w:r>
          </w:p>
        </w:tc>
        <w:tc>
          <w:tcPr>
            <w:tcW w:w="1587"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1.0×10</w:t>
            </w:r>
            <w:r>
              <w:rPr>
                <w:rFonts w:ascii="Times New Roman" w:hAnsi="Times New Roman" w:cs="Times New Roman"/>
                <w:sz w:val="20"/>
                <w:szCs w:val="20"/>
                <w:vertAlign w:val="superscript"/>
                <w:lang w:bidi="ar"/>
              </w:rPr>
              <w:t>-5</w:t>
            </w:r>
          </w:p>
        </w:tc>
        <w:tc>
          <w:tcPr>
            <w:tcW w:w="1765"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2.5×10</w:t>
            </w:r>
            <w:r>
              <w:rPr>
                <w:rFonts w:ascii="Times New Roman" w:hAnsi="Times New Roman" w:cs="Times New Roman"/>
                <w:sz w:val="20"/>
                <w:szCs w:val="20"/>
                <w:vertAlign w:val="superscript"/>
                <w:lang w:bidi="ar"/>
              </w:rPr>
              <w:t>-5</w:t>
            </w:r>
          </w:p>
        </w:tc>
        <w:tc>
          <w:tcPr>
            <w:tcW w:w="265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弱透水性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hint="eastAsia" w:ascii="宋体" w:hAnsi="宋体" w:cs="宋体"/>
                <w:kern w:val="0"/>
                <w:sz w:val="20"/>
                <w:szCs w:val="20"/>
                <w:lang w:bidi="ar"/>
              </w:rPr>
              <w:t>④</w:t>
            </w:r>
            <w:r>
              <w:rPr>
                <w:rFonts w:ascii="Times New Roman" w:hAnsi="Times New Roman" w:cs="Times New Roman"/>
                <w:kern w:val="0"/>
                <w:sz w:val="20"/>
                <w:szCs w:val="20"/>
                <w:lang w:bidi="ar"/>
              </w:rPr>
              <w:t>粉质粘土</w:t>
            </w:r>
          </w:p>
        </w:tc>
        <w:tc>
          <w:tcPr>
            <w:tcW w:w="1587"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6.0×10</w:t>
            </w:r>
            <w:r>
              <w:rPr>
                <w:rFonts w:ascii="Times New Roman" w:hAnsi="Times New Roman" w:cs="Times New Roman"/>
                <w:sz w:val="20"/>
                <w:szCs w:val="20"/>
                <w:vertAlign w:val="superscript"/>
                <w:lang w:bidi="ar"/>
              </w:rPr>
              <w:t>-6</w:t>
            </w:r>
          </w:p>
        </w:tc>
        <w:tc>
          <w:tcPr>
            <w:tcW w:w="1765"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7.5×10</w:t>
            </w:r>
            <w:r>
              <w:rPr>
                <w:rFonts w:ascii="Times New Roman" w:hAnsi="Times New Roman" w:cs="Times New Roman"/>
                <w:sz w:val="20"/>
                <w:szCs w:val="20"/>
                <w:vertAlign w:val="superscript"/>
                <w:lang w:bidi="ar"/>
              </w:rPr>
              <w:t>-6</w:t>
            </w:r>
          </w:p>
        </w:tc>
        <w:tc>
          <w:tcPr>
            <w:tcW w:w="265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微透水性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kern w:val="0"/>
                <w:sz w:val="20"/>
                <w:szCs w:val="20"/>
              </w:rPr>
            </w:pPr>
            <w:r>
              <w:rPr>
                <w:rFonts w:hint="eastAsia" w:ascii="宋体" w:hAnsi="宋体" w:cs="宋体"/>
                <w:kern w:val="0"/>
                <w:sz w:val="20"/>
                <w:szCs w:val="20"/>
                <w:lang w:bidi="ar"/>
              </w:rPr>
              <w:t>⑤</w:t>
            </w:r>
            <w:r>
              <w:rPr>
                <w:rFonts w:ascii="Times New Roman" w:hAnsi="Times New Roman" w:cs="Times New Roman"/>
                <w:kern w:val="0"/>
                <w:sz w:val="20"/>
                <w:szCs w:val="20"/>
                <w:lang w:bidi="ar"/>
              </w:rPr>
              <w:t>粉质粘土夹粉土</w:t>
            </w:r>
          </w:p>
        </w:tc>
        <w:tc>
          <w:tcPr>
            <w:tcW w:w="1587"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8.0×10</w:t>
            </w:r>
            <w:r>
              <w:rPr>
                <w:rFonts w:ascii="Times New Roman" w:hAnsi="Times New Roman" w:cs="Times New Roman"/>
                <w:sz w:val="20"/>
                <w:szCs w:val="20"/>
                <w:vertAlign w:val="superscript"/>
                <w:lang w:bidi="ar"/>
              </w:rPr>
              <w:t>-5</w:t>
            </w:r>
          </w:p>
        </w:tc>
        <w:tc>
          <w:tcPr>
            <w:tcW w:w="1765"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9.5×10</w:t>
            </w:r>
            <w:r>
              <w:rPr>
                <w:rFonts w:ascii="Times New Roman" w:hAnsi="Times New Roman" w:cs="Times New Roman"/>
                <w:sz w:val="20"/>
                <w:szCs w:val="20"/>
                <w:vertAlign w:val="superscript"/>
                <w:lang w:bidi="ar"/>
              </w:rPr>
              <w:t>-5</w:t>
            </w:r>
          </w:p>
        </w:tc>
        <w:tc>
          <w:tcPr>
            <w:tcW w:w="265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弱透水性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320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kern w:val="0"/>
                <w:sz w:val="20"/>
                <w:szCs w:val="20"/>
              </w:rPr>
            </w:pPr>
            <w:r>
              <w:rPr>
                <w:rFonts w:hint="eastAsia" w:ascii="宋体" w:hAnsi="宋体" w:cs="宋体"/>
                <w:kern w:val="0"/>
                <w:sz w:val="20"/>
                <w:szCs w:val="20"/>
                <w:lang w:bidi="ar"/>
              </w:rPr>
              <w:t>⑥</w:t>
            </w:r>
            <w:r>
              <w:rPr>
                <w:rFonts w:ascii="Times New Roman" w:hAnsi="Times New Roman" w:cs="Times New Roman"/>
                <w:kern w:val="0"/>
                <w:sz w:val="20"/>
                <w:szCs w:val="20"/>
                <w:lang w:bidi="ar"/>
              </w:rPr>
              <w:t>粉土</w:t>
            </w:r>
          </w:p>
        </w:tc>
        <w:tc>
          <w:tcPr>
            <w:tcW w:w="1587"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1.20×10</w:t>
            </w:r>
            <w:r>
              <w:rPr>
                <w:rFonts w:ascii="Times New Roman" w:hAnsi="Times New Roman" w:cs="Times New Roman"/>
                <w:sz w:val="20"/>
                <w:szCs w:val="20"/>
                <w:vertAlign w:val="superscript"/>
                <w:lang w:bidi="ar"/>
              </w:rPr>
              <w:t>-4</w:t>
            </w:r>
          </w:p>
        </w:tc>
        <w:tc>
          <w:tcPr>
            <w:tcW w:w="1765"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1.50×10</w:t>
            </w:r>
            <w:r>
              <w:rPr>
                <w:rFonts w:ascii="Times New Roman" w:hAnsi="Times New Roman" w:cs="Times New Roman"/>
                <w:sz w:val="20"/>
                <w:szCs w:val="20"/>
                <w:vertAlign w:val="superscript"/>
                <w:lang w:bidi="ar"/>
              </w:rPr>
              <w:t>-4</w:t>
            </w:r>
          </w:p>
        </w:tc>
        <w:tc>
          <w:tcPr>
            <w:tcW w:w="265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中等透水性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kern w:val="0"/>
                <w:sz w:val="20"/>
                <w:szCs w:val="20"/>
              </w:rPr>
            </w:pPr>
            <w:r>
              <w:rPr>
                <w:rFonts w:hint="eastAsia" w:ascii="宋体" w:hAnsi="宋体" w:cs="宋体"/>
                <w:kern w:val="0"/>
                <w:sz w:val="20"/>
                <w:szCs w:val="20"/>
                <w:lang w:bidi="ar"/>
              </w:rPr>
              <w:t>⑦</w:t>
            </w:r>
            <w:r>
              <w:rPr>
                <w:rFonts w:ascii="Times New Roman" w:hAnsi="Times New Roman" w:cs="Times New Roman"/>
                <w:kern w:val="0"/>
                <w:sz w:val="20"/>
                <w:szCs w:val="20"/>
                <w:lang w:bidi="ar"/>
              </w:rPr>
              <w:t>粉质粘土</w:t>
            </w:r>
          </w:p>
        </w:tc>
        <w:tc>
          <w:tcPr>
            <w:tcW w:w="1587"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3.0×10</w:t>
            </w:r>
            <w:r>
              <w:rPr>
                <w:rFonts w:ascii="Times New Roman" w:hAnsi="Times New Roman" w:cs="Times New Roman"/>
                <w:sz w:val="20"/>
                <w:szCs w:val="20"/>
                <w:vertAlign w:val="superscript"/>
                <w:lang w:bidi="ar"/>
              </w:rPr>
              <w:t>-6</w:t>
            </w:r>
          </w:p>
        </w:tc>
        <w:tc>
          <w:tcPr>
            <w:tcW w:w="1765"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4.5×10</w:t>
            </w:r>
            <w:r>
              <w:rPr>
                <w:rFonts w:ascii="Times New Roman" w:hAnsi="Times New Roman" w:cs="Times New Roman"/>
                <w:sz w:val="20"/>
                <w:szCs w:val="20"/>
                <w:vertAlign w:val="superscript"/>
                <w:lang w:bidi="ar"/>
              </w:rPr>
              <w:t>-6</w:t>
            </w:r>
          </w:p>
        </w:tc>
        <w:tc>
          <w:tcPr>
            <w:tcW w:w="265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微透水性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kern w:val="0"/>
                <w:sz w:val="20"/>
                <w:szCs w:val="20"/>
              </w:rPr>
            </w:pPr>
            <w:r>
              <w:rPr>
                <w:rFonts w:hint="eastAsia" w:ascii="宋体" w:hAnsi="宋体" w:cs="宋体"/>
                <w:kern w:val="0"/>
                <w:sz w:val="20"/>
                <w:szCs w:val="20"/>
                <w:lang w:bidi="ar"/>
              </w:rPr>
              <w:t>⑧</w:t>
            </w:r>
            <w:r>
              <w:rPr>
                <w:rFonts w:ascii="Times New Roman" w:hAnsi="Times New Roman" w:cs="Times New Roman"/>
                <w:kern w:val="0"/>
                <w:sz w:val="20"/>
                <w:szCs w:val="20"/>
                <w:lang w:bidi="ar"/>
              </w:rPr>
              <w:t>-1全风化泥质粉砂岩</w:t>
            </w:r>
          </w:p>
        </w:tc>
        <w:tc>
          <w:tcPr>
            <w:tcW w:w="1587"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1.00×10</w:t>
            </w:r>
            <w:r>
              <w:rPr>
                <w:rFonts w:ascii="Times New Roman" w:hAnsi="Times New Roman" w:cs="Times New Roman"/>
                <w:sz w:val="20"/>
                <w:szCs w:val="20"/>
                <w:vertAlign w:val="superscript"/>
                <w:lang w:bidi="ar"/>
              </w:rPr>
              <w:t>-5</w:t>
            </w:r>
          </w:p>
        </w:tc>
        <w:tc>
          <w:tcPr>
            <w:tcW w:w="1765"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2.50×10</w:t>
            </w:r>
            <w:r>
              <w:rPr>
                <w:rFonts w:ascii="Times New Roman" w:hAnsi="Times New Roman" w:cs="Times New Roman"/>
                <w:sz w:val="20"/>
                <w:szCs w:val="20"/>
                <w:vertAlign w:val="superscript"/>
                <w:lang w:bidi="ar"/>
              </w:rPr>
              <w:t>-5</w:t>
            </w:r>
          </w:p>
        </w:tc>
        <w:tc>
          <w:tcPr>
            <w:tcW w:w="265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弱透水性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0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kern w:val="0"/>
                <w:sz w:val="20"/>
                <w:szCs w:val="20"/>
              </w:rPr>
            </w:pPr>
            <w:r>
              <w:rPr>
                <w:rFonts w:hint="eastAsia" w:ascii="宋体" w:hAnsi="宋体" w:cs="宋体"/>
                <w:kern w:val="0"/>
                <w:sz w:val="20"/>
                <w:szCs w:val="20"/>
                <w:lang w:bidi="ar"/>
              </w:rPr>
              <w:t>⑧</w:t>
            </w:r>
            <w:r>
              <w:rPr>
                <w:rFonts w:ascii="Times New Roman" w:hAnsi="Times New Roman" w:cs="Times New Roman"/>
                <w:kern w:val="0"/>
                <w:sz w:val="20"/>
                <w:szCs w:val="20"/>
                <w:lang w:bidi="ar"/>
              </w:rPr>
              <w:t>-2强风化泥质粉砂岩</w:t>
            </w:r>
          </w:p>
        </w:tc>
        <w:tc>
          <w:tcPr>
            <w:tcW w:w="1587"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1.00×10</w:t>
            </w:r>
            <w:r>
              <w:rPr>
                <w:rFonts w:ascii="Times New Roman" w:hAnsi="Times New Roman" w:cs="Times New Roman"/>
                <w:sz w:val="20"/>
                <w:szCs w:val="20"/>
                <w:vertAlign w:val="superscript"/>
                <w:lang w:bidi="ar"/>
              </w:rPr>
              <w:t>-5</w:t>
            </w:r>
          </w:p>
        </w:tc>
        <w:tc>
          <w:tcPr>
            <w:tcW w:w="1765"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2.50×10</w:t>
            </w:r>
            <w:r>
              <w:rPr>
                <w:rFonts w:ascii="Times New Roman" w:hAnsi="Times New Roman" w:cs="Times New Roman"/>
                <w:sz w:val="20"/>
                <w:szCs w:val="20"/>
                <w:vertAlign w:val="superscript"/>
                <w:lang w:bidi="ar"/>
              </w:rPr>
              <w:t>-5</w:t>
            </w:r>
          </w:p>
        </w:tc>
        <w:tc>
          <w:tcPr>
            <w:tcW w:w="2653" w:type="dxa"/>
            <w:tcBorders>
              <w:tl2br w:val="nil"/>
              <w:tr2bl w:val="nil"/>
            </w:tcBorders>
            <w:shd w:val="clear" w:color="auto" w:fill="auto"/>
            <w:vAlign w:val="center"/>
          </w:tcPr>
          <w:p>
            <w:pPr>
              <w:tabs>
                <w:tab w:val="left" w:pos="4522"/>
              </w:tabs>
              <w:spacing w:line="240" w:lineRule="auto"/>
              <w:ind w:firstLine="0" w:firstLineChars="0"/>
              <w:jc w:val="center"/>
              <w:rPr>
                <w:rFonts w:ascii="Times New Roman" w:hAnsi="Times New Roman" w:cs="Times New Roman"/>
                <w:sz w:val="20"/>
                <w:szCs w:val="20"/>
              </w:rPr>
            </w:pPr>
            <w:r>
              <w:rPr>
                <w:rFonts w:ascii="Times New Roman" w:hAnsi="Times New Roman" w:cs="Times New Roman"/>
                <w:sz w:val="20"/>
                <w:szCs w:val="20"/>
                <w:lang w:bidi="ar"/>
              </w:rPr>
              <w:t>弱透水性</w:t>
            </w:r>
          </w:p>
        </w:tc>
      </w:tr>
    </w:tbl>
    <w:p>
      <w:pPr>
        <w:pStyle w:val="4"/>
        <w:spacing w:before="166" w:beforeLines="50"/>
        <w:rPr>
          <w:rFonts w:ascii="Times New Roman" w:hAnsi="Times New Roman" w:cs="Times New Roman"/>
          <w:color w:val="auto"/>
        </w:rPr>
      </w:pPr>
      <w:bookmarkStart w:id="453" w:name="_Toc102984385"/>
      <w:bookmarkStart w:id="454" w:name="_Toc104733416"/>
      <w:r>
        <w:rPr>
          <w:rFonts w:ascii="Times New Roman" w:hAnsi="Times New Roman" w:cs="Times New Roman"/>
          <w:color w:val="auto"/>
        </w:rPr>
        <w:t>5.6.3地下水数学模型构建</w:t>
      </w:r>
      <w:bookmarkEnd w:id="453"/>
      <w:bookmarkEnd w:id="454"/>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（1）评价范围：</w:t>
      </w:r>
    </w:p>
    <w:p>
      <w:pPr>
        <w:adjustRightInd/>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根据《环境影响评价技术导则地下水环境》（HJ610-2016）要求，结合区域地下水的补径排条件，本次地下水预测评价范围边界西侧为店埠河，北侧为撮镇灌溉区，东侧为四顶山路，南侧为秦桥灌溉渠，评价范围约12.6km</w:t>
      </w:r>
      <w:r>
        <w:rPr>
          <w:rFonts w:ascii="Times New Roman" w:hAnsi="Times New Roman" w:cs="Times New Roman"/>
          <w:color w:val="auto"/>
          <w:shd w:val="clear" w:color="auto" w:fill="FFFFFF"/>
          <w:vertAlign w:val="superscript"/>
        </w:rPr>
        <w:t>2</w:t>
      </w:r>
      <w:r>
        <w:rPr>
          <w:rFonts w:ascii="Times New Roman" w:hAnsi="Times New Roman" w:cs="Times New Roman"/>
          <w:color w:val="auto"/>
          <w:shd w:val="clear" w:color="auto" w:fill="FFFFFF"/>
        </w:rPr>
        <w:t>范围。</w:t>
      </w:r>
    </w:p>
    <w:p>
      <w:pPr>
        <w:adjustRightInd/>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本项目根据项目所在地水文地质条件确定评价范围：地下水下游以与地下水有水力联系的地表水体店埠河、撮镇灌溉渠及秦桥灌溉渠为界，地下水上游基本按照地形山坡为界限，形成一个相对独立的地下水水文地质单元。因为本项目不包含重要的地下水环境保护目标，所以无需扩大评价范围。</w:t>
      </w:r>
    </w:p>
    <w:p>
      <w:pPr>
        <w:adjustRightInd/>
        <w:spacing w:line="240" w:lineRule="auto"/>
        <w:ind w:firstLine="0" w:firstLineChars="0"/>
        <w:rPr>
          <w:rFonts w:ascii="Times New Roman" w:hAnsi="Times New Roman" w:cs="Times New Roman"/>
          <w:color w:val="auto"/>
          <w:szCs w:val="24"/>
          <w:shd w:val="clear" w:color="auto" w:fill="FFFFFF"/>
        </w:rPr>
      </w:pPr>
      <w:r>
        <w:rPr>
          <w:rFonts w:ascii="Times New Roman" w:hAnsi="Times New Roman" w:cs="Times New Roman"/>
        </w:rPr>
        <w:drawing>
          <wp:inline distT="0" distB="0" distL="0" distR="0">
            <wp:extent cx="5752465" cy="3806190"/>
            <wp:effectExtent l="0" t="0" r="0" b="0"/>
            <wp:docPr id="110" name="图片 1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true" noChangeArrowheads="true"/>
                    </pic:cNvPicPr>
                  </pic:nvPicPr>
                  <pic:blipFill>
                    <a:blip r:embed="rId191"/>
                    <a:srcRect/>
                    <a:stretch>
                      <a:fillRect/>
                    </a:stretch>
                  </pic:blipFill>
                  <pic:spPr>
                    <a:xfrm>
                      <a:off x="0" y="0"/>
                      <a:ext cx="5752465" cy="3806190"/>
                    </a:xfrm>
                    <a:prstGeom prst="rect">
                      <a:avLst/>
                    </a:prstGeom>
                    <a:noFill/>
                    <a:ln>
                      <a:noFill/>
                    </a:ln>
                  </pic:spPr>
                </pic:pic>
              </a:graphicData>
            </a:graphic>
          </wp:inline>
        </w:drawing>
      </w:r>
    </w:p>
    <w:p>
      <w:pPr>
        <w:ind w:firstLine="422"/>
        <w:jc w:val="center"/>
        <w:rPr>
          <w:rFonts w:ascii="Times New Roman" w:hAnsi="Times New Roman" w:cs="Times New Roman"/>
          <w:b/>
          <w:color w:val="auto"/>
          <w:sz w:val="21"/>
        </w:rPr>
      </w:pPr>
      <w:r>
        <w:rPr>
          <w:rFonts w:ascii="Times New Roman" w:hAnsi="Times New Roman" w:cs="Times New Roman"/>
          <w:b/>
          <w:color w:val="auto"/>
          <w:sz w:val="21"/>
        </w:rPr>
        <w:t>图5.6-3   本项目地下水评价范围</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（2）水文地质结构模型</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根据评价区内的水文地质条件，确定评价区边界，本次预测地下水系统概化为潜水含水层。本次模拟目标地下水含水层主要为潜水含水层。自上而下主要分为潜水含水层和隔水层。</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通过开展第四系野外调查，并结合地区水文水质情况，确定地下水流方向整体由北东向南西方向流动。</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（3）边界条件概化</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垂向边界：在垂向上，潜水含水层自由水面作为模型上边界，通过该边界潜水与系统外发生垂向上的水量交换，如大气降水入渗补给、蒸发排泄。</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侧向边界：南侧边界、东侧边界概化为侧向流入边界，西侧店埠河及北侧撮镇灌溉渠侧概化为定水头边界。</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为了更准确的概化含水层空间结构，本次从地理空间数据云下载了30m分辨率数字高程数据ASTGTM2_N31E118_DEM作为地表高程，与现有地貌分析发现，DEM数据可以较好的与现状地貌对应起来。</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（4）源汇项处理</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由水文地质条件可知，模拟区地下水的主要补给项为大气降雨入渗；地下水的主要排泄项为向地表径流排泄。</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（5）地下水数值模型</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刻画潜水中污染物运移需要两个数学模型：地下水流动数学模型和地下水污染物迁移数学模型。对复杂数学模型，采用数值方法求解。</w:t>
      </w:r>
    </w:p>
    <w:p>
      <w:pPr>
        <w:ind w:firstLine="480"/>
        <w:rPr>
          <w:rFonts w:ascii="Times New Roman" w:hAnsi="Times New Roman" w:cs="Times New Roman"/>
          <w:color w:val="auto"/>
          <w:shd w:val="clear" w:color="auto" w:fill="FFFFFF"/>
        </w:rPr>
      </w:pPr>
      <w:r>
        <w:rPr>
          <w:rFonts w:hint="eastAsia" w:ascii="宋体" w:hAnsi="宋体" w:cs="宋体"/>
          <w:color w:val="auto"/>
          <w:shd w:val="clear" w:color="auto" w:fill="FFFFFF"/>
        </w:rPr>
        <w:t>①</w:t>
      </w:r>
      <w:r>
        <w:rPr>
          <w:rFonts w:ascii="Times New Roman" w:hAnsi="Times New Roman" w:cs="Times New Roman"/>
          <w:color w:val="auto"/>
          <w:shd w:val="clear" w:color="auto" w:fill="FFFFFF"/>
        </w:rPr>
        <w:t>地下水流运动数学模型</w:t>
      </w:r>
    </w:p>
    <w:p>
      <w:pPr>
        <w:ind w:firstLine="480"/>
        <w:rPr>
          <w:rFonts w:ascii="Times New Roman" w:hAnsi="Times New Roman" w:cs="Times New Roman"/>
          <w:color w:val="auto"/>
          <w:shd w:val="clear" w:color="auto" w:fill="FFFFFF"/>
        </w:rPr>
      </w:pPr>
      <w:r>
        <w:rPr>
          <w:rFonts w:ascii="Times New Roman" w:hAnsi="Times New Roman" w:cs="Times New Roman"/>
          <w:color w:val="auto"/>
          <w:shd w:val="clear" w:color="auto" w:fill="FFFFFF"/>
        </w:rPr>
        <w:t>根据上述水文地质概念模型，评价范围内地下水流运动的数学模型可以表示为潜水含水层均质、各向异性三维非稳定流数学模型，其控制方程及定解条件如下：</w:t>
      </w:r>
    </w:p>
    <w:p>
      <w:pPr>
        <w:adjustRightInd/>
        <w:snapToGrid/>
        <w:ind w:firstLine="0" w:firstLineChars="0"/>
        <w:jc w:val="center"/>
        <w:rPr>
          <w:rFonts w:ascii="Times New Roman" w:hAnsi="Times New Roman" w:cs="Times New Roman"/>
          <w:color w:val="auto"/>
          <w:sz w:val="21"/>
          <w:szCs w:val="24"/>
          <w:shd w:val="clear" w:color="auto" w:fill="FFFFFF"/>
        </w:rPr>
      </w:pPr>
      <w:r>
        <w:rPr>
          <w:rFonts w:ascii="Times New Roman" w:hAnsi="Times New Roman" w:cs="Times New Roman"/>
          <w:color w:val="auto"/>
          <w:position w:val="-30"/>
          <w:sz w:val="21"/>
          <w:szCs w:val="24"/>
          <w:shd w:val="clear" w:color="auto" w:fill="FFFFFF"/>
        </w:rPr>
        <w:object>
          <v:shape id="_x0000_i1046" o:spt="75" type="#_x0000_t75" style="height:35.25pt;width:334.5pt;" o:ole="t" filled="f" o:preferrelative="t" stroked="f" coordsize="21600,21600">
            <v:path/>
            <v:fill on="f" focussize="0,0"/>
            <v:stroke on="f" joinstyle="miter"/>
            <v:imagedata r:id="rId193" o:title=""/>
            <o:lock v:ext="edit" aspectratio="t"/>
            <w10:wrap type="none"/>
            <w10:anchorlock/>
          </v:shape>
          <o:OLEObject Type="Embed" ProgID="Equation.3" ShapeID="_x0000_i1046" DrawAspect="Content" ObjectID="_1468075746" r:id="rId192">
            <o:LockedField>false</o:LockedField>
          </o:OLEObject>
        </w:object>
      </w:r>
    </w:p>
    <w:p>
      <w:pPr>
        <w:adjustRightInd/>
        <w:snapToGri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式中：</w:t>
      </w:r>
    </w:p>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object>
          <v:shape id="_x0000_i1047" o:spt="75" type="#_x0000_t75" style="height:19.5pt;width:19.5pt;" o:ole="t" filled="f" o:preferrelative="t" stroked="f" coordsize="21600,21600">
            <v:path/>
            <v:fill on="f" focussize="0,0"/>
            <v:stroke on="f" joinstyle="miter"/>
            <v:imagedata r:id="rId195" o:title=""/>
            <o:lock v:ext="edit" aspectratio="t"/>
            <w10:wrap type="none"/>
            <w10:anchorlock/>
          </v:shape>
          <o:OLEObject Type="Embed" ProgID="Equation.3" ShapeID="_x0000_i1047" DrawAspect="Content" ObjectID="_1468075747" r:id="rId194">
            <o:LockedField>false</o:LockedField>
          </o:OLEObject>
        </w:object>
      </w:r>
      <w:r>
        <w:rPr>
          <w:rFonts w:ascii="Times New Roman" w:hAnsi="Times New Roman" w:cs="Times New Roman"/>
          <w:color w:val="auto"/>
          <w:szCs w:val="24"/>
          <w:shd w:val="clear" w:color="auto" w:fill="FFFFFF"/>
        </w:rPr>
        <w:t>,</w:t>
      </w:r>
      <w:r>
        <w:rPr>
          <w:rFonts w:ascii="Times New Roman" w:hAnsi="Times New Roman" w:cs="Times New Roman"/>
          <w:color w:val="auto"/>
          <w:szCs w:val="24"/>
          <w:shd w:val="clear" w:color="auto" w:fill="FFFFFF"/>
        </w:rPr>
        <w:object>
          <v:shape id="_x0000_i1048" o:spt="75" type="#_x0000_t75" style="height:19.5pt;width:19.5pt;" o:ole="t" filled="f" o:preferrelative="t" stroked="f" coordsize="21600,21600">
            <v:path/>
            <v:fill on="f" focussize="0,0"/>
            <v:stroke on="f" joinstyle="miter"/>
            <v:imagedata r:id="rId197" o:title=""/>
            <o:lock v:ext="edit" aspectratio="t"/>
            <w10:wrap type="none"/>
            <w10:anchorlock/>
          </v:shape>
          <o:OLEObject Type="Embed" ProgID="Equation.3" ShapeID="_x0000_i1048" DrawAspect="Content" ObjectID="_1468075748" r:id="rId196">
            <o:LockedField>false</o:LockedField>
          </o:OLEObject>
        </w:object>
      </w:r>
      <w:r>
        <w:rPr>
          <w:rFonts w:ascii="Times New Roman" w:hAnsi="Times New Roman" w:cs="Times New Roman"/>
          <w:color w:val="auto"/>
          <w:szCs w:val="24"/>
          <w:shd w:val="clear" w:color="auto" w:fill="FFFFFF"/>
        </w:rPr>
        <w:t>,</w:t>
      </w:r>
      <w:r>
        <w:rPr>
          <w:rFonts w:ascii="Times New Roman" w:hAnsi="Times New Roman" w:cs="Times New Roman"/>
          <w:color w:val="auto"/>
          <w:szCs w:val="24"/>
          <w:shd w:val="clear" w:color="auto" w:fill="FFFFFF"/>
        </w:rPr>
        <w:object>
          <v:shape id="_x0000_i1049" o:spt="75" type="#_x0000_t75" style="height:19.5pt;width:19.5pt;" o:ole="t" filled="f" o:preferrelative="t" stroked="f" coordsize="21600,21600">
            <v:path/>
            <v:fill on="f" focussize="0,0"/>
            <v:stroke on="f" joinstyle="miter"/>
            <v:imagedata r:id="rId199" o:title=""/>
            <o:lock v:ext="edit" aspectratio="t"/>
            <w10:wrap type="none"/>
            <w10:anchorlock/>
          </v:shape>
          <o:OLEObject Type="Embed" ProgID="Equation.3" ShapeID="_x0000_i1049" DrawAspect="Content" ObjectID="_1468075749" r:id="rId198">
            <o:LockedField>false</o:LockedField>
          </o:OLEObject>
        </w:object>
      </w:r>
      <w:r>
        <w:rPr>
          <w:rFonts w:ascii="Times New Roman" w:hAnsi="Times New Roman" w:cs="Times New Roman"/>
          <w:color w:val="auto"/>
          <w:szCs w:val="24"/>
          <w:shd w:val="clear" w:color="auto" w:fill="FFFFFF"/>
        </w:rPr>
        <w:t>分别为主坐标轴方向多孔介质的渗透系数，[LT-1]；</w:t>
      </w:r>
    </w:p>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object>
          <v:shape id="_x0000_i1050" o:spt="75" type="#_x0000_t75" style="height:13.5pt;width:11.25pt;" o:ole="t" filled="f" o:preferrelative="t" stroked="f" coordsize="21600,21600">
            <v:path/>
            <v:fill on="f" focussize="0,0"/>
            <v:stroke on="f" joinstyle="miter"/>
            <v:imagedata r:id="rId201" o:title=""/>
            <o:lock v:ext="edit" aspectratio="t"/>
            <w10:wrap type="none"/>
            <w10:anchorlock/>
          </v:shape>
          <o:OLEObject Type="Embed" ProgID="Equation.3" ShapeID="_x0000_i1050" DrawAspect="Content" ObjectID="_1468075750" r:id="rId200">
            <o:LockedField>false</o:LockedField>
          </o:OLEObject>
        </w:object>
      </w:r>
      <w:r>
        <w:rPr>
          <w:rFonts w:ascii="Times New Roman" w:hAnsi="Times New Roman" w:cs="Times New Roman"/>
          <w:color w:val="auto"/>
          <w:szCs w:val="24"/>
          <w:shd w:val="clear" w:color="auto" w:fill="FFFFFF"/>
        </w:rPr>
        <w:t>为水头，[L]；</w:t>
      </w:r>
    </w:p>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object>
          <v:shape id="_x0000_i1051" o:spt="75" type="#_x0000_t75" style="height:13.5pt;width:13.5pt;" o:ole="t" filled="f" o:preferrelative="t" stroked="f" coordsize="21600,21600">
            <v:path/>
            <v:fill on="f" focussize="0,0"/>
            <v:stroke on="f" joinstyle="miter"/>
            <v:imagedata r:id="rId203" o:title=""/>
            <o:lock v:ext="edit" aspectratio="t"/>
            <w10:wrap type="none"/>
            <w10:anchorlock/>
          </v:shape>
          <o:OLEObject Type="Embed" ProgID="Equation.3" ShapeID="_x0000_i1051" DrawAspect="Content" ObjectID="_1468075751" r:id="rId202">
            <o:LockedField>false</o:LockedField>
          </o:OLEObject>
        </w:object>
      </w:r>
      <w:r>
        <w:rPr>
          <w:rFonts w:ascii="Times New Roman" w:hAnsi="Times New Roman" w:cs="Times New Roman"/>
          <w:color w:val="auto"/>
          <w:szCs w:val="24"/>
          <w:shd w:val="clear" w:color="auto" w:fill="FFFFFF"/>
        </w:rPr>
        <w:t>为单位面积垂向流量，[LT-1]，用以表示源汇项；</w:t>
      </w:r>
    </w:p>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object>
          <v:shape id="_x0000_i1052" o:spt="75" type="#_x0000_t75" style="height:11.25pt;width:11.25pt;" o:ole="t" filled="f" o:preferrelative="t" stroked="f" coordsize="21600,21600">
            <v:path/>
            <v:fill on="f" focussize="0,0"/>
            <v:stroke on="f" joinstyle="miter"/>
            <v:imagedata r:id="rId205" o:title=""/>
            <o:lock v:ext="edit" aspectratio="t"/>
            <w10:wrap type="none"/>
            <w10:anchorlock/>
          </v:shape>
          <o:OLEObject Type="Embed" ProgID="Equation.3" ShapeID="_x0000_i1052" DrawAspect="Content" ObjectID="_1468075752" r:id="rId204">
            <o:LockedField>false</o:LockedField>
          </o:OLEObject>
        </w:object>
      </w:r>
      <w:r>
        <w:rPr>
          <w:rFonts w:ascii="Times New Roman" w:hAnsi="Times New Roman" w:cs="Times New Roman"/>
          <w:color w:val="auto"/>
          <w:szCs w:val="24"/>
          <w:shd w:val="clear" w:color="auto" w:fill="FFFFFF"/>
        </w:rPr>
        <w:t>为多孔介质的给水度（或饱和差）；</w:t>
      </w:r>
    </w:p>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object>
          <v:shape id="_x0000_i1053" o:spt="75" type="#_x0000_t75" style="height:12pt;width:12pt;" o:ole="t" filled="f" o:preferrelative="t" stroked="f" coordsize="21600,21600">
            <v:path/>
            <v:fill on="f" focussize="0,0"/>
            <v:stroke on="f" joinstyle="miter"/>
            <v:imagedata r:id="rId207" o:title=""/>
            <o:lock v:ext="edit" aspectratio="t"/>
            <w10:wrap type="none"/>
            <w10:anchorlock/>
          </v:shape>
          <o:OLEObject Type="Embed" ProgID="Equation.DSMT4" ShapeID="_x0000_i1053" DrawAspect="Content" ObjectID="_1468075753" r:id="rId206">
            <o:LockedField>false</o:LockedField>
          </o:OLEObject>
        </w:object>
      </w:r>
      <w:r>
        <w:rPr>
          <w:rFonts w:ascii="Times New Roman" w:hAnsi="Times New Roman" w:cs="Times New Roman"/>
          <w:color w:val="auto"/>
          <w:szCs w:val="24"/>
          <w:shd w:val="clear" w:color="auto" w:fill="FFFFFF"/>
        </w:rPr>
        <w:t>为潜水含水层的底板标高，[L]；</w:t>
      </w:r>
    </w:p>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object>
          <v:shape id="_x0000_i1054" o:spt="75" type="#_x0000_t75" style="height:11.25pt;width:4.5pt;" o:ole="t" filled="f" o:preferrelative="t" stroked="f" coordsize="21600,21600">
            <v:path/>
            <v:fill on="f" focussize="0,0"/>
            <v:stroke on="f" joinstyle="miter"/>
            <v:imagedata r:id="rId209" o:title=""/>
            <o:lock v:ext="edit" aspectratio="t"/>
            <w10:wrap type="none"/>
            <w10:anchorlock/>
          </v:shape>
          <o:OLEObject Type="Embed" ProgID="Equation.3" ShapeID="_x0000_i1054" DrawAspect="Content" ObjectID="_1468075754" r:id="rId208">
            <o:LockedField>false</o:LockedField>
          </o:OLEObject>
        </w:object>
      </w:r>
      <w:r>
        <w:rPr>
          <w:rFonts w:ascii="Times New Roman" w:hAnsi="Times New Roman" w:cs="Times New Roman"/>
          <w:color w:val="auto"/>
          <w:szCs w:val="24"/>
          <w:shd w:val="clear" w:color="auto" w:fill="FFFFFF"/>
        </w:rPr>
        <w:t>为时间，[T]。</w:t>
      </w:r>
    </w:p>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上述方程加上相应的初始条件和边界条件，就构成了描述地下水运动系统的数学模型。本次模拟的定解条件可表示为：</w:t>
      </w:r>
    </w:p>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初始条件：</w:t>
      </w:r>
      <w:r>
        <w:rPr>
          <w:rFonts w:ascii="Times New Roman" w:hAnsi="Times New Roman" w:cs="Times New Roman"/>
          <w:color w:val="auto"/>
          <w:szCs w:val="24"/>
          <w:shd w:val="clear" w:color="auto" w:fill="FFFFFF"/>
        </w:rPr>
        <w:object>
          <v:shape id="_x0000_i1055" o:spt="75" type="#_x0000_t75" style="height:19.5pt;width:117pt;" o:ole="t" filled="f" o:preferrelative="t" stroked="f" coordsize="21600,21600">
            <v:path/>
            <v:fill on="f" focussize="0,0"/>
            <v:stroke on="f" joinstyle="miter"/>
            <v:imagedata r:id="rId211" o:title=""/>
            <o:lock v:ext="edit" aspectratio="t"/>
            <w10:wrap type="none"/>
            <w10:anchorlock/>
          </v:shape>
          <o:OLEObject Type="Embed" ProgID="Equation.3" ShapeID="_x0000_i1055" DrawAspect="Content" ObjectID="_1468075755" r:id="rId210">
            <o:LockedField>false</o:LockedField>
          </o:OLEObject>
        </w:object>
      </w:r>
      <w:r>
        <w:rPr>
          <w:rFonts w:ascii="Times New Roman" w:hAnsi="Times New Roman" w:cs="Times New Roman"/>
          <w:color w:val="auto"/>
          <w:szCs w:val="24"/>
          <w:shd w:val="clear" w:color="auto" w:fill="FFFFFF"/>
        </w:rPr>
        <w:t xml:space="preserve">   </w:t>
      </w:r>
      <w:r>
        <w:rPr>
          <w:rFonts w:ascii="Times New Roman" w:hAnsi="Times New Roman" w:cs="Times New Roman"/>
          <w:color w:val="auto"/>
          <w:szCs w:val="24"/>
          <w:shd w:val="clear" w:color="auto" w:fill="FFFFFF"/>
        </w:rPr>
        <w:object>
          <v:shape id="_x0000_i1056" o:spt="75" type="#_x0000_t75" style="height:19.5pt;width:60pt;" o:ole="t" filled="f" o:preferrelative="t" stroked="f" coordsize="21600,21600">
            <v:path/>
            <v:fill on="f" focussize="0,0"/>
            <v:stroke on="f" joinstyle="miter"/>
            <v:imagedata r:id="rId213" o:title=""/>
            <o:lock v:ext="edit" aspectratio="t"/>
            <w10:wrap type="none"/>
            <w10:anchorlock/>
          </v:shape>
          <o:OLEObject Type="Embed" ProgID="Equation.3" ShapeID="_x0000_i1056" DrawAspect="Content" ObjectID="_1468075756" r:id="rId212">
            <o:LockedField>false</o:LockedField>
          </o:OLEObject>
        </w:object>
      </w:r>
      <w:r>
        <w:rPr>
          <w:rFonts w:ascii="Times New Roman" w:hAnsi="Times New Roman" w:cs="Times New Roman"/>
          <w:color w:val="auto"/>
          <w:szCs w:val="24"/>
          <w:shd w:val="clear" w:color="auto" w:fill="FFFFFF"/>
        </w:rPr>
        <w:t xml:space="preserve">      </w:t>
      </w:r>
    </w:p>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第一类边界条件：</w:t>
      </w:r>
      <w:r>
        <w:rPr>
          <w:rFonts w:ascii="Times New Roman" w:hAnsi="Times New Roman" w:cs="Times New Roman"/>
          <w:color w:val="auto"/>
          <w:szCs w:val="24"/>
          <w:shd w:val="clear" w:color="auto" w:fill="FFFFFF"/>
        </w:rPr>
        <w:object>
          <v:shape id="_x0000_i1057" o:spt="75" type="#_x0000_t75" style="height:22.5pt;width:141.75pt;" o:ole="t" filled="f" o:preferrelative="t" stroked="f" coordsize="21600,21600">
            <v:path/>
            <v:fill on="f" focussize="0,0"/>
            <v:stroke on="f" joinstyle="miter"/>
            <v:imagedata r:id="rId215" o:title=""/>
            <o:lock v:ext="edit" aspectratio="t"/>
            <w10:wrap type="none"/>
            <w10:anchorlock/>
          </v:shape>
          <o:OLEObject Type="Embed" ProgID="Equation.3" ShapeID="_x0000_i1057" DrawAspect="Content" ObjectID="_1468075757" r:id="rId214">
            <o:LockedField>false</o:LockedField>
          </o:OLEObject>
        </w:object>
      </w:r>
      <w:r>
        <w:rPr>
          <w:rFonts w:ascii="Times New Roman" w:hAnsi="Times New Roman" w:cs="Times New Roman"/>
          <w:color w:val="auto"/>
          <w:szCs w:val="24"/>
          <w:shd w:val="clear" w:color="auto" w:fill="FFFFFF"/>
        </w:rPr>
        <w:t xml:space="preserve">         </w:t>
      </w:r>
    </w:p>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式中：</w:t>
      </w:r>
      <w:r>
        <w:rPr>
          <w:rFonts w:ascii="Times New Roman" w:hAnsi="Times New Roman" w:cs="Times New Roman"/>
          <w:color w:val="auto"/>
          <w:szCs w:val="24"/>
          <w:shd w:val="clear" w:color="auto" w:fill="FFFFFF"/>
        </w:rPr>
        <w:drawing>
          <wp:inline distT="0" distB="0" distL="0" distR="0">
            <wp:extent cx="148590" cy="148590"/>
            <wp:effectExtent l="0" t="0" r="0" b="0"/>
            <wp:docPr id="123" name="图片 1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true" noChangeArrowheads="true"/>
                    </pic:cNvPicPr>
                  </pic:nvPicPr>
                  <pic:blipFill>
                    <a:blip r:embed="rId216" cstate="print"/>
                    <a:srcRect/>
                    <a:stretch>
                      <a:fillRect/>
                    </a:stretch>
                  </pic:blipFill>
                  <pic:spPr>
                    <a:xfrm>
                      <a:off x="0" y="0"/>
                      <a:ext cx="148590" cy="148590"/>
                    </a:xfrm>
                    <a:prstGeom prst="rect">
                      <a:avLst/>
                    </a:prstGeom>
                    <a:noFill/>
                    <a:ln>
                      <a:noFill/>
                    </a:ln>
                  </pic:spPr>
                </pic:pic>
              </a:graphicData>
            </a:graphic>
          </wp:inline>
        </w:drawing>
      </w:r>
      <w:r>
        <w:rPr>
          <w:rFonts w:ascii="Times New Roman" w:hAnsi="Times New Roman" w:cs="Times New Roman"/>
          <w:color w:val="auto"/>
          <w:szCs w:val="24"/>
          <w:shd w:val="clear" w:color="auto" w:fill="FFFFFF"/>
        </w:rPr>
        <w:t>表示渗流区域；</w:t>
      </w:r>
    </w:p>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object>
          <v:shape id="_x0000_i1058" o:spt="75" type="#_x0000_t75" style="height:19.5pt;width:11.25pt;" o:ole="t" filled="f" o:preferrelative="t" stroked="f" coordsize="21600,21600">
            <v:path/>
            <v:fill on="f" focussize="0,0"/>
            <v:stroke on="f" joinstyle="miter"/>
            <v:imagedata r:id="rId218" o:title=""/>
            <o:lock v:ext="edit" aspectratio="t"/>
            <w10:wrap type="none"/>
            <w10:anchorlock/>
          </v:shape>
          <o:OLEObject Type="Embed" ProgID="Equation.3" ShapeID="_x0000_i1058" DrawAspect="Content" ObjectID="_1468075758" r:id="rId217">
            <o:LockedField>false</o:LockedField>
          </o:OLEObject>
        </w:object>
      </w:r>
      <w:r>
        <w:rPr>
          <w:rFonts w:ascii="Times New Roman" w:hAnsi="Times New Roman" w:cs="Times New Roman"/>
          <w:color w:val="auto"/>
          <w:szCs w:val="24"/>
          <w:shd w:val="clear" w:color="auto" w:fill="FFFFFF"/>
        </w:rPr>
        <w:t>表示第一类给定水头边界。</w:t>
      </w:r>
    </w:p>
    <w:p>
      <w:pPr>
        <w:ind w:firstLine="480"/>
        <w:rPr>
          <w:rFonts w:ascii="Times New Roman" w:hAnsi="Times New Roman" w:cs="Times New Roman"/>
          <w:color w:val="auto"/>
          <w:szCs w:val="24"/>
          <w:shd w:val="clear" w:color="auto" w:fill="FFFFFF"/>
        </w:rPr>
      </w:pPr>
      <w:r>
        <w:rPr>
          <w:rFonts w:hint="eastAsia" w:ascii="宋体" w:hAnsi="宋体" w:cs="宋体"/>
          <w:color w:val="auto"/>
          <w:szCs w:val="24"/>
          <w:shd w:val="clear" w:color="auto" w:fill="FFFFFF"/>
        </w:rPr>
        <w:t>②</w:t>
      </w:r>
      <w:r>
        <w:rPr>
          <w:rFonts w:ascii="Times New Roman" w:hAnsi="Times New Roman" w:cs="Times New Roman"/>
          <w:color w:val="auto"/>
          <w:szCs w:val="24"/>
          <w:shd w:val="clear" w:color="auto" w:fill="FFFFFF"/>
        </w:rPr>
        <w:t>地下水污染物迁移数学模型</w:t>
      </w:r>
    </w:p>
    <w:p>
      <w:pPr>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污染物在地下水中的运移包括对流、弥散以及溶质本身的物理、化学变化等过程，可表示为：</w:t>
      </w:r>
    </w:p>
    <w:p>
      <w:pPr>
        <w:adjustRightInd/>
        <w:snapToGrid/>
        <w:ind w:firstLine="0" w:firstLineChars="0"/>
        <w:jc w:val="center"/>
        <w:rPr>
          <w:rFonts w:ascii="Times New Roman" w:hAnsi="Times New Roman" w:cs="Times New Roman"/>
          <w:color w:val="auto"/>
          <w:sz w:val="21"/>
          <w:szCs w:val="24"/>
          <w:shd w:val="clear" w:color="auto" w:fill="FFFFFF"/>
        </w:rPr>
      </w:pPr>
      <w:r>
        <w:rPr>
          <w:rFonts w:ascii="Times New Roman" w:hAnsi="Times New Roman" w:cs="Times New Roman"/>
          <w:color w:val="auto"/>
          <w:sz w:val="21"/>
          <w:szCs w:val="24"/>
          <w:shd w:val="clear" w:color="auto" w:fill="FFFFFF"/>
        </w:rPr>
        <w:object>
          <v:shape id="_x0000_i1059" o:spt="75" type="#_x0000_t75" style="height:39pt;width:256.5pt;" o:ole="t" filled="f" o:preferrelative="t" stroked="f" coordsize="21600,21600">
            <v:path/>
            <v:fill on="f" focussize="0,0"/>
            <v:stroke on="f" joinstyle="miter"/>
            <v:imagedata r:id="rId220" o:title=""/>
            <o:lock v:ext="edit" aspectratio="t"/>
            <w10:wrap type="none"/>
            <w10:anchorlock/>
          </v:shape>
          <o:OLEObject Type="Embed" ProgID="Equation.DSMT4" ShapeID="_x0000_i1059" DrawAspect="Content" ObjectID="_1468075759" r:id="rId219">
            <o:LockedField>false</o:LockedField>
          </o:OLEObject>
        </w:object>
      </w:r>
    </w:p>
    <w:p>
      <w:pPr>
        <w:adjustRightInd/>
        <w:snapToGrid/>
        <w:ind w:firstLine="496"/>
        <w:rPr>
          <w:rFonts w:ascii="Times New Roman" w:hAnsi="Times New Roman" w:cs="Times New Roman"/>
          <w:color w:val="auto"/>
          <w:spacing w:val="4"/>
          <w:szCs w:val="24"/>
          <w:shd w:val="clear" w:color="auto" w:fill="FFFFFF"/>
        </w:rPr>
      </w:pPr>
      <w:r>
        <w:rPr>
          <w:rFonts w:ascii="Times New Roman" w:hAnsi="Times New Roman" w:cs="Times New Roman"/>
          <w:color w:val="auto"/>
          <w:spacing w:val="4"/>
          <w:szCs w:val="24"/>
          <w:shd w:val="clear" w:color="auto" w:fill="FFFFFF"/>
        </w:rPr>
        <w:t>式中：</w:t>
      </w:r>
    </w:p>
    <w:p>
      <w:pPr>
        <w:adjustRightInd/>
        <w:snapToGrid/>
        <w:ind w:firstLine="480"/>
        <w:rPr>
          <w:rFonts w:ascii="Times New Roman" w:hAnsi="Times New Roman" w:cs="Times New Roman"/>
          <w:color w:val="auto"/>
          <w:spacing w:val="4"/>
          <w:szCs w:val="24"/>
          <w:shd w:val="clear" w:color="auto" w:fill="FFFFFF"/>
        </w:rPr>
      </w:pPr>
      <w:r>
        <w:rPr>
          <w:rFonts w:ascii="Times New Roman" w:hAnsi="Times New Roman" w:cs="Times New Roman"/>
          <w:color w:val="auto"/>
          <w:position w:val="-6"/>
          <w:szCs w:val="24"/>
          <w:shd w:val="clear" w:color="auto" w:fill="FFFFFF"/>
        </w:rPr>
        <w:object>
          <v:shape id="_x0000_i1060" o:spt="75" type="#_x0000_t75" style="height:11.25pt;width:12pt;" o:ole="t" filled="f" o:preferrelative="t" stroked="f" coordsize="21600,21600">
            <v:path/>
            <v:fill on="f" focussize="0,0"/>
            <v:stroke on="f" joinstyle="miter"/>
            <v:imagedata r:id="rId222" o:title=""/>
            <o:lock v:ext="edit" aspectratio="t"/>
            <w10:wrap type="none"/>
            <w10:anchorlock/>
          </v:shape>
          <o:OLEObject Type="Embed" ProgID="Equation.3" ShapeID="_x0000_i1060" DrawAspect="Content" ObjectID="_1468075760" r:id="rId221">
            <o:LockedField>false</o:LockedField>
          </o:OLEObject>
        </w:object>
      </w:r>
      <w:r>
        <w:rPr>
          <w:rFonts w:ascii="Times New Roman" w:hAnsi="Times New Roman" w:cs="Times New Roman"/>
          <w:color w:val="auto"/>
          <w:spacing w:val="4"/>
          <w:szCs w:val="24"/>
          <w:shd w:val="clear" w:color="auto" w:fill="FFFFFF"/>
        </w:rPr>
        <w:t>为介质的有效孔隙度[无量纲]；</w:t>
      </w:r>
    </w:p>
    <w:p>
      <w:pPr>
        <w:adjustRightInd/>
        <w:snapToGrid/>
        <w:ind w:firstLine="496"/>
        <w:rPr>
          <w:rFonts w:ascii="Times New Roman" w:hAnsi="Times New Roman" w:cs="Times New Roman"/>
          <w:color w:val="auto"/>
          <w:spacing w:val="4"/>
          <w:szCs w:val="24"/>
          <w:shd w:val="clear" w:color="auto" w:fill="FFFFFF"/>
        </w:rPr>
      </w:pPr>
      <w:r>
        <w:rPr>
          <w:rFonts w:ascii="Times New Roman" w:hAnsi="Times New Roman" w:cs="Times New Roman"/>
          <w:i/>
          <w:color w:val="auto"/>
          <w:spacing w:val="4"/>
          <w:szCs w:val="24"/>
          <w:shd w:val="clear" w:color="auto" w:fill="FFFFFF"/>
        </w:rPr>
        <w:t>C</w:t>
      </w:r>
      <w:r>
        <w:rPr>
          <w:rFonts w:ascii="Times New Roman" w:hAnsi="Times New Roman" w:cs="Times New Roman"/>
          <w:color w:val="auto"/>
          <w:spacing w:val="4"/>
          <w:szCs w:val="24"/>
          <w:shd w:val="clear" w:color="auto" w:fill="FFFFFF"/>
        </w:rPr>
        <w:t>为水中溶质组分的浓度[ML</w:t>
      </w:r>
      <w:r>
        <w:rPr>
          <w:rFonts w:ascii="Times New Roman" w:hAnsi="Times New Roman" w:cs="Times New Roman"/>
          <w:color w:val="auto"/>
          <w:spacing w:val="4"/>
          <w:szCs w:val="24"/>
          <w:shd w:val="clear" w:color="auto" w:fill="FFFFFF"/>
          <w:vertAlign w:val="superscript"/>
        </w:rPr>
        <w:t>-3</w:t>
      </w:r>
      <w:r>
        <w:rPr>
          <w:rFonts w:ascii="Times New Roman" w:hAnsi="Times New Roman" w:cs="Times New Roman"/>
          <w:color w:val="auto"/>
          <w:spacing w:val="4"/>
          <w:szCs w:val="24"/>
          <w:shd w:val="clear" w:color="auto" w:fill="FFFFFF"/>
        </w:rPr>
        <w:t>]；</w:t>
      </w:r>
    </w:p>
    <w:p>
      <w:pPr>
        <w:adjustRightInd/>
        <w:snapToGrid/>
        <w:ind w:firstLine="496"/>
        <w:rPr>
          <w:rFonts w:ascii="Times New Roman" w:hAnsi="Times New Roman" w:cs="Times New Roman"/>
          <w:color w:val="auto"/>
          <w:spacing w:val="4"/>
          <w:szCs w:val="24"/>
          <w:shd w:val="clear" w:color="auto" w:fill="FFFFFF"/>
        </w:rPr>
      </w:pPr>
      <w:r>
        <w:rPr>
          <w:rFonts w:ascii="Times New Roman" w:hAnsi="Times New Roman" w:cs="Times New Roman"/>
          <w:i/>
          <w:color w:val="auto"/>
          <w:spacing w:val="4"/>
          <w:szCs w:val="24"/>
          <w:shd w:val="clear" w:color="auto" w:fill="FFFFFF"/>
        </w:rPr>
        <w:t>D</w:t>
      </w:r>
      <w:r>
        <w:rPr>
          <w:rFonts w:ascii="Times New Roman" w:hAnsi="Times New Roman" w:cs="Times New Roman"/>
          <w:i/>
          <w:color w:val="auto"/>
          <w:spacing w:val="4"/>
          <w:szCs w:val="24"/>
          <w:shd w:val="clear" w:color="auto" w:fill="FFFFFF"/>
          <w:vertAlign w:val="subscript"/>
        </w:rPr>
        <w:t>ij</w:t>
      </w:r>
      <w:r>
        <w:rPr>
          <w:rFonts w:ascii="Times New Roman" w:hAnsi="Times New Roman" w:cs="Times New Roman"/>
          <w:color w:val="auto"/>
          <w:spacing w:val="4"/>
          <w:szCs w:val="24"/>
          <w:shd w:val="clear" w:color="auto" w:fill="FFFFFF"/>
        </w:rPr>
        <w:t>为水动力弥散系数张量[L</w:t>
      </w:r>
      <w:r>
        <w:rPr>
          <w:rFonts w:ascii="Times New Roman" w:hAnsi="Times New Roman" w:cs="Times New Roman"/>
          <w:color w:val="auto"/>
          <w:spacing w:val="4"/>
          <w:szCs w:val="24"/>
          <w:shd w:val="clear" w:color="auto" w:fill="FFFFFF"/>
          <w:vertAlign w:val="superscript"/>
        </w:rPr>
        <w:t>2</w:t>
      </w:r>
      <w:r>
        <w:rPr>
          <w:rFonts w:ascii="Times New Roman" w:hAnsi="Times New Roman" w:cs="Times New Roman"/>
          <w:color w:val="auto"/>
          <w:spacing w:val="4"/>
          <w:szCs w:val="24"/>
          <w:shd w:val="clear" w:color="auto" w:fill="FFFFFF"/>
        </w:rPr>
        <w:t>T</w:t>
      </w:r>
      <w:r>
        <w:rPr>
          <w:rFonts w:ascii="Times New Roman" w:hAnsi="Times New Roman" w:cs="Times New Roman"/>
          <w:color w:val="auto"/>
          <w:spacing w:val="4"/>
          <w:szCs w:val="24"/>
          <w:shd w:val="clear" w:color="auto" w:fill="FFFFFF"/>
          <w:vertAlign w:val="superscript"/>
        </w:rPr>
        <w:t>-1</w:t>
      </w:r>
      <w:r>
        <w:rPr>
          <w:rFonts w:ascii="Times New Roman" w:hAnsi="Times New Roman" w:cs="Times New Roman"/>
          <w:color w:val="auto"/>
          <w:spacing w:val="4"/>
          <w:szCs w:val="24"/>
          <w:shd w:val="clear" w:color="auto" w:fill="FFFFFF"/>
        </w:rPr>
        <w:t>]；</w:t>
      </w:r>
    </w:p>
    <w:p>
      <w:pPr>
        <w:adjustRightInd/>
        <w:snapToGrid/>
        <w:ind w:firstLine="496"/>
        <w:rPr>
          <w:rFonts w:ascii="Times New Roman" w:hAnsi="Times New Roman" w:cs="Times New Roman"/>
          <w:color w:val="auto"/>
          <w:spacing w:val="4"/>
          <w:szCs w:val="24"/>
          <w:shd w:val="clear" w:color="auto" w:fill="FFFFFF"/>
        </w:rPr>
      </w:pPr>
      <w:r>
        <w:rPr>
          <w:rFonts w:ascii="Times New Roman" w:hAnsi="Times New Roman" w:cs="Times New Roman"/>
          <w:i/>
          <w:color w:val="auto"/>
          <w:spacing w:val="4"/>
          <w:szCs w:val="24"/>
          <w:shd w:val="clear" w:color="auto" w:fill="FFFFFF"/>
        </w:rPr>
        <w:t>u</w:t>
      </w:r>
      <w:r>
        <w:rPr>
          <w:rFonts w:ascii="Times New Roman" w:hAnsi="Times New Roman" w:cs="Times New Roman"/>
          <w:i/>
          <w:color w:val="auto"/>
          <w:spacing w:val="4"/>
          <w:szCs w:val="24"/>
          <w:shd w:val="clear" w:color="auto" w:fill="FFFFFF"/>
          <w:vertAlign w:val="subscript"/>
        </w:rPr>
        <w:t>i</w:t>
      </w:r>
      <w:r>
        <w:rPr>
          <w:rFonts w:ascii="Times New Roman" w:hAnsi="Times New Roman" w:cs="Times New Roman"/>
          <w:color w:val="auto"/>
          <w:spacing w:val="4"/>
          <w:szCs w:val="24"/>
          <w:shd w:val="clear" w:color="auto" w:fill="FFFFFF"/>
        </w:rPr>
        <w:t>为地下水沿不同方向</w:t>
      </w:r>
      <w:r>
        <w:rPr>
          <w:rFonts w:ascii="Times New Roman" w:hAnsi="Times New Roman" w:cs="Times New Roman"/>
          <w:i/>
          <w:color w:val="auto"/>
          <w:spacing w:val="4"/>
          <w:szCs w:val="24"/>
          <w:shd w:val="clear" w:color="auto" w:fill="FFFFFF"/>
        </w:rPr>
        <w:t>i</w:t>
      </w:r>
      <w:r>
        <w:rPr>
          <w:rFonts w:ascii="Times New Roman" w:hAnsi="Times New Roman" w:cs="Times New Roman"/>
          <w:color w:val="auto"/>
          <w:spacing w:val="4"/>
          <w:szCs w:val="24"/>
          <w:shd w:val="clear" w:color="auto" w:fill="FFFFFF"/>
        </w:rPr>
        <w:t>的渗透流速[LT</w:t>
      </w:r>
      <w:r>
        <w:rPr>
          <w:rFonts w:ascii="Times New Roman" w:hAnsi="Times New Roman" w:cs="Times New Roman"/>
          <w:color w:val="auto"/>
          <w:spacing w:val="4"/>
          <w:szCs w:val="24"/>
          <w:shd w:val="clear" w:color="auto" w:fill="FFFFFF"/>
          <w:vertAlign w:val="superscript"/>
        </w:rPr>
        <w:t>-1</w:t>
      </w:r>
      <w:r>
        <w:rPr>
          <w:rFonts w:ascii="Times New Roman" w:hAnsi="Times New Roman" w:cs="Times New Roman"/>
          <w:color w:val="auto"/>
          <w:spacing w:val="4"/>
          <w:szCs w:val="24"/>
          <w:shd w:val="clear" w:color="auto" w:fill="FFFFFF"/>
        </w:rPr>
        <w:t>]；</w:t>
      </w:r>
    </w:p>
    <w:p>
      <w:pPr>
        <w:adjustRightInd/>
        <w:snapToGrid/>
        <w:ind w:firstLine="496"/>
        <w:rPr>
          <w:rFonts w:ascii="Times New Roman" w:hAnsi="Times New Roman" w:cs="Times New Roman"/>
          <w:color w:val="auto"/>
          <w:spacing w:val="4"/>
          <w:szCs w:val="24"/>
          <w:shd w:val="clear" w:color="auto" w:fill="FFFFFF"/>
        </w:rPr>
      </w:pPr>
      <w:r>
        <w:rPr>
          <w:rFonts w:ascii="Times New Roman" w:hAnsi="Times New Roman" w:cs="Times New Roman"/>
          <w:i/>
          <w:color w:val="auto"/>
          <w:spacing w:val="4"/>
          <w:szCs w:val="24"/>
          <w:shd w:val="clear" w:color="auto" w:fill="FFFFFF"/>
        </w:rPr>
        <w:t>q</w:t>
      </w:r>
      <w:r>
        <w:rPr>
          <w:rFonts w:ascii="Times New Roman" w:hAnsi="Times New Roman" w:cs="Times New Roman"/>
          <w:i/>
          <w:color w:val="auto"/>
          <w:spacing w:val="4"/>
          <w:szCs w:val="24"/>
          <w:shd w:val="clear" w:color="auto" w:fill="FFFFFF"/>
          <w:vertAlign w:val="subscript"/>
        </w:rPr>
        <w:t>s</w:t>
      </w:r>
      <w:r>
        <w:rPr>
          <w:rFonts w:ascii="Times New Roman" w:hAnsi="Times New Roman" w:cs="Times New Roman"/>
          <w:color w:val="auto"/>
          <w:spacing w:val="4"/>
          <w:szCs w:val="24"/>
          <w:shd w:val="clear" w:color="auto" w:fill="FFFFFF"/>
        </w:rPr>
        <w:t>为单位体积含水层中源汇项的流量[T</w:t>
      </w:r>
      <w:r>
        <w:rPr>
          <w:rFonts w:ascii="Times New Roman" w:hAnsi="Times New Roman" w:cs="Times New Roman"/>
          <w:color w:val="auto"/>
          <w:spacing w:val="4"/>
          <w:szCs w:val="24"/>
          <w:shd w:val="clear" w:color="auto" w:fill="FFFFFF"/>
          <w:vertAlign w:val="superscript"/>
        </w:rPr>
        <w:t>-1</w:t>
      </w:r>
      <w:r>
        <w:rPr>
          <w:rFonts w:ascii="Times New Roman" w:hAnsi="Times New Roman" w:cs="Times New Roman"/>
          <w:color w:val="auto"/>
          <w:spacing w:val="4"/>
          <w:szCs w:val="24"/>
          <w:shd w:val="clear" w:color="auto" w:fill="FFFFFF"/>
        </w:rPr>
        <w:t>]；</w:t>
      </w:r>
    </w:p>
    <w:p>
      <w:pPr>
        <w:adjustRightInd/>
        <w:snapToGrid/>
        <w:ind w:firstLine="496"/>
        <w:rPr>
          <w:rFonts w:ascii="Times New Roman" w:hAnsi="Times New Roman" w:cs="Times New Roman"/>
          <w:color w:val="auto"/>
          <w:spacing w:val="4"/>
          <w:szCs w:val="24"/>
          <w:shd w:val="clear" w:color="auto" w:fill="FFFFFF"/>
        </w:rPr>
      </w:pPr>
      <w:r>
        <w:rPr>
          <w:rFonts w:ascii="Times New Roman" w:hAnsi="Times New Roman" w:cs="Times New Roman"/>
          <w:i/>
          <w:color w:val="auto"/>
          <w:spacing w:val="4"/>
          <w:szCs w:val="24"/>
          <w:shd w:val="clear" w:color="auto" w:fill="FFFFFF"/>
        </w:rPr>
        <w:t>C</w:t>
      </w:r>
      <w:r>
        <w:rPr>
          <w:rFonts w:ascii="Times New Roman" w:hAnsi="Times New Roman" w:cs="Times New Roman"/>
          <w:i/>
          <w:color w:val="auto"/>
          <w:spacing w:val="4"/>
          <w:szCs w:val="24"/>
          <w:shd w:val="clear" w:color="auto" w:fill="FFFFFF"/>
          <w:vertAlign w:val="subscript"/>
        </w:rPr>
        <w:t>s</w:t>
      </w:r>
      <w:r>
        <w:rPr>
          <w:rFonts w:ascii="Times New Roman" w:hAnsi="Times New Roman" w:cs="Times New Roman"/>
          <w:color w:val="auto"/>
          <w:spacing w:val="4"/>
          <w:szCs w:val="24"/>
          <w:shd w:val="clear" w:color="auto" w:fill="FFFFFF"/>
        </w:rPr>
        <w:t>为源汇项的浓度[ML</w:t>
      </w:r>
      <w:r>
        <w:rPr>
          <w:rFonts w:ascii="Times New Roman" w:hAnsi="Times New Roman" w:cs="Times New Roman"/>
          <w:color w:val="auto"/>
          <w:spacing w:val="4"/>
          <w:szCs w:val="24"/>
          <w:shd w:val="clear" w:color="auto" w:fill="FFFFFF"/>
          <w:vertAlign w:val="superscript"/>
        </w:rPr>
        <w:t>-3</w:t>
      </w:r>
      <w:r>
        <w:rPr>
          <w:rFonts w:ascii="Times New Roman" w:hAnsi="Times New Roman" w:cs="Times New Roman"/>
          <w:color w:val="auto"/>
          <w:spacing w:val="4"/>
          <w:szCs w:val="24"/>
          <w:shd w:val="clear" w:color="auto" w:fill="FFFFFF"/>
        </w:rPr>
        <w:t>]；</w:t>
      </w:r>
    </w:p>
    <w:p>
      <w:pPr>
        <w:adjustRightInd/>
        <w:snapToGrid/>
        <w:ind w:firstLine="496"/>
        <w:rPr>
          <w:rFonts w:ascii="Times New Roman" w:hAnsi="Times New Roman" w:cs="Times New Roman"/>
          <w:color w:val="auto"/>
          <w:spacing w:val="4"/>
          <w:szCs w:val="24"/>
          <w:shd w:val="clear" w:color="auto" w:fill="FFFFFF"/>
        </w:rPr>
      </w:pPr>
      <w:r>
        <w:rPr>
          <w:rFonts w:ascii="Times New Roman" w:hAnsi="Times New Roman" w:cs="Times New Roman"/>
          <w:i/>
          <w:color w:val="auto"/>
          <w:spacing w:val="4"/>
          <w:szCs w:val="24"/>
          <w:shd w:val="clear" w:color="auto" w:fill="FFFFFF"/>
        </w:rPr>
        <w:t>t</w:t>
      </w:r>
      <w:r>
        <w:rPr>
          <w:rFonts w:ascii="Times New Roman" w:hAnsi="Times New Roman" w:cs="Times New Roman"/>
          <w:color w:val="auto"/>
          <w:spacing w:val="4"/>
          <w:szCs w:val="24"/>
          <w:shd w:val="clear" w:color="auto" w:fill="FFFFFF"/>
        </w:rPr>
        <w:t>为时间[T]；</w:t>
      </w:r>
    </w:p>
    <w:p>
      <w:pPr>
        <w:adjustRightInd/>
        <w:snapToGrid/>
        <w:ind w:firstLine="480"/>
        <w:rPr>
          <w:rFonts w:ascii="Times New Roman" w:hAnsi="Times New Roman" w:cs="Times New Roman"/>
          <w:color w:val="auto"/>
          <w:spacing w:val="4"/>
          <w:szCs w:val="24"/>
          <w:shd w:val="clear" w:color="auto" w:fill="FFFFFF"/>
        </w:rPr>
      </w:pPr>
      <w:r>
        <w:rPr>
          <w:rFonts w:ascii="Times New Roman" w:hAnsi="Times New Roman" w:cs="Times New Roman"/>
          <w:color w:val="auto"/>
          <w:spacing w:val="4"/>
          <w:position w:val="-28"/>
          <w:szCs w:val="24"/>
          <w:shd w:val="clear" w:color="auto" w:fill="FFFFFF"/>
        </w:rPr>
        <w:object>
          <v:shape id="_x0000_i1061" o:spt="75" type="#_x0000_t75" style="height:33pt;width:42pt;" o:ole="t" filled="f" o:preferrelative="t" stroked="f" coordsize="21600,21600">
            <v:path/>
            <v:fill on="f" focussize="0,0"/>
            <v:stroke on="f" joinstyle="miter"/>
            <v:imagedata r:id="rId224" o:title=""/>
            <o:lock v:ext="edit" aspectratio="t"/>
            <w10:wrap type="none"/>
            <w10:anchorlock/>
          </v:shape>
          <o:OLEObject Type="Embed" ProgID="Equation.3" ShapeID="_x0000_i1061" DrawAspect="Content" ObjectID="_1468075761" r:id="rId223">
            <o:LockedField>false</o:LockedField>
          </o:OLEObject>
        </w:object>
      </w:r>
      <w:r>
        <w:rPr>
          <w:rFonts w:ascii="Times New Roman" w:hAnsi="Times New Roman" w:cs="Times New Roman"/>
          <w:color w:val="auto"/>
          <w:spacing w:val="4"/>
          <w:szCs w:val="24"/>
          <w:shd w:val="clear" w:color="auto" w:fill="FFFFFF"/>
        </w:rPr>
        <w:t>代表溶质N种化学反应的总量[ML-3T-1]。</w:t>
      </w:r>
    </w:p>
    <w:p>
      <w:pPr>
        <w:adjustRightInd/>
        <w:snapToGrid/>
        <w:ind w:firstLine="496"/>
        <w:rPr>
          <w:rFonts w:ascii="Times New Roman" w:hAnsi="Times New Roman" w:cs="Times New Roman"/>
          <w:color w:val="auto"/>
          <w:spacing w:val="4"/>
          <w:szCs w:val="24"/>
          <w:shd w:val="clear" w:color="auto" w:fill="FFFFFF"/>
        </w:rPr>
      </w:pPr>
      <w:r>
        <w:rPr>
          <w:rFonts w:ascii="Times New Roman" w:hAnsi="Times New Roman" w:cs="Times New Roman"/>
          <w:color w:val="auto"/>
          <w:spacing w:val="4"/>
          <w:szCs w:val="24"/>
          <w:shd w:val="clear" w:color="auto" w:fill="FFFFFF"/>
        </w:rPr>
        <w:t>由上述方程与其相应的定解条件即可构成评价区地下水中溶质运移的数学模型。</w:t>
      </w:r>
    </w:p>
    <w:p>
      <w:pPr>
        <w:adjustRightInd/>
        <w:ind w:firstLine="496"/>
        <w:rPr>
          <w:rFonts w:ascii="Times New Roman" w:hAnsi="Times New Roman" w:cs="Times New Roman"/>
          <w:color w:val="auto"/>
          <w:spacing w:val="4"/>
          <w:szCs w:val="24"/>
          <w:shd w:val="clear" w:color="auto" w:fill="FFFFFF"/>
        </w:rPr>
      </w:pPr>
      <w:r>
        <w:rPr>
          <w:rFonts w:ascii="Times New Roman" w:hAnsi="Times New Roman" w:cs="Times New Roman"/>
          <w:color w:val="auto"/>
          <w:spacing w:val="4"/>
          <w:szCs w:val="24"/>
          <w:shd w:val="clear" w:color="auto" w:fill="FFFFFF"/>
        </w:rPr>
        <w:t>（6）数学模型求解</w:t>
      </w:r>
    </w:p>
    <w:p>
      <w:pPr>
        <w:adjustRightInd/>
        <w:ind w:firstLine="496"/>
        <w:rPr>
          <w:rFonts w:ascii="Times New Roman" w:hAnsi="Times New Roman" w:cs="Times New Roman"/>
          <w:color w:val="auto"/>
          <w:spacing w:val="4"/>
          <w:szCs w:val="24"/>
          <w:shd w:val="clear" w:color="auto" w:fill="FFFFFF"/>
        </w:rPr>
      </w:pPr>
      <w:r>
        <w:rPr>
          <w:rFonts w:ascii="Times New Roman" w:hAnsi="Times New Roman" w:cs="Times New Roman"/>
          <w:color w:val="auto"/>
          <w:spacing w:val="4"/>
          <w:szCs w:val="24"/>
          <w:shd w:val="clear" w:color="auto" w:fill="FFFFFF"/>
        </w:rPr>
        <w:t>上述数学模型可用不同的数值法来求解。本次模拟计算，采用GMS软件求解，用MODFLOW计算模块求解地下水水流运动数学模型，用MT3DMS模块求解地下水污染物运移数学模型。</w:t>
      </w:r>
    </w:p>
    <w:p>
      <w:pPr>
        <w:adjustRightInd/>
        <w:ind w:firstLine="496"/>
        <w:rPr>
          <w:rFonts w:ascii="Times New Roman" w:hAnsi="Times New Roman" w:cs="Times New Roman"/>
          <w:color w:val="auto"/>
          <w:spacing w:val="4"/>
          <w:szCs w:val="24"/>
          <w:shd w:val="clear" w:color="auto" w:fill="FFFFFF"/>
        </w:rPr>
      </w:pPr>
      <w:r>
        <w:rPr>
          <w:rFonts w:ascii="Times New Roman" w:hAnsi="Times New Roman" w:cs="Times New Roman"/>
          <w:color w:val="auto"/>
          <w:spacing w:val="4"/>
          <w:szCs w:val="24"/>
          <w:shd w:val="clear" w:color="auto" w:fill="FFFFFF"/>
        </w:rPr>
        <w:t>（7）模型参数</w:t>
      </w:r>
    </w:p>
    <w:p>
      <w:pPr>
        <w:adjustRightInd/>
        <w:ind w:firstLine="496"/>
        <w:rPr>
          <w:rFonts w:ascii="Times New Roman" w:hAnsi="Times New Roman" w:cs="Times New Roman"/>
          <w:color w:val="auto"/>
          <w:spacing w:val="4"/>
          <w:szCs w:val="24"/>
          <w:shd w:val="clear" w:color="auto" w:fill="FFFFFF"/>
        </w:rPr>
      </w:pPr>
      <w:r>
        <w:rPr>
          <w:rFonts w:hint="eastAsia" w:ascii="宋体" w:hAnsi="宋体" w:cs="宋体"/>
          <w:color w:val="auto"/>
          <w:spacing w:val="4"/>
          <w:szCs w:val="24"/>
          <w:shd w:val="clear" w:color="auto" w:fill="FFFFFF"/>
        </w:rPr>
        <w:t>①</w:t>
      </w:r>
      <w:r>
        <w:rPr>
          <w:rFonts w:ascii="Times New Roman" w:hAnsi="Times New Roman" w:cs="Times New Roman"/>
          <w:color w:val="auto"/>
          <w:spacing w:val="4"/>
          <w:szCs w:val="24"/>
          <w:shd w:val="clear" w:color="auto" w:fill="FFFFFF"/>
        </w:rPr>
        <w:t>渗透系数：</w:t>
      </w:r>
    </w:p>
    <w:p>
      <w:pPr>
        <w:adjustRightInd/>
        <w:ind w:firstLine="496"/>
        <w:rPr>
          <w:rFonts w:ascii="Times New Roman" w:hAnsi="Times New Roman" w:cs="Times New Roman"/>
          <w:color w:val="auto"/>
          <w:spacing w:val="4"/>
          <w:szCs w:val="24"/>
          <w:shd w:val="clear" w:color="auto" w:fill="FFFFFF"/>
        </w:rPr>
      </w:pPr>
      <w:r>
        <w:rPr>
          <w:rFonts w:ascii="Times New Roman" w:hAnsi="Times New Roman" w:cs="Times New Roman"/>
          <w:color w:val="auto"/>
          <w:spacing w:val="4"/>
          <w:szCs w:val="24"/>
          <w:shd w:val="clear" w:color="auto" w:fill="FFFFFF"/>
        </w:rPr>
        <w:t>根据前文所述，项目区潜水含水层土层主要为素填土及粉质粘土；潜水含水层渗透系数取值</w:t>
      </w:r>
      <w:r>
        <w:rPr>
          <w:rFonts w:ascii="Times New Roman" w:hAnsi="Times New Roman" w:cs="Times New Roman"/>
          <w:szCs w:val="24"/>
          <w:lang w:bidi="ar"/>
        </w:rPr>
        <w:t>1.5×10</w:t>
      </w:r>
      <w:r>
        <w:rPr>
          <w:rFonts w:ascii="Times New Roman" w:hAnsi="Times New Roman" w:cs="Times New Roman"/>
          <w:szCs w:val="24"/>
          <w:vertAlign w:val="superscript"/>
          <w:lang w:bidi="ar"/>
        </w:rPr>
        <w:t>-5</w:t>
      </w:r>
      <w:r>
        <w:rPr>
          <w:rFonts w:ascii="Times New Roman" w:hAnsi="Times New Roman" w:cs="Times New Roman"/>
          <w:szCs w:val="24"/>
          <w:lang w:bidi="ar"/>
        </w:rPr>
        <w:t>cm/s</w:t>
      </w:r>
      <w:r>
        <w:rPr>
          <w:rFonts w:ascii="Times New Roman" w:hAnsi="Times New Roman" w:cs="Times New Roman"/>
          <w:color w:val="auto"/>
          <w:spacing w:val="4"/>
          <w:szCs w:val="24"/>
          <w:shd w:val="clear" w:color="auto" w:fill="FFFFFF"/>
        </w:rPr>
        <w:t>。</w:t>
      </w:r>
    </w:p>
    <w:p>
      <w:pPr>
        <w:adjustRightInd/>
        <w:ind w:firstLine="496"/>
        <w:rPr>
          <w:rFonts w:ascii="Times New Roman" w:hAnsi="Times New Roman" w:cs="Times New Roman"/>
          <w:color w:val="auto"/>
          <w:spacing w:val="4"/>
          <w:szCs w:val="24"/>
          <w:shd w:val="clear" w:color="auto" w:fill="FFFFFF"/>
        </w:rPr>
      </w:pPr>
      <w:r>
        <w:rPr>
          <w:rFonts w:hint="eastAsia" w:ascii="宋体" w:hAnsi="宋体" w:cs="宋体"/>
          <w:color w:val="auto"/>
          <w:spacing w:val="4"/>
          <w:szCs w:val="24"/>
          <w:shd w:val="clear" w:color="auto" w:fill="FFFFFF"/>
        </w:rPr>
        <w:t>②</w:t>
      </w:r>
      <w:r>
        <w:rPr>
          <w:rFonts w:ascii="Times New Roman" w:hAnsi="Times New Roman" w:cs="Times New Roman"/>
          <w:color w:val="auto"/>
          <w:spacing w:val="4"/>
          <w:szCs w:val="24"/>
          <w:shd w:val="clear" w:color="auto" w:fill="FFFFFF"/>
        </w:rPr>
        <w:t>降雨入渗补给：</w:t>
      </w:r>
    </w:p>
    <w:p>
      <w:pPr>
        <w:adjustRightInd/>
        <w:ind w:firstLine="496"/>
        <w:rPr>
          <w:rFonts w:ascii="Times New Roman" w:hAnsi="Times New Roman" w:cs="Times New Roman"/>
          <w:color w:val="auto"/>
          <w:spacing w:val="4"/>
          <w:szCs w:val="24"/>
          <w:shd w:val="clear" w:color="auto" w:fill="FFFFFF"/>
        </w:rPr>
      </w:pPr>
      <w:r>
        <w:rPr>
          <w:rFonts w:ascii="Times New Roman" w:hAnsi="Times New Roman" w:cs="Times New Roman"/>
          <w:color w:val="auto"/>
          <w:spacing w:val="4"/>
          <w:szCs w:val="24"/>
          <w:shd w:val="clear" w:color="auto" w:fill="FFFFFF"/>
        </w:rPr>
        <w:t>降雨入渗补给：降雨量采用区域多年平均降雨量1200mm，根据《水文地质手册》中提供的经验值，降雨入渗系数取为0.10。项目区地下水平均埋深</w:t>
      </w:r>
      <w:r>
        <w:rPr>
          <w:rFonts w:ascii="Times New Roman" w:hAnsi="Times New Roman" w:cs="Times New Roman"/>
        </w:rPr>
        <w:t>2.00m至3.50m之间</w:t>
      </w:r>
      <w:r>
        <w:rPr>
          <w:rFonts w:ascii="Times New Roman" w:hAnsi="Times New Roman" w:cs="Times New Roman"/>
          <w:color w:val="auto"/>
          <w:spacing w:val="4"/>
          <w:szCs w:val="24"/>
          <w:shd w:val="clear" w:color="auto" w:fill="FFFFFF"/>
        </w:rPr>
        <w:t>，潜水蒸发影响较大。</w:t>
      </w:r>
    </w:p>
    <w:p>
      <w:pPr>
        <w:adjustRightInd/>
        <w:ind w:firstLine="496"/>
        <w:rPr>
          <w:rFonts w:ascii="Times New Roman" w:hAnsi="Times New Roman" w:cs="Times New Roman"/>
          <w:color w:val="auto"/>
          <w:spacing w:val="4"/>
          <w:szCs w:val="24"/>
          <w:shd w:val="clear" w:color="auto" w:fill="FFFFFF"/>
        </w:rPr>
      </w:pPr>
      <w:r>
        <w:rPr>
          <w:rFonts w:hint="eastAsia" w:ascii="宋体" w:hAnsi="宋体" w:cs="宋体"/>
          <w:color w:val="auto"/>
          <w:spacing w:val="4"/>
          <w:szCs w:val="24"/>
          <w:shd w:val="clear" w:color="auto" w:fill="FFFFFF"/>
        </w:rPr>
        <w:t>③</w:t>
      </w:r>
      <w:r>
        <w:rPr>
          <w:rFonts w:ascii="Times New Roman" w:hAnsi="Times New Roman" w:cs="Times New Roman"/>
          <w:color w:val="auto"/>
          <w:spacing w:val="4"/>
          <w:szCs w:val="24"/>
          <w:shd w:val="clear" w:color="auto" w:fill="FFFFFF"/>
        </w:rPr>
        <w:t>弥散度：</w:t>
      </w:r>
    </w:p>
    <w:p>
      <w:pPr>
        <w:adjustRightInd/>
        <w:ind w:firstLine="496"/>
        <w:rPr>
          <w:rFonts w:ascii="Times New Roman" w:hAnsi="Times New Roman" w:eastAsia="黑体" w:cs="Times New Roman"/>
          <w:color w:val="auto"/>
          <w:szCs w:val="24"/>
          <w:shd w:val="clear" w:color="auto" w:fill="FFFFFF"/>
        </w:rPr>
      </w:pPr>
      <w:r>
        <w:rPr>
          <w:rFonts w:ascii="Times New Roman" w:hAnsi="Times New Roman" w:cs="Times New Roman"/>
          <w:color w:val="auto"/>
          <w:spacing w:val="4"/>
          <w:szCs w:val="24"/>
          <w:shd w:val="clear" w:color="auto" w:fill="FFFFFF"/>
        </w:rPr>
        <w:t>对弥散度，根据区域土层弥散试验结果，并充分考虑其尺度效应，结合条件相似地区开展实际工作的成果，确定本次评价范围潜水含水层，纵向弥散度取10m，横纵向弥散度比值取0.1。</w:t>
      </w:r>
    </w:p>
    <w:p>
      <w:pPr>
        <w:adjustRightInd/>
        <w:ind w:firstLine="496"/>
        <w:rPr>
          <w:rFonts w:ascii="Times New Roman" w:hAnsi="Times New Roman" w:cs="Times New Roman"/>
          <w:color w:val="auto"/>
          <w:spacing w:val="4"/>
          <w:szCs w:val="24"/>
          <w:shd w:val="clear" w:color="auto" w:fill="FFFFFF"/>
        </w:rPr>
      </w:pPr>
      <w:r>
        <w:rPr>
          <w:rFonts w:hint="eastAsia" w:ascii="宋体" w:hAnsi="宋体" w:cs="宋体"/>
          <w:color w:val="auto"/>
          <w:spacing w:val="4"/>
          <w:szCs w:val="24"/>
          <w:shd w:val="clear" w:color="auto" w:fill="FFFFFF"/>
        </w:rPr>
        <w:t>④</w:t>
      </w:r>
      <w:r>
        <w:rPr>
          <w:rFonts w:ascii="Times New Roman" w:hAnsi="Times New Roman" w:cs="Times New Roman"/>
          <w:color w:val="auto"/>
          <w:spacing w:val="4"/>
          <w:szCs w:val="24"/>
          <w:shd w:val="clear" w:color="auto" w:fill="FFFFFF"/>
        </w:rPr>
        <w:t>孔隙度：岩石和土壤孔隙度的大小与颗粒的排列方式、颗粒大小、分选性、颗粒形状以及胶结程度有关，不同岩性孔隙度大小见下表5.6-4。研究区的潜水含水层岩性主要为素填土及粉质</w:t>
      </w:r>
      <w:r>
        <w:rPr>
          <w:rFonts w:ascii="Times New Roman" w:hAnsi="Times New Roman" w:cs="Times New Roman"/>
          <w:color w:val="auto"/>
          <w:kern w:val="0"/>
          <w:szCs w:val="24"/>
          <w:shd w:val="clear" w:color="auto" w:fill="FFFFFF"/>
        </w:rPr>
        <w:t>粘土</w:t>
      </w:r>
      <w:r>
        <w:rPr>
          <w:rFonts w:ascii="Times New Roman" w:hAnsi="Times New Roman" w:cs="Times New Roman"/>
          <w:color w:val="auto"/>
          <w:spacing w:val="4"/>
          <w:szCs w:val="24"/>
          <w:shd w:val="clear" w:color="auto" w:fill="FFFFFF"/>
        </w:rPr>
        <w:t>；本项目地下水含水岩层孔隙度取值为0.35。</w:t>
      </w:r>
    </w:p>
    <w:p>
      <w:pPr>
        <w:spacing w:line="240" w:lineRule="auto"/>
        <w:ind w:firstLine="422"/>
        <w:jc w:val="center"/>
        <w:rPr>
          <w:rFonts w:ascii="Times New Roman" w:hAnsi="Times New Roman" w:cs="Times New Roman"/>
          <w:b/>
          <w:color w:val="auto"/>
          <w:sz w:val="21"/>
        </w:rPr>
      </w:pPr>
      <w:r>
        <w:rPr>
          <w:rFonts w:ascii="Times New Roman" w:hAnsi="Times New Roman" w:cs="Times New Roman"/>
          <w:b/>
          <w:color w:val="auto"/>
          <w:sz w:val="21"/>
        </w:rPr>
        <w:t>表5.6-4     不同岩性孔隙度大小</w:t>
      </w:r>
    </w:p>
    <w:tbl>
      <w:tblPr>
        <w:tblStyle w:val="62"/>
        <w:tblW w:w="928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04"/>
        <w:gridCol w:w="1794"/>
        <w:gridCol w:w="1038"/>
        <w:gridCol w:w="1792"/>
        <w:gridCol w:w="1570"/>
        <w:gridCol w:w="178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4" w:type="dxa"/>
            <w:vAlign w:val="center"/>
          </w:tcPr>
          <w:p>
            <w:pPr>
              <w:widowControl/>
              <w:adjustRightInd/>
              <w:snapToGrid/>
              <w:spacing w:line="300" w:lineRule="exact"/>
              <w:ind w:firstLine="0" w:firstLineChars="0"/>
              <w:jc w:val="center"/>
              <w:rPr>
                <w:rFonts w:ascii="Times New Roman" w:hAnsi="Times New Roman" w:cs="Times New Roman"/>
                <w:b/>
                <w:color w:val="auto"/>
                <w:kern w:val="0"/>
                <w:sz w:val="21"/>
                <w:szCs w:val="21"/>
                <w:shd w:val="clear" w:color="auto" w:fill="FFFFFF"/>
              </w:rPr>
            </w:pPr>
            <w:r>
              <w:rPr>
                <w:rFonts w:ascii="Times New Roman" w:hAnsi="Times New Roman" w:cs="Times New Roman"/>
                <w:b/>
                <w:color w:val="auto"/>
                <w:kern w:val="0"/>
                <w:sz w:val="21"/>
                <w:szCs w:val="21"/>
                <w:shd w:val="clear" w:color="auto" w:fill="FFFFFF"/>
              </w:rPr>
              <w:t>松散岩体</w:t>
            </w:r>
          </w:p>
        </w:tc>
        <w:tc>
          <w:tcPr>
            <w:tcW w:w="1794" w:type="dxa"/>
            <w:vAlign w:val="center"/>
          </w:tcPr>
          <w:p>
            <w:pPr>
              <w:widowControl/>
              <w:adjustRightInd/>
              <w:snapToGrid/>
              <w:spacing w:line="300" w:lineRule="exact"/>
              <w:ind w:firstLine="0" w:firstLineChars="0"/>
              <w:jc w:val="center"/>
              <w:rPr>
                <w:rFonts w:ascii="Times New Roman" w:hAnsi="Times New Roman" w:cs="Times New Roman"/>
                <w:b/>
                <w:color w:val="auto"/>
                <w:kern w:val="0"/>
                <w:sz w:val="21"/>
                <w:szCs w:val="21"/>
                <w:shd w:val="clear" w:color="auto" w:fill="FFFFFF"/>
              </w:rPr>
            </w:pPr>
            <w:r>
              <w:rPr>
                <w:rFonts w:ascii="Times New Roman" w:hAnsi="Times New Roman" w:cs="Times New Roman"/>
                <w:b/>
                <w:color w:val="auto"/>
                <w:kern w:val="0"/>
                <w:sz w:val="21"/>
                <w:szCs w:val="21"/>
                <w:shd w:val="clear" w:color="auto" w:fill="FFFFFF"/>
              </w:rPr>
              <w:t>孔隙度（%）</w:t>
            </w:r>
          </w:p>
        </w:tc>
        <w:tc>
          <w:tcPr>
            <w:tcW w:w="1038" w:type="dxa"/>
            <w:vAlign w:val="center"/>
          </w:tcPr>
          <w:p>
            <w:pPr>
              <w:widowControl/>
              <w:adjustRightInd/>
              <w:snapToGrid/>
              <w:spacing w:line="300" w:lineRule="exact"/>
              <w:ind w:firstLine="0" w:firstLineChars="0"/>
              <w:jc w:val="center"/>
              <w:rPr>
                <w:rFonts w:ascii="Times New Roman" w:hAnsi="Times New Roman" w:cs="Times New Roman"/>
                <w:b/>
                <w:color w:val="auto"/>
                <w:kern w:val="0"/>
                <w:sz w:val="21"/>
                <w:szCs w:val="21"/>
                <w:shd w:val="clear" w:color="auto" w:fill="FFFFFF"/>
              </w:rPr>
            </w:pPr>
            <w:r>
              <w:rPr>
                <w:rFonts w:ascii="Times New Roman" w:hAnsi="Times New Roman" w:cs="Times New Roman"/>
                <w:b/>
                <w:color w:val="auto"/>
                <w:kern w:val="0"/>
                <w:sz w:val="21"/>
                <w:szCs w:val="21"/>
                <w:shd w:val="clear" w:color="auto" w:fill="FFFFFF"/>
              </w:rPr>
              <w:t>沉积岩</w:t>
            </w:r>
          </w:p>
        </w:tc>
        <w:tc>
          <w:tcPr>
            <w:tcW w:w="1792" w:type="dxa"/>
            <w:vAlign w:val="center"/>
          </w:tcPr>
          <w:p>
            <w:pPr>
              <w:widowControl/>
              <w:adjustRightInd/>
              <w:snapToGrid/>
              <w:spacing w:line="300" w:lineRule="exact"/>
              <w:ind w:firstLine="0" w:firstLineChars="0"/>
              <w:jc w:val="center"/>
              <w:rPr>
                <w:rFonts w:ascii="Times New Roman" w:hAnsi="Times New Roman" w:cs="Times New Roman"/>
                <w:b/>
                <w:color w:val="auto"/>
                <w:kern w:val="0"/>
                <w:sz w:val="21"/>
                <w:szCs w:val="21"/>
                <w:shd w:val="clear" w:color="auto" w:fill="FFFFFF"/>
              </w:rPr>
            </w:pPr>
            <w:r>
              <w:rPr>
                <w:rFonts w:ascii="Times New Roman" w:hAnsi="Times New Roman" w:cs="Times New Roman"/>
                <w:b/>
                <w:color w:val="auto"/>
                <w:kern w:val="0"/>
                <w:sz w:val="21"/>
                <w:szCs w:val="21"/>
                <w:shd w:val="clear" w:color="auto" w:fill="FFFFFF"/>
              </w:rPr>
              <w:t>孔隙度（%）</w:t>
            </w:r>
          </w:p>
        </w:tc>
        <w:tc>
          <w:tcPr>
            <w:tcW w:w="1570" w:type="dxa"/>
            <w:vAlign w:val="center"/>
          </w:tcPr>
          <w:p>
            <w:pPr>
              <w:widowControl/>
              <w:adjustRightInd/>
              <w:snapToGrid/>
              <w:spacing w:line="300" w:lineRule="exact"/>
              <w:ind w:firstLine="0" w:firstLineChars="0"/>
              <w:jc w:val="center"/>
              <w:rPr>
                <w:rFonts w:ascii="Times New Roman" w:hAnsi="Times New Roman" w:cs="Times New Roman"/>
                <w:b/>
                <w:color w:val="auto"/>
                <w:kern w:val="0"/>
                <w:sz w:val="21"/>
                <w:szCs w:val="21"/>
                <w:shd w:val="clear" w:color="auto" w:fill="FFFFFF"/>
              </w:rPr>
            </w:pPr>
            <w:r>
              <w:rPr>
                <w:rFonts w:ascii="Times New Roman" w:hAnsi="Times New Roman" w:cs="Times New Roman"/>
                <w:b/>
                <w:color w:val="auto"/>
                <w:kern w:val="0"/>
                <w:sz w:val="21"/>
                <w:szCs w:val="21"/>
                <w:shd w:val="clear" w:color="auto" w:fill="FFFFFF"/>
              </w:rPr>
              <w:t>结晶岩</w:t>
            </w:r>
          </w:p>
        </w:tc>
        <w:tc>
          <w:tcPr>
            <w:tcW w:w="1789" w:type="dxa"/>
            <w:vAlign w:val="center"/>
          </w:tcPr>
          <w:p>
            <w:pPr>
              <w:widowControl/>
              <w:adjustRightInd/>
              <w:snapToGrid/>
              <w:spacing w:line="300" w:lineRule="exact"/>
              <w:ind w:firstLine="0" w:firstLineChars="0"/>
              <w:jc w:val="center"/>
              <w:rPr>
                <w:rFonts w:ascii="Times New Roman" w:hAnsi="Times New Roman" w:cs="Times New Roman"/>
                <w:b/>
                <w:color w:val="auto"/>
                <w:kern w:val="0"/>
                <w:sz w:val="21"/>
                <w:szCs w:val="21"/>
                <w:shd w:val="clear" w:color="auto" w:fill="FFFFFF"/>
              </w:rPr>
            </w:pPr>
            <w:r>
              <w:rPr>
                <w:rFonts w:ascii="Times New Roman" w:hAnsi="Times New Roman" w:cs="Times New Roman"/>
                <w:b/>
                <w:color w:val="auto"/>
                <w:kern w:val="0"/>
                <w:sz w:val="21"/>
                <w:szCs w:val="21"/>
                <w:shd w:val="clear" w:color="auto" w:fill="FFFFFF"/>
              </w:rPr>
              <w:t>孔隙度（%）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4"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粗砾</w:t>
            </w:r>
          </w:p>
        </w:tc>
        <w:tc>
          <w:tcPr>
            <w:tcW w:w="1794"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24-36</w:t>
            </w:r>
          </w:p>
        </w:tc>
        <w:tc>
          <w:tcPr>
            <w:tcW w:w="1038"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砂岩</w:t>
            </w:r>
          </w:p>
        </w:tc>
        <w:tc>
          <w:tcPr>
            <w:tcW w:w="1792"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5-30</w:t>
            </w:r>
          </w:p>
        </w:tc>
        <w:tc>
          <w:tcPr>
            <w:tcW w:w="1570" w:type="dxa"/>
            <w:vMerge w:val="restart"/>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裂隙化</w:t>
            </w:r>
          </w:p>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结晶岩</w:t>
            </w:r>
          </w:p>
        </w:tc>
        <w:tc>
          <w:tcPr>
            <w:tcW w:w="1789" w:type="dxa"/>
            <w:vMerge w:val="restart"/>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4"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细砾</w:t>
            </w:r>
          </w:p>
        </w:tc>
        <w:tc>
          <w:tcPr>
            <w:tcW w:w="1794"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25-38</w:t>
            </w:r>
          </w:p>
        </w:tc>
        <w:tc>
          <w:tcPr>
            <w:tcW w:w="1038"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粉砂岩</w:t>
            </w:r>
          </w:p>
        </w:tc>
        <w:tc>
          <w:tcPr>
            <w:tcW w:w="1792"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21-41</w:t>
            </w:r>
          </w:p>
        </w:tc>
        <w:tc>
          <w:tcPr>
            <w:tcW w:w="1570" w:type="dxa"/>
            <w:vMerge w:val="continue"/>
            <w:vAlign w:val="center"/>
          </w:tcPr>
          <w:p>
            <w:pPr>
              <w:widowControl/>
              <w:adjustRightInd/>
              <w:snapToGrid/>
              <w:spacing w:line="300" w:lineRule="exact"/>
              <w:ind w:firstLine="0" w:firstLineChars="0"/>
              <w:jc w:val="left"/>
              <w:rPr>
                <w:rFonts w:ascii="Times New Roman" w:hAnsi="Times New Roman" w:cs="Times New Roman"/>
                <w:color w:val="auto"/>
                <w:kern w:val="0"/>
                <w:sz w:val="21"/>
                <w:szCs w:val="21"/>
                <w:shd w:val="clear" w:color="auto" w:fill="FFFFFF"/>
              </w:rPr>
            </w:pPr>
          </w:p>
        </w:tc>
        <w:tc>
          <w:tcPr>
            <w:tcW w:w="1789" w:type="dxa"/>
            <w:vMerge w:val="continue"/>
            <w:vAlign w:val="center"/>
          </w:tcPr>
          <w:p>
            <w:pPr>
              <w:widowControl/>
              <w:adjustRightInd/>
              <w:snapToGrid/>
              <w:spacing w:line="300" w:lineRule="exact"/>
              <w:ind w:firstLine="0" w:firstLineChars="0"/>
              <w:jc w:val="left"/>
              <w:rPr>
                <w:rFonts w:ascii="Times New Roman" w:hAnsi="Times New Roman" w:cs="Times New Roman"/>
                <w:color w:val="auto"/>
                <w:kern w:val="0"/>
                <w:sz w:val="21"/>
                <w:szCs w:val="21"/>
                <w:shd w:val="clear" w:color="auto" w:fill="FFFFFF"/>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1304"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粗砂</w:t>
            </w:r>
          </w:p>
        </w:tc>
        <w:tc>
          <w:tcPr>
            <w:tcW w:w="1794"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31-46</w:t>
            </w:r>
          </w:p>
        </w:tc>
        <w:tc>
          <w:tcPr>
            <w:tcW w:w="1038"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石灰岩</w:t>
            </w:r>
          </w:p>
        </w:tc>
        <w:tc>
          <w:tcPr>
            <w:tcW w:w="1792"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0-40</w:t>
            </w:r>
          </w:p>
        </w:tc>
        <w:tc>
          <w:tcPr>
            <w:tcW w:w="1570"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致密结晶岩</w:t>
            </w:r>
          </w:p>
        </w:tc>
        <w:tc>
          <w:tcPr>
            <w:tcW w:w="1789"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4"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细砂</w:t>
            </w:r>
          </w:p>
        </w:tc>
        <w:tc>
          <w:tcPr>
            <w:tcW w:w="1794"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26-53</w:t>
            </w:r>
          </w:p>
        </w:tc>
        <w:tc>
          <w:tcPr>
            <w:tcW w:w="1038"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岩溶</w:t>
            </w:r>
          </w:p>
        </w:tc>
        <w:tc>
          <w:tcPr>
            <w:tcW w:w="1792"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0-40</w:t>
            </w:r>
          </w:p>
        </w:tc>
        <w:tc>
          <w:tcPr>
            <w:tcW w:w="1570"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玄武岩</w:t>
            </w:r>
          </w:p>
        </w:tc>
        <w:tc>
          <w:tcPr>
            <w:tcW w:w="1789"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3-35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4"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粉砂</w:t>
            </w:r>
          </w:p>
        </w:tc>
        <w:tc>
          <w:tcPr>
            <w:tcW w:w="1794"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34-61</w:t>
            </w:r>
          </w:p>
        </w:tc>
        <w:tc>
          <w:tcPr>
            <w:tcW w:w="1038"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页岩</w:t>
            </w:r>
          </w:p>
        </w:tc>
        <w:tc>
          <w:tcPr>
            <w:tcW w:w="1792"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0-10</w:t>
            </w:r>
          </w:p>
        </w:tc>
        <w:tc>
          <w:tcPr>
            <w:tcW w:w="1570"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风化花岗岩</w:t>
            </w:r>
          </w:p>
        </w:tc>
        <w:tc>
          <w:tcPr>
            <w:tcW w:w="1789"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34-57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304"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粘土</w:t>
            </w:r>
          </w:p>
        </w:tc>
        <w:tc>
          <w:tcPr>
            <w:tcW w:w="1794"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34-60</w:t>
            </w:r>
          </w:p>
        </w:tc>
        <w:tc>
          <w:tcPr>
            <w:tcW w:w="1038"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p>
        </w:tc>
        <w:tc>
          <w:tcPr>
            <w:tcW w:w="1792"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p>
        </w:tc>
        <w:tc>
          <w:tcPr>
            <w:tcW w:w="1570"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风化辉长岩</w:t>
            </w:r>
          </w:p>
        </w:tc>
        <w:tc>
          <w:tcPr>
            <w:tcW w:w="1789"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42-45</w:t>
            </w:r>
          </w:p>
        </w:tc>
      </w:tr>
    </w:tbl>
    <w:p>
      <w:pPr>
        <w:adjustRightInd/>
        <w:ind w:firstLine="496"/>
        <w:rPr>
          <w:rFonts w:ascii="Times New Roman" w:hAnsi="Times New Roman" w:cs="Times New Roman"/>
          <w:color w:val="auto"/>
          <w:spacing w:val="4"/>
          <w:szCs w:val="24"/>
          <w:shd w:val="clear" w:color="auto" w:fill="FFFFFF"/>
        </w:rPr>
      </w:pPr>
      <w:r>
        <w:rPr>
          <w:rFonts w:hint="eastAsia" w:ascii="宋体" w:hAnsi="宋体" w:cs="宋体"/>
          <w:color w:val="auto"/>
          <w:spacing w:val="4"/>
          <w:szCs w:val="24"/>
          <w:shd w:val="clear" w:color="auto" w:fill="FFFFFF"/>
        </w:rPr>
        <w:t>⑤</w:t>
      </w:r>
      <w:r>
        <w:rPr>
          <w:rFonts w:ascii="Times New Roman" w:hAnsi="Times New Roman" w:cs="Times New Roman"/>
          <w:color w:val="auto"/>
          <w:spacing w:val="4"/>
          <w:szCs w:val="24"/>
          <w:shd w:val="clear" w:color="auto" w:fill="FFFFFF"/>
        </w:rPr>
        <w:t>模型网格剖分</w:t>
      </w:r>
    </w:p>
    <w:p>
      <w:pPr>
        <w:adjustRightInd/>
        <w:ind w:firstLine="496"/>
        <w:rPr>
          <w:rFonts w:ascii="Times New Roman" w:hAnsi="Times New Roman" w:cs="Times New Roman"/>
          <w:color w:val="auto"/>
          <w:spacing w:val="4"/>
          <w:szCs w:val="24"/>
          <w:shd w:val="clear" w:color="auto" w:fill="FFFFFF"/>
        </w:rPr>
      </w:pPr>
      <w:r>
        <w:rPr>
          <w:rFonts w:ascii="Times New Roman" w:hAnsi="Times New Roman" w:cs="Times New Roman"/>
          <w:color w:val="auto"/>
          <w:spacing w:val="4"/>
          <w:szCs w:val="24"/>
          <w:shd w:val="clear" w:color="auto" w:fill="FFFFFF"/>
        </w:rPr>
        <w:t>上述数学模型可用不同的数值法来求解。本次模拟计算，采用GMS软件求解，用MODFLOW计算模块求解地下水水流运动数学模型，用MT3DMS模块求解地下水污染物运移数学模型。为精确模拟溶质运移行为，在项目区域加密网格，最小网格空间长度达到10m，见图5.6-4。</w:t>
      </w:r>
    </w:p>
    <w:p>
      <w:pPr>
        <w:adjustRightInd/>
        <w:snapToGrid/>
        <w:ind w:firstLine="0" w:firstLineChars="0"/>
        <w:jc w:val="center"/>
        <w:rPr>
          <w:rFonts w:ascii="Times New Roman" w:hAnsi="Times New Roman" w:cs="Times New Roman"/>
          <w:color w:val="auto"/>
          <w:spacing w:val="4"/>
          <w:szCs w:val="24"/>
          <w:shd w:val="clear" w:color="auto" w:fill="FFFFFF"/>
        </w:rPr>
      </w:pPr>
      <w:r>
        <w:rPr>
          <w:rFonts w:ascii="Times New Roman" w:hAnsi="Times New Roman" w:cs="Times New Roman"/>
        </w:rPr>
        <w:drawing>
          <wp:inline distT="0" distB="0" distL="0" distR="0">
            <wp:extent cx="5752465" cy="3731895"/>
            <wp:effectExtent l="0" t="0" r="0" b="0"/>
            <wp:docPr id="128" name="图片 1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true" noChangeArrowheads="true"/>
                    </pic:cNvPicPr>
                  </pic:nvPicPr>
                  <pic:blipFill>
                    <a:blip r:embed="rId225"/>
                    <a:srcRect/>
                    <a:stretch>
                      <a:fillRect/>
                    </a:stretch>
                  </pic:blipFill>
                  <pic:spPr>
                    <a:xfrm>
                      <a:off x="0" y="0"/>
                      <a:ext cx="5752465" cy="3731895"/>
                    </a:xfrm>
                    <a:prstGeom prst="rect">
                      <a:avLst/>
                    </a:prstGeom>
                    <a:noFill/>
                    <a:ln>
                      <a:noFill/>
                    </a:ln>
                  </pic:spPr>
                </pic:pic>
              </a:graphicData>
            </a:graphic>
          </wp:inline>
        </w:drawing>
      </w:r>
    </w:p>
    <w:p>
      <w:pPr>
        <w:ind w:firstLine="422"/>
        <w:jc w:val="center"/>
        <w:rPr>
          <w:rFonts w:ascii="Times New Roman" w:hAnsi="Times New Roman" w:cs="Times New Roman"/>
          <w:b/>
          <w:color w:val="auto"/>
          <w:sz w:val="21"/>
        </w:rPr>
      </w:pPr>
      <w:r>
        <w:rPr>
          <w:rFonts w:ascii="Times New Roman" w:hAnsi="Times New Roman" w:cs="Times New Roman"/>
          <w:b/>
          <w:color w:val="auto"/>
          <w:sz w:val="21"/>
        </w:rPr>
        <w:t>图5.6-4   模型网格剖分示意图</w:t>
      </w:r>
    </w:p>
    <w:p>
      <w:pPr>
        <w:adjustRightInd/>
        <w:ind w:firstLine="480"/>
        <w:rPr>
          <w:rFonts w:ascii="Times New Roman" w:hAnsi="Times New Roman" w:cs="Times New Roman"/>
          <w:color w:val="auto"/>
          <w:szCs w:val="24"/>
          <w:shd w:val="clear" w:color="auto" w:fill="FFFFFF"/>
        </w:rPr>
      </w:pPr>
      <w:r>
        <w:rPr>
          <w:rFonts w:hint="eastAsia" w:ascii="宋体" w:hAnsi="宋体" w:cs="宋体"/>
          <w:color w:val="auto"/>
          <w:szCs w:val="24"/>
          <w:shd w:val="clear" w:color="auto" w:fill="FFFFFF"/>
        </w:rPr>
        <w:t>⑥</w:t>
      </w:r>
      <w:r>
        <w:rPr>
          <w:rFonts w:ascii="Times New Roman" w:hAnsi="Times New Roman" w:cs="Times New Roman"/>
          <w:color w:val="auto"/>
          <w:szCs w:val="24"/>
          <w:shd w:val="clear" w:color="auto" w:fill="FFFFFF"/>
        </w:rPr>
        <w:t>地下水流场</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结合上述模型概念和参数，建立评价区的地下水流数值模型。通过地下水流数值模拟进行模型的识别验证和校准，误差校准标准为观测水头与计算水头之间的误差的标准化均方根（RMS）小于10%。通过调参完成模型的识别验证和校准，模拟地下水位等水位线图见图5.6-5。</w:t>
      </w:r>
    </w:p>
    <w:p>
      <w:pPr>
        <w:adjustRightInd/>
        <w:snapToGrid/>
        <w:ind w:firstLine="0" w:firstLineChars="0"/>
        <w:jc w:val="center"/>
        <w:rPr>
          <w:rFonts w:ascii="Times New Roman" w:hAnsi="Times New Roman" w:cs="Times New Roman"/>
          <w:color w:val="auto"/>
          <w:szCs w:val="24"/>
          <w:shd w:val="clear" w:color="auto" w:fill="FFFFFF"/>
        </w:rPr>
      </w:pPr>
      <w:r>
        <w:rPr>
          <w:rFonts w:ascii="Times New Roman" w:hAnsi="Times New Roman" w:cs="Times New Roman"/>
        </w:rPr>
        <w:drawing>
          <wp:inline distT="0" distB="0" distL="0" distR="0">
            <wp:extent cx="5752465" cy="3668395"/>
            <wp:effectExtent l="0" t="0" r="0" b="0"/>
            <wp:docPr id="129" name="图片 1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true" noChangeArrowheads="true"/>
                    </pic:cNvPicPr>
                  </pic:nvPicPr>
                  <pic:blipFill>
                    <a:blip r:embed="rId226"/>
                    <a:srcRect/>
                    <a:stretch>
                      <a:fillRect/>
                    </a:stretch>
                  </pic:blipFill>
                  <pic:spPr>
                    <a:xfrm>
                      <a:off x="0" y="0"/>
                      <a:ext cx="5752465" cy="3668395"/>
                    </a:xfrm>
                    <a:prstGeom prst="rect">
                      <a:avLst/>
                    </a:prstGeom>
                    <a:noFill/>
                    <a:ln>
                      <a:noFill/>
                    </a:ln>
                  </pic:spPr>
                </pic:pic>
              </a:graphicData>
            </a:graphic>
          </wp:inline>
        </w:drawing>
      </w:r>
    </w:p>
    <w:p>
      <w:pPr>
        <w:ind w:firstLine="422"/>
        <w:jc w:val="center"/>
        <w:rPr>
          <w:rFonts w:ascii="Times New Roman" w:hAnsi="Times New Roman" w:cs="Times New Roman"/>
          <w:b/>
          <w:color w:val="auto"/>
          <w:sz w:val="21"/>
        </w:rPr>
      </w:pPr>
      <w:r>
        <w:rPr>
          <w:rFonts w:ascii="Times New Roman" w:hAnsi="Times New Roman" w:cs="Times New Roman"/>
          <w:b/>
          <w:color w:val="auto"/>
          <w:sz w:val="21"/>
        </w:rPr>
        <w:t>图5.6-5   地下水等水位线图</w:t>
      </w:r>
    </w:p>
    <w:p>
      <w:pPr>
        <w:pStyle w:val="4"/>
        <w:rPr>
          <w:rFonts w:ascii="Times New Roman" w:hAnsi="Times New Roman" w:cs="Times New Roman"/>
          <w:color w:val="auto"/>
        </w:rPr>
      </w:pPr>
      <w:bookmarkStart w:id="455" w:name="_Toc102984386"/>
      <w:bookmarkStart w:id="456" w:name="_Toc104733417"/>
      <w:r>
        <w:rPr>
          <w:rFonts w:ascii="Times New Roman" w:hAnsi="Times New Roman" w:cs="Times New Roman"/>
          <w:color w:val="auto"/>
        </w:rPr>
        <w:t>5.6.4地下水环境影响预测评价</w:t>
      </w:r>
      <w:bookmarkEnd w:id="455"/>
      <w:bookmarkEnd w:id="456"/>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本次污染物运移采用GMS界面下的MT3DMS软件进行模拟，本着风险最大化原则，在模拟污染物运移扩散时不考虑吸附作用、化学反应等因素，重点考虑对流弥散作用。</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1、预测时段</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本次选取可能产生地下水污染的关键时段，本次共分100d、1000d、7300d三个时间节点分别进行预测。</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2、预测方案</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正常状况下，各工艺环节按照设计参数运行，地下水可能的污染来源为各污水输送管网、污水处理池、酸碱油品储罐、事故应急池等跑冒滴漏。相关拟建工程防渗措施均按照设计要求进行，采取严格的防渗、防溢流、防泄漏、防腐蚀等措施，污水不会渗入和进入地下，对地下水不会造成污染。</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非正常工况下，密闭式含油污水收集池防渗老化或失效，污染物渗漏进入地下水，对地下水造成不同程度的污染，COD污染晕浓度边界参考《地下水质量标准》 （GB/T14848-2017）Ⅲ类标准值浓度。非正常工况下的污染源强见表5.6-5。</w:t>
      </w:r>
    </w:p>
    <w:p>
      <w:pPr>
        <w:spacing w:line="240" w:lineRule="auto"/>
        <w:ind w:firstLine="422"/>
        <w:jc w:val="center"/>
        <w:rPr>
          <w:rFonts w:ascii="Times New Roman" w:hAnsi="Times New Roman" w:cs="Times New Roman"/>
          <w:b/>
          <w:color w:val="auto"/>
          <w:sz w:val="21"/>
        </w:rPr>
      </w:pPr>
    </w:p>
    <w:p>
      <w:pPr>
        <w:spacing w:line="240" w:lineRule="auto"/>
        <w:ind w:firstLine="422"/>
        <w:jc w:val="center"/>
        <w:rPr>
          <w:rFonts w:ascii="Times New Roman" w:hAnsi="Times New Roman" w:cs="Times New Roman"/>
          <w:b/>
          <w:color w:val="auto"/>
          <w:sz w:val="21"/>
        </w:rPr>
      </w:pPr>
    </w:p>
    <w:p>
      <w:pPr>
        <w:spacing w:line="240" w:lineRule="auto"/>
        <w:ind w:firstLine="422"/>
        <w:jc w:val="center"/>
        <w:rPr>
          <w:rFonts w:ascii="Times New Roman" w:hAnsi="Times New Roman" w:cs="Times New Roman"/>
          <w:b/>
          <w:color w:val="auto"/>
          <w:sz w:val="21"/>
        </w:rPr>
      </w:pPr>
      <w:r>
        <w:rPr>
          <w:rFonts w:ascii="Times New Roman" w:hAnsi="Times New Roman" w:cs="Times New Roman"/>
          <w:b/>
          <w:color w:val="auto"/>
          <w:sz w:val="21"/>
        </w:rPr>
        <w:t>表5.6-5   非正常工况下污染源强</w:t>
      </w:r>
    </w:p>
    <w:tbl>
      <w:tblPr>
        <w:tblStyle w:val="62"/>
        <w:tblW w:w="928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599"/>
        <w:gridCol w:w="2953"/>
        <w:gridCol w:w="273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8" w:hRule="atLeast"/>
          <w:jc w:val="center"/>
        </w:trPr>
        <w:tc>
          <w:tcPr>
            <w:tcW w:w="3599" w:type="dxa"/>
            <w:vAlign w:val="center"/>
          </w:tcPr>
          <w:p>
            <w:pPr>
              <w:widowControl/>
              <w:adjustRightInd/>
              <w:snapToGrid/>
              <w:spacing w:line="300" w:lineRule="exact"/>
              <w:ind w:firstLine="0" w:firstLineChars="0"/>
              <w:jc w:val="center"/>
              <w:rPr>
                <w:rFonts w:ascii="Times New Roman" w:hAnsi="Times New Roman" w:cs="Times New Roman"/>
                <w:b/>
                <w:color w:val="auto"/>
                <w:kern w:val="0"/>
                <w:sz w:val="21"/>
                <w:szCs w:val="21"/>
                <w:shd w:val="clear" w:color="auto" w:fill="FFFFFF"/>
              </w:rPr>
            </w:pPr>
            <w:r>
              <w:rPr>
                <w:rFonts w:ascii="Times New Roman" w:hAnsi="Times New Roman" w:cs="Times New Roman"/>
                <w:b/>
                <w:color w:val="auto"/>
                <w:kern w:val="0"/>
                <w:sz w:val="21"/>
                <w:szCs w:val="21"/>
                <w:shd w:val="clear" w:color="auto" w:fill="FFFFFF"/>
              </w:rPr>
              <w:t>污染源位置</w:t>
            </w:r>
          </w:p>
        </w:tc>
        <w:tc>
          <w:tcPr>
            <w:tcW w:w="2953" w:type="dxa"/>
            <w:vAlign w:val="center"/>
          </w:tcPr>
          <w:p>
            <w:pPr>
              <w:widowControl/>
              <w:adjustRightInd/>
              <w:snapToGrid/>
              <w:spacing w:line="300" w:lineRule="exact"/>
              <w:ind w:firstLine="0" w:firstLineChars="0"/>
              <w:jc w:val="center"/>
              <w:rPr>
                <w:rFonts w:ascii="Times New Roman" w:hAnsi="Times New Roman" w:cs="Times New Roman"/>
                <w:b/>
                <w:color w:val="auto"/>
                <w:kern w:val="0"/>
                <w:sz w:val="21"/>
                <w:szCs w:val="21"/>
                <w:shd w:val="clear" w:color="auto" w:fill="FFFFFF"/>
              </w:rPr>
            </w:pPr>
            <w:r>
              <w:rPr>
                <w:rFonts w:ascii="Times New Roman" w:hAnsi="Times New Roman" w:cs="Times New Roman"/>
                <w:b/>
                <w:color w:val="auto"/>
                <w:kern w:val="0"/>
                <w:sz w:val="21"/>
                <w:szCs w:val="21"/>
                <w:shd w:val="clear" w:color="auto" w:fill="FFFFFF"/>
              </w:rPr>
              <w:t>预测工况</w:t>
            </w:r>
          </w:p>
        </w:tc>
        <w:tc>
          <w:tcPr>
            <w:tcW w:w="2732" w:type="dxa"/>
            <w:vAlign w:val="center"/>
          </w:tcPr>
          <w:p>
            <w:pPr>
              <w:widowControl/>
              <w:adjustRightInd/>
              <w:snapToGrid/>
              <w:spacing w:line="300" w:lineRule="exact"/>
              <w:ind w:firstLine="0" w:firstLineChars="0"/>
              <w:jc w:val="center"/>
              <w:rPr>
                <w:rFonts w:ascii="Times New Roman" w:hAnsi="Times New Roman" w:cs="Times New Roman"/>
                <w:b/>
                <w:color w:val="auto"/>
                <w:kern w:val="0"/>
                <w:sz w:val="21"/>
                <w:szCs w:val="21"/>
                <w:shd w:val="clear" w:color="auto" w:fill="FFFFFF"/>
              </w:rPr>
            </w:pPr>
            <w:r>
              <w:rPr>
                <w:rFonts w:ascii="Times New Roman" w:hAnsi="Times New Roman" w:cs="Times New Roman"/>
                <w:b/>
                <w:color w:val="auto"/>
                <w:kern w:val="0"/>
                <w:sz w:val="21"/>
                <w:szCs w:val="21"/>
                <w:shd w:val="clear" w:color="auto" w:fill="FFFFFF"/>
              </w:rPr>
              <w:t>COD（mg/L）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8" w:hRule="atLeast"/>
          <w:jc w:val="center"/>
        </w:trPr>
        <w:tc>
          <w:tcPr>
            <w:tcW w:w="3599"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sz w:val="21"/>
                <w:szCs w:val="21"/>
                <w:shd w:val="clear" w:color="auto" w:fill="FFFFFF"/>
              </w:rPr>
              <w:t>密闭式含油污水收集池</w:t>
            </w:r>
          </w:p>
        </w:tc>
        <w:tc>
          <w:tcPr>
            <w:tcW w:w="2953" w:type="dxa"/>
            <w:vAlign w:val="center"/>
          </w:tcPr>
          <w:p>
            <w:pPr>
              <w:widowControl/>
              <w:adjustRightInd/>
              <w:snapToGrid/>
              <w:spacing w:line="300" w:lineRule="exact"/>
              <w:ind w:firstLine="0" w:firstLineChars="0"/>
              <w:jc w:val="center"/>
              <w:rPr>
                <w:rFonts w:ascii="Times New Roman" w:hAnsi="Times New Roman" w:cs="Times New Roman"/>
                <w:b/>
                <w:color w:val="auto"/>
                <w:kern w:val="0"/>
                <w:sz w:val="21"/>
                <w:szCs w:val="21"/>
                <w:shd w:val="clear" w:color="auto" w:fill="FFFFFF"/>
              </w:rPr>
            </w:pPr>
            <w:r>
              <w:rPr>
                <w:rFonts w:ascii="Times New Roman" w:hAnsi="Times New Roman" w:cs="Times New Roman"/>
                <w:color w:val="auto"/>
                <w:kern w:val="0"/>
                <w:sz w:val="21"/>
                <w:szCs w:val="21"/>
                <w:shd w:val="clear" w:color="auto" w:fill="FFFFFF"/>
              </w:rPr>
              <w:t>非正常工况</w:t>
            </w:r>
          </w:p>
        </w:tc>
        <w:tc>
          <w:tcPr>
            <w:tcW w:w="2732" w:type="dxa"/>
            <w:vAlign w:val="center"/>
          </w:tcPr>
          <w:p>
            <w:pPr>
              <w:widowControl/>
              <w:adjustRightInd/>
              <w:snapToGrid/>
              <w:spacing w:line="300" w:lineRule="exact"/>
              <w:ind w:firstLine="0" w:firstLineChars="0"/>
              <w:jc w:val="center"/>
              <w:rPr>
                <w:rFonts w:ascii="Times New Roman" w:hAnsi="Times New Roman" w:cs="Times New Roman"/>
                <w:color w:val="auto"/>
                <w:kern w:val="0"/>
                <w:sz w:val="21"/>
                <w:szCs w:val="21"/>
                <w:shd w:val="clear" w:color="auto" w:fill="FFFFFF"/>
              </w:rPr>
            </w:pPr>
            <w:r>
              <w:rPr>
                <w:rFonts w:ascii="Times New Roman" w:hAnsi="Times New Roman" w:cs="Times New Roman"/>
                <w:color w:val="auto"/>
                <w:kern w:val="0"/>
                <w:sz w:val="21"/>
                <w:szCs w:val="21"/>
                <w:shd w:val="clear" w:color="auto" w:fill="FFFFFF"/>
              </w:rPr>
              <w:t>900</w:t>
            </w:r>
          </w:p>
        </w:tc>
      </w:tr>
    </w:tbl>
    <w:p>
      <w:pPr>
        <w:adjustRightInd/>
        <w:snapToGri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3、预测结果及分析</w:t>
      </w:r>
    </w:p>
    <w:p>
      <w:pPr>
        <w:adjustRightInd/>
        <w:snapToGri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模拟污染物扩散时，不考虑吸附作用、化学反应等因素，重点考虑了对流和弥散作用。将含水层参数、初始条件和边界条件带入水质模型。利用校正后的水流模型，结合上述情景设置，预测各类污染物在含水层的迁移行为。</w:t>
      </w:r>
    </w:p>
    <w:p>
      <w:pPr>
        <w:adjustRightInd/>
        <w:snapToGri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非正常工况下，利用所建立的模型，评价预测时间段（7300d）内污染物运移过程。经过模拟计算得到COD、石油类运移过程分布情况见图5.6-6~图5.6-8。</w:t>
      </w:r>
    </w:p>
    <w:p>
      <w:pPr>
        <w:adjustRightInd/>
        <w:snapToGrid/>
        <w:ind w:firstLine="0" w:firstLineChars="0"/>
        <w:jc w:val="center"/>
        <w:rPr>
          <w:rFonts w:ascii="Times New Roman" w:hAnsi="Times New Roman" w:cs="Times New Roman"/>
          <w:color w:val="auto"/>
          <w:szCs w:val="24"/>
          <w:shd w:val="clear" w:color="auto" w:fill="FFFFFF"/>
        </w:rPr>
      </w:pPr>
      <w:r>
        <w:rPr>
          <w:rFonts w:ascii="Times New Roman" w:hAnsi="Times New Roman" w:cs="Times New Roman"/>
        </w:rPr>
        <w:drawing>
          <wp:inline distT="0" distB="0" distL="0" distR="0">
            <wp:extent cx="5752465" cy="3763645"/>
            <wp:effectExtent l="0" t="0" r="0" b="0"/>
            <wp:docPr id="130" name="图片 1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true" noChangeArrowheads="true"/>
                    </pic:cNvPicPr>
                  </pic:nvPicPr>
                  <pic:blipFill>
                    <a:blip r:embed="rId227"/>
                    <a:srcRect/>
                    <a:stretch>
                      <a:fillRect/>
                    </a:stretch>
                  </pic:blipFill>
                  <pic:spPr>
                    <a:xfrm>
                      <a:off x="0" y="0"/>
                      <a:ext cx="5752465" cy="3763645"/>
                    </a:xfrm>
                    <a:prstGeom prst="rect">
                      <a:avLst/>
                    </a:prstGeom>
                    <a:noFill/>
                    <a:ln>
                      <a:noFill/>
                    </a:ln>
                  </pic:spPr>
                </pic:pic>
              </a:graphicData>
            </a:graphic>
          </wp:inline>
        </w:drawing>
      </w:r>
    </w:p>
    <w:p>
      <w:pPr>
        <w:ind w:firstLine="422"/>
        <w:jc w:val="center"/>
        <w:rPr>
          <w:rFonts w:ascii="Times New Roman" w:hAnsi="Times New Roman" w:cs="Times New Roman"/>
          <w:b/>
          <w:color w:val="auto"/>
          <w:sz w:val="21"/>
        </w:rPr>
      </w:pPr>
      <w:r>
        <w:rPr>
          <w:rFonts w:ascii="Times New Roman" w:hAnsi="Times New Roman" w:cs="Times New Roman"/>
          <w:b/>
          <w:color w:val="auto"/>
          <w:sz w:val="21"/>
        </w:rPr>
        <w:t>图5.6-6 非正常工况下密闭式含油污水收集池COD 100d运移图</w:t>
      </w:r>
    </w:p>
    <w:p>
      <w:pPr>
        <w:adjustRightInd/>
        <w:spacing w:line="240" w:lineRule="auto"/>
        <w:ind w:firstLine="0" w:firstLineChars="0"/>
        <w:jc w:val="center"/>
        <w:rPr>
          <w:rFonts w:ascii="Times New Roman" w:hAnsi="Times New Roman" w:cs="Times New Roman"/>
          <w:b/>
          <w:color w:val="auto"/>
          <w:szCs w:val="24"/>
          <w:shd w:val="clear" w:color="auto" w:fill="FFFFFF"/>
        </w:rPr>
      </w:pPr>
      <w:r>
        <w:rPr>
          <w:rFonts w:ascii="Times New Roman" w:hAnsi="Times New Roman" w:cs="Times New Roman"/>
        </w:rPr>
        <w:drawing>
          <wp:inline distT="0" distB="0" distL="0" distR="0">
            <wp:extent cx="5752465" cy="3806190"/>
            <wp:effectExtent l="0" t="0" r="0" b="0"/>
            <wp:docPr id="131" name="图片 1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true" noChangeArrowheads="true"/>
                    </pic:cNvPicPr>
                  </pic:nvPicPr>
                  <pic:blipFill>
                    <a:blip r:embed="rId228"/>
                    <a:srcRect/>
                    <a:stretch>
                      <a:fillRect/>
                    </a:stretch>
                  </pic:blipFill>
                  <pic:spPr>
                    <a:xfrm>
                      <a:off x="0" y="0"/>
                      <a:ext cx="5752465" cy="3806190"/>
                    </a:xfrm>
                    <a:prstGeom prst="rect">
                      <a:avLst/>
                    </a:prstGeom>
                    <a:noFill/>
                    <a:ln>
                      <a:noFill/>
                    </a:ln>
                  </pic:spPr>
                </pic:pic>
              </a:graphicData>
            </a:graphic>
          </wp:inline>
        </w:drawing>
      </w:r>
    </w:p>
    <w:p>
      <w:pPr>
        <w:ind w:firstLine="422"/>
        <w:jc w:val="center"/>
        <w:rPr>
          <w:rFonts w:ascii="Times New Roman" w:hAnsi="Times New Roman" w:cs="Times New Roman"/>
          <w:b/>
          <w:color w:val="auto"/>
          <w:sz w:val="21"/>
        </w:rPr>
      </w:pPr>
      <w:r>
        <w:rPr>
          <w:rFonts w:ascii="Times New Roman" w:hAnsi="Times New Roman" w:cs="Times New Roman"/>
          <w:b/>
          <w:color w:val="auto"/>
          <w:sz w:val="21"/>
        </w:rPr>
        <w:t>图5.6-7  非正常工况下</w:t>
      </w:r>
      <w:r>
        <w:rPr>
          <w:rFonts w:ascii="Times New Roman" w:hAnsi="Times New Roman" w:cs="Times New Roman"/>
          <w:b/>
          <w:color w:val="auto"/>
          <w:sz w:val="21"/>
          <w:szCs w:val="21"/>
          <w:shd w:val="clear" w:color="auto" w:fill="FFFFFF"/>
        </w:rPr>
        <w:t>密闭式含油污水收集池</w:t>
      </w:r>
      <w:r>
        <w:rPr>
          <w:rFonts w:ascii="Times New Roman" w:hAnsi="Times New Roman" w:cs="Times New Roman"/>
          <w:b/>
          <w:color w:val="auto"/>
          <w:sz w:val="21"/>
        </w:rPr>
        <w:t>COD 1000d运移图</w:t>
      </w:r>
    </w:p>
    <w:p>
      <w:pPr>
        <w:adjustRightInd/>
        <w:snapToGrid/>
        <w:spacing w:line="240" w:lineRule="auto"/>
        <w:ind w:firstLine="0" w:firstLineChars="0"/>
        <w:jc w:val="center"/>
        <w:rPr>
          <w:rFonts w:ascii="Times New Roman" w:hAnsi="Times New Roman" w:cs="Times New Roman"/>
          <w:b/>
          <w:color w:val="auto"/>
          <w:szCs w:val="24"/>
          <w:shd w:val="clear" w:color="auto" w:fill="FFFFFF"/>
        </w:rPr>
      </w:pPr>
      <w:r>
        <w:rPr>
          <w:rFonts w:ascii="Times New Roman" w:hAnsi="Times New Roman" w:cs="Times New Roman"/>
        </w:rPr>
        <w:drawing>
          <wp:inline distT="0" distB="0" distL="0" distR="0">
            <wp:extent cx="5752465" cy="3891280"/>
            <wp:effectExtent l="0" t="0" r="0" b="0"/>
            <wp:docPr id="132" name="图片 1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true" noChangeArrowheads="true"/>
                    </pic:cNvPicPr>
                  </pic:nvPicPr>
                  <pic:blipFill>
                    <a:blip r:embed="rId229"/>
                    <a:srcRect/>
                    <a:stretch>
                      <a:fillRect/>
                    </a:stretch>
                  </pic:blipFill>
                  <pic:spPr>
                    <a:xfrm>
                      <a:off x="0" y="0"/>
                      <a:ext cx="5752465" cy="3891280"/>
                    </a:xfrm>
                    <a:prstGeom prst="rect">
                      <a:avLst/>
                    </a:prstGeom>
                    <a:noFill/>
                    <a:ln>
                      <a:noFill/>
                    </a:ln>
                  </pic:spPr>
                </pic:pic>
              </a:graphicData>
            </a:graphic>
          </wp:inline>
        </w:drawing>
      </w:r>
    </w:p>
    <w:p>
      <w:pPr>
        <w:spacing w:line="240" w:lineRule="auto"/>
        <w:ind w:firstLine="422"/>
        <w:jc w:val="center"/>
        <w:rPr>
          <w:rFonts w:ascii="Times New Roman" w:hAnsi="Times New Roman" w:cs="Times New Roman"/>
          <w:b/>
          <w:color w:val="auto"/>
          <w:sz w:val="21"/>
        </w:rPr>
      </w:pPr>
      <w:r>
        <w:rPr>
          <w:rFonts w:ascii="Times New Roman" w:hAnsi="Times New Roman" w:cs="Times New Roman"/>
          <w:b/>
          <w:color w:val="auto"/>
          <w:sz w:val="21"/>
        </w:rPr>
        <w:t>图5.6-8  非正常工况下</w:t>
      </w:r>
      <w:r>
        <w:rPr>
          <w:rFonts w:ascii="Times New Roman" w:hAnsi="Times New Roman" w:cs="Times New Roman"/>
          <w:b/>
          <w:color w:val="auto"/>
          <w:sz w:val="21"/>
          <w:szCs w:val="21"/>
          <w:shd w:val="clear" w:color="auto" w:fill="FFFFFF"/>
        </w:rPr>
        <w:t>密闭式含油污水收集池</w:t>
      </w:r>
      <w:r>
        <w:rPr>
          <w:rFonts w:ascii="Times New Roman" w:hAnsi="Times New Roman" w:cs="Times New Roman"/>
          <w:b/>
          <w:color w:val="auto"/>
          <w:sz w:val="21"/>
        </w:rPr>
        <w:t>COD 7300d运移图</w:t>
      </w:r>
    </w:p>
    <w:p>
      <w:pPr>
        <w:adjustRightInd/>
        <w:snapToGrid/>
        <w:ind w:firstLine="480"/>
        <w:rPr>
          <w:rFonts w:ascii="Times New Roman" w:hAnsi="Times New Roman" w:cs="Times New Roman"/>
          <w:color w:val="auto"/>
          <w:szCs w:val="24"/>
          <w:shd w:val="clear" w:color="auto" w:fill="FFFFFF"/>
        </w:rPr>
      </w:pPr>
    </w:p>
    <w:p>
      <w:pPr>
        <w:adjustRightInd/>
        <w:snapToGrid/>
        <w:ind w:firstLine="0" w:firstLineChars="0"/>
        <w:jc w:val="center"/>
        <w:rPr>
          <w:rFonts w:ascii="Times New Roman" w:hAnsi="Times New Roman" w:eastAsia="黑体" w:cs="Times New Roman"/>
          <w:color w:val="auto"/>
          <w:szCs w:val="24"/>
          <w:shd w:val="clear" w:color="auto" w:fill="FFFFFF"/>
        </w:rPr>
      </w:pPr>
    </w:p>
    <w:p>
      <w:pPr>
        <w:adjustRightInd/>
        <w:snapToGri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非正常工况下污染物运移特征见表5.6-6。</w:t>
      </w:r>
    </w:p>
    <w:p>
      <w:pPr>
        <w:spacing w:line="240" w:lineRule="auto"/>
        <w:ind w:firstLine="422"/>
        <w:jc w:val="center"/>
        <w:rPr>
          <w:rFonts w:ascii="Times New Roman" w:hAnsi="Times New Roman" w:cs="Times New Roman"/>
          <w:b/>
          <w:color w:val="auto"/>
          <w:sz w:val="21"/>
          <w:szCs w:val="21"/>
          <w:shd w:val="clear" w:color="auto" w:fill="FFFFFF"/>
        </w:rPr>
      </w:pPr>
      <w:r>
        <w:rPr>
          <w:rFonts w:ascii="Times New Roman" w:hAnsi="Times New Roman" w:cs="Times New Roman"/>
          <w:b/>
          <w:color w:val="auto"/>
          <w:sz w:val="21"/>
          <w:szCs w:val="21"/>
          <w:shd w:val="clear" w:color="auto" w:fill="FFFFFF"/>
        </w:rPr>
        <w:t>表5.6-6   非正常工况下污染物运移特征表</w:t>
      </w:r>
    </w:p>
    <w:tbl>
      <w:tblPr>
        <w:tblStyle w:val="62"/>
        <w:tblW w:w="9288" w:type="dxa"/>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1563"/>
        <w:gridCol w:w="992"/>
        <w:gridCol w:w="3762"/>
        <w:gridCol w:w="907"/>
        <w:gridCol w:w="1031"/>
        <w:gridCol w:w="1033"/>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blHeader/>
          <w:jc w:val="center"/>
        </w:trPr>
        <w:tc>
          <w:tcPr>
            <w:tcW w:w="1563"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泄漏点</w:t>
            </w:r>
          </w:p>
        </w:tc>
        <w:tc>
          <w:tcPr>
            <w:tcW w:w="992"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污染物</w:t>
            </w:r>
          </w:p>
        </w:tc>
        <w:tc>
          <w:tcPr>
            <w:tcW w:w="3762"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参数</w:t>
            </w:r>
          </w:p>
        </w:tc>
        <w:tc>
          <w:tcPr>
            <w:tcW w:w="907"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100d</w:t>
            </w:r>
          </w:p>
        </w:tc>
        <w:tc>
          <w:tcPr>
            <w:tcW w:w="1031"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1000d</w:t>
            </w:r>
          </w:p>
        </w:tc>
        <w:tc>
          <w:tcPr>
            <w:tcW w:w="1033"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7300d</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jc w:val="center"/>
        </w:trPr>
        <w:tc>
          <w:tcPr>
            <w:tcW w:w="1563" w:type="dxa"/>
            <w:vMerge w:val="restart"/>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color w:val="auto"/>
                <w:sz w:val="18"/>
                <w:szCs w:val="18"/>
                <w:shd w:val="clear" w:color="auto" w:fill="FFFFFF"/>
              </w:rPr>
              <w:t>密闭式含油污水收集池</w:t>
            </w:r>
          </w:p>
        </w:tc>
        <w:tc>
          <w:tcPr>
            <w:tcW w:w="992" w:type="dxa"/>
            <w:vMerge w:val="restart"/>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COD</w:t>
            </w:r>
          </w:p>
        </w:tc>
        <w:tc>
          <w:tcPr>
            <w:tcW w:w="3762"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中心点浓度（mg/L）</w:t>
            </w:r>
          </w:p>
        </w:tc>
        <w:tc>
          <w:tcPr>
            <w:tcW w:w="907"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5.16</w:t>
            </w:r>
          </w:p>
        </w:tc>
        <w:tc>
          <w:tcPr>
            <w:tcW w:w="1031"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44.76</w:t>
            </w:r>
          </w:p>
        </w:tc>
        <w:tc>
          <w:tcPr>
            <w:tcW w:w="1033"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143.04</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jc w:val="center"/>
        </w:trPr>
        <w:tc>
          <w:tcPr>
            <w:tcW w:w="1563" w:type="dxa"/>
            <w:vMerge w:val="continue"/>
            <w:vAlign w:val="center"/>
          </w:tcPr>
          <w:p>
            <w:pPr>
              <w:widowControl/>
              <w:spacing w:line="240" w:lineRule="auto"/>
              <w:ind w:firstLine="0" w:firstLineChars="0"/>
              <w:jc w:val="center"/>
              <w:rPr>
                <w:rFonts w:ascii="Times New Roman" w:hAnsi="Times New Roman" w:cs="Times New Roman"/>
                <w:sz w:val="18"/>
                <w:szCs w:val="18"/>
              </w:rPr>
            </w:pPr>
          </w:p>
        </w:tc>
        <w:tc>
          <w:tcPr>
            <w:tcW w:w="992" w:type="dxa"/>
            <w:vMerge w:val="continue"/>
            <w:vAlign w:val="center"/>
          </w:tcPr>
          <w:p>
            <w:pPr>
              <w:widowControl/>
              <w:spacing w:line="240" w:lineRule="auto"/>
              <w:ind w:firstLine="0" w:firstLineChars="0"/>
              <w:jc w:val="center"/>
              <w:rPr>
                <w:rFonts w:ascii="Times New Roman" w:hAnsi="Times New Roman" w:cs="Times New Roman"/>
                <w:sz w:val="18"/>
                <w:szCs w:val="18"/>
              </w:rPr>
            </w:pPr>
          </w:p>
        </w:tc>
        <w:tc>
          <w:tcPr>
            <w:tcW w:w="3762"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区域最大背景值（mg/L）</w:t>
            </w:r>
          </w:p>
        </w:tc>
        <w:tc>
          <w:tcPr>
            <w:tcW w:w="907"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0.83</w:t>
            </w:r>
          </w:p>
        </w:tc>
        <w:tc>
          <w:tcPr>
            <w:tcW w:w="1031"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0.83</w:t>
            </w:r>
          </w:p>
        </w:tc>
        <w:tc>
          <w:tcPr>
            <w:tcW w:w="1033"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0.83</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PrEx>
        <w:trPr>
          <w:jc w:val="center"/>
        </w:trPr>
        <w:tc>
          <w:tcPr>
            <w:tcW w:w="1563" w:type="dxa"/>
            <w:vMerge w:val="continue"/>
            <w:vAlign w:val="center"/>
          </w:tcPr>
          <w:p>
            <w:pPr>
              <w:widowControl/>
              <w:spacing w:line="240" w:lineRule="auto"/>
              <w:ind w:firstLine="0" w:firstLineChars="0"/>
              <w:jc w:val="center"/>
              <w:rPr>
                <w:rFonts w:ascii="Times New Roman" w:hAnsi="Times New Roman" w:cs="Times New Roman"/>
                <w:sz w:val="18"/>
                <w:szCs w:val="18"/>
              </w:rPr>
            </w:pPr>
          </w:p>
        </w:tc>
        <w:tc>
          <w:tcPr>
            <w:tcW w:w="992" w:type="dxa"/>
            <w:vMerge w:val="continue"/>
            <w:vAlign w:val="center"/>
          </w:tcPr>
          <w:p>
            <w:pPr>
              <w:widowControl/>
              <w:spacing w:line="240" w:lineRule="auto"/>
              <w:ind w:firstLine="0" w:firstLineChars="0"/>
              <w:jc w:val="center"/>
              <w:rPr>
                <w:rFonts w:ascii="Times New Roman" w:hAnsi="Times New Roman" w:cs="Times New Roman"/>
                <w:sz w:val="18"/>
                <w:szCs w:val="18"/>
              </w:rPr>
            </w:pPr>
          </w:p>
        </w:tc>
        <w:tc>
          <w:tcPr>
            <w:tcW w:w="3762"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叠加值（mg/L）</w:t>
            </w:r>
          </w:p>
        </w:tc>
        <w:tc>
          <w:tcPr>
            <w:tcW w:w="907"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kern w:val="0"/>
                <w:sz w:val="18"/>
                <w:szCs w:val="18"/>
                <w:lang w:bidi="ar"/>
              </w:rPr>
              <w:t>5.99</w:t>
            </w:r>
          </w:p>
        </w:tc>
        <w:tc>
          <w:tcPr>
            <w:tcW w:w="1031"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kern w:val="0"/>
                <w:sz w:val="18"/>
                <w:szCs w:val="18"/>
                <w:lang w:bidi="ar"/>
              </w:rPr>
              <w:t>45.59</w:t>
            </w:r>
          </w:p>
        </w:tc>
        <w:tc>
          <w:tcPr>
            <w:tcW w:w="1033"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kern w:val="0"/>
                <w:sz w:val="18"/>
                <w:szCs w:val="18"/>
                <w:lang w:bidi="ar"/>
              </w:rPr>
              <w:t>143.87</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jc w:val="center"/>
        </w:trPr>
        <w:tc>
          <w:tcPr>
            <w:tcW w:w="1563" w:type="dxa"/>
            <w:vMerge w:val="continue"/>
            <w:vAlign w:val="center"/>
          </w:tcPr>
          <w:p>
            <w:pPr>
              <w:widowControl/>
              <w:spacing w:line="240" w:lineRule="auto"/>
              <w:ind w:firstLine="0" w:firstLineChars="0"/>
              <w:jc w:val="center"/>
              <w:rPr>
                <w:rFonts w:ascii="Times New Roman" w:hAnsi="Times New Roman" w:cs="Times New Roman"/>
                <w:sz w:val="18"/>
                <w:szCs w:val="18"/>
              </w:rPr>
            </w:pPr>
          </w:p>
        </w:tc>
        <w:tc>
          <w:tcPr>
            <w:tcW w:w="992" w:type="dxa"/>
            <w:vMerge w:val="continue"/>
            <w:vAlign w:val="center"/>
          </w:tcPr>
          <w:p>
            <w:pPr>
              <w:widowControl/>
              <w:spacing w:line="240" w:lineRule="auto"/>
              <w:ind w:firstLine="0" w:firstLineChars="0"/>
              <w:jc w:val="center"/>
              <w:rPr>
                <w:rFonts w:ascii="Times New Roman" w:hAnsi="Times New Roman" w:cs="Times New Roman"/>
                <w:sz w:val="18"/>
                <w:szCs w:val="18"/>
              </w:rPr>
            </w:pPr>
          </w:p>
        </w:tc>
        <w:tc>
          <w:tcPr>
            <w:tcW w:w="3762"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超标污染羽最大迁移距离（m）</w:t>
            </w:r>
          </w:p>
        </w:tc>
        <w:tc>
          <w:tcPr>
            <w:tcW w:w="907"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0.5</w:t>
            </w:r>
          </w:p>
        </w:tc>
        <w:tc>
          <w:tcPr>
            <w:tcW w:w="1031"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20.9</w:t>
            </w:r>
          </w:p>
        </w:tc>
        <w:tc>
          <w:tcPr>
            <w:tcW w:w="1033"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94.4</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jc w:val="center"/>
        </w:trPr>
        <w:tc>
          <w:tcPr>
            <w:tcW w:w="1563" w:type="dxa"/>
            <w:vMerge w:val="continue"/>
            <w:vAlign w:val="center"/>
          </w:tcPr>
          <w:p>
            <w:pPr>
              <w:widowControl/>
              <w:spacing w:line="240" w:lineRule="auto"/>
              <w:ind w:firstLine="0" w:firstLineChars="0"/>
              <w:jc w:val="center"/>
              <w:rPr>
                <w:rFonts w:ascii="Times New Roman" w:hAnsi="Times New Roman" w:cs="Times New Roman"/>
                <w:sz w:val="18"/>
                <w:szCs w:val="18"/>
              </w:rPr>
            </w:pPr>
          </w:p>
        </w:tc>
        <w:tc>
          <w:tcPr>
            <w:tcW w:w="992" w:type="dxa"/>
            <w:vMerge w:val="continue"/>
            <w:vAlign w:val="center"/>
          </w:tcPr>
          <w:p>
            <w:pPr>
              <w:widowControl/>
              <w:spacing w:line="240" w:lineRule="auto"/>
              <w:ind w:firstLine="0" w:firstLineChars="0"/>
              <w:jc w:val="center"/>
              <w:rPr>
                <w:rFonts w:ascii="Times New Roman" w:hAnsi="Times New Roman" w:cs="Times New Roman"/>
                <w:sz w:val="18"/>
                <w:szCs w:val="18"/>
              </w:rPr>
            </w:pPr>
          </w:p>
        </w:tc>
        <w:tc>
          <w:tcPr>
            <w:tcW w:w="3762"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超标污染羽厂界外最大迁移距离（m）</w:t>
            </w:r>
          </w:p>
        </w:tc>
        <w:tc>
          <w:tcPr>
            <w:tcW w:w="907"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0</w:t>
            </w:r>
          </w:p>
        </w:tc>
        <w:tc>
          <w:tcPr>
            <w:tcW w:w="1031"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0</w:t>
            </w:r>
          </w:p>
        </w:tc>
        <w:tc>
          <w:tcPr>
            <w:tcW w:w="1033" w:type="dxa"/>
            <w:vAlign w:val="center"/>
          </w:tcPr>
          <w:p>
            <w:pPr>
              <w:widowControl/>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13.6</w:t>
            </w:r>
          </w:p>
        </w:tc>
      </w:tr>
    </w:tbl>
    <w:p>
      <w:pPr>
        <w:adjustRightInd/>
        <w:spacing w:before="166" w:beforeLines="50"/>
        <w:ind w:firstLine="480"/>
        <w:rPr>
          <w:rFonts w:ascii="Times New Roman" w:hAnsi="Times New Roman" w:cs="Times New Roman"/>
          <w:color w:val="auto"/>
          <w:szCs w:val="24"/>
          <w:shd w:val="clear" w:color="auto" w:fill="FFFFFF"/>
        </w:rPr>
      </w:pPr>
      <w:bookmarkStart w:id="457" w:name="_Toc102984387"/>
      <w:r>
        <w:rPr>
          <w:rFonts w:ascii="Times New Roman" w:hAnsi="Times New Roman" w:cs="Times New Roman"/>
          <w:color w:val="auto"/>
          <w:szCs w:val="24"/>
          <w:shd w:val="clear" w:color="auto" w:fill="FFFFFF"/>
        </w:rPr>
        <w:t>由上表可知：</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运移7300d后厂区地下水中COD浓度最大值为</w:t>
      </w:r>
      <w:r>
        <w:rPr>
          <w:rFonts w:ascii="Times New Roman" w:hAnsi="Times New Roman" w:cs="Times New Roman"/>
          <w:szCs w:val="24"/>
        </w:rPr>
        <w:t>143.04</w:t>
      </w:r>
      <w:r>
        <w:rPr>
          <w:rFonts w:ascii="Times New Roman" w:hAnsi="Times New Roman" w:cs="Times New Roman"/>
          <w:color w:val="auto"/>
          <w:szCs w:val="24"/>
          <w:shd w:val="clear" w:color="auto" w:fill="FFFFFF"/>
        </w:rPr>
        <w:t>mg/L，叠加背景值后浓度最大值为</w:t>
      </w:r>
      <w:r>
        <w:rPr>
          <w:rFonts w:ascii="Times New Roman" w:hAnsi="Times New Roman" w:cs="Times New Roman"/>
          <w:kern w:val="0"/>
          <w:szCs w:val="24"/>
          <w:lang w:bidi="ar"/>
        </w:rPr>
        <w:t>143.87</w:t>
      </w:r>
      <w:r>
        <w:rPr>
          <w:rFonts w:ascii="Times New Roman" w:hAnsi="Times New Roman" w:cs="Times New Roman"/>
          <w:color w:val="auto"/>
          <w:szCs w:val="24"/>
          <w:shd w:val="clear" w:color="auto" w:fill="FFFFFF"/>
        </w:rPr>
        <w:t>mg/L，超标污染羽最大迁移距离为</w:t>
      </w:r>
      <w:r>
        <w:rPr>
          <w:rFonts w:ascii="Times New Roman" w:hAnsi="Times New Roman" w:cs="Times New Roman"/>
          <w:szCs w:val="24"/>
        </w:rPr>
        <w:t>94.4</w:t>
      </w:r>
      <w:r>
        <w:rPr>
          <w:rFonts w:ascii="Times New Roman" w:hAnsi="Times New Roman" w:cs="Times New Roman"/>
          <w:color w:val="auto"/>
          <w:szCs w:val="24"/>
          <w:shd w:val="clear" w:color="auto" w:fill="FFFFFF"/>
        </w:rPr>
        <w:t>m，超标污染羽厂界外最大迁移距离为</w:t>
      </w:r>
      <w:r>
        <w:rPr>
          <w:rFonts w:ascii="Times New Roman" w:hAnsi="Times New Roman" w:cs="Times New Roman"/>
          <w:szCs w:val="24"/>
        </w:rPr>
        <w:t>13.6</w:t>
      </w:r>
      <w:r>
        <w:rPr>
          <w:rFonts w:ascii="Times New Roman" w:hAnsi="Times New Roman" w:cs="Times New Roman"/>
          <w:color w:val="auto"/>
          <w:szCs w:val="24"/>
          <w:shd w:val="clear" w:color="auto" w:fill="FFFFFF"/>
        </w:rPr>
        <w:t>m。</w:t>
      </w:r>
    </w:p>
    <w:p>
      <w:pPr>
        <w:pStyle w:val="4"/>
        <w:spacing w:before="166" w:beforeLines="50"/>
        <w:rPr>
          <w:rFonts w:ascii="Times New Roman" w:hAnsi="Times New Roman" w:cs="Times New Roman"/>
          <w:color w:val="auto"/>
        </w:rPr>
      </w:pPr>
      <w:bookmarkStart w:id="458" w:name="_Toc104733418"/>
      <w:r>
        <w:rPr>
          <w:rFonts w:ascii="Times New Roman" w:hAnsi="Times New Roman" w:cs="Times New Roman"/>
          <w:color w:val="auto"/>
        </w:rPr>
        <w:t>5.6.5小结</w:t>
      </w:r>
      <w:bookmarkEnd w:id="457"/>
      <w:bookmarkEnd w:id="458"/>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根据《环境影响评价技术导则地下水环境》(HJ601-2016)要求，预测采用数值模拟模型。通过资料收集和野外勘查获取评价区含水层空间分布特征，根据评价区水文地质条件，确定以潜水含水层为本次的地下水对象，重点模拟了非正常工况下7300d内污染物COD的运移扩散过程。评价结论如下：</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1）在非正常工况发生废污水或污染物渗漏情况下，污染物对地下水的影响范围和距离大小主要取决于污染物渗漏量的大小、污染因子的浓度、地下水径流的方向、水力梯度、含水层的渗透性和富水性，以及弥散度的大小。</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2）污染物长期泄漏会对地下水造成影响，但整体影响范围主要集中在地下水径流的下游方向，污染物在地下水对流作用的影响下，污染中心区域向西偏南方向迁移，同时在弥散作用的影响下，污染羽的范围向四周扩散。由于项目所在区域地下水水力梯度较小，污染物迁移速度也较慢。在预测的较长时间内，本项目运行7300d后，污染物最大运移距离是COD的超标污染羽最大迁移距离为</w:t>
      </w:r>
      <w:r>
        <w:rPr>
          <w:rFonts w:ascii="Times New Roman" w:hAnsi="Times New Roman" w:cs="Times New Roman"/>
          <w:szCs w:val="24"/>
        </w:rPr>
        <w:t>94.4</w:t>
      </w:r>
      <w:r>
        <w:rPr>
          <w:rFonts w:ascii="Times New Roman" w:hAnsi="Times New Roman" w:cs="Times New Roman"/>
          <w:color w:val="auto"/>
          <w:szCs w:val="24"/>
          <w:shd w:val="clear" w:color="auto" w:fill="FFFFFF"/>
        </w:rPr>
        <w:t>m，超标污染羽厂界外最大迁移距离为</w:t>
      </w:r>
      <w:r>
        <w:rPr>
          <w:rFonts w:ascii="Times New Roman" w:hAnsi="Times New Roman" w:cs="Times New Roman"/>
          <w:szCs w:val="24"/>
        </w:rPr>
        <w:t>13.6</w:t>
      </w:r>
      <w:r>
        <w:rPr>
          <w:rFonts w:ascii="Times New Roman" w:hAnsi="Times New Roman" w:cs="Times New Roman"/>
          <w:color w:val="auto"/>
          <w:szCs w:val="24"/>
          <w:shd w:val="clear" w:color="auto" w:fill="FFFFFF"/>
        </w:rPr>
        <w:t>m，超标污染羽主要向西偏南方向扩散，在预测时间段内，根据项目地理位置可知，本项目周边近距离无敏感点，在预测时间段内，污染超标范围影响范围较小，对区域地下水水质影响较小。</w:t>
      </w:r>
    </w:p>
    <w:p>
      <w:pPr>
        <w:adjustRightInd/>
        <w:ind w:firstLine="480"/>
        <w:rPr>
          <w:rFonts w:ascii="Times New Roman" w:hAnsi="Times New Roman" w:cs="Times New Roman"/>
          <w:color w:val="auto"/>
          <w:szCs w:val="24"/>
          <w:shd w:val="clear" w:color="auto" w:fill="FFFFFF"/>
        </w:rPr>
      </w:pPr>
      <w:r>
        <w:rPr>
          <w:rFonts w:ascii="Times New Roman" w:hAnsi="Times New Roman" w:cs="Times New Roman"/>
          <w:color w:val="auto"/>
          <w:szCs w:val="24"/>
          <w:shd w:val="clear" w:color="auto" w:fill="FFFFFF"/>
        </w:rPr>
        <w:t>（3）考虑到地下水环境监测及保护措施，在厂区下游设有地下水监测点，一旦监测到污染物超标，监测点监测信息会在较短时间内有响应，会及时启动应急预案，进行污染物迁移的控制和修复，可以有效控制污染物的迁移。</w:t>
      </w:r>
    </w:p>
    <w:p>
      <w:pPr>
        <w:pStyle w:val="3"/>
        <w:widowControl w:val="0"/>
        <w:numPr>
          <w:ilvl w:val="0"/>
          <w:numId w:val="0"/>
        </w:numPr>
        <w:tabs>
          <w:tab w:val="left" w:pos="426"/>
          <w:tab w:val="clear" w:pos="921"/>
        </w:tabs>
        <w:spacing w:before="0" w:after="0"/>
        <w:rPr>
          <w:rFonts w:ascii="Times New Roman" w:hAnsi="Times New Roman" w:cs="Times New Roman"/>
          <w:color w:val="auto"/>
          <w:sz w:val="28"/>
          <w:szCs w:val="28"/>
        </w:rPr>
      </w:pPr>
      <w:bookmarkStart w:id="459" w:name="_Toc104733419"/>
      <w:bookmarkStart w:id="460" w:name="_Toc102979839"/>
      <w:r>
        <w:rPr>
          <w:rFonts w:ascii="Times New Roman" w:hAnsi="Times New Roman" w:cs="Times New Roman"/>
          <w:color w:val="auto"/>
          <w:sz w:val="28"/>
          <w:szCs w:val="28"/>
        </w:rPr>
        <w:t>5.7土壤环境影响预测与评价</w:t>
      </w:r>
      <w:bookmarkEnd w:id="459"/>
      <w:bookmarkEnd w:id="460"/>
    </w:p>
    <w:p>
      <w:pPr>
        <w:ind w:firstLine="480"/>
        <w:rPr>
          <w:rFonts w:ascii="Times New Roman" w:hAnsi="Times New Roman" w:cs="Times New Roman"/>
          <w:color w:val="FF0000"/>
        </w:rPr>
      </w:pPr>
      <w:r>
        <w:rPr>
          <w:rFonts w:ascii="Times New Roman" w:hAnsi="Times New Roman" w:cs="Times New Roman"/>
          <w:color w:val="FF0000"/>
        </w:rPr>
        <w:t>根据《环境影响评价技术导则 土壤环境（试行）》（HJ964-2018），根据影响途径、影响源及影响因子的识别，本项目属于</w:t>
      </w:r>
      <w:r>
        <w:rPr>
          <w:rFonts w:hint="eastAsia" w:ascii="Times New Roman" w:hAnsi="Times New Roman" w:cs="Times New Roman"/>
          <w:color w:val="FF0000"/>
        </w:rPr>
        <w:t>生态影响和</w:t>
      </w:r>
      <w:r>
        <w:rPr>
          <w:rFonts w:ascii="Times New Roman" w:hAnsi="Times New Roman" w:cs="Times New Roman"/>
          <w:color w:val="FF0000"/>
        </w:rPr>
        <w:t>污染影响</w:t>
      </w:r>
      <w:r>
        <w:rPr>
          <w:rFonts w:hint="eastAsia" w:ascii="Times New Roman" w:hAnsi="Times New Roman" w:cs="Times New Roman"/>
          <w:color w:val="FF0000"/>
        </w:rPr>
        <w:t>复合</w:t>
      </w:r>
      <w:r>
        <w:rPr>
          <w:rFonts w:ascii="Times New Roman" w:hAnsi="Times New Roman" w:cs="Times New Roman"/>
          <w:color w:val="FF0000"/>
        </w:rPr>
        <w:t>型</w:t>
      </w:r>
      <w:r>
        <w:rPr>
          <w:rFonts w:hint="eastAsia" w:ascii="Times New Roman" w:hAnsi="Times New Roman" w:cs="Times New Roman"/>
          <w:color w:val="FF0000"/>
        </w:rPr>
        <w:t>。</w:t>
      </w:r>
    </w:p>
    <w:p>
      <w:pPr>
        <w:ind w:firstLine="480"/>
        <w:rPr>
          <w:rFonts w:ascii="Times New Roman" w:hAnsi="Times New Roman" w:cs="Times New Roman"/>
          <w:color w:val="FF0000"/>
        </w:rPr>
      </w:pPr>
      <w:r>
        <w:rPr>
          <w:rFonts w:hint="eastAsia" w:ascii="Times New Roman" w:hAnsi="Times New Roman" w:cs="Times New Roman"/>
          <w:color w:val="FF0000"/>
        </w:rPr>
        <w:t>本项目为水运码头项目配套罐区；项目用地属于循环经济示范园规划用地范畴；现状</w:t>
      </w:r>
      <w:r>
        <w:rPr>
          <w:rFonts w:ascii="Times New Roman" w:hAnsi="Times New Roman" w:cs="Times New Roman"/>
          <w:color w:val="FF0000"/>
          <w:szCs w:val="21"/>
          <w:lang w:bidi="ar"/>
        </w:rPr>
        <w:t>场地较平整，主要</w:t>
      </w:r>
      <w:r>
        <w:rPr>
          <w:rFonts w:hint="eastAsia" w:ascii="Times New Roman" w:hAnsi="Times New Roman" w:cs="Times New Roman"/>
          <w:color w:val="FF0000"/>
          <w:szCs w:val="21"/>
          <w:lang w:bidi="ar"/>
        </w:rPr>
        <w:t>为</w:t>
      </w:r>
      <w:r>
        <w:rPr>
          <w:rFonts w:ascii="Times New Roman" w:hAnsi="Times New Roman" w:cs="Times New Roman"/>
          <w:color w:val="FF0000"/>
          <w:szCs w:val="21"/>
          <w:lang w:bidi="ar"/>
        </w:rPr>
        <w:t>藕塘、拆迁空地</w:t>
      </w:r>
      <w:r>
        <w:rPr>
          <w:rFonts w:hint="eastAsia" w:ascii="Times New Roman" w:hAnsi="Times New Roman" w:cs="Times New Roman"/>
          <w:color w:val="FF0000"/>
          <w:szCs w:val="21"/>
          <w:lang w:bidi="ar"/>
        </w:rPr>
        <w:t>、</w:t>
      </w:r>
      <w:r>
        <w:rPr>
          <w:rFonts w:ascii="Times New Roman" w:hAnsi="Times New Roman" w:cs="Times New Roman"/>
          <w:color w:val="FF0000"/>
          <w:szCs w:val="21"/>
          <w:lang w:bidi="ar"/>
        </w:rPr>
        <w:t>水沟。现状高程约</w:t>
      </w:r>
      <w:r>
        <w:rPr>
          <w:rFonts w:hint="eastAsia" w:ascii="宋体" w:hAnsi="宋体" w:cs="宋体"/>
          <w:color w:val="FF0000"/>
          <w:szCs w:val="21"/>
          <w:lang w:bidi="ar"/>
        </w:rPr>
        <w:t>▽</w:t>
      </w:r>
      <w:r>
        <w:rPr>
          <w:rFonts w:ascii="Times New Roman" w:hAnsi="Times New Roman" w:cs="Times New Roman"/>
          <w:color w:val="FF0000"/>
          <w:szCs w:val="21"/>
          <w:lang w:bidi="ar"/>
        </w:rPr>
        <w:t>8.0～</w:t>
      </w:r>
      <w:r>
        <w:rPr>
          <w:rFonts w:hint="eastAsia" w:ascii="宋体" w:hAnsi="宋体" w:cs="宋体"/>
          <w:color w:val="FF0000"/>
          <w:szCs w:val="21"/>
          <w:lang w:bidi="ar"/>
        </w:rPr>
        <w:t>▽</w:t>
      </w:r>
      <w:r>
        <w:rPr>
          <w:rFonts w:ascii="Times New Roman" w:hAnsi="Times New Roman" w:cs="Times New Roman"/>
          <w:color w:val="FF0000"/>
          <w:szCs w:val="21"/>
          <w:lang w:bidi="ar"/>
        </w:rPr>
        <w:t>14。</w:t>
      </w:r>
    </w:p>
    <w:p>
      <w:pPr>
        <w:ind w:firstLine="480"/>
        <w:rPr>
          <w:rFonts w:ascii="Times New Roman" w:hAnsi="Times New Roman" w:cs="Times New Roman"/>
          <w:color w:val="FF0000"/>
        </w:rPr>
      </w:pPr>
      <w:r>
        <w:rPr>
          <w:rFonts w:ascii="Times New Roman" w:hAnsi="Times New Roman" w:cs="Times New Roman"/>
          <w:color w:val="FF0000"/>
          <w:szCs w:val="21"/>
          <w:lang w:bidi="ar"/>
        </w:rPr>
        <w:t>场地整平前应先清除陆域表层土质不均匀、含较多植物根系的腐土，场地初平高程后方陆域为</w:t>
      </w:r>
      <w:r>
        <w:rPr>
          <w:rFonts w:hint="eastAsia" w:ascii="宋体" w:hAnsi="宋体" w:cs="宋体"/>
          <w:color w:val="FF0000"/>
          <w:szCs w:val="21"/>
          <w:lang w:bidi="ar"/>
        </w:rPr>
        <w:t>▽</w:t>
      </w:r>
      <w:r>
        <w:rPr>
          <w:rFonts w:ascii="Times New Roman" w:hAnsi="Times New Roman" w:cs="Times New Roman"/>
          <w:color w:val="FF0000"/>
          <w:szCs w:val="21"/>
          <w:lang w:bidi="ar"/>
        </w:rPr>
        <w:t>13.0，设计高程</w:t>
      </w:r>
      <w:r>
        <w:rPr>
          <w:rFonts w:hint="eastAsia" w:ascii="宋体" w:hAnsi="宋体" w:cs="宋体"/>
          <w:color w:val="FF0000"/>
          <w:szCs w:val="21"/>
          <w:lang w:bidi="ar"/>
        </w:rPr>
        <w:t>▽</w:t>
      </w:r>
      <w:r>
        <w:rPr>
          <w:rFonts w:ascii="Times New Roman" w:hAnsi="Times New Roman" w:cs="Times New Roman"/>
          <w:color w:val="FF0000"/>
          <w:szCs w:val="21"/>
          <w:lang w:bidi="ar"/>
        </w:rPr>
        <w:t>14.0。沟塘处应抽干河塘中积水并清除淤泥，为保证目前水系完整，拟在水沟处埋设管涵，本项目港池开挖土方经翻晒或掺灰处理达到要求后可作为陆域回填土方。</w:t>
      </w:r>
    </w:p>
    <w:p>
      <w:pPr>
        <w:ind w:firstLine="480"/>
        <w:rPr>
          <w:rFonts w:ascii="Times New Roman" w:hAnsi="Times New Roman" w:cs="Times New Roman"/>
          <w:color w:val="FF0000"/>
          <w:szCs w:val="21"/>
          <w:lang w:bidi="ar"/>
        </w:rPr>
      </w:pPr>
      <w:r>
        <w:rPr>
          <w:rFonts w:ascii="Times New Roman" w:hAnsi="Times New Roman" w:cs="Times New Roman"/>
          <w:color w:val="FF0000"/>
          <w:szCs w:val="21"/>
          <w:lang w:bidi="ar"/>
        </w:rPr>
        <w:t>根据作业区总平面布置推荐方案，陆域面积约21.2万㎡。为避免地基在使用期荷载作用下产生过大沉降，场地整平后需对地基土进行处理，地基处理的范围主要为罐区及作业区道路。结合场地地形、地质特点等因素，对陆域推荐采用采用强夯法</w:t>
      </w:r>
      <w:r>
        <w:rPr>
          <w:rFonts w:hint="eastAsia" w:ascii="Times New Roman" w:hAnsi="Times New Roman" w:cs="Times New Roman"/>
          <w:color w:val="FF0000"/>
          <w:szCs w:val="21"/>
          <w:lang w:bidi="ar"/>
        </w:rPr>
        <w:t>或桩基础</w:t>
      </w:r>
      <w:r>
        <w:rPr>
          <w:rFonts w:ascii="Times New Roman" w:hAnsi="Times New Roman" w:cs="Times New Roman"/>
          <w:color w:val="FF0000"/>
          <w:szCs w:val="21"/>
          <w:lang w:bidi="ar"/>
        </w:rPr>
        <w:t>和分层碾压法组合使用的方案，后方陆域西侧沟塘、废弃河道采用强夯法</w:t>
      </w:r>
      <w:r>
        <w:rPr>
          <w:rFonts w:hint="eastAsia" w:ascii="Times New Roman" w:hAnsi="Times New Roman" w:cs="Times New Roman"/>
          <w:color w:val="FF0000"/>
          <w:szCs w:val="21"/>
          <w:lang w:bidi="ar"/>
        </w:rPr>
        <w:t>或桩基础</w:t>
      </w:r>
      <w:r>
        <w:rPr>
          <w:rFonts w:ascii="Times New Roman" w:hAnsi="Times New Roman" w:cs="Times New Roman"/>
          <w:color w:val="FF0000"/>
          <w:szCs w:val="21"/>
          <w:lang w:bidi="ar"/>
        </w:rPr>
        <w:t>进行地基处理，其余区域采用分层碾压地基处理方法。</w:t>
      </w:r>
    </w:p>
    <w:p>
      <w:pPr>
        <w:ind w:firstLine="480"/>
        <w:rPr>
          <w:rFonts w:ascii="Times New Roman" w:hAnsi="Times New Roman" w:cs="Times New Roman"/>
          <w:color w:val="FF0000"/>
        </w:rPr>
      </w:pPr>
      <w:r>
        <w:rPr>
          <w:rFonts w:hint="eastAsia" w:ascii="Times New Roman" w:hAnsi="Times New Roman" w:cs="Times New Roman"/>
          <w:color w:val="FF0000"/>
          <w:szCs w:val="21"/>
          <w:lang w:bidi="ar"/>
        </w:rPr>
        <w:t>项目场地现状土壤环境现状监测表面，场地土壤P</w:t>
      </w:r>
      <w:r>
        <w:rPr>
          <w:rFonts w:ascii="Times New Roman" w:hAnsi="Times New Roman" w:cs="Times New Roman"/>
          <w:color w:val="FF0000"/>
          <w:szCs w:val="21"/>
          <w:lang w:bidi="ar"/>
        </w:rPr>
        <w:t>H</w:t>
      </w:r>
      <w:r>
        <w:rPr>
          <w:rFonts w:hint="eastAsia" w:ascii="Times New Roman" w:hAnsi="Times New Roman" w:cs="Times New Roman"/>
          <w:color w:val="FF0000"/>
          <w:szCs w:val="21"/>
          <w:lang w:bidi="ar"/>
        </w:rPr>
        <w:t>值未呈现为酸性土壤和碱性土壤。相关研究资料表面；土壤的酸化和碱化影响途径主要来自于土壤的过度耕植、灌溉方式不当和施肥影响；本项目无上述影响途径。</w:t>
      </w:r>
    </w:p>
    <w:p>
      <w:pPr>
        <w:widowControl/>
        <w:ind w:firstLine="480"/>
        <w:rPr>
          <w:rFonts w:ascii="Times New Roman" w:hAnsi="Times New Roman" w:cs="Times New Roman"/>
          <w:color w:val="FF0000"/>
        </w:rPr>
      </w:pPr>
      <w:r>
        <w:rPr>
          <w:rFonts w:hint="eastAsia" w:ascii="Times New Roman" w:hAnsi="Times New Roman" w:cs="Times New Roman"/>
          <w:color w:val="FF0000"/>
          <w:szCs w:val="21"/>
          <w:lang w:bidi="ar"/>
        </w:rPr>
        <w:t>同时本项目通过场地回填压实并提高标高，项目同步建设完善的排水设施，项目建设可不会造成</w:t>
      </w:r>
      <w:r>
        <w:rPr>
          <w:rFonts w:hint="eastAsia" w:ascii="Times New Roman" w:hAnsi="Times New Roman" w:cs="Times New Roman"/>
          <w:color w:val="FF0000"/>
        </w:rPr>
        <w:t>地下水位的上升，从而带来土壤盐化影响。</w:t>
      </w:r>
    </w:p>
    <w:p>
      <w:pPr>
        <w:ind w:firstLine="480"/>
        <w:rPr>
          <w:rFonts w:ascii="Times New Roman" w:hAnsi="Times New Roman" w:cs="Times New Roman"/>
          <w:color w:val="000000" w:themeColor="text1"/>
          <w:shd w:val="clear" w:color="auto" w:fill="FFFFFF"/>
          <w14:textFill>
            <w14:solidFill>
              <w14:schemeClr w14:val="tx1"/>
            </w14:solidFill>
          </w14:textFill>
        </w:rPr>
      </w:pPr>
      <w:r>
        <w:rPr>
          <w:rFonts w:ascii="Times New Roman" w:hAnsi="Times New Roman" w:cs="Times New Roman"/>
          <w:color w:val="000000" w:themeColor="text1"/>
          <w14:textFill>
            <w14:solidFill>
              <w14:schemeClr w14:val="tx1"/>
            </w14:solidFill>
          </w14:textFill>
        </w:rPr>
        <w:t>根据影响途径、影响源及影响因子的识别，本项目</w:t>
      </w:r>
      <w:r>
        <w:rPr>
          <w:rFonts w:hint="eastAsia" w:ascii="Times New Roman" w:hAnsi="Times New Roman" w:cs="Times New Roman"/>
          <w:color w:val="000000" w:themeColor="text1"/>
          <w14:textFill>
            <w14:solidFill>
              <w14:schemeClr w14:val="tx1"/>
            </w14:solidFill>
          </w14:textFill>
        </w:rPr>
        <w:t>的</w:t>
      </w:r>
      <w:r>
        <w:rPr>
          <w:rFonts w:ascii="Times New Roman" w:hAnsi="Times New Roman" w:cs="Times New Roman"/>
          <w:color w:val="000000" w:themeColor="text1"/>
          <w14:textFill>
            <w14:solidFill>
              <w14:schemeClr w14:val="tx1"/>
            </w14:solidFill>
          </w14:textFill>
        </w:rPr>
        <w:t>污染土壤的途径主要为</w:t>
      </w:r>
      <w:r>
        <w:rPr>
          <w:rFonts w:hint="eastAsia" w:ascii="Times New Roman" w:hAnsi="Times New Roman" w:cs="Times New Roman"/>
          <w:color w:val="000000" w:themeColor="text1"/>
          <w14:textFill>
            <w14:solidFill>
              <w14:schemeClr w14:val="tx1"/>
            </w14:solidFill>
          </w14:textFill>
        </w:rPr>
        <w:t>有组织及无组织</w:t>
      </w:r>
      <w:r>
        <w:rPr>
          <w:rFonts w:ascii="Times New Roman" w:hAnsi="Times New Roman" w:cs="Times New Roman"/>
          <w:color w:val="000000" w:themeColor="text1"/>
          <w14:textFill>
            <w14:solidFill>
              <w14:schemeClr w14:val="tx1"/>
            </w14:solidFill>
          </w14:textFill>
        </w:rPr>
        <w:t>大气特征污染物非甲烷总烃（石油烃计）通过降水、扩散和重力作用降落至地面，渗透进入土壤，进而污染土壤环境；还有就是非正常工况情况下，</w:t>
      </w:r>
      <w:r>
        <w:rPr>
          <w:rFonts w:ascii="Times New Roman" w:hAnsi="Times New Roman" w:cs="Times New Roman"/>
          <w:color w:val="000000" w:themeColor="text1"/>
          <w:szCs w:val="24"/>
          <w:shd w:val="clear" w:color="auto" w:fill="FFFFFF"/>
          <w14:textFill>
            <w14:solidFill>
              <w14:schemeClr w14:val="tx1"/>
            </w14:solidFill>
          </w14:textFill>
        </w:rPr>
        <w:t>密闭式含油污水收集池</w:t>
      </w:r>
      <w:r>
        <w:rPr>
          <w:rFonts w:ascii="Times New Roman" w:hAnsi="Times New Roman" w:cs="Times New Roman"/>
          <w:color w:val="000000" w:themeColor="text1"/>
          <w:szCs w:val="24"/>
          <w14:textFill>
            <w14:solidFill>
              <w14:schemeClr w14:val="tx1"/>
            </w14:solidFill>
          </w14:textFill>
        </w:rPr>
        <w:t>防渗层发</w:t>
      </w:r>
      <w:r>
        <w:rPr>
          <w:rFonts w:ascii="Times New Roman" w:hAnsi="Times New Roman" w:cs="Times New Roman"/>
          <w:color w:val="000000" w:themeColor="text1"/>
          <w14:textFill>
            <w14:solidFill>
              <w14:schemeClr w14:val="tx1"/>
            </w14:solidFill>
          </w14:textFill>
        </w:rPr>
        <w:t>生破损，</w:t>
      </w:r>
      <w:r>
        <w:rPr>
          <w:rFonts w:ascii="Times New Roman" w:hAnsi="Times New Roman" w:cs="Times New Roman"/>
          <w:color w:val="000000" w:themeColor="text1"/>
          <w:szCs w:val="24"/>
          <w:shd w:val="clear" w:color="auto" w:fill="FFFFFF"/>
          <w14:textFill>
            <w14:solidFill>
              <w14:schemeClr w14:val="tx1"/>
            </w14:solidFill>
          </w14:textFill>
        </w:rPr>
        <w:t>含油污水</w:t>
      </w:r>
      <w:r>
        <w:rPr>
          <w:rFonts w:ascii="Times New Roman" w:hAnsi="Times New Roman" w:cs="Times New Roman"/>
          <w:color w:val="000000" w:themeColor="text1"/>
          <w14:textFill>
            <w14:solidFill>
              <w14:schemeClr w14:val="tx1"/>
            </w14:solidFill>
          </w14:textFill>
        </w:rPr>
        <w:t>渗漏污染</w:t>
      </w:r>
      <w:r>
        <w:rPr>
          <w:rFonts w:hint="eastAsia" w:ascii="Times New Roman" w:hAnsi="Times New Roman" w:cs="Times New Roman"/>
          <w:color w:val="000000" w:themeColor="text1"/>
          <w14:textFill>
            <w14:solidFill>
              <w14:schemeClr w14:val="tx1"/>
            </w14:solidFill>
          </w14:textFill>
        </w:rPr>
        <w:t>池底</w:t>
      </w:r>
      <w:r>
        <w:rPr>
          <w:rFonts w:ascii="Times New Roman" w:hAnsi="Times New Roman" w:cs="Times New Roman"/>
          <w:color w:val="000000" w:themeColor="text1"/>
          <w14:textFill>
            <w14:solidFill>
              <w14:schemeClr w14:val="tx1"/>
            </w14:solidFill>
          </w14:textFill>
        </w:rPr>
        <w:t>基础的土壤</w:t>
      </w:r>
      <w:r>
        <w:rPr>
          <w:rFonts w:ascii="Times New Roman" w:hAnsi="Times New Roman" w:cs="Times New Roman"/>
          <w:snapToGrid w:val="0"/>
          <w:color w:val="000000" w:themeColor="text1"/>
          <w:shd w:val="clear" w:color="auto" w:fill="FFFFFF"/>
          <w:lang w:val="zh-CN"/>
          <w14:textFill>
            <w14:solidFill>
              <w14:schemeClr w14:val="tx1"/>
            </w14:solidFill>
          </w14:textFill>
        </w:rPr>
        <w:t>。</w:t>
      </w:r>
    </w:p>
    <w:p>
      <w:pPr>
        <w:pStyle w:val="25"/>
        <w:spacing w:before="5" w:line="381" w:lineRule="auto"/>
        <w:ind w:right="117" w:firstLine="0" w:firstLineChars="0"/>
        <w:rPr>
          <w:rFonts w:ascii="Times New Roman" w:hAnsi="Times New Roman" w:cs="Times New Roman"/>
          <w:b/>
          <w:color w:val="auto"/>
        </w:rPr>
      </w:pPr>
      <w:r>
        <w:rPr>
          <w:rFonts w:ascii="Times New Roman" w:hAnsi="Times New Roman" w:eastAsia="Times New Roman" w:cs="Times New Roman"/>
          <w:b/>
          <w:color w:val="auto"/>
        </w:rPr>
        <w:t>5.7.1</w:t>
      </w:r>
      <w:r>
        <w:rPr>
          <w:rFonts w:ascii="Times New Roman" w:hAnsi="Times New Roman" w:cs="Times New Roman"/>
          <w:b/>
          <w:color w:val="auto"/>
        </w:rPr>
        <w:t>土壤环境影响识别</w:t>
      </w:r>
    </w:p>
    <w:p>
      <w:pPr>
        <w:ind w:firstLine="480"/>
        <w:rPr>
          <w:rFonts w:ascii="Times New Roman" w:hAnsi="Times New Roman" w:cs="Times New Roman"/>
        </w:rPr>
      </w:pPr>
      <w:r>
        <w:rPr>
          <w:rFonts w:ascii="Times New Roman" w:hAnsi="Times New Roman" w:cs="Times New Roman"/>
        </w:rPr>
        <w:t>根据本项目污染物排放情况和《环境影响评价技术导则 土壤环境》（HJ 964-2018</w:t>
      </w:r>
      <w:r>
        <w:fldChar w:fldCharType="begin"/>
      </w:r>
      <w:r>
        <w:instrText xml:space="preserve"> HYPERLINK \l "_bookmark149" </w:instrText>
      </w:r>
      <w:r>
        <w:fldChar w:fldCharType="separate"/>
      </w:r>
      <w:r>
        <w:rPr>
          <w:rFonts w:ascii="Times New Roman" w:hAnsi="Times New Roman" w:cs="Times New Roman"/>
        </w:rPr>
        <w:t>）要求，土壤环境影响识别如表5.7-1</w:t>
      </w:r>
      <w:r>
        <w:rPr>
          <w:rFonts w:ascii="Times New Roman" w:hAnsi="Times New Roman" w:cs="Times New Roman"/>
        </w:rPr>
        <w:fldChar w:fldCharType="end"/>
      </w:r>
      <w:r>
        <w:rPr>
          <w:rFonts w:ascii="Times New Roman" w:hAnsi="Times New Roman" w:cs="Times New Roman"/>
        </w:rPr>
        <w:t>所示。</w:t>
      </w:r>
    </w:p>
    <w:p>
      <w:pPr>
        <w:pStyle w:val="4"/>
        <w:tabs>
          <w:tab w:val="left" w:pos="3017"/>
        </w:tabs>
        <w:spacing w:line="240" w:lineRule="auto"/>
        <w:ind w:left="1916"/>
        <w:rPr>
          <w:rFonts w:ascii="Times New Roman" w:hAnsi="Times New Roman" w:cs="Times New Roman"/>
          <w:color w:val="auto"/>
          <w:sz w:val="21"/>
          <w:szCs w:val="21"/>
        </w:rPr>
      </w:pPr>
      <w:bookmarkStart w:id="461" w:name="_bookmark149"/>
      <w:bookmarkEnd w:id="461"/>
      <w:bookmarkStart w:id="462" w:name="_Toc104733420"/>
      <w:bookmarkStart w:id="463" w:name="_Toc102984389"/>
      <w:r>
        <w:rPr>
          <w:rFonts w:ascii="Times New Roman" w:hAnsi="Times New Roman" w:cs="Times New Roman"/>
          <w:color w:val="auto"/>
          <w:sz w:val="21"/>
          <w:szCs w:val="21"/>
        </w:rPr>
        <w:t>表</w:t>
      </w:r>
      <w:r>
        <w:rPr>
          <w:rFonts w:ascii="Times New Roman" w:hAnsi="Times New Roman" w:eastAsia="Times New Roman" w:cs="Times New Roman"/>
          <w:color w:val="auto"/>
          <w:sz w:val="21"/>
          <w:szCs w:val="21"/>
        </w:rPr>
        <w:t xml:space="preserve">5.7-1 </w:t>
      </w:r>
      <w:r>
        <w:rPr>
          <w:rFonts w:ascii="Times New Roman" w:hAnsi="Times New Roman" w:eastAsia="Times New Roman" w:cs="Times New Roman"/>
          <w:color w:val="auto"/>
          <w:sz w:val="21"/>
          <w:szCs w:val="21"/>
        </w:rPr>
        <w:tab/>
      </w:r>
      <w:r>
        <w:rPr>
          <w:rFonts w:ascii="Times New Roman" w:hAnsi="Times New Roman" w:cs="Times New Roman"/>
          <w:color w:val="auto"/>
          <w:sz w:val="21"/>
          <w:szCs w:val="21"/>
        </w:rPr>
        <w:t>建设项目土壤环境影响类型与影响途径表</w:t>
      </w:r>
      <w:bookmarkEnd w:id="462"/>
      <w:bookmarkEnd w:id="463"/>
    </w:p>
    <w:p>
      <w:pPr>
        <w:pStyle w:val="25"/>
        <w:spacing w:before="11"/>
        <w:ind w:firstLine="120"/>
        <w:rPr>
          <w:rFonts w:ascii="Times New Roman" w:hAnsi="Times New Roman" w:cs="Times New Roman"/>
          <w:b/>
          <w:color w:val="auto"/>
          <w:sz w:val="6"/>
        </w:rPr>
      </w:pPr>
    </w:p>
    <w:tbl>
      <w:tblPr>
        <w:tblStyle w:val="62"/>
        <w:tblW w:w="9121"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917"/>
        <w:gridCol w:w="1899"/>
        <w:gridCol w:w="1901"/>
        <w:gridCol w:w="1896"/>
        <w:gridCol w:w="1508"/>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3" w:hRule="atLeast"/>
          <w:jc w:val="center"/>
        </w:trPr>
        <w:tc>
          <w:tcPr>
            <w:tcW w:w="1917" w:type="dxa"/>
            <w:vMerge w:val="restart"/>
            <w:vAlign w:val="center"/>
          </w:tcPr>
          <w:p>
            <w:pPr>
              <w:pStyle w:val="861"/>
              <w:widowControl w:val="0"/>
              <w:rPr>
                <w:szCs w:val="18"/>
              </w:rPr>
            </w:pPr>
            <w:r>
              <w:rPr>
                <w:szCs w:val="18"/>
              </w:rPr>
              <w:t>不同时段</w:t>
            </w:r>
          </w:p>
        </w:tc>
        <w:tc>
          <w:tcPr>
            <w:tcW w:w="7204" w:type="dxa"/>
            <w:gridSpan w:val="4"/>
            <w:vAlign w:val="center"/>
          </w:tcPr>
          <w:p>
            <w:pPr>
              <w:pStyle w:val="861"/>
              <w:widowControl w:val="0"/>
              <w:rPr>
                <w:szCs w:val="18"/>
              </w:rPr>
            </w:pPr>
            <w:r>
              <w:rPr>
                <w:szCs w:val="18"/>
              </w:rPr>
              <w:t>污染影响型</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214" w:hRule="atLeast"/>
          <w:jc w:val="center"/>
        </w:trPr>
        <w:tc>
          <w:tcPr>
            <w:tcW w:w="1917" w:type="dxa"/>
            <w:vMerge w:val="continue"/>
            <w:vAlign w:val="center"/>
          </w:tcPr>
          <w:p>
            <w:pPr>
              <w:pStyle w:val="861"/>
              <w:widowControl w:val="0"/>
              <w:rPr>
                <w:szCs w:val="18"/>
              </w:rPr>
            </w:pPr>
          </w:p>
        </w:tc>
        <w:tc>
          <w:tcPr>
            <w:tcW w:w="1899" w:type="dxa"/>
            <w:vAlign w:val="center"/>
          </w:tcPr>
          <w:p>
            <w:pPr>
              <w:pStyle w:val="861"/>
              <w:widowControl w:val="0"/>
              <w:rPr>
                <w:szCs w:val="18"/>
              </w:rPr>
            </w:pPr>
            <w:r>
              <w:rPr>
                <w:szCs w:val="18"/>
              </w:rPr>
              <w:t>大气沉降</w:t>
            </w:r>
          </w:p>
        </w:tc>
        <w:tc>
          <w:tcPr>
            <w:tcW w:w="1901" w:type="dxa"/>
            <w:vAlign w:val="center"/>
          </w:tcPr>
          <w:p>
            <w:pPr>
              <w:pStyle w:val="861"/>
              <w:widowControl w:val="0"/>
              <w:rPr>
                <w:szCs w:val="18"/>
              </w:rPr>
            </w:pPr>
            <w:r>
              <w:rPr>
                <w:szCs w:val="18"/>
              </w:rPr>
              <w:t>地面漫流</w:t>
            </w:r>
          </w:p>
        </w:tc>
        <w:tc>
          <w:tcPr>
            <w:tcW w:w="1896" w:type="dxa"/>
            <w:vAlign w:val="center"/>
          </w:tcPr>
          <w:p>
            <w:pPr>
              <w:pStyle w:val="861"/>
              <w:widowControl w:val="0"/>
              <w:rPr>
                <w:szCs w:val="18"/>
              </w:rPr>
            </w:pPr>
            <w:r>
              <w:rPr>
                <w:szCs w:val="18"/>
              </w:rPr>
              <w:t>垂直渗入</w:t>
            </w:r>
          </w:p>
        </w:tc>
        <w:tc>
          <w:tcPr>
            <w:tcW w:w="1508" w:type="dxa"/>
            <w:vAlign w:val="center"/>
          </w:tcPr>
          <w:p>
            <w:pPr>
              <w:pStyle w:val="861"/>
              <w:widowControl w:val="0"/>
              <w:rPr>
                <w:szCs w:val="18"/>
              </w:rPr>
            </w:pPr>
            <w:r>
              <w:rPr>
                <w:szCs w:val="18"/>
              </w:rPr>
              <w:t>其他</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8" w:hRule="atLeast"/>
          <w:jc w:val="center"/>
        </w:trPr>
        <w:tc>
          <w:tcPr>
            <w:tcW w:w="1917" w:type="dxa"/>
            <w:vAlign w:val="center"/>
          </w:tcPr>
          <w:p>
            <w:pPr>
              <w:pStyle w:val="861"/>
              <w:widowControl w:val="0"/>
              <w:rPr>
                <w:szCs w:val="18"/>
              </w:rPr>
            </w:pPr>
            <w:r>
              <w:rPr>
                <w:szCs w:val="18"/>
              </w:rPr>
              <w:t>建设期</w:t>
            </w:r>
          </w:p>
        </w:tc>
        <w:tc>
          <w:tcPr>
            <w:tcW w:w="1899" w:type="dxa"/>
            <w:vAlign w:val="center"/>
          </w:tcPr>
          <w:p>
            <w:pPr>
              <w:pStyle w:val="861"/>
              <w:widowControl w:val="0"/>
              <w:rPr>
                <w:szCs w:val="18"/>
              </w:rPr>
            </w:pPr>
            <w:r>
              <w:rPr>
                <w:szCs w:val="18"/>
              </w:rPr>
              <w:t>-</w:t>
            </w:r>
          </w:p>
        </w:tc>
        <w:tc>
          <w:tcPr>
            <w:tcW w:w="1901" w:type="dxa"/>
            <w:vAlign w:val="center"/>
          </w:tcPr>
          <w:p>
            <w:pPr>
              <w:pStyle w:val="861"/>
              <w:widowControl w:val="0"/>
              <w:rPr>
                <w:szCs w:val="18"/>
              </w:rPr>
            </w:pPr>
            <w:r>
              <w:rPr>
                <w:szCs w:val="18"/>
              </w:rPr>
              <w:t>-</w:t>
            </w:r>
          </w:p>
        </w:tc>
        <w:tc>
          <w:tcPr>
            <w:tcW w:w="1896" w:type="dxa"/>
            <w:vAlign w:val="center"/>
          </w:tcPr>
          <w:p>
            <w:pPr>
              <w:pStyle w:val="861"/>
              <w:widowControl w:val="0"/>
              <w:rPr>
                <w:szCs w:val="18"/>
              </w:rPr>
            </w:pPr>
            <w:r>
              <w:rPr>
                <w:szCs w:val="18"/>
              </w:rPr>
              <w:t>-</w:t>
            </w:r>
          </w:p>
        </w:tc>
        <w:tc>
          <w:tcPr>
            <w:tcW w:w="1508" w:type="dxa"/>
            <w:vAlign w:val="center"/>
          </w:tcPr>
          <w:p>
            <w:pPr>
              <w:pStyle w:val="861"/>
              <w:widowControl w:val="0"/>
              <w:rPr>
                <w:szCs w:val="18"/>
              </w:rPr>
            </w:pPr>
            <w:r>
              <w:rPr>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208" w:hRule="atLeast"/>
          <w:jc w:val="center"/>
        </w:trPr>
        <w:tc>
          <w:tcPr>
            <w:tcW w:w="1917" w:type="dxa"/>
            <w:vAlign w:val="center"/>
          </w:tcPr>
          <w:p>
            <w:pPr>
              <w:pStyle w:val="861"/>
              <w:widowControl w:val="0"/>
              <w:rPr>
                <w:szCs w:val="18"/>
              </w:rPr>
            </w:pPr>
            <w:r>
              <w:rPr>
                <w:szCs w:val="18"/>
              </w:rPr>
              <w:t>服务期</w:t>
            </w:r>
          </w:p>
        </w:tc>
        <w:tc>
          <w:tcPr>
            <w:tcW w:w="1899" w:type="dxa"/>
            <w:vAlign w:val="center"/>
          </w:tcPr>
          <w:p>
            <w:pPr>
              <w:pStyle w:val="861"/>
              <w:widowControl w:val="0"/>
              <w:rPr>
                <w:szCs w:val="18"/>
              </w:rPr>
            </w:pPr>
            <w:r>
              <w:rPr>
                <w:szCs w:val="18"/>
              </w:rPr>
              <w:t>√</w:t>
            </w:r>
          </w:p>
        </w:tc>
        <w:tc>
          <w:tcPr>
            <w:tcW w:w="1901" w:type="dxa"/>
            <w:vAlign w:val="center"/>
          </w:tcPr>
          <w:p>
            <w:pPr>
              <w:pStyle w:val="861"/>
              <w:widowControl w:val="0"/>
              <w:rPr>
                <w:szCs w:val="18"/>
              </w:rPr>
            </w:pPr>
            <w:r>
              <w:rPr>
                <w:szCs w:val="18"/>
              </w:rPr>
              <w:t>-</w:t>
            </w:r>
          </w:p>
        </w:tc>
        <w:tc>
          <w:tcPr>
            <w:tcW w:w="1896" w:type="dxa"/>
            <w:vAlign w:val="center"/>
          </w:tcPr>
          <w:p>
            <w:pPr>
              <w:pStyle w:val="861"/>
              <w:widowControl w:val="0"/>
              <w:rPr>
                <w:szCs w:val="18"/>
              </w:rPr>
            </w:pPr>
            <w:r>
              <w:rPr>
                <w:szCs w:val="18"/>
              </w:rPr>
              <w:t>√</w:t>
            </w:r>
          </w:p>
        </w:tc>
        <w:tc>
          <w:tcPr>
            <w:tcW w:w="1508" w:type="dxa"/>
            <w:vAlign w:val="center"/>
          </w:tcPr>
          <w:p>
            <w:pPr>
              <w:pStyle w:val="861"/>
              <w:widowControl w:val="0"/>
              <w:rPr>
                <w:szCs w:val="18"/>
              </w:rPr>
            </w:pPr>
            <w:r>
              <w:rPr>
                <w:szCs w:val="18"/>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10" w:hRule="atLeast"/>
          <w:jc w:val="center"/>
        </w:trPr>
        <w:tc>
          <w:tcPr>
            <w:tcW w:w="1917" w:type="dxa"/>
            <w:vAlign w:val="center"/>
          </w:tcPr>
          <w:p>
            <w:pPr>
              <w:pStyle w:val="861"/>
              <w:widowControl w:val="0"/>
              <w:rPr>
                <w:szCs w:val="18"/>
              </w:rPr>
            </w:pPr>
            <w:r>
              <w:rPr>
                <w:szCs w:val="18"/>
              </w:rPr>
              <w:t>服务期满后</w:t>
            </w:r>
          </w:p>
        </w:tc>
        <w:tc>
          <w:tcPr>
            <w:tcW w:w="1899" w:type="dxa"/>
            <w:vAlign w:val="center"/>
          </w:tcPr>
          <w:p>
            <w:pPr>
              <w:pStyle w:val="861"/>
              <w:widowControl w:val="0"/>
              <w:rPr>
                <w:szCs w:val="18"/>
              </w:rPr>
            </w:pPr>
            <w:r>
              <w:rPr>
                <w:szCs w:val="18"/>
              </w:rPr>
              <w:t>-</w:t>
            </w:r>
          </w:p>
        </w:tc>
        <w:tc>
          <w:tcPr>
            <w:tcW w:w="1901" w:type="dxa"/>
            <w:vAlign w:val="center"/>
          </w:tcPr>
          <w:p>
            <w:pPr>
              <w:pStyle w:val="861"/>
              <w:widowControl w:val="0"/>
              <w:rPr>
                <w:szCs w:val="18"/>
              </w:rPr>
            </w:pPr>
            <w:r>
              <w:rPr>
                <w:szCs w:val="18"/>
              </w:rPr>
              <w:t>-</w:t>
            </w:r>
          </w:p>
        </w:tc>
        <w:tc>
          <w:tcPr>
            <w:tcW w:w="1896" w:type="dxa"/>
            <w:vAlign w:val="center"/>
          </w:tcPr>
          <w:p>
            <w:pPr>
              <w:pStyle w:val="861"/>
              <w:widowControl w:val="0"/>
              <w:rPr>
                <w:szCs w:val="18"/>
              </w:rPr>
            </w:pPr>
            <w:r>
              <w:rPr>
                <w:szCs w:val="18"/>
              </w:rPr>
              <w:t>-</w:t>
            </w:r>
          </w:p>
        </w:tc>
        <w:tc>
          <w:tcPr>
            <w:tcW w:w="1508" w:type="dxa"/>
            <w:vAlign w:val="center"/>
          </w:tcPr>
          <w:p>
            <w:pPr>
              <w:pStyle w:val="861"/>
              <w:widowControl w:val="0"/>
              <w:rPr>
                <w:szCs w:val="18"/>
              </w:rPr>
            </w:pPr>
            <w:r>
              <w:rPr>
                <w:szCs w:val="18"/>
              </w:rPr>
              <w:t>-</w:t>
            </w:r>
          </w:p>
        </w:tc>
      </w:tr>
    </w:tbl>
    <w:p>
      <w:pPr>
        <w:pStyle w:val="25"/>
        <w:spacing w:before="92" w:line="381" w:lineRule="auto"/>
        <w:ind w:left="240" w:right="235" w:firstLine="480"/>
        <w:rPr>
          <w:rFonts w:ascii="Times New Roman" w:hAnsi="Times New Roman" w:cs="Times New Roman"/>
          <w:color w:val="auto"/>
        </w:rPr>
      </w:pPr>
      <w:r>
        <w:rPr>
          <w:rFonts w:ascii="Times New Roman" w:hAnsi="Times New Roman" w:cs="Times New Roman"/>
          <w:color w:val="auto"/>
        </w:rPr>
        <w:t>根据识别，运营期土壤环境污染影响途径为大气沉降和垂直渗入。</w:t>
      </w:r>
    </w:p>
    <w:p>
      <w:pPr>
        <w:pStyle w:val="4"/>
        <w:spacing w:line="240" w:lineRule="auto"/>
        <w:ind w:left="1282"/>
        <w:jc w:val="both"/>
        <w:rPr>
          <w:rFonts w:ascii="Times New Roman" w:hAnsi="Times New Roman" w:cs="Times New Roman"/>
          <w:color w:val="auto"/>
          <w:sz w:val="21"/>
          <w:szCs w:val="21"/>
        </w:rPr>
      </w:pPr>
      <w:bookmarkStart w:id="464" w:name="_Toc102984390"/>
      <w:bookmarkStart w:id="465" w:name="_Toc104733421"/>
      <w:r>
        <w:rPr>
          <w:rFonts w:ascii="Times New Roman" w:hAnsi="Times New Roman" w:cs="Times New Roman"/>
          <w:color w:val="auto"/>
          <w:spacing w:val="-30"/>
          <w:sz w:val="21"/>
          <w:szCs w:val="21"/>
        </w:rPr>
        <w:t xml:space="preserve">表 </w:t>
      </w:r>
      <w:r>
        <w:rPr>
          <w:rFonts w:ascii="Times New Roman" w:hAnsi="Times New Roman" w:eastAsia="Times New Roman" w:cs="Times New Roman"/>
          <w:color w:val="auto"/>
          <w:sz w:val="21"/>
          <w:szCs w:val="21"/>
        </w:rPr>
        <w:t xml:space="preserve">5.7-2 </w:t>
      </w:r>
      <w:r>
        <w:rPr>
          <w:rFonts w:ascii="Times New Roman" w:hAnsi="Times New Roman" w:eastAsia="Times New Roman" w:cs="Times New Roman"/>
          <w:color w:val="auto"/>
          <w:spacing w:val="59"/>
          <w:sz w:val="21"/>
          <w:szCs w:val="21"/>
        </w:rPr>
        <w:t xml:space="preserve"> </w:t>
      </w:r>
      <w:r>
        <w:rPr>
          <w:rFonts w:ascii="Times New Roman" w:hAnsi="Times New Roman" w:cs="Times New Roman"/>
          <w:color w:val="auto"/>
          <w:sz w:val="21"/>
          <w:szCs w:val="21"/>
        </w:rPr>
        <w:t>污染影响型建设项目土壤环境影响源及影响因子识别表</w:t>
      </w:r>
      <w:bookmarkEnd w:id="464"/>
      <w:bookmarkEnd w:id="465"/>
    </w:p>
    <w:p>
      <w:pPr>
        <w:pStyle w:val="25"/>
        <w:spacing w:before="1"/>
        <w:ind w:firstLine="141"/>
        <w:rPr>
          <w:rFonts w:ascii="Times New Roman" w:hAnsi="Times New Roman" w:cs="Times New Roman"/>
          <w:b/>
          <w:color w:val="auto"/>
          <w:sz w:val="7"/>
        </w:rPr>
      </w:pPr>
    </w:p>
    <w:tbl>
      <w:tblPr>
        <w:tblStyle w:val="62"/>
        <w:tblW w:w="9181" w:type="dxa"/>
        <w:tblInd w:w="111"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708"/>
        <w:gridCol w:w="1881"/>
        <w:gridCol w:w="2541"/>
        <w:gridCol w:w="205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08" w:hRule="atLeast"/>
        </w:trPr>
        <w:tc>
          <w:tcPr>
            <w:tcW w:w="2708" w:type="dxa"/>
            <w:vAlign w:val="center"/>
          </w:tcPr>
          <w:p>
            <w:pPr>
              <w:pStyle w:val="861"/>
              <w:widowControl w:val="0"/>
              <w:snapToGrid/>
              <w:rPr>
                <w:szCs w:val="18"/>
              </w:rPr>
            </w:pPr>
            <w:r>
              <w:rPr>
                <w:szCs w:val="18"/>
              </w:rPr>
              <w:t>工艺流程/节点</w:t>
            </w:r>
          </w:p>
        </w:tc>
        <w:tc>
          <w:tcPr>
            <w:tcW w:w="1881" w:type="dxa"/>
            <w:vAlign w:val="center"/>
          </w:tcPr>
          <w:p>
            <w:pPr>
              <w:pStyle w:val="861"/>
              <w:widowControl w:val="0"/>
              <w:snapToGrid/>
              <w:rPr>
                <w:szCs w:val="18"/>
              </w:rPr>
            </w:pPr>
            <w:r>
              <w:rPr>
                <w:szCs w:val="18"/>
              </w:rPr>
              <w:t>污染途径</w:t>
            </w:r>
          </w:p>
        </w:tc>
        <w:tc>
          <w:tcPr>
            <w:tcW w:w="2541" w:type="dxa"/>
            <w:vAlign w:val="center"/>
          </w:tcPr>
          <w:p>
            <w:pPr>
              <w:pStyle w:val="861"/>
              <w:widowControl w:val="0"/>
              <w:snapToGrid/>
              <w:rPr>
                <w:szCs w:val="18"/>
              </w:rPr>
            </w:pPr>
            <w:r>
              <w:rPr>
                <w:szCs w:val="18"/>
              </w:rPr>
              <w:t>全部污染物指标</w:t>
            </w:r>
          </w:p>
        </w:tc>
        <w:tc>
          <w:tcPr>
            <w:tcW w:w="2051" w:type="dxa"/>
            <w:vAlign w:val="center"/>
          </w:tcPr>
          <w:p>
            <w:pPr>
              <w:pStyle w:val="861"/>
              <w:widowControl w:val="0"/>
              <w:snapToGrid/>
              <w:rPr>
                <w:szCs w:val="18"/>
              </w:rPr>
            </w:pPr>
            <w:r>
              <w:rPr>
                <w:szCs w:val="18"/>
              </w:rPr>
              <w:t>特征因子</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trPr>
        <w:tc>
          <w:tcPr>
            <w:tcW w:w="2708" w:type="dxa"/>
            <w:vAlign w:val="center"/>
          </w:tcPr>
          <w:p>
            <w:pPr>
              <w:pStyle w:val="861"/>
              <w:widowControl w:val="0"/>
              <w:snapToGrid/>
              <w:rPr>
                <w:szCs w:val="18"/>
              </w:rPr>
            </w:pPr>
            <w:r>
              <w:rPr>
                <w:szCs w:val="18"/>
              </w:rPr>
              <w:t>油气气体回收装置排气筒</w:t>
            </w:r>
          </w:p>
        </w:tc>
        <w:tc>
          <w:tcPr>
            <w:tcW w:w="1881" w:type="dxa"/>
            <w:vMerge w:val="restart"/>
            <w:vAlign w:val="center"/>
          </w:tcPr>
          <w:p>
            <w:pPr>
              <w:pStyle w:val="861"/>
              <w:widowControl w:val="0"/>
              <w:snapToGrid/>
              <w:rPr>
                <w:szCs w:val="18"/>
              </w:rPr>
            </w:pPr>
            <w:r>
              <w:rPr>
                <w:szCs w:val="18"/>
              </w:rPr>
              <w:t>大气沉降</w:t>
            </w:r>
          </w:p>
        </w:tc>
        <w:tc>
          <w:tcPr>
            <w:tcW w:w="2541" w:type="dxa"/>
            <w:vAlign w:val="center"/>
          </w:tcPr>
          <w:p>
            <w:pPr>
              <w:pStyle w:val="861"/>
              <w:widowControl w:val="0"/>
              <w:snapToGrid/>
              <w:rPr>
                <w:szCs w:val="18"/>
              </w:rPr>
            </w:pPr>
            <w:r>
              <w:rPr>
                <w:szCs w:val="18"/>
              </w:rPr>
              <w:t>9.72t/a</w:t>
            </w:r>
          </w:p>
        </w:tc>
        <w:tc>
          <w:tcPr>
            <w:tcW w:w="2051" w:type="dxa"/>
            <w:vAlign w:val="center"/>
          </w:tcPr>
          <w:p>
            <w:pPr>
              <w:pStyle w:val="861"/>
              <w:widowControl w:val="0"/>
              <w:snapToGrid/>
              <w:rPr>
                <w:szCs w:val="18"/>
              </w:rPr>
            </w:pPr>
            <w:r>
              <w:rPr>
                <w:szCs w:val="18"/>
              </w:rPr>
              <w:t>石油烃</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trPr>
        <w:tc>
          <w:tcPr>
            <w:tcW w:w="2708" w:type="dxa"/>
            <w:vAlign w:val="center"/>
          </w:tcPr>
          <w:p>
            <w:pPr>
              <w:pStyle w:val="861"/>
              <w:widowControl w:val="0"/>
              <w:snapToGrid/>
              <w:rPr>
                <w:szCs w:val="18"/>
              </w:rPr>
            </w:pPr>
            <w:r>
              <w:rPr>
                <w:szCs w:val="18"/>
              </w:rPr>
              <w:t>罐区无组织</w:t>
            </w:r>
          </w:p>
        </w:tc>
        <w:tc>
          <w:tcPr>
            <w:tcW w:w="1881" w:type="dxa"/>
            <w:vMerge w:val="continue"/>
            <w:vAlign w:val="center"/>
          </w:tcPr>
          <w:p>
            <w:pPr>
              <w:pStyle w:val="861"/>
              <w:widowControl w:val="0"/>
              <w:snapToGrid/>
              <w:rPr>
                <w:szCs w:val="18"/>
              </w:rPr>
            </w:pPr>
          </w:p>
        </w:tc>
        <w:tc>
          <w:tcPr>
            <w:tcW w:w="2541" w:type="dxa"/>
            <w:vAlign w:val="center"/>
          </w:tcPr>
          <w:p>
            <w:pPr>
              <w:pStyle w:val="861"/>
              <w:widowControl w:val="0"/>
              <w:snapToGrid/>
              <w:rPr>
                <w:szCs w:val="18"/>
              </w:rPr>
            </w:pPr>
            <w:r>
              <w:rPr>
                <w:szCs w:val="18"/>
              </w:rPr>
              <w:t>76.385t/a</w:t>
            </w:r>
          </w:p>
        </w:tc>
        <w:tc>
          <w:tcPr>
            <w:tcW w:w="2051" w:type="dxa"/>
            <w:vAlign w:val="center"/>
          </w:tcPr>
          <w:p>
            <w:pPr>
              <w:pStyle w:val="861"/>
              <w:widowControl w:val="0"/>
              <w:snapToGrid/>
              <w:rPr>
                <w:szCs w:val="18"/>
              </w:rPr>
            </w:pPr>
            <w:r>
              <w:rPr>
                <w:szCs w:val="18"/>
              </w:rPr>
              <w:t xml:space="preserve">石油烃 </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137" w:hRule="atLeast"/>
        </w:trPr>
        <w:tc>
          <w:tcPr>
            <w:tcW w:w="2708" w:type="dxa"/>
            <w:vAlign w:val="center"/>
          </w:tcPr>
          <w:p>
            <w:pPr>
              <w:pStyle w:val="861"/>
              <w:widowControl w:val="0"/>
              <w:snapToGrid/>
              <w:rPr>
                <w:szCs w:val="18"/>
              </w:rPr>
            </w:pPr>
            <w:r>
              <w:rPr>
                <w:szCs w:val="18"/>
                <w:shd w:val="clear" w:color="auto" w:fill="FFFFFF"/>
              </w:rPr>
              <w:t>密闭式含油污水收集池</w:t>
            </w:r>
          </w:p>
        </w:tc>
        <w:tc>
          <w:tcPr>
            <w:tcW w:w="1881" w:type="dxa"/>
            <w:vAlign w:val="center"/>
          </w:tcPr>
          <w:p>
            <w:pPr>
              <w:pStyle w:val="861"/>
              <w:widowControl w:val="0"/>
              <w:snapToGrid/>
              <w:rPr>
                <w:szCs w:val="18"/>
              </w:rPr>
            </w:pPr>
            <w:r>
              <w:rPr>
                <w:szCs w:val="18"/>
              </w:rPr>
              <w:t>垂直渗入</w:t>
            </w:r>
          </w:p>
        </w:tc>
        <w:tc>
          <w:tcPr>
            <w:tcW w:w="2541" w:type="dxa"/>
            <w:vAlign w:val="center"/>
          </w:tcPr>
          <w:p>
            <w:pPr>
              <w:pStyle w:val="861"/>
              <w:widowControl w:val="0"/>
              <w:snapToGrid/>
              <w:rPr>
                <w:szCs w:val="18"/>
              </w:rPr>
            </w:pPr>
            <w:r>
              <w:rPr>
                <w:szCs w:val="18"/>
              </w:rPr>
              <w:t>900mg/L</w:t>
            </w:r>
          </w:p>
        </w:tc>
        <w:tc>
          <w:tcPr>
            <w:tcW w:w="2051" w:type="dxa"/>
            <w:vAlign w:val="center"/>
          </w:tcPr>
          <w:p>
            <w:pPr>
              <w:pStyle w:val="861"/>
              <w:widowControl w:val="0"/>
              <w:snapToGrid/>
              <w:rPr>
                <w:szCs w:val="18"/>
              </w:rPr>
            </w:pPr>
            <w:r>
              <w:rPr>
                <w:szCs w:val="18"/>
              </w:rPr>
              <w:t>石油烃</w:t>
            </w:r>
          </w:p>
        </w:tc>
      </w:tr>
    </w:tbl>
    <w:p>
      <w:pPr>
        <w:pStyle w:val="25"/>
        <w:spacing w:before="120" w:line="382" w:lineRule="auto"/>
        <w:ind w:firstLine="0" w:firstLineChars="0"/>
        <w:rPr>
          <w:rFonts w:ascii="Times New Roman" w:hAnsi="Times New Roman" w:eastAsia="Times New Roman" w:cs="Times New Roman"/>
          <w:b/>
          <w:color w:val="auto"/>
        </w:rPr>
      </w:pPr>
      <w:r>
        <w:rPr>
          <w:rFonts w:ascii="Times New Roman" w:hAnsi="Times New Roman" w:eastAsia="Times New Roman" w:cs="Times New Roman"/>
          <w:b/>
          <w:color w:val="auto"/>
        </w:rPr>
        <w:t>5.7.2</w:t>
      </w:r>
      <w:r>
        <w:rPr>
          <w:rFonts w:ascii="Times New Roman" w:hAnsi="Times New Roman" w:cs="Times New Roman"/>
          <w:b/>
          <w:color w:val="auto"/>
        </w:rPr>
        <w:t>土壤环境预测与评价</w:t>
      </w:r>
    </w:p>
    <w:p>
      <w:pPr>
        <w:pStyle w:val="25"/>
        <w:spacing w:line="360" w:lineRule="auto"/>
        <w:ind w:firstLine="0" w:firstLineChars="0"/>
        <w:outlineLvl w:val="3"/>
        <w:rPr>
          <w:rFonts w:ascii="Times New Roman" w:hAnsi="Times New Roman" w:cs="Times New Roman"/>
          <w:b/>
          <w:bCs/>
          <w:color w:val="auto"/>
        </w:rPr>
      </w:pPr>
      <w:r>
        <w:rPr>
          <w:rFonts w:ascii="Times New Roman" w:hAnsi="Times New Roman" w:cs="Times New Roman"/>
          <w:b/>
          <w:bCs/>
          <w:color w:val="auto"/>
        </w:rPr>
        <w:t>5.7.2.1大气沉降</w:t>
      </w:r>
      <w:r>
        <w:rPr>
          <w:rFonts w:ascii="Times New Roman" w:hAnsi="Times New Roman" w:cs="Times New Roman"/>
          <w:b/>
          <w:bCs/>
          <w:color w:val="auto"/>
          <w:lang w:val="zh-CN"/>
        </w:rPr>
        <w:t>土壤环境影响预测与评价</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本项目涉及的可能污染土壤环境的污染物有含石油烃的物质等。土壤环境污染途径为大气沉降和垂直入渗。</w:t>
      </w:r>
    </w:p>
    <w:p>
      <w:pPr>
        <w:pStyle w:val="1619"/>
        <w:tabs>
          <w:tab w:val="left" w:pos="1322"/>
        </w:tabs>
        <w:autoSpaceDE w:val="0"/>
        <w:autoSpaceDN w:val="0"/>
        <w:adjustRightInd/>
        <w:ind w:firstLineChars="0"/>
        <w:jc w:val="left"/>
        <w:rPr>
          <w:rFonts w:ascii="Times New Roman" w:hAnsi="Times New Roman" w:cs="Times New Roman"/>
          <w:color w:val="auto"/>
        </w:rPr>
      </w:pPr>
      <w:r>
        <w:rPr>
          <w:rFonts w:ascii="Times New Roman" w:hAnsi="Times New Roman" w:cs="Times New Roman"/>
          <w:color w:val="auto"/>
        </w:rPr>
        <w:t>（1）预测评价范围</w:t>
      </w:r>
    </w:p>
    <w:p>
      <w:pPr>
        <w:pStyle w:val="25"/>
        <w:spacing w:line="360" w:lineRule="auto"/>
        <w:ind w:firstLine="686" w:firstLineChars="286"/>
        <w:rPr>
          <w:rFonts w:ascii="Times New Roman" w:hAnsi="Times New Roman" w:cs="Times New Roman"/>
          <w:color w:val="auto"/>
        </w:rPr>
      </w:pPr>
      <w:r>
        <w:rPr>
          <w:rFonts w:ascii="Times New Roman" w:hAnsi="Times New Roman" w:cs="Times New Roman"/>
          <w:color w:val="auto"/>
        </w:rPr>
        <w:t>占地范围内及占地范围外1.0km范围内。</w:t>
      </w:r>
    </w:p>
    <w:p>
      <w:pPr>
        <w:pStyle w:val="1619"/>
        <w:tabs>
          <w:tab w:val="left" w:pos="1322"/>
        </w:tabs>
        <w:autoSpaceDE w:val="0"/>
        <w:autoSpaceDN w:val="0"/>
        <w:adjustRightInd/>
        <w:ind w:firstLineChars="0"/>
        <w:jc w:val="left"/>
        <w:rPr>
          <w:rFonts w:ascii="Times New Roman" w:hAnsi="Times New Roman" w:cs="Times New Roman"/>
          <w:color w:val="auto"/>
        </w:rPr>
      </w:pPr>
      <w:r>
        <w:rPr>
          <w:rFonts w:ascii="Times New Roman" w:hAnsi="Times New Roman" w:cs="Times New Roman"/>
          <w:color w:val="auto"/>
        </w:rPr>
        <w:t>（2）预测评价时段</w:t>
      </w:r>
    </w:p>
    <w:p>
      <w:pPr>
        <w:pStyle w:val="25"/>
        <w:spacing w:line="360" w:lineRule="auto"/>
        <w:ind w:firstLine="686" w:firstLineChars="286"/>
        <w:rPr>
          <w:rFonts w:ascii="Times New Roman" w:hAnsi="Times New Roman" w:cs="Times New Roman"/>
          <w:color w:val="auto"/>
        </w:rPr>
      </w:pPr>
      <w:r>
        <w:rPr>
          <w:rFonts w:ascii="Times New Roman" w:hAnsi="Times New Roman" w:cs="Times New Roman"/>
          <w:color w:val="auto"/>
        </w:rPr>
        <w:t>项目运营年开始至运营50年后，本项目对附近土壤的影响分析。</w:t>
      </w:r>
    </w:p>
    <w:p>
      <w:pPr>
        <w:pStyle w:val="1619"/>
        <w:tabs>
          <w:tab w:val="left" w:pos="1322"/>
        </w:tabs>
        <w:autoSpaceDE w:val="0"/>
        <w:autoSpaceDN w:val="0"/>
        <w:adjustRightInd/>
        <w:ind w:firstLineChars="0"/>
        <w:jc w:val="left"/>
        <w:rPr>
          <w:rFonts w:ascii="Times New Roman" w:hAnsi="Times New Roman" w:cs="Times New Roman"/>
          <w:color w:val="auto"/>
        </w:rPr>
      </w:pPr>
      <w:r>
        <w:rPr>
          <w:rFonts w:ascii="Times New Roman" w:hAnsi="Times New Roman" w:cs="Times New Roman"/>
          <w:color w:val="auto"/>
        </w:rPr>
        <w:t>（3）情景设置</w:t>
      </w:r>
    </w:p>
    <w:p>
      <w:pPr>
        <w:pStyle w:val="25"/>
        <w:spacing w:line="360" w:lineRule="auto"/>
        <w:ind w:firstLine="480"/>
        <w:rPr>
          <w:rFonts w:ascii="Times New Roman" w:hAnsi="Times New Roman" w:cs="Times New Roman"/>
          <w:color w:val="auto"/>
        </w:rPr>
      </w:pPr>
      <w:r>
        <w:rPr>
          <w:rFonts w:ascii="Times New Roman" w:hAnsi="Times New Roman" w:cs="Times New Roman"/>
          <w:color w:val="auto"/>
        </w:rPr>
        <w:t>本项目运行后</w:t>
      </w:r>
      <w:r>
        <w:rPr>
          <w:rFonts w:hint="eastAsia" w:ascii="Times New Roman" w:hAnsi="Times New Roman" w:cs="Times New Roman"/>
          <w:color w:val="auto"/>
        </w:rPr>
        <w:t>非甲烷总烃</w:t>
      </w:r>
      <w:r>
        <w:rPr>
          <w:rFonts w:ascii="Times New Roman" w:hAnsi="Times New Roman" w:cs="Times New Roman"/>
          <w:color w:val="auto"/>
        </w:rPr>
        <w:t>废气通过排气筒和无组织排放的形式排放至大气中，通过大气沉降的形式至土壤表层。</w:t>
      </w:r>
    </w:p>
    <w:p>
      <w:pPr>
        <w:pStyle w:val="1619"/>
        <w:tabs>
          <w:tab w:val="left" w:pos="1322"/>
        </w:tabs>
        <w:autoSpaceDE w:val="0"/>
        <w:autoSpaceDN w:val="0"/>
        <w:adjustRightInd/>
        <w:ind w:firstLine="632" w:firstLineChars="275"/>
        <w:jc w:val="left"/>
        <w:rPr>
          <w:rFonts w:ascii="Times New Roman" w:hAnsi="Times New Roman" w:cs="Times New Roman"/>
          <w:color w:val="auto"/>
          <w:spacing w:val="-5"/>
        </w:rPr>
      </w:pPr>
      <w:r>
        <w:rPr>
          <w:rFonts w:ascii="Times New Roman" w:hAnsi="Times New Roman" w:cs="Times New Roman"/>
          <w:color w:val="auto"/>
          <w:spacing w:val="-5"/>
        </w:rPr>
        <w:fldChar w:fldCharType="begin"/>
      </w:r>
      <w:r>
        <w:rPr>
          <w:rFonts w:ascii="Times New Roman" w:hAnsi="Times New Roman" w:cs="Times New Roman"/>
          <w:color w:val="auto"/>
          <w:spacing w:val="-5"/>
        </w:rPr>
        <w:instrText xml:space="preserve"> = 1 \* GB3 </w:instrText>
      </w:r>
      <w:r>
        <w:rPr>
          <w:rFonts w:ascii="Times New Roman" w:hAnsi="Times New Roman" w:cs="Times New Roman"/>
          <w:color w:val="auto"/>
          <w:spacing w:val="-5"/>
        </w:rPr>
        <w:fldChar w:fldCharType="separate"/>
      </w:r>
      <w:r>
        <w:rPr>
          <w:rFonts w:hint="eastAsia" w:ascii="宋体" w:hAnsi="宋体" w:cs="宋体"/>
          <w:color w:val="auto"/>
          <w:spacing w:val="-5"/>
        </w:rPr>
        <w:t>①</w:t>
      </w:r>
      <w:r>
        <w:rPr>
          <w:rFonts w:ascii="Times New Roman" w:hAnsi="Times New Roman" w:cs="Times New Roman"/>
          <w:color w:val="auto"/>
          <w:spacing w:val="-5"/>
        </w:rPr>
        <w:fldChar w:fldCharType="end"/>
      </w:r>
      <w:r>
        <w:rPr>
          <w:rFonts w:ascii="Times New Roman" w:hAnsi="Times New Roman" w:cs="Times New Roman"/>
          <w:color w:val="auto"/>
          <w:spacing w:val="-5"/>
        </w:rPr>
        <w:t>预测评价因子</w:t>
      </w:r>
    </w:p>
    <w:p>
      <w:pPr>
        <w:pStyle w:val="1619"/>
        <w:tabs>
          <w:tab w:val="left" w:pos="1322"/>
        </w:tabs>
        <w:autoSpaceDE w:val="0"/>
        <w:autoSpaceDN w:val="0"/>
        <w:adjustRightInd/>
        <w:ind w:firstLine="418" w:firstLineChars="182"/>
        <w:jc w:val="left"/>
        <w:rPr>
          <w:rFonts w:ascii="Times New Roman" w:hAnsi="Times New Roman" w:cs="Times New Roman"/>
          <w:color w:val="auto"/>
          <w:spacing w:val="-5"/>
        </w:rPr>
      </w:pPr>
      <w:r>
        <w:rPr>
          <w:rFonts w:ascii="Times New Roman" w:hAnsi="Times New Roman" w:cs="Times New Roman"/>
          <w:color w:val="auto"/>
          <w:spacing w:val="-5"/>
        </w:rPr>
        <w:t>本项目大气污染物主要为</w:t>
      </w:r>
      <w:r>
        <w:rPr>
          <w:rFonts w:hint="eastAsia" w:ascii="Times New Roman" w:hAnsi="Times New Roman" w:cs="Times New Roman"/>
          <w:color w:val="auto"/>
          <w:spacing w:val="-5"/>
        </w:rPr>
        <w:t>汽油</w:t>
      </w:r>
      <w:r>
        <w:rPr>
          <w:rFonts w:ascii="Times New Roman" w:hAnsi="Times New Roman" w:cs="Times New Roman"/>
          <w:color w:val="auto"/>
          <w:spacing w:val="-5"/>
        </w:rPr>
        <w:t>油气，故本项目评价因子为石油烃。</w:t>
      </w:r>
    </w:p>
    <w:p>
      <w:pPr>
        <w:pStyle w:val="1619"/>
        <w:tabs>
          <w:tab w:val="left" w:pos="1322"/>
        </w:tabs>
        <w:autoSpaceDE w:val="0"/>
        <w:autoSpaceDN w:val="0"/>
        <w:adjustRightInd/>
        <w:ind w:firstLine="632" w:firstLineChars="275"/>
        <w:jc w:val="left"/>
        <w:rPr>
          <w:rFonts w:ascii="Times New Roman" w:hAnsi="Times New Roman" w:cs="Times New Roman"/>
          <w:color w:val="auto"/>
          <w:spacing w:val="-5"/>
        </w:rPr>
      </w:pPr>
      <w:r>
        <w:rPr>
          <w:rFonts w:ascii="Times New Roman" w:hAnsi="Times New Roman" w:cs="Times New Roman"/>
          <w:color w:val="auto"/>
          <w:spacing w:val="-5"/>
        </w:rPr>
        <w:fldChar w:fldCharType="begin"/>
      </w:r>
      <w:r>
        <w:rPr>
          <w:rFonts w:ascii="Times New Roman" w:hAnsi="Times New Roman" w:cs="Times New Roman"/>
          <w:color w:val="auto"/>
          <w:spacing w:val="-5"/>
        </w:rPr>
        <w:instrText xml:space="preserve"> = 2 \* GB3 </w:instrText>
      </w:r>
      <w:r>
        <w:rPr>
          <w:rFonts w:ascii="Times New Roman" w:hAnsi="Times New Roman" w:cs="Times New Roman"/>
          <w:color w:val="auto"/>
          <w:spacing w:val="-5"/>
        </w:rPr>
        <w:fldChar w:fldCharType="separate"/>
      </w:r>
      <w:r>
        <w:rPr>
          <w:rFonts w:hint="eastAsia" w:ascii="宋体" w:hAnsi="宋体" w:cs="宋体"/>
          <w:color w:val="auto"/>
          <w:spacing w:val="-5"/>
        </w:rPr>
        <w:t>②</w:t>
      </w:r>
      <w:r>
        <w:rPr>
          <w:rFonts w:ascii="Times New Roman" w:hAnsi="Times New Roman" w:cs="Times New Roman"/>
          <w:color w:val="auto"/>
          <w:spacing w:val="-5"/>
        </w:rPr>
        <w:fldChar w:fldCharType="end"/>
      </w:r>
      <w:r>
        <w:rPr>
          <w:rFonts w:ascii="Times New Roman" w:hAnsi="Times New Roman" w:cs="Times New Roman"/>
          <w:color w:val="auto"/>
          <w:spacing w:val="-5"/>
        </w:rPr>
        <w:t>预测评价方法</w:t>
      </w:r>
    </w:p>
    <w:p>
      <w:pPr>
        <w:pStyle w:val="25"/>
        <w:spacing w:line="360" w:lineRule="auto"/>
        <w:ind w:firstLine="657" w:firstLineChars="286"/>
        <w:rPr>
          <w:rFonts w:ascii="Times New Roman" w:hAnsi="Times New Roman" w:cs="Times New Roman"/>
          <w:color w:val="auto"/>
          <w:spacing w:val="-5"/>
        </w:rPr>
      </w:pPr>
      <w:r>
        <w:rPr>
          <w:rFonts w:ascii="Times New Roman" w:hAnsi="Times New Roman" w:cs="Times New Roman"/>
          <w:color w:val="auto"/>
          <w:spacing w:val="-5"/>
        </w:rPr>
        <w:t>单位质量土壤中某种物质的增量可用下式计算：</w:t>
      </w:r>
    </w:p>
    <w:p>
      <w:pPr>
        <w:pStyle w:val="25"/>
        <w:spacing w:line="360" w:lineRule="auto"/>
        <w:ind w:left="426" w:firstLine="560"/>
        <w:jc w:val="center"/>
        <w:rPr>
          <w:rFonts w:ascii="Times New Roman" w:hAnsi="Times New Roman" w:cs="Times New Roman"/>
          <w:color w:val="auto"/>
          <w:sz w:val="28"/>
          <w:szCs w:val="24"/>
        </w:rPr>
      </w:pPr>
      <w:r>
        <w:rPr>
          <w:rFonts w:ascii="Times New Roman" w:hAnsi="Times New Roman" w:cs="Times New Roman"/>
          <w:color w:val="auto"/>
          <w:sz w:val="28"/>
          <w:szCs w:val="24"/>
        </w:rPr>
        <w:t>∆S=n(Is-Ls-Rs)/(pb×A×D)</w:t>
      </w:r>
    </w:p>
    <w:p>
      <w:pPr>
        <w:pStyle w:val="25"/>
        <w:spacing w:line="360" w:lineRule="auto"/>
        <w:ind w:firstLine="199" w:firstLineChars="83"/>
        <w:rPr>
          <w:rFonts w:ascii="Times New Roman" w:hAnsi="Times New Roman" w:cs="Times New Roman"/>
          <w:color w:val="auto"/>
        </w:rPr>
      </w:pPr>
      <w:r>
        <w:rPr>
          <w:rFonts w:ascii="Times New Roman" w:hAnsi="Times New Roman" w:cs="Times New Roman"/>
          <w:color w:val="auto"/>
        </w:rPr>
        <w:t>式中：</w:t>
      </w:r>
      <w:r>
        <w:rPr>
          <w:rFonts w:ascii="Times New Roman" w:hAnsi="Times New Roman" w:eastAsia="Times New Roman" w:cs="Times New Roman"/>
          <w:color w:val="auto"/>
        </w:rPr>
        <w:t>∆S——</w:t>
      </w:r>
      <w:r>
        <w:rPr>
          <w:rFonts w:ascii="Times New Roman" w:hAnsi="Times New Roman" w:cs="Times New Roman"/>
          <w:color w:val="auto"/>
        </w:rPr>
        <w:t>单位质量表层土壤中某种物质的增量，</w:t>
      </w:r>
      <w:r>
        <w:rPr>
          <w:rFonts w:ascii="Times New Roman" w:hAnsi="Times New Roman" w:eastAsia="Times New Roman" w:cs="Times New Roman"/>
          <w:color w:val="auto"/>
        </w:rPr>
        <w:t>g/kg</w:t>
      </w:r>
      <w:r>
        <w:rPr>
          <w:rFonts w:ascii="Times New Roman" w:hAnsi="Times New Roman" w:cs="Times New Roman"/>
          <w:color w:val="auto"/>
        </w:rPr>
        <w:t>；</w:t>
      </w:r>
    </w:p>
    <w:p>
      <w:pPr>
        <w:pStyle w:val="25"/>
        <w:spacing w:line="360" w:lineRule="auto"/>
        <w:ind w:left="720" w:right="236" w:firstLine="240" w:firstLineChars="100"/>
        <w:rPr>
          <w:rFonts w:ascii="Times New Roman" w:hAnsi="Times New Roman" w:cs="Times New Roman"/>
          <w:color w:val="auto"/>
        </w:rPr>
      </w:pPr>
      <w:r>
        <w:rPr>
          <w:rFonts w:ascii="Times New Roman" w:hAnsi="Times New Roman" w:eastAsia="Times New Roman" w:cs="Times New Roman"/>
          <w:color w:val="auto"/>
        </w:rPr>
        <w:t>Is——</w:t>
      </w:r>
      <w:r>
        <w:rPr>
          <w:rFonts w:ascii="Times New Roman" w:hAnsi="Times New Roman" w:cs="Times New Roman"/>
          <w:color w:val="auto"/>
        </w:rPr>
        <w:t>预测评价范围内单位年份表层土壤中石油烃输入量，</w:t>
      </w:r>
      <w:r>
        <w:rPr>
          <w:rFonts w:ascii="Times New Roman" w:hAnsi="Times New Roman" w:eastAsia="Times New Roman" w:cs="Times New Roman"/>
          <w:color w:val="auto"/>
        </w:rPr>
        <w:t>g</w:t>
      </w:r>
      <w:r>
        <w:rPr>
          <w:rFonts w:ascii="Times New Roman" w:hAnsi="Times New Roman" w:cs="Times New Roman"/>
          <w:color w:val="auto"/>
        </w:rPr>
        <w:t xml:space="preserve">； </w:t>
      </w:r>
    </w:p>
    <w:p>
      <w:pPr>
        <w:pStyle w:val="25"/>
        <w:spacing w:line="360" w:lineRule="auto"/>
        <w:ind w:left="240" w:leftChars="100" w:right="236" w:firstLine="720" w:firstLineChars="300"/>
        <w:rPr>
          <w:rFonts w:ascii="Times New Roman" w:hAnsi="Times New Roman" w:cs="Times New Roman"/>
          <w:color w:val="auto"/>
        </w:rPr>
      </w:pPr>
      <w:r>
        <w:rPr>
          <w:rFonts w:ascii="Times New Roman" w:hAnsi="Times New Roman" w:eastAsia="Times New Roman" w:cs="Times New Roman"/>
          <w:color w:val="auto"/>
        </w:rPr>
        <w:t>Ls——</w:t>
      </w:r>
      <w:r>
        <w:rPr>
          <w:rFonts w:ascii="Times New Roman" w:hAnsi="Times New Roman" w:cs="Times New Roman"/>
          <w:color w:val="auto"/>
        </w:rPr>
        <w:t>预测评价范围内单位年份表层土壤中石油烃经淋溶排出的量，</w:t>
      </w:r>
      <w:r>
        <w:rPr>
          <w:rFonts w:ascii="Times New Roman" w:hAnsi="Times New Roman" w:eastAsia="Times New Roman" w:cs="Times New Roman"/>
          <w:color w:val="auto"/>
        </w:rPr>
        <w:t>g</w:t>
      </w:r>
      <w:r>
        <w:rPr>
          <w:rFonts w:ascii="Times New Roman" w:hAnsi="Times New Roman" w:cs="Times New Roman"/>
          <w:color w:val="auto"/>
        </w:rPr>
        <w:t xml:space="preserve">； </w:t>
      </w:r>
    </w:p>
    <w:p>
      <w:pPr>
        <w:pStyle w:val="25"/>
        <w:spacing w:line="360" w:lineRule="auto"/>
        <w:ind w:left="960" w:leftChars="400" w:right="236" w:firstLine="0" w:firstLineChars="0"/>
        <w:rPr>
          <w:rFonts w:ascii="Times New Roman" w:hAnsi="Times New Roman" w:cs="Times New Roman"/>
          <w:color w:val="auto"/>
        </w:rPr>
      </w:pPr>
      <w:r>
        <w:rPr>
          <w:rFonts w:ascii="Times New Roman" w:hAnsi="Times New Roman" w:eastAsia="Times New Roman" w:cs="Times New Roman"/>
          <w:color w:val="auto"/>
        </w:rPr>
        <w:t>Rs——</w:t>
      </w:r>
      <w:r>
        <w:rPr>
          <w:rFonts w:ascii="Times New Roman" w:hAnsi="Times New Roman" w:cs="Times New Roman"/>
          <w:color w:val="auto"/>
        </w:rPr>
        <w:t>预测评价范围内单位年份表层土壤中石油烃经径流排出的量，</w:t>
      </w:r>
      <w:r>
        <w:rPr>
          <w:rFonts w:ascii="Times New Roman" w:hAnsi="Times New Roman" w:eastAsia="Times New Roman" w:cs="Times New Roman"/>
          <w:color w:val="auto"/>
        </w:rPr>
        <w:t>g</w:t>
      </w:r>
      <w:r>
        <w:rPr>
          <w:rFonts w:ascii="Times New Roman" w:hAnsi="Times New Roman" w:cs="Times New Roman"/>
          <w:color w:val="auto"/>
        </w:rPr>
        <w:t xml:space="preserve">； </w:t>
      </w:r>
      <w:r>
        <w:rPr>
          <w:rFonts w:ascii="Times New Roman" w:hAnsi="Times New Roman" w:eastAsia="Times New Roman" w:cs="Times New Roman"/>
          <w:color w:val="auto"/>
        </w:rPr>
        <w:t>pb——</w:t>
      </w:r>
      <w:r>
        <w:rPr>
          <w:rFonts w:ascii="Times New Roman" w:hAnsi="Times New Roman" w:cs="Times New Roman"/>
          <w:color w:val="auto"/>
        </w:rPr>
        <w:t>表层土壤容重，</w:t>
      </w:r>
      <w:r>
        <w:rPr>
          <w:rFonts w:ascii="Times New Roman" w:hAnsi="Times New Roman" w:eastAsia="Times New Roman" w:cs="Times New Roman"/>
          <w:color w:val="auto"/>
        </w:rPr>
        <w:t>kg/m</w:t>
      </w:r>
      <w:r>
        <w:rPr>
          <w:rFonts w:ascii="Times New Roman" w:hAnsi="Times New Roman" w:eastAsia="Times New Roman" w:cs="Times New Roman"/>
          <w:color w:val="auto"/>
          <w:vertAlign w:val="superscript"/>
        </w:rPr>
        <w:t>3</w:t>
      </w:r>
      <w:r>
        <w:rPr>
          <w:rFonts w:ascii="Times New Roman" w:hAnsi="Times New Roman" w:cs="Times New Roman"/>
          <w:color w:val="auto"/>
        </w:rPr>
        <w:t>；</w:t>
      </w:r>
    </w:p>
    <w:p>
      <w:pPr>
        <w:pStyle w:val="25"/>
        <w:spacing w:line="360" w:lineRule="auto"/>
        <w:ind w:firstLine="919" w:firstLineChars="383"/>
        <w:rPr>
          <w:rFonts w:ascii="Times New Roman" w:hAnsi="Times New Roman" w:cs="Times New Roman"/>
          <w:color w:val="auto"/>
        </w:rPr>
      </w:pPr>
      <w:r>
        <w:rPr>
          <w:rFonts w:ascii="Times New Roman" w:hAnsi="Times New Roman" w:eastAsia="Times New Roman" w:cs="Times New Roman"/>
          <w:color w:val="auto"/>
        </w:rPr>
        <w:t>A——</w:t>
      </w:r>
      <w:r>
        <w:rPr>
          <w:rFonts w:ascii="Times New Roman" w:hAnsi="Times New Roman" w:cs="Times New Roman"/>
          <w:color w:val="auto"/>
        </w:rPr>
        <w:t>预测评价范围，</w:t>
      </w:r>
      <w:r>
        <w:rPr>
          <w:rFonts w:ascii="Times New Roman" w:hAnsi="Times New Roman" w:eastAsia="Times New Roman" w:cs="Times New Roman"/>
          <w:color w:val="auto"/>
        </w:rPr>
        <w:t>m</w:t>
      </w:r>
      <w:r>
        <w:rPr>
          <w:rFonts w:ascii="Times New Roman" w:hAnsi="Times New Roman" w:eastAsia="Times New Roman" w:cs="Times New Roman"/>
          <w:color w:val="auto"/>
          <w:vertAlign w:val="superscript"/>
        </w:rPr>
        <w:t>2</w:t>
      </w:r>
      <w:r>
        <w:rPr>
          <w:rFonts w:ascii="Times New Roman" w:hAnsi="Times New Roman" w:cs="Times New Roman"/>
          <w:color w:val="auto"/>
        </w:rPr>
        <w:t>；</w:t>
      </w:r>
    </w:p>
    <w:p>
      <w:pPr>
        <w:pStyle w:val="25"/>
        <w:spacing w:line="360" w:lineRule="auto"/>
        <w:ind w:left="240" w:leftChars="100" w:right="1276" w:firstLine="720" w:firstLineChars="300"/>
        <w:rPr>
          <w:rFonts w:ascii="Times New Roman" w:hAnsi="Times New Roman" w:cs="Times New Roman"/>
          <w:color w:val="auto"/>
        </w:rPr>
      </w:pPr>
      <w:r>
        <w:rPr>
          <w:rFonts w:ascii="Times New Roman" w:hAnsi="Times New Roman" w:eastAsia="Times New Roman" w:cs="Times New Roman"/>
          <w:color w:val="auto"/>
        </w:rPr>
        <w:t>D——</w:t>
      </w:r>
      <w:r>
        <w:rPr>
          <w:rFonts w:ascii="Times New Roman" w:hAnsi="Times New Roman" w:cs="Times New Roman"/>
          <w:color w:val="auto"/>
        </w:rPr>
        <w:t xml:space="preserve">表层土壤深度，一般取 </w:t>
      </w:r>
      <w:r>
        <w:rPr>
          <w:rFonts w:ascii="Times New Roman" w:hAnsi="Times New Roman" w:eastAsia="Times New Roman" w:cs="Times New Roman"/>
          <w:color w:val="auto"/>
        </w:rPr>
        <w:t>0.2m</w:t>
      </w:r>
      <w:r>
        <w:rPr>
          <w:rFonts w:ascii="Times New Roman" w:hAnsi="Times New Roman" w:cs="Times New Roman"/>
          <w:color w:val="auto"/>
        </w:rPr>
        <w:t xml:space="preserve">，可根据实际情况适当调整； </w:t>
      </w:r>
    </w:p>
    <w:p>
      <w:pPr>
        <w:pStyle w:val="25"/>
        <w:spacing w:line="360" w:lineRule="auto"/>
        <w:ind w:left="240" w:leftChars="100" w:right="1276" w:firstLine="720" w:firstLineChars="300"/>
        <w:rPr>
          <w:rFonts w:ascii="Times New Roman" w:hAnsi="Times New Roman" w:cs="Times New Roman"/>
          <w:color w:val="auto"/>
        </w:rPr>
      </w:pPr>
      <w:r>
        <w:rPr>
          <w:rFonts w:ascii="Times New Roman" w:hAnsi="Times New Roman" w:eastAsia="Times New Roman" w:cs="Times New Roman"/>
          <w:color w:val="auto"/>
        </w:rPr>
        <w:t>n——</w:t>
      </w:r>
      <w:r>
        <w:rPr>
          <w:rFonts w:ascii="Times New Roman" w:hAnsi="Times New Roman" w:cs="Times New Roman"/>
          <w:color w:val="auto"/>
        </w:rPr>
        <w:t>持续年份，</w:t>
      </w:r>
      <w:r>
        <w:rPr>
          <w:rFonts w:ascii="Times New Roman" w:hAnsi="Times New Roman" w:eastAsia="Times New Roman" w:cs="Times New Roman"/>
          <w:color w:val="auto"/>
        </w:rPr>
        <w:t>a</w:t>
      </w:r>
      <w:r>
        <w:rPr>
          <w:rFonts w:ascii="Times New Roman" w:hAnsi="Times New Roman" w:cs="Times New Roman"/>
          <w:color w:val="auto"/>
        </w:rPr>
        <w:t>。</w:t>
      </w:r>
    </w:p>
    <w:p>
      <w:pPr>
        <w:pStyle w:val="25"/>
        <w:spacing w:line="360" w:lineRule="auto"/>
        <w:ind w:firstLine="439" w:firstLineChars="183"/>
        <w:rPr>
          <w:rFonts w:ascii="Times New Roman" w:hAnsi="Times New Roman" w:cs="Times New Roman"/>
          <w:color w:val="auto"/>
        </w:rPr>
      </w:pPr>
      <w:r>
        <w:rPr>
          <w:rFonts w:ascii="Times New Roman" w:hAnsi="Times New Roman" w:cs="Times New Roman"/>
          <w:color w:val="auto"/>
        </w:rPr>
        <w:t xml:space="preserve">土壤导则附录 </w:t>
      </w:r>
      <w:r>
        <w:rPr>
          <w:rFonts w:ascii="Times New Roman" w:hAnsi="Times New Roman" w:eastAsia="Times New Roman" w:cs="Times New Roman"/>
          <w:color w:val="auto"/>
        </w:rPr>
        <w:t xml:space="preserve">E </w:t>
      </w:r>
      <w:r>
        <w:rPr>
          <w:rFonts w:ascii="Times New Roman" w:hAnsi="Times New Roman" w:cs="Times New Roman"/>
          <w:color w:val="auto"/>
        </w:rPr>
        <w:t>提出设计大气沉降影响的，可不考虑输出量。</w:t>
      </w:r>
    </w:p>
    <w:p>
      <w:pPr>
        <w:pStyle w:val="25"/>
        <w:spacing w:line="360" w:lineRule="auto"/>
        <w:ind w:left="1" w:firstLine="560"/>
        <w:jc w:val="center"/>
        <w:rPr>
          <w:rFonts w:ascii="Times New Roman" w:hAnsi="Times New Roman" w:cs="Times New Roman"/>
          <w:color w:val="auto"/>
          <w:sz w:val="28"/>
          <w:szCs w:val="24"/>
        </w:rPr>
      </w:pPr>
      <w:r>
        <w:rPr>
          <w:rFonts w:ascii="Times New Roman" w:hAnsi="Times New Roman" w:cs="Times New Roman"/>
          <w:color w:val="auto"/>
          <w:sz w:val="28"/>
          <w:szCs w:val="24"/>
        </w:rPr>
        <w:t>S=S</w:t>
      </w:r>
      <w:r>
        <w:rPr>
          <w:rFonts w:ascii="Times New Roman" w:hAnsi="Times New Roman" w:cs="Times New Roman"/>
          <w:color w:val="auto"/>
          <w:sz w:val="28"/>
          <w:szCs w:val="24"/>
          <w:vertAlign w:val="subscript"/>
        </w:rPr>
        <w:t>b</w:t>
      </w:r>
      <w:r>
        <w:rPr>
          <w:rFonts w:ascii="Times New Roman" w:hAnsi="Times New Roman" w:cs="Times New Roman"/>
          <w:color w:val="auto"/>
          <w:sz w:val="28"/>
          <w:szCs w:val="24"/>
        </w:rPr>
        <w:t>+∆S</w:t>
      </w:r>
    </w:p>
    <w:p>
      <w:pPr>
        <w:pStyle w:val="25"/>
        <w:spacing w:line="360" w:lineRule="auto"/>
        <w:ind w:left="240" w:leftChars="100" w:right="-142" w:firstLine="240" w:firstLineChars="100"/>
        <w:rPr>
          <w:rFonts w:ascii="Times New Roman" w:hAnsi="Times New Roman" w:cs="Times New Roman"/>
          <w:color w:val="auto"/>
        </w:rPr>
      </w:pPr>
      <w:r>
        <w:rPr>
          <w:rFonts w:ascii="Times New Roman" w:hAnsi="Times New Roman" w:eastAsia="Times New Roman" w:cs="Times New Roman"/>
          <w:color w:val="auto"/>
        </w:rPr>
        <w:t>S</w:t>
      </w:r>
      <w:r>
        <w:rPr>
          <w:rFonts w:ascii="Times New Roman" w:hAnsi="Times New Roman" w:eastAsia="Times New Roman" w:cs="Times New Roman"/>
          <w:color w:val="auto"/>
          <w:vertAlign w:val="subscript"/>
        </w:rPr>
        <w:t>b</w:t>
      </w:r>
      <w:r>
        <w:rPr>
          <w:rFonts w:ascii="Times New Roman" w:hAnsi="Times New Roman" w:eastAsia="Times New Roman" w:cs="Times New Roman"/>
          <w:color w:val="auto"/>
        </w:rPr>
        <w:t>——</w:t>
      </w:r>
      <w:r>
        <w:rPr>
          <w:rFonts w:ascii="Times New Roman" w:hAnsi="Times New Roman" w:cs="Times New Roman"/>
          <w:color w:val="auto"/>
        </w:rPr>
        <w:t>单位质量土壤中某种物质的现状值，</w:t>
      </w:r>
      <w:r>
        <w:rPr>
          <w:rFonts w:ascii="Times New Roman" w:hAnsi="Times New Roman" w:eastAsia="Times New Roman" w:cs="Times New Roman"/>
          <w:color w:val="auto"/>
        </w:rPr>
        <w:t>g/kg</w:t>
      </w:r>
      <w:r>
        <w:rPr>
          <w:rFonts w:ascii="Times New Roman" w:hAnsi="Times New Roman" w:cs="Times New Roman"/>
          <w:color w:val="auto"/>
        </w:rPr>
        <w:t>；</w:t>
      </w:r>
      <w:r>
        <w:rPr>
          <w:rFonts w:hint="eastAsia" w:ascii="Times New Roman" w:hAnsi="Times New Roman" w:cs="Times New Roman"/>
          <w:color w:val="auto"/>
        </w:rPr>
        <w:t>石油烃未检出；按检出限1</w:t>
      </w:r>
      <w:r>
        <w:rPr>
          <w:rFonts w:ascii="Times New Roman" w:hAnsi="Times New Roman" w:cs="Times New Roman"/>
          <w:color w:val="auto"/>
        </w:rPr>
        <w:t>00</w:t>
      </w:r>
      <w:r>
        <w:rPr>
          <w:rFonts w:hint="eastAsia" w:ascii="Times New Roman" w:hAnsi="Times New Roman" w:cs="Times New Roman"/>
          <w:color w:val="auto"/>
        </w:rPr>
        <w:t>mg</w:t>
      </w:r>
      <w:r>
        <w:rPr>
          <w:rFonts w:ascii="Times New Roman" w:hAnsi="Times New Roman" w:cs="Times New Roman"/>
          <w:color w:val="auto"/>
        </w:rPr>
        <w:t>/</w:t>
      </w:r>
      <w:r>
        <w:rPr>
          <w:rFonts w:hint="eastAsia" w:ascii="Times New Roman" w:hAnsi="Times New Roman" w:cs="Times New Roman"/>
          <w:color w:val="auto"/>
        </w:rPr>
        <w:t>kg的一半计。</w:t>
      </w:r>
      <w:r>
        <w:rPr>
          <w:rFonts w:ascii="Times New Roman" w:hAnsi="Times New Roman" w:cs="Times New Roman"/>
          <w:color w:val="auto"/>
        </w:rPr>
        <w:t xml:space="preserve"> </w:t>
      </w:r>
    </w:p>
    <w:p>
      <w:pPr>
        <w:pStyle w:val="25"/>
        <w:spacing w:line="360" w:lineRule="auto"/>
        <w:ind w:left="240" w:leftChars="100" w:right="2851" w:firstLine="240" w:firstLineChars="100"/>
        <w:rPr>
          <w:rFonts w:ascii="Times New Roman" w:hAnsi="Times New Roman" w:cs="Times New Roman"/>
          <w:color w:val="auto"/>
        </w:rPr>
      </w:pPr>
      <w:r>
        <w:rPr>
          <w:rFonts w:ascii="Times New Roman" w:hAnsi="Times New Roman" w:eastAsia="Times New Roman" w:cs="Times New Roman"/>
          <w:color w:val="auto"/>
        </w:rPr>
        <w:t>S——</w:t>
      </w:r>
      <w:r>
        <w:rPr>
          <w:rFonts w:ascii="Times New Roman" w:hAnsi="Times New Roman" w:cs="Times New Roman"/>
          <w:color w:val="auto"/>
        </w:rPr>
        <w:t>单位质量土壤中某种物质的预测值，</w:t>
      </w:r>
      <w:r>
        <w:rPr>
          <w:rFonts w:ascii="Times New Roman" w:hAnsi="Times New Roman" w:eastAsia="Times New Roman" w:cs="Times New Roman"/>
          <w:color w:val="auto"/>
        </w:rPr>
        <w:t>g/kg</w:t>
      </w:r>
      <w:r>
        <w:rPr>
          <w:rFonts w:ascii="Times New Roman" w:hAnsi="Times New Roman" w:cs="Times New Roman"/>
          <w:color w:val="auto"/>
        </w:rPr>
        <w:t>；</w:t>
      </w:r>
    </w:p>
    <w:p>
      <w:pPr>
        <w:pStyle w:val="1619"/>
        <w:tabs>
          <w:tab w:val="left" w:pos="1322"/>
        </w:tabs>
        <w:autoSpaceDE w:val="0"/>
        <w:autoSpaceDN w:val="0"/>
        <w:adjustRightInd/>
        <w:ind w:firstLineChars="0"/>
        <w:jc w:val="left"/>
        <w:rPr>
          <w:rFonts w:ascii="Times New Roman" w:hAnsi="Times New Roman" w:cs="Times New Roman"/>
          <w:color w:val="auto"/>
        </w:rPr>
      </w:pPr>
      <w:r>
        <w:rPr>
          <w:rFonts w:ascii="Times New Roman" w:hAnsi="Times New Roman" w:cs="Times New Roman"/>
          <w:color w:val="auto"/>
        </w:rPr>
        <w:t>（4）预测结果</w:t>
      </w:r>
    </w:p>
    <w:p>
      <w:pPr>
        <w:pStyle w:val="25"/>
        <w:spacing w:line="360" w:lineRule="auto"/>
        <w:ind w:left="240" w:right="236" w:firstLine="436"/>
        <w:rPr>
          <w:rFonts w:ascii="Times New Roman" w:hAnsi="Times New Roman" w:cs="Times New Roman"/>
          <w:color w:val="auto"/>
        </w:rPr>
      </w:pPr>
      <w:r>
        <w:rPr>
          <w:rFonts w:ascii="Times New Roman" w:hAnsi="Times New Roman" w:cs="Times New Roman"/>
          <w:color w:val="auto"/>
          <w:spacing w:val="-11"/>
        </w:rPr>
        <w:t xml:space="preserve">将相关参数带入上述公式，则可预测本项目投产 </w:t>
      </w:r>
      <w:r>
        <w:rPr>
          <w:rFonts w:ascii="Times New Roman" w:hAnsi="Times New Roman" w:eastAsia="Times New Roman" w:cs="Times New Roman"/>
          <w:color w:val="auto"/>
        </w:rPr>
        <w:t xml:space="preserve">n </w:t>
      </w:r>
      <w:r>
        <w:rPr>
          <w:rFonts w:ascii="Times New Roman" w:hAnsi="Times New Roman" w:cs="Times New Roman"/>
          <w:color w:val="auto"/>
          <w:spacing w:val="-2"/>
        </w:rPr>
        <w:t>年后土壤中石油烃的累积</w:t>
      </w:r>
      <w:r>
        <w:fldChar w:fldCharType="begin"/>
      </w:r>
      <w:r>
        <w:instrText xml:space="preserve"> HYPERLINK \l "_bookmark150" </w:instrText>
      </w:r>
      <w:r>
        <w:fldChar w:fldCharType="separate"/>
      </w:r>
      <w:r>
        <w:rPr>
          <w:rFonts w:ascii="Times New Roman" w:hAnsi="Times New Roman" w:cs="Times New Roman"/>
          <w:color w:val="auto"/>
          <w:spacing w:val="-1"/>
        </w:rPr>
        <w:t>量。具体计算参数和计算结果详见表</w:t>
      </w:r>
      <w:r>
        <w:rPr>
          <w:rFonts w:ascii="Times New Roman" w:hAnsi="Times New Roman" w:eastAsia="Times New Roman" w:cs="Times New Roman"/>
          <w:color w:val="auto"/>
        </w:rPr>
        <w:t>5.7-3</w:t>
      </w:r>
      <w:r>
        <w:rPr>
          <w:rFonts w:ascii="Times New Roman" w:hAnsi="Times New Roman" w:eastAsia="Times New Roman" w:cs="Times New Roman"/>
          <w:color w:val="auto"/>
        </w:rPr>
        <w:fldChar w:fldCharType="end"/>
      </w:r>
      <w:r>
        <w:rPr>
          <w:rFonts w:ascii="Times New Roman" w:hAnsi="Times New Roman" w:cs="Times New Roman"/>
          <w:color w:val="auto"/>
        </w:rPr>
        <w:t>。</w:t>
      </w:r>
    </w:p>
    <w:p>
      <w:pPr>
        <w:pStyle w:val="4"/>
        <w:tabs>
          <w:tab w:val="left" w:pos="1584"/>
        </w:tabs>
        <w:spacing w:line="236" w:lineRule="exact"/>
        <w:ind w:left="482"/>
        <w:jc w:val="center"/>
        <w:rPr>
          <w:rFonts w:ascii="Times New Roman" w:hAnsi="Times New Roman" w:cs="Times New Roman"/>
          <w:color w:val="auto"/>
          <w:sz w:val="21"/>
          <w:szCs w:val="21"/>
        </w:rPr>
      </w:pPr>
      <w:bookmarkStart w:id="466" w:name="_Toc102984391"/>
      <w:bookmarkStart w:id="467" w:name="_Toc104733422"/>
      <w:r>
        <w:rPr>
          <w:rFonts w:ascii="Times New Roman" w:hAnsi="Times New Roman" w:cs="Times New Roman"/>
          <w:color w:val="auto"/>
          <w:sz w:val="21"/>
          <w:szCs w:val="21"/>
        </w:rPr>
        <w:t>表</w:t>
      </w:r>
      <w:r>
        <w:rPr>
          <w:rFonts w:ascii="Times New Roman" w:hAnsi="Times New Roman" w:cs="Times New Roman"/>
          <w:color w:val="auto"/>
          <w:spacing w:val="1"/>
          <w:sz w:val="21"/>
          <w:szCs w:val="21"/>
        </w:rPr>
        <w:t xml:space="preserve"> </w:t>
      </w:r>
      <w:r>
        <w:rPr>
          <w:rFonts w:ascii="Times New Roman" w:hAnsi="Times New Roman" w:eastAsia="Times New Roman" w:cs="Times New Roman"/>
          <w:color w:val="auto"/>
          <w:sz w:val="21"/>
          <w:szCs w:val="21"/>
        </w:rPr>
        <w:t>5.7-3</w:t>
      </w:r>
      <w:r>
        <w:rPr>
          <w:rFonts w:ascii="Times New Roman" w:hAnsi="Times New Roman" w:eastAsia="Times New Roman" w:cs="Times New Roman"/>
          <w:color w:val="auto"/>
          <w:sz w:val="21"/>
          <w:szCs w:val="21"/>
        </w:rPr>
        <w:tab/>
      </w:r>
      <w:r>
        <w:rPr>
          <w:rFonts w:ascii="Times New Roman" w:hAnsi="Times New Roman" w:cs="Times New Roman"/>
          <w:color w:val="auto"/>
          <w:sz w:val="21"/>
          <w:szCs w:val="21"/>
        </w:rPr>
        <w:t>不同年份土壤中污染物累积影响预测表</w:t>
      </w:r>
      <w:bookmarkEnd w:id="466"/>
      <w:bookmarkEnd w:id="467"/>
    </w:p>
    <w:tbl>
      <w:tblPr>
        <w:tblStyle w:val="62"/>
        <w:tblW w:w="882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5078"/>
        <w:gridCol w:w="1730"/>
        <w:gridCol w:w="201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8" w:hRule="atLeast"/>
          <w:jc w:val="center"/>
        </w:trPr>
        <w:tc>
          <w:tcPr>
            <w:tcW w:w="5078" w:type="dxa"/>
            <w:vAlign w:val="center"/>
          </w:tcPr>
          <w:p>
            <w:pPr>
              <w:pStyle w:val="861"/>
              <w:widowControl w:val="0"/>
              <w:rPr>
                <w:szCs w:val="18"/>
              </w:rPr>
            </w:pPr>
            <w:r>
              <w:rPr>
                <w:szCs w:val="18"/>
              </w:rPr>
              <w:t>污染物</w:t>
            </w:r>
          </w:p>
        </w:tc>
        <w:tc>
          <w:tcPr>
            <w:tcW w:w="1730" w:type="dxa"/>
            <w:vAlign w:val="center"/>
          </w:tcPr>
          <w:p>
            <w:pPr>
              <w:pStyle w:val="861"/>
              <w:widowControl w:val="0"/>
              <w:rPr>
                <w:szCs w:val="18"/>
              </w:rPr>
            </w:pPr>
            <w:r>
              <w:rPr>
                <w:szCs w:val="18"/>
              </w:rPr>
              <w:t>∆S（石油烃）</w:t>
            </w:r>
          </w:p>
        </w:tc>
        <w:tc>
          <w:tcPr>
            <w:tcW w:w="2019" w:type="dxa"/>
            <w:vAlign w:val="center"/>
          </w:tcPr>
          <w:p>
            <w:pPr>
              <w:pStyle w:val="861"/>
              <w:widowControl w:val="0"/>
              <w:rPr>
                <w:szCs w:val="18"/>
              </w:rPr>
            </w:pPr>
            <w:r>
              <w:rPr>
                <w:szCs w:val="18"/>
              </w:rPr>
              <w:t>S（石油烃）</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87" w:hRule="atLeast"/>
          <w:jc w:val="center"/>
        </w:trPr>
        <w:tc>
          <w:tcPr>
            <w:tcW w:w="5078" w:type="dxa"/>
            <w:vAlign w:val="center"/>
          </w:tcPr>
          <w:p>
            <w:pPr>
              <w:pStyle w:val="861"/>
              <w:widowControl w:val="0"/>
              <w:rPr>
                <w:szCs w:val="18"/>
              </w:rPr>
            </w:pPr>
            <w:r>
              <w:rPr>
                <w:szCs w:val="18"/>
              </w:rPr>
              <w:t>5 年单位质量表层土壤中石油烃的增量∆S（g/kg)</w:t>
            </w:r>
          </w:p>
        </w:tc>
        <w:tc>
          <w:tcPr>
            <w:tcW w:w="1730" w:type="dxa"/>
            <w:vAlign w:val="bottom"/>
          </w:tcPr>
          <w:p>
            <w:pPr>
              <w:pStyle w:val="861"/>
              <w:widowControl w:val="0"/>
              <w:rPr>
                <w:szCs w:val="18"/>
              </w:rPr>
            </w:pPr>
            <w:r>
              <w:rPr>
                <w:rFonts w:hint="eastAsia"/>
                <w:color w:val="000000"/>
                <w:sz w:val="22"/>
                <w:szCs w:val="22"/>
              </w:rPr>
              <w:t>0.083482</w:t>
            </w:r>
          </w:p>
        </w:tc>
        <w:tc>
          <w:tcPr>
            <w:tcW w:w="2019" w:type="dxa"/>
            <w:vAlign w:val="bottom"/>
          </w:tcPr>
          <w:p>
            <w:pPr>
              <w:pStyle w:val="861"/>
              <w:widowControl w:val="0"/>
              <w:rPr>
                <w:color w:val="000000"/>
                <w:sz w:val="22"/>
                <w:szCs w:val="22"/>
              </w:rPr>
            </w:pPr>
            <w:r>
              <w:rPr>
                <w:rFonts w:hint="eastAsia"/>
                <w:color w:val="000000"/>
                <w:sz w:val="22"/>
                <w:szCs w:val="22"/>
              </w:rPr>
              <w:t>0.183482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1" w:hRule="atLeast"/>
          <w:jc w:val="center"/>
        </w:trPr>
        <w:tc>
          <w:tcPr>
            <w:tcW w:w="5078" w:type="dxa"/>
            <w:vAlign w:val="center"/>
          </w:tcPr>
          <w:p>
            <w:pPr>
              <w:pStyle w:val="861"/>
              <w:widowControl w:val="0"/>
              <w:rPr>
                <w:szCs w:val="18"/>
              </w:rPr>
            </w:pPr>
            <w:r>
              <w:rPr>
                <w:rFonts w:eastAsia="Times New Roman"/>
                <w:szCs w:val="18"/>
              </w:rPr>
              <w:t xml:space="preserve">10 </w:t>
            </w:r>
            <w:r>
              <w:rPr>
                <w:szCs w:val="18"/>
              </w:rPr>
              <w:t>年单位质量表层土壤中石油烃的增量</w:t>
            </w:r>
            <w:r>
              <w:rPr>
                <w:rFonts w:eastAsia="Times New Roman"/>
                <w:szCs w:val="18"/>
              </w:rPr>
              <w:t>∆S</w:t>
            </w:r>
            <w:r>
              <w:rPr>
                <w:szCs w:val="18"/>
              </w:rPr>
              <w:t>（</w:t>
            </w:r>
            <w:r>
              <w:rPr>
                <w:rFonts w:eastAsia="Times New Roman"/>
                <w:szCs w:val="18"/>
              </w:rPr>
              <w:t>g/kg)</w:t>
            </w:r>
          </w:p>
        </w:tc>
        <w:tc>
          <w:tcPr>
            <w:tcW w:w="1730" w:type="dxa"/>
            <w:vAlign w:val="bottom"/>
          </w:tcPr>
          <w:p>
            <w:pPr>
              <w:pStyle w:val="861"/>
              <w:widowControl w:val="0"/>
              <w:rPr>
                <w:szCs w:val="18"/>
              </w:rPr>
            </w:pPr>
            <w:r>
              <w:rPr>
                <w:rFonts w:hint="eastAsia"/>
                <w:color w:val="000000"/>
                <w:sz w:val="22"/>
                <w:szCs w:val="22"/>
              </w:rPr>
              <w:t>0.166997</w:t>
            </w:r>
          </w:p>
        </w:tc>
        <w:tc>
          <w:tcPr>
            <w:tcW w:w="2019" w:type="dxa"/>
            <w:vAlign w:val="bottom"/>
          </w:tcPr>
          <w:p>
            <w:pPr>
              <w:pStyle w:val="861"/>
              <w:widowControl w:val="0"/>
              <w:rPr>
                <w:color w:val="000000"/>
                <w:sz w:val="22"/>
                <w:szCs w:val="22"/>
              </w:rPr>
            </w:pPr>
            <w:r>
              <w:rPr>
                <w:rFonts w:hint="eastAsia"/>
                <w:color w:val="000000"/>
                <w:sz w:val="22"/>
                <w:szCs w:val="22"/>
              </w:rPr>
              <w:t>0.266997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1" w:hRule="atLeast"/>
          <w:jc w:val="center"/>
        </w:trPr>
        <w:tc>
          <w:tcPr>
            <w:tcW w:w="5078" w:type="dxa"/>
            <w:vAlign w:val="center"/>
          </w:tcPr>
          <w:p>
            <w:pPr>
              <w:pStyle w:val="861"/>
              <w:widowControl w:val="0"/>
              <w:rPr>
                <w:szCs w:val="18"/>
              </w:rPr>
            </w:pPr>
            <w:r>
              <w:rPr>
                <w:rFonts w:eastAsia="Times New Roman"/>
                <w:szCs w:val="18"/>
              </w:rPr>
              <w:t xml:space="preserve">15 </w:t>
            </w:r>
            <w:r>
              <w:rPr>
                <w:szCs w:val="18"/>
              </w:rPr>
              <w:t>年单位质量表层土壤中石油烃的增量</w:t>
            </w:r>
            <w:r>
              <w:rPr>
                <w:rFonts w:eastAsia="Times New Roman"/>
                <w:szCs w:val="18"/>
              </w:rPr>
              <w:t>∆S</w:t>
            </w:r>
            <w:r>
              <w:rPr>
                <w:szCs w:val="18"/>
              </w:rPr>
              <w:t>（</w:t>
            </w:r>
            <w:r>
              <w:rPr>
                <w:rFonts w:eastAsia="Times New Roman"/>
                <w:szCs w:val="18"/>
              </w:rPr>
              <w:t>g/kg)</w:t>
            </w:r>
          </w:p>
        </w:tc>
        <w:tc>
          <w:tcPr>
            <w:tcW w:w="1730" w:type="dxa"/>
            <w:vAlign w:val="bottom"/>
          </w:tcPr>
          <w:p>
            <w:pPr>
              <w:pStyle w:val="861"/>
              <w:widowControl w:val="0"/>
              <w:rPr>
                <w:szCs w:val="18"/>
              </w:rPr>
            </w:pPr>
            <w:r>
              <w:rPr>
                <w:rFonts w:hint="eastAsia"/>
                <w:color w:val="000000"/>
                <w:sz w:val="22"/>
                <w:szCs w:val="22"/>
              </w:rPr>
              <w:t>0.250479</w:t>
            </w:r>
          </w:p>
        </w:tc>
        <w:tc>
          <w:tcPr>
            <w:tcW w:w="2019" w:type="dxa"/>
            <w:vAlign w:val="bottom"/>
          </w:tcPr>
          <w:p>
            <w:pPr>
              <w:pStyle w:val="861"/>
              <w:widowControl w:val="0"/>
              <w:rPr>
                <w:color w:val="000000"/>
                <w:sz w:val="22"/>
                <w:szCs w:val="22"/>
              </w:rPr>
            </w:pPr>
            <w:r>
              <w:rPr>
                <w:rFonts w:hint="eastAsia"/>
                <w:color w:val="000000"/>
                <w:sz w:val="22"/>
                <w:szCs w:val="22"/>
              </w:rPr>
              <w:t>0.350479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1" w:hRule="atLeast"/>
          <w:jc w:val="center"/>
        </w:trPr>
        <w:tc>
          <w:tcPr>
            <w:tcW w:w="5078" w:type="dxa"/>
            <w:vAlign w:val="center"/>
          </w:tcPr>
          <w:p>
            <w:pPr>
              <w:pStyle w:val="861"/>
              <w:widowControl w:val="0"/>
              <w:rPr>
                <w:szCs w:val="18"/>
              </w:rPr>
            </w:pPr>
            <w:r>
              <w:rPr>
                <w:rFonts w:eastAsia="Times New Roman"/>
                <w:szCs w:val="18"/>
              </w:rPr>
              <w:t xml:space="preserve">20 </w:t>
            </w:r>
            <w:r>
              <w:rPr>
                <w:szCs w:val="18"/>
              </w:rPr>
              <w:t>年单位质量表层土壤中石油烃的增量</w:t>
            </w:r>
            <w:r>
              <w:rPr>
                <w:rFonts w:eastAsia="Times New Roman"/>
                <w:szCs w:val="18"/>
              </w:rPr>
              <w:t>∆S</w:t>
            </w:r>
            <w:r>
              <w:rPr>
                <w:szCs w:val="18"/>
              </w:rPr>
              <w:t>（</w:t>
            </w:r>
            <w:r>
              <w:rPr>
                <w:rFonts w:eastAsia="Times New Roman"/>
                <w:szCs w:val="18"/>
              </w:rPr>
              <w:t>g/kg)</w:t>
            </w:r>
          </w:p>
        </w:tc>
        <w:tc>
          <w:tcPr>
            <w:tcW w:w="1730" w:type="dxa"/>
            <w:vAlign w:val="bottom"/>
          </w:tcPr>
          <w:p>
            <w:pPr>
              <w:pStyle w:val="861"/>
              <w:widowControl w:val="0"/>
              <w:rPr>
                <w:szCs w:val="18"/>
              </w:rPr>
            </w:pPr>
            <w:r>
              <w:rPr>
                <w:rFonts w:hint="eastAsia"/>
                <w:color w:val="000000"/>
                <w:sz w:val="22"/>
                <w:szCs w:val="22"/>
              </w:rPr>
              <w:t>0.333994</w:t>
            </w:r>
          </w:p>
        </w:tc>
        <w:tc>
          <w:tcPr>
            <w:tcW w:w="2019" w:type="dxa"/>
            <w:vAlign w:val="bottom"/>
          </w:tcPr>
          <w:p>
            <w:pPr>
              <w:pStyle w:val="861"/>
              <w:widowControl w:val="0"/>
              <w:rPr>
                <w:color w:val="000000"/>
                <w:sz w:val="22"/>
                <w:szCs w:val="22"/>
              </w:rPr>
            </w:pPr>
            <w:r>
              <w:rPr>
                <w:rFonts w:hint="eastAsia"/>
                <w:color w:val="000000"/>
                <w:sz w:val="22"/>
                <w:szCs w:val="22"/>
              </w:rPr>
              <w:t>0.433994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1" w:hRule="atLeast"/>
          <w:jc w:val="center"/>
        </w:trPr>
        <w:tc>
          <w:tcPr>
            <w:tcW w:w="5078" w:type="dxa"/>
            <w:vAlign w:val="center"/>
          </w:tcPr>
          <w:p>
            <w:pPr>
              <w:pStyle w:val="861"/>
              <w:widowControl w:val="0"/>
              <w:rPr>
                <w:szCs w:val="18"/>
              </w:rPr>
            </w:pPr>
            <w:r>
              <w:rPr>
                <w:rFonts w:eastAsia="Times New Roman"/>
                <w:szCs w:val="18"/>
              </w:rPr>
              <w:t xml:space="preserve">25 </w:t>
            </w:r>
            <w:r>
              <w:rPr>
                <w:szCs w:val="18"/>
              </w:rPr>
              <w:t>年单位质量表层土壤中石油烃的增量</w:t>
            </w:r>
            <w:r>
              <w:rPr>
                <w:rFonts w:eastAsia="Times New Roman"/>
                <w:szCs w:val="18"/>
              </w:rPr>
              <w:t>∆S</w:t>
            </w:r>
            <w:r>
              <w:rPr>
                <w:szCs w:val="18"/>
              </w:rPr>
              <w:t>（</w:t>
            </w:r>
            <w:r>
              <w:rPr>
                <w:rFonts w:eastAsia="Times New Roman"/>
                <w:szCs w:val="18"/>
              </w:rPr>
              <w:t>g/kg)</w:t>
            </w:r>
          </w:p>
        </w:tc>
        <w:tc>
          <w:tcPr>
            <w:tcW w:w="1730" w:type="dxa"/>
            <w:vAlign w:val="bottom"/>
          </w:tcPr>
          <w:p>
            <w:pPr>
              <w:pStyle w:val="861"/>
              <w:widowControl w:val="0"/>
              <w:rPr>
                <w:szCs w:val="18"/>
              </w:rPr>
            </w:pPr>
            <w:r>
              <w:rPr>
                <w:rFonts w:hint="eastAsia"/>
                <w:color w:val="000000"/>
                <w:sz w:val="22"/>
                <w:szCs w:val="22"/>
              </w:rPr>
              <w:t>0.417476</w:t>
            </w:r>
          </w:p>
        </w:tc>
        <w:tc>
          <w:tcPr>
            <w:tcW w:w="2019" w:type="dxa"/>
            <w:vAlign w:val="bottom"/>
          </w:tcPr>
          <w:p>
            <w:pPr>
              <w:pStyle w:val="861"/>
              <w:widowControl w:val="0"/>
              <w:rPr>
                <w:color w:val="000000"/>
                <w:sz w:val="22"/>
                <w:szCs w:val="22"/>
              </w:rPr>
            </w:pPr>
            <w:r>
              <w:rPr>
                <w:rFonts w:hint="eastAsia"/>
                <w:color w:val="000000"/>
                <w:sz w:val="22"/>
                <w:szCs w:val="22"/>
              </w:rPr>
              <w:t>0.517476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1" w:hRule="atLeast"/>
          <w:jc w:val="center"/>
        </w:trPr>
        <w:tc>
          <w:tcPr>
            <w:tcW w:w="5078" w:type="dxa"/>
            <w:vAlign w:val="center"/>
          </w:tcPr>
          <w:p>
            <w:pPr>
              <w:pStyle w:val="861"/>
              <w:widowControl w:val="0"/>
              <w:rPr>
                <w:szCs w:val="18"/>
              </w:rPr>
            </w:pPr>
            <w:r>
              <w:rPr>
                <w:rFonts w:eastAsia="Times New Roman"/>
                <w:szCs w:val="18"/>
              </w:rPr>
              <w:t xml:space="preserve">30 </w:t>
            </w:r>
            <w:r>
              <w:rPr>
                <w:szCs w:val="18"/>
              </w:rPr>
              <w:t>年单位质量表层土壤中石油烃的增量</w:t>
            </w:r>
            <w:r>
              <w:rPr>
                <w:rFonts w:eastAsia="Times New Roman"/>
                <w:szCs w:val="18"/>
              </w:rPr>
              <w:t>∆S</w:t>
            </w:r>
            <w:r>
              <w:rPr>
                <w:szCs w:val="18"/>
              </w:rPr>
              <w:t>（</w:t>
            </w:r>
            <w:r>
              <w:rPr>
                <w:rFonts w:eastAsia="Times New Roman"/>
                <w:szCs w:val="18"/>
              </w:rPr>
              <w:t>g/kg)</w:t>
            </w:r>
          </w:p>
        </w:tc>
        <w:tc>
          <w:tcPr>
            <w:tcW w:w="1730" w:type="dxa"/>
            <w:vAlign w:val="bottom"/>
          </w:tcPr>
          <w:p>
            <w:pPr>
              <w:pStyle w:val="861"/>
              <w:widowControl w:val="0"/>
              <w:rPr>
                <w:szCs w:val="18"/>
              </w:rPr>
            </w:pPr>
            <w:r>
              <w:rPr>
                <w:rFonts w:hint="eastAsia"/>
                <w:color w:val="000000"/>
                <w:sz w:val="22"/>
                <w:szCs w:val="22"/>
              </w:rPr>
              <w:t>0.500991</w:t>
            </w:r>
          </w:p>
        </w:tc>
        <w:tc>
          <w:tcPr>
            <w:tcW w:w="2019" w:type="dxa"/>
            <w:vAlign w:val="bottom"/>
          </w:tcPr>
          <w:p>
            <w:pPr>
              <w:pStyle w:val="861"/>
              <w:widowControl w:val="0"/>
              <w:rPr>
                <w:color w:val="000000"/>
                <w:sz w:val="22"/>
                <w:szCs w:val="22"/>
              </w:rPr>
            </w:pPr>
            <w:r>
              <w:rPr>
                <w:rFonts w:hint="eastAsia"/>
                <w:color w:val="000000"/>
                <w:sz w:val="22"/>
                <w:szCs w:val="22"/>
              </w:rPr>
              <w:t>0.600991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1" w:hRule="atLeast"/>
          <w:jc w:val="center"/>
        </w:trPr>
        <w:tc>
          <w:tcPr>
            <w:tcW w:w="5078" w:type="dxa"/>
            <w:vAlign w:val="center"/>
          </w:tcPr>
          <w:p>
            <w:pPr>
              <w:pStyle w:val="861"/>
              <w:widowControl w:val="0"/>
              <w:rPr>
                <w:szCs w:val="18"/>
              </w:rPr>
            </w:pPr>
            <w:r>
              <w:rPr>
                <w:rFonts w:eastAsia="Times New Roman"/>
                <w:szCs w:val="18"/>
              </w:rPr>
              <w:t xml:space="preserve">35 </w:t>
            </w:r>
            <w:r>
              <w:rPr>
                <w:szCs w:val="18"/>
              </w:rPr>
              <w:t>年单位质量表层土壤中石油烃的增量</w:t>
            </w:r>
            <w:r>
              <w:rPr>
                <w:rFonts w:eastAsia="Times New Roman"/>
                <w:szCs w:val="18"/>
              </w:rPr>
              <w:t>∆S</w:t>
            </w:r>
            <w:r>
              <w:rPr>
                <w:szCs w:val="18"/>
              </w:rPr>
              <w:t>（</w:t>
            </w:r>
            <w:r>
              <w:rPr>
                <w:rFonts w:eastAsia="Times New Roman"/>
                <w:szCs w:val="18"/>
              </w:rPr>
              <w:t>g/kg)</w:t>
            </w:r>
          </w:p>
        </w:tc>
        <w:tc>
          <w:tcPr>
            <w:tcW w:w="1730" w:type="dxa"/>
            <w:vAlign w:val="bottom"/>
          </w:tcPr>
          <w:p>
            <w:pPr>
              <w:pStyle w:val="861"/>
              <w:widowControl w:val="0"/>
              <w:rPr>
                <w:szCs w:val="18"/>
              </w:rPr>
            </w:pPr>
            <w:r>
              <w:rPr>
                <w:rFonts w:hint="eastAsia"/>
                <w:color w:val="000000"/>
                <w:sz w:val="22"/>
                <w:szCs w:val="22"/>
              </w:rPr>
              <w:t>0.584473</w:t>
            </w:r>
          </w:p>
        </w:tc>
        <w:tc>
          <w:tcPr>
            <w:tcW w:w="2019" w:type="dxa"/>
            <w:vAlign w:val="bottom"/>
          </w:tcPr>
          <w:p>
            <w:pPr>
              <w:pStyle w:val="861"/>
              <w:widowControl w:val="0"/>
              <w:rPr>
                <w:color w:val="000000"/>
                <w:sz w:val="22"/>
                <w:szCs w:val="22"/>
              </w:rPr>
            </w:pPr>
            <w:r>
              <w:rPr>
                <w:rFonts w:hint="eastAsia"/>
                <w:color w:val="000000"/>
                <w:sz w:val="22"/>
                <w:szCs w:val="22"/>
              </w:rPr>
              <w:t>0.684473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1" w:hRule="atLeast"/>
          <w:jc w:val="center"/>
        </w:trPr>
        <w:tc>
          <w:tcPr>
            <w:tcW w:w="5078" w:type="dxa"/>
            <w:vAlign w:val="center"/>
          </w:tcPr>
          <w:p>
            <w:pPr>
              <w:pStyle w:val="861"/>
              <w:widowControl w:val="0"/>
              <w:rPr>
                <w:szCs w:val="18"/>
              </w:rPr>
            </w:pPr>
            <w:r>
              <w:rPr>
                <w:rFonts w:eastAsia="Times New Roman"/>
                <w:szCs w:val="18"/>
              </w:rPr>
              <w:t xml:space="preserve">40 </w:t>
            </w:r>
            <w:r>
              <w:rPr>
                <w:szCs w:val="18"/>
              </w:rPr>
              <w:t>年单位质量表层土壤中石油烃的增量</w:t>
            </w:r>
            <w:r>
              <w:rPr>
                <w:rFonts w:eastAsia="Times New Roman"/>
                <w:szCs w:val="18"/>
              </w:rPr>
              <w:t>∆S</w:t>
            </w:r>
            <w:r>
              <w:rPr>
                <w:szCs w:val="18"/>
              </w:rPr>
              <w:t>（</w:t>
            </w:r>
            <w:r>
              <w:rPr>
                <w:rFonts w:eastAsia="Times New Roman"/>
                <w:szCs w:val="18"/>
              </w:rPr>
              <w:t>g/kg)</w:t>
            </w:r>
          </w:p>
        </w:tc>
        <w:tc>
          <w:tcPr>
            <w:tcW w:w="1730" w:type="dxa"/>
            <w:vAlign w:val="bottom"/>
          </w:tcPr>
          <w:p>
            <w:pPr>
              <w:pStyle w:val="861"/>
              <w:widowControl w:val="0"/>
              <w:rPr>
                <w:szCs w:val="18"/>
              </w:rPr>
            </w:pPr>
            <w:r>
              <w:rPr>
                <w:rFonts w:hint="eastAsia"/>
                <w:color w:val="000000"/>
                <w:sz w:val="22"/>
                <w:szCs w:val="22"/>
              </w:rPr>
              <w:t>0.667988</w:t>
            </w:r>
          </w:p>
        </w:tc>
        <w:tc>
          <w:tcPr>
            <w:tcW w:w="2019" w:type="dxa"/>
            <w:vAlign w:val="bottom"/>
          </w:tcPr>
          <w:p>
            <w:pPr>
              <w:pStyle w:val="861"/>
              <w:widowControl w:val="0"/>
              <w:rPr>
                <w:color w:val="000000"/>
                <w:sz w:val="22"/>
                <w:szCs w:val="22"/>
              </w:rPr>
            </w:pPr>
            <w:r>
              <w:rPr>
                <w:rFonts w:hint="eastAsia"/>
                <w:color w:val="000000"/>
                <w:sz w:val="22"/>
                <w:szCs w:val="22"/>
              </w:rPr>
              <w:t>0.767988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1" w:hRule="atLeast"/>
          <w:jc w:val="center"/>
        </w:trPr>
        <w:tc>
          <w:tcPr>
            <w:tcW w:w="5078" w:type="dxa"/>
            <w:vAlign w:val="center"/>
          </w:tcPr>
          <w:p>
            <w:pPr>
              <w:pStyle w:val="861"/>
              <w:widowControl w:val="0"/>
              <w:rPr>
                <w:szCs w:val="18"/>
              </w:rPr>
            </w:pPr>
            <w:r>
              <w:rPr>
                <w:rFonts w:eastAsia="Times New Roman"/>
                <w:szCs w:val="18"/>
              </w:rPr>
              <w:t xml:space="preserve">45 </w:t>
            </w:r>
            <w:r>
              <w:rPr>
                <w:szCs w:val="18"/>
              </w:rPr>
              <w:t>年单位质量表层土壤中石油烃的增量</w:t>
            </w:r>
            <w:r>
              <w:rPr>
                <w:rFonts w:eastAsia="Times New Roman"/>
                <w:szCs w:val="18"/>
              </w:rPr>
              <w:t>∆S</w:t>
            </w:r>
            <w:r>
              <w:rPr>
                <w:szCs w:val="18"/>
              </w:rPr>
              <w:t>（</w:t>
            </w:r>
            <w:r>
              <w:rPr>
                <w:rFonts w:eastAsia="Times New Roman"/>
                <w:szCs w:val="18"/>
              </w:rPr>
              <w:t>g/kg)</w:t>
            </w:r>
          </w:p>
        </w:tc>
        <w:tc>
          <w:tcPr>
            <w:tcW w:w="1730" w:type="dxa"/>
            <w:vAlign w:val="bottom"/>
          </w:tcPr>
          <w:p>
            <w:pPr>
              <w:pStyle w:val="861"/>
              <w:widowControl w:val="0"/>
              <w:rPr>
                <w:szCs w:val="18"/>
              </w:rPr>
            </w:pPr>
            <w:r>
              <w:rPr>
                <w:rFonts w:hint="eastAsia"/>
                <w:color w:val="000000"/>
                <w:sz w:val="22"/>
                <w:szCs w:val="22"/>
              </w:rPr>
              <w:t>0.75147</w:t>
            </w:r>
          </w:p>
        </w:tc>
        <w:tc>
          <w:tcPr>
            <w:tcW w:w="2019" w:type="dxa"/>
            <w:vAlign w:val="bottom"/>
          </w:tcPr>
          <w:p>
            <w:pPr>
              <w:pStyle w:val="861"/>
              <w:widowControl w:val="0"/>
              <w:rPr>
                <w:color w:val="000000"/>
                <w:sz w:val="22"/>
                <w:szCs w:val="22"/>
              </w:rPr>
            </w:pPr>
            <w:r>
              <w:rPr>
                <w:rFonts w:hint="eastAsia"/>
                <w:color w:val="000000"/>
                <w:sz w:val="22"/>
                <w:szCs w:val="22"/>
              </w:rPr>
              <w:t>0.85147</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1" w:hRule="atLeast"/>
          <w:jc w:val="center"/>
        </w:trPr>
        <w:tc>
          <w:tcPr>
            <w:tcW w:w="5078" w:type="dxa"/>
            <w:vAlign w:val="center"/>
          </w:tcPr>
          <w:p>
            <w:pPr>
              <w:pStyle w:val="861"/>
              <w:widowControl w:val="0"/>
              <w:rPr>
                <w:szCs w:val="18"/>
              </w:rPr>
            </w:pPr>
            <w:r>
              <w:rPr>
                <w:rFonts w:eastAsia="Times New Roman"/>
                <w:szCs w:val="18"/>
              </w:rPr>
              <w:t xml:space="preserve">50 </w:t>
            </w:r>
            <w:r>
              <w:rPr>
                <w:szCs w:val="18"/>
              </w:rPr>
              <w:t>年单位质量表层土壤中石油烃的增量</w:t>
            </w:r>
            <w:r>
              <w:rPr>
                <w:rFonts w:eastAsia="Times New Roman"/>
                <w:szCs w:val="18"/>
              </w:rPr>
              <w:t>∆S</w:t>
            </w:r>
            <w:r>
              <w:rPr>
                <w:szCs w:val="18"/>
              </w:rPr>
              <w:t>（</w:t>
            </w:r>
            <w:r>
              <w:rPr>
                <w:rFonts w:eastAsia="Times New Roman"/>
                <w:szCs w:val="18"/>
              </w:rPr>
              <w:t>g/kg)</w:t>
            </w:r>
          </w:p>
        </w:tc>
        <w:tc>
          <w:tcPr>
            <w:tcW w:w="1730" w:type="dxa"/>
            <w:vAlign w:val="bottom"/>
          </w:tcPr>
          <w:p>
            <w:pPr>
              <w:pStyle w:val="861"/>
              <w:widowControl w:val="0"/>
              <w:rPr>
                <w:szCs w:val="18"/>
              </w:rPr>
            </w:pPr>
            <w:r>
              <w:rPr>
                <w:rFonts w:hint="eastAsia"/>
                <w:color w:val="000000"/>
                <w:sz w:val="22"/>
                <w:szCs w:val="22"/>
              </w:rPr>
              <w:t>0.834985</w:t>
            </w:r>
          </w:p>
        </w:tc>
        <w:tc>
          <w:tcPr>
            <w:tcW w:w="2019" w:type="dxa"/>
            <w:vAlign w:val="bottom"/>
          </w:tcPr>
          <w:p>
            <w:pPr>
              <w:pStyle w:val="861"/>
              <w:widowControl w:val="0"/>
              <w:rPr>
                <w:color w:val="000000"/>
                <w:sz w:val="22"/>
                <w:szCs w:val="22"/>
              </w:rPr>
            </w:pPr>
            <w:r>
              <w:rPr>
                <w:rFonts w:hint="eastAsia"/>
                <w:color w:val="000000"/>
                <w:sz w:val="22"/>
                <w:szCs w:val="22"/>
              </w:rPr>
              <w:t>0.934985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6" w:hRule="atLeast"/>
          <w:jc w:val="center"/>
        </w:trPr>
        <w:tc>
          <w:tcPr>
            <w:tcW w:w="5078" w:type="dxa"/>
            <w:vAlign w:val="center"/>
          </w:tcPr>
          <w:p>
            <w:pPr>
              <w:pStyle w:val="861"/>
              <w:widowControl w:val="0"/>
              <w:rPr>
                <w:szCs w:val="18"/>
              </w:rPr>
            </w:pPr>
            <w:r>
              <w:rPr>
                <w:szCs w:val="18"/>
              </w:rPr>
              <w:t>评价标准</w:t>
            </w:r>
            <w:r>
              <w:rPr>
                <w:rFonts w:eastAsia="Times New Roman"/>
                <w:szCs w:val="18"/>
              </w:rPr>
              <w:t>(mg/kg)</w:t>
            </w:r>
          </w:p>
        </w:tc>
        <w:tc>
          <w:tcPr>
            <w:tcW w:w="3749" w:type="dxa"/>
            <w:gridSpan w:val="2"/>
            <w:vAlign w:val="center"/>
          </w:tcPr>
          <w:p>
            <w:pPr>
              <w:pStyle w:val="861"/>
              <w:widowControl w:val="0"/>
              <w:rPr>
                <w:szCs w:val="18"/>
              </w:rPr>
            </w:pPr>
            <w:r>
              <w:rPr>
                <w:szCs w:val="18"/>
              </w:rPr>
              <w:t>4500</w:t>
            </w:r>
          </w:p>
        </w:tc>
      </w:tr>
    </w:tbl>
    <w:p>
      <w:pPr>
        <w:spacing w:before="166" w:beforeLines="50"/>
        <w:ind w:firstLine="480"/>
        <w:rPr>
          <w:rFonts w:ascii="Times New Roman" w:hAnsi="Times New Roman" w:cs="Times New Roman"/>
          <w:color w:val="auto"/>
        </w:rPr>
      </w:pPr>
      <w:r>
        <w:rPr>
          <w:rFonts w:ascii="Times New Roman" w:hAnsi="Times New Roman" w:cs="Times New Roman"/>
          <w:color w:val="auto"/>
        </w:rPr>
        <w:t>由上表可以看出，随着外来气源性石油烃输入时间的延长，在土壤中的累积量逐步增加，但累积增加量很小。由预测数据可知，项目运营 5~50年后周围影响区域土壤中石油烃累积量</w:t>
      </w:r>
      <w:r>
        <w:rPr>
          <w:rFonts w:hint="eastAsia" w:ascii="Times New Roman" w:hAnsi="Times New Roman" w:cs="Times New Roman"/>
          <w:color w:val="auto"/>
        </w:rPr>
        <w:t>均</w:t>
      </w:r>
      <w:r>
        <w:rPr>
          <w:rFonts w:ascii="Times New Roman" w:hAnsi="Times New Roman" w:cs="Times New Roman"/>
          <w:color w:val="auto"/>
        </w:rPr>
        <w:t>小于《土壤环境质量 建设用地土壤污染风险管控标准（试行）》（GB15618-2018）。</w:t>
      </w:r>
    </w:p>
    <w:p>
      <w:pPr>
        <w:ind w:firstLine="0" w:firstLineChars="0"/>
        <w:jc w:val="left"/>
        <w:outlineLvl w:val="3"/>
        <w:rPr>
          <w:rFonts w:ascii="Times New Roman" w:hAnsi="Times New Roman" w:cs="Times New Roman"/>
          <w:b/>
          <w:bCs/>
          <w:color w:val="auto"/>
          <w:lang w:val="zh-CN"/>
        </w:rPr>
      </w:pPr>
      <w:r>
        <w:rPr>
          <w:rFonts w:ascii="Times New Roman" w:hAnsi="Times New Roman" w:cs="Times New Roman"/>
          <w:b/>
          <w:bCs/>
          <w:color w:val="auto"/>
        </w:rPr>
        <w:t>5.7.2.2</w:t>
      </w:r>
      <w:r>
        <w:rPr>
          <w:rFonts w:ascii="Times New Roman" w:hAnsi="Times New Roman" w:cs="Times New Roman"/>
          <w:b/>
          <w:bCs/>
          <w:color w:val="auto"/>
          <w:szCs w:val="24"/>
          <w:lang w:val="zh-CN"/>
        </w:rPr>
        <w:t>垂直入渗</w:t>
      </w:r>
      <w:r>
        <w:rPr>
          <w:rFonts w:ascii="Times New Roman" w:hAnsi="Times New Roman" w:cs="Times New Roman"/>
          <w:b/>
          <w:bCs/>
          <w:color w:val="auto"/>
          <w:lang w:val="zh-CN"/>
        </w:rPr>
        <w:t>土壤环境影响预测与评价</w:t>
      </w:r>
    </w:p>
    <w:p>
      <w:pPr>
        <w:ind w:firstLine="480"/>
        <w:rPr>
          <w:rFonts w:ascii="Times New Roman" w:hAnsi="Times New Roman" w:cs="Times New Roman"/>
          <w:color w:val="auto"/>
          <w:szCs w:val="24"/>
          <w:lang w:val="zh-CN"/>
        </w:rPr>
      </w:pPr>
      <w:r>
        <w:rPr>
          <w:rFonts w:ascii="Times New Roman" w:hAnsi="Times New Roman" w:cs="Times New Roman"/>
          <w:color w:val="auto"/>
          <w:szCs w:val="24"/>
          <w:lang w:val="zh-CN"/>
        </w:rPr>
        <w:t>本项目实施后，由于严格按照要求采取防渗措施，在正常工况下不会发生废水泄漏进入土壤。因此，垂直入渗造成土壤污染主要为事故工况下，废水垂直入渗进入土壤，本项目废水特征</w:t>
      </w:r>
      <w:r>
        <w:rPr>
          <w:rFonts w:hint="eastAsia" w:ascii="Times New Roman" w:hAnsi="Times New Roman" w:cs="Times New Roman"/>
          <w:color w:val="auto"/>
          <w:szCs w:val="24"/>
          <w:lang w:val="zh-CN"/>
        </w:rPr>
        <w:t>为</w:t>
      </w:r>
      <w:r>
        <w:rPr>
          <w:rFonts w:ascii="Times New Roman" w:hAnsi="Times New Roman" w:cs="Times New Roman"/>
          <w:color w:val="auto"/>
          <w:szCs w:val="24"/>
          <w:lang w:val="zh-CN"/>
        </w:rPr>
        <w:t>石油类浓度较高，评价选取分析废水中的</w:t>
      </w:r>
      <w:r>
        <w:rPr>
          <w:rFonts w:ascii="Times New Roman" w:hAnsi="Times New Roman" w:cs="Times New Roman"/>
          <w:color w:val="auto"/>
          <w:szCs w:val="24"/>
        </w:rPr>
        <w:t>石油烃垂直入渗</w:t>
      </w:r>
      <w:r>
        <w:rPr>
          <w:rFonts w:ascii="Times New Roman" w:hAnsi="Times New Roman" w:cs="Times New Roman"/>
          <w:color w:val="auto"/>
          <w:szCs w:val="24"/>
          <w:lang w:val="zh-CN"/>
        </w:rPr>
        <w:t>对土壤环境造成的影响。</w:t>
      </w:r>
    </w:p>
    <w:p>
      <w:pPr>
        <w:adjustRightInd/>
        <w:ind w:firstLine="480"/>
        <w:rPr>
          <w:rFonts w:ascii="Times New Roman" w:hAnsi="Times New Roman" w:cs="Times New Roman"/>
          <w:szCs w:val="24"/>
        </w:rPr>
      </w:pPr>
      <w:r>
        <w:rPr>
          <w:rFonts w:ascii="Times New Roman" w:hAnsi="Times New Roman" w:cs="Times New Roman"/>
          <w:szCs w:val="24"/>
        </w:rPr>
        <w:t>（1）情景设置</w:t>
      </w:r>
    </w:p>
    <w:p>
      <w:pPr>
        <w:adjustRightInd/>
        <w:ind w:firstLine="480"/>
        <w:rPr>
          <w:rFonts w:ascii="Times New Roman" w:hAnsi="Times New Roman" w:cs="Times New Roman"/>
          <w:szCs w:val="24"/>
        </w:rPr>
      </w:pPr>
      <w:r>
        <w:rPr>
          <w:rFonts w:ascii="Times New Roman" w:hAnsi="Times New Roman" w:cs="Times New Roman"/>
          <w:color w:val="auto"/>
          <w:szCs w:val="24"/>
          <w:lang w:val="zh-CN"/>
        </w:rPr>
        <w:t>本项目实施后，由于严格按照要求采取防渗措施，在正常工况下不会发生废水泄漏进入土壤。因此，垂直入渗造成土壤污染主要为事故工况下，废水垂直入渗进入土壤，废水中的</w:t>
      </w:r>
      <w:r>
        <w:rPr>
          <w:rFonts w:ascii="Times New Roman" w:hAnsi="Times New Roman" w:cs="Times New Roman"/>
          <w:color w:val="auto"/>
          <w:szCs w:val="24"/>
        </w:rPr>
        <w:t>石油烃</w:t>
      </w:r>
      <w:r>
        <w:rPr>
          <w:rFonts w:ascii="Times New Roman" w:hAnsi="Times New Roman" w:cs="Times New Roman"/>
          <w:color w:val="auto"/>
          <w:szCs w:val="24"/>
          <w:lang w:val="zh-CN"/>
        </w:rPr>
        <w:t>等污染因子对土壤环境造成的影响</w:t>
      </w:r>
      <w:r>
        <w:rPr>
          <w:rFonts w:ascii="Times New Roman" w:hAnsi="Times New Roman" w:cs="Times New Roman"/>
          <w:szCs w:val="24"/>
        </w:rPr>
        <w:t>。本次评价将</w:t>
      </w:r>
      <w:r>
        <w:rPr>
          <w:rFonts w:ascii="Times New Roman" w:hAnsi="Times New Roman" w:cs="Times New Roman"/>
          <w:color w:val="auto"/>
          <w:szCs w:val="24"/>
        </w:rPr>
        <w:t>密闭式含油污水收集池</w:t>
      </w:r>
      <w:r>
        <w:rPr>
          <w:rFonts w:ascii="Times New Roman" w:hAnsi="Times New Roman" w:cs="Times New Roman"/>
          <w:szCs w:val="24"/>
        </w:rPr>
        <w:t>设定为非正常工况进行预测。</w:t>
      </w:r>
    </w:p>
    <w:p>
      <w:pPr>
        <w:adjustRightInd/>
        <w:ind w:firstLine="480"/>
        <w:rPr>
          <w:rFonts w:ascii="Times New Roman" w:hAnsi="Times New Roman" w:cs="Times New Roman"/>
          <w:szCs w:val="24"/>
        </w:rPr>
      </w:pPr>
      <w:r>
        <w:rPr>
          <w:rFonts w:ascii="Times New Roman" w:hAnsi="Times New Roman" w:cs="Times New Roman"/>
          <w:szCs w:val="24"/>
        </w:rPr>
        <w:t>（2）渗漏源强设定</w:t>
      </w:r>
    </w:p>
    <w:p>
      <w:pPr>
        <w:adjustRightInd/>
        <w:ind w:firstLine="480"/>
        <w:rPr>
          <w:rFonts w:ascii="Times New Roman" w:hAnsi="Times New Roman" w:cs="Times New Roman"/>
          <w:color w:val="auto"/>
          <w:szCs w:val="24"/>
          <w:highlight w:val="yellow"/>
        </w:rPr>
      </w:pPr>
      <w:r>
        <w:rPr>
          <w:rFonts w:ascii="Times New Roman" w:hAnsi="Times New Roman" w:cs="Times New Roman"/>
          <w:color w:val="auto"/>
          <w:szCs w:val="24"/>
        </w:rPr>
        <w:t>单位面积渗漏量Q可根据Q=K×I计算，其中，K为包气带垂向等效渗透系数；I为水力梯度。根据工程地质条件，项目区岩性主要为粉质粘土，渗透系数为2.16m/d，水力梯度I为0.002。因此，密闭式含油污水收集池单位面积渗漏量为0.004m/d。</w:t>
      </w:r>
    </w:p>
    <w:p>
      <w:pPr>
        <w:adjustRightInd/>
        <w:ind w:firstLine="480"/>
        <w:rPr>
          <w:rFonts w:ascii="Times New Roman" w:hAnsi="Times New Roman" w:cs="Times New Roman"/>
          <w:szCs w:val="24"/>
        </w:rPr>
      </w:pPr>
      <w:r>
        <w:rPr>
          <w:rFonts w:ascii="Times New Roman" w:hAnsi="Times New Roman" w:cs="Times New Roman"/>
          <w:szCs w:val="24"/>
        </w:rPr>
        <w:t>（3）数学模型</w:t>
      </w:r>
    </w:p>
    <w:p>
      <w:pPr>
        <w:adjustRightInd/>
        <w:ind w:firstLine="480"/>
        <w:rPr>
          <w:rFonts w:ascii="Times New Roman" w:hAnsi="Times New Roman" w:cs="Times New Roman"/>
          <w:szCs w:val="24"/>
        </w:rPr>
      </w:pPr>
      <w:r>
        <w:rPr>
          <w:rFonts w:ascii="Times New Roman" w:hAnsi="Times New Roman" w:cs="Times New Roman"/>
          <w:szCs w:val="24"/>
        </w:rPr>
        <w:t>无论是有机污染物还是可溶盐、重金属等污染物在包气带中的运移和分布都受到多种因素的控制，如污染物本身的物理化学性质、土壤性质、土壤含水率等。污染物的弥散、吸附和降解作用所产生的侧向迁移距离远远小于垂向迁移距离，因此，忽略侧向运移，重点预测污染物在包气带中垂向向下迁移情况。</w:t>
      </w:r>
    </w:p>
    <w:p>
      <w:pPr>
        <w:adjustRightInd/>
        <w:ind w:firstLine="480"/>
        <w:rPr>
          <w:rFonts w:ascii="Times New Roman" w:hAnsi="Times New Roman" w:cs="Times New Roman"/>
          <w:szCs w:val="24"/>
        </w:rPr>
      </w:pPr>
      <w:r>
        <w:rPr>
          <w:rFonts w:hint="eastAsia" w:ascii="宋体" w:hAnsi="宋体" w:cs="宋体"/>
          <w:szCs w:val="24"/>
        </w:rPr>
        <w:t>①</w:t>
      </w:r>
      <w:r>
        <w:rPr>
          <w:rFonts w:ascii="Times New Roman" w:hAnsi="Times New Roman" w:cs="Times New Roman"/>
          <w:szCs w:val="24"/>
        </w:rPr>
        <w:t>水流运动基本方程</w:t>
      </w:r>
    </w:p>
    <w:p>
      <w:pPr>
        <w:adjustRightInd/>
        <w:ind w:firstLine="480"/>
        <w:rPr>
          <w:rFonts w:ascii="Times New Roman" w:hAnsi="Times New Roman" w:cs="Times New Roman"/>
          <w:szCs w:val="24"/>
        </w:rPr>
      </w:pPr>
      <w:r>
        <w:rPr>
          <w:rFonts w:ascii="Times New Roman" w:hAnsi="Times New Roman" w:cs="Times New Roman"/>
          <w:szCs w:val="24"/>
        </w:rPr>
        <w:t>土壤水流运动方程为一维垂向饱和-非饱和土壤中水分运动方程(Richards方程)：</w:t>
      </w:r>
    </w:p>
    <w:p>
      <w:pPr>
        <w:adjustRightInd/>
        <w:ind w:firstLine="480"/>
        <w:jc w:val="center"/>
        <w:rPr>
          <w:rFonts w:ascii="Times New Roman" w:hAnsi="Times New Roman" w:cs="Times New Roman"/>
          <w:szCs w:val="24"/>
        </w:rPr>
      </w:pPr>
      <w:r>
        <w:rPr>
          <w:rFonts w:ascii="Times New Roman" w:hAnsi="Times New Roman" w:cs="Times New Roman"/>
          <w:szCs w:val="24"/>
        </w:rPr>
        <w:pict>
          <v:shape id="_x0000_i1062" o:spt="75" type="#_x0000_t75" style="height:27.75pt;width:128.25pt;" filled="f" o:preferrelative="t" stroked="f" coordsize="21600,21600" equationxml="&lt;?xml version=&quot;1.0&quot; encoding=&quot;UTF-8&quot; standalone=&quot;yes&quot;?&gt;&#10;&#10;&lt;?mso-application progid=&quot;Word.Document&quot;?&gt;&#10;&#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30&quot;/&gt;&lt;w:characterSpacingControl w:val=&quot;CompressPunctuation&quot;/&gt;&lt;w:documentProtection w:enforcement=&quot;off&quot;/&gt;&lt;w:displayBackgroundShape w:val=&quot;1&quot;/&gt;&lt;w:doNotEmbedSystemFonts/&gt;&lt;w:defaultTabStop w:val=&quot;210&quot;/&gt;&lt;w:drawingGridHorizontalSpacing w:val=&quot;240&quot;/&gt;&lt;w:drawingGridVerticalSpacing w:val=&quot;168&quot;/&gt;&lt;w:displayHorizontalDrawingGridEvery w:val=&quot;1&quot;/&gt;&lt;w:displayVerticalDrawingGridEvery w:val=&quot;1&quot;/&gt;&lt;w:compat&gt;&lt;w:adjustLineHeightInTable/&gt;&lt;w:ulTrailSpace/&gt;&lt;w:doNotExpandShiftReturn/&gt;&lt;w:balanceSingleByteDoubleByteWidth/&gt;&lt;w:useFELayout/&gt;&lt;w:spaceForUL/&gt;&lt;w:breakWrappedTables/&gt;&lt;w:dontGrowAutofit/&gt;&lt;w:useFELayout/&gt;&lt;/w:compat&gt;&lt;/w:docPr&gt;&lt;w:body&gt;&lt;wx:sect&gt;&lt;w:p&gt;&lt;m:oMathPara&gt;&lt;m:oMath&gt;&lt;m:f&gt;&lt;m:fPr&gt;&lt;m:ctrlPr&gt;&lt;w:rPr&gt;&lt;w:rFonts w:ascii=&quot;Cambria Math&quot; w:h-ansi=&quot;Cambria Math&quot; w:fareast=&quot;Cambria Math&quot; w:cs=&quot;Times New Roman&quot; w:hint=&quot;default&quot;/&gt;&lt;w:i/&gt;&lt;w:sz w:val=&quot;24&quot;/&gt;&lt;w:sz-cs w:val=&quot;24&quot;/&gt;&lt;/w:rPr&gt;&lt;/m:ctrlPr&gt;&lt;/m:fPr&gt;&lt;m:num&gt;&lt;m:r&gt;&lt;m:rPr&gt;&lt;m:scr m:val=&quot;roman&quot;/&gt;&lt;/m:rPr&gt;&lt;w:rPr&gt;&lt;w:rFonts w:ascii=&quot;Cambria Math&quot; w:h-ansi=&quot;Cambria Math&quot; w:fareast=&quot;Cambria Math&quot; w:cs=&quot;Times New Roman&quot; w:hint=&quot;default&quot;/&gt;&lt;w:sz w:val=&quot;24&quot;/&gt;&lt;w:sz-cs w:val=&quot;24&quot;/&gt;&lt;/w:rPr&gt;&lt;m:t&gt;?θ&lt;/m:t&gt;&lt;/m:r&gt;&lt;m:ctrlPPPPPPPPPPPPPPPr&gt;&gt;&lt;w:rPr&gt;&lt;w:rFonts w:ascii=&quot;Cambria Math&quot; w:h-ansi=&quot;Cambria Math&quot; w:fareast=&quot;Cambria Math&quot; w:cs=&quot;Times New Roman&quot; w:hint=&quot;default&quot;/&gt;&lt;w:i/&gt;&lt;w:sz w:val=&quot;24&quot;/&gt;&lt;w:sz-cs w:val=&quot;24&quot;/&gt;&lt;/w:rPr&gt;&lt;/m:ctrlPr&gt;&lt;/m:num&gt;&lt;m:den&gt;&lt;m:r&gt;&lt;m:rPr&gt;&lt;m:scr m:val=&quot;roman&quot;/&gt;&lt;/m:rPr&gt;&lt;w:rPr&gt;&lt;w:rFonts w:ascii=&quot;Cambria Math&quot; w:h-ansi=&quot;Cambria Math&quot; w:fareast=&quot;Cambria Math&quot; w:cs=&quot;Times New Roman&quot; w:hint=&quot;default&quot;/&gt;&lt;w:sz w:val=&quot;24&quot;/&gt;&lt;w:sz-cs w:val=&quot;24&quot;/&gt;&lt;/w:rPr&gt;&lt;m:t&gt;?t&lt;/m:t&gt;&lt;/m:r&gt;&lt;m:ctrlPr&gt;&lt;w:rPr&gt;&lt;w:rFonts w:ascii=&quot;Cambria Math&quot; w:h-ansi=&quot;Cambria Math&quot; w:fareast=&quot;Cambria Math&quot; w:cs=&quot;Times New Roman&quot; w:hint=&quot;default&quot;/&gt;&lt;w:i/&gt;&lt;w:sz w:val=&quot;24&quot;/&gt;&lt;w:sz-cs w:val=&quot;24&quot;/&gt;&lt;/w:rPr&gt;&lt;/m:ctrlPr&gt;&lt;/m:den&gt;&lt;/m:f&gt;&lt;m:r&gt;&lt;m:rPr&gt;&lt;m:sty m:val=&quot;p&quot;/&gt;&lt;m:scr m:val=&quot;roman&quot;/&gt;&lt;/m:rPr&gt;&lt;w:rPr&gt;&lt;w:rFonts w:ascii=&quot;Cambria Math&quot; w:h-ansi=&quot;Cambria Math&quot; w:fareast=&quot;Cambria Math&quot; w:cs=&quot;Times New Roman&quot; w:hint=&quot;default&quot;/&gt;&lt;w:sz w:val=&quot;24&quot;/&gt;&lt;w:sz-cs w:val=&quot;24&quot;/&gt;&lt;/w:rPr&gt;&lt;m:t&gt;=&lt;/m:t&gt;&lt;/m:r&gt;&lt;m:f&gt;&lt;m:fPr&gt;&lt;m:ctrlPr&gt;&lt;w:rPr&gt;&lt;w:rFonts w:ascii=&quot;Cambria Math&quot; w:h-ansi=&quot;Cambria Math&quot; w:fareast=&quot;Cambria Math&quot; w:cs=&quot;Times New Roman&quot; w:hint=&quot;default&quot;/&gt;&lt;w:sz w:val=&quot;24&quot;/&gt;&lt;w:sz-cs w:val=&quot;24&quot;/&gt;&lt;/w:rPr&gt;&lt;/m:ctrlPr&gt;&lt;/m:fPr&gt;&lt;m:num&gt;&lt;m:r&gt;&lt;m:rPr&gt;&lt;m:scr m:val=&quot;roman&quot;/&gt;&lt;/m:rPr&gt;&lt;w:rPr&gt;&lt;w:rFonts w:ascii=&quot;Cambria Math&quot; w:h-ansi=&quot;Cambria Math&quot; w:fareast=&quot;Cambria Math&quot; w:cs=&quot;Times New Roman&quot; w:hint=&quot;default&quot;/&gt;&lt;w:sz w:val=&quot;24&quot;/&gt;&lt;w:sz-cs w:val=&quot;24&quot;/&gt;&lt;/w:rPr&gt;&lt;m:t&gt;?&lt;/m:t&gt;&lt;/m:r&gt;&lt;m:ctrlPr&gt;&lt;w:rPr&gt;&lt;w:rFonts w:ascii=&quot;Cambria Math&quot; w:h-ansi=&quot;Cambria Math&quot; w:fareast=&quot;Cambria Math&quot; w:cs=&quot;Times New Roman&quot; w:hint=&quot;default&quot;/&gt;&lt;w:sz w:val=&quot;24&quot;/&gt;&lt;w:sz-cs w:val=&quot;24&quot;/&gt;&lt;/w:rPr&gt;&lt;/m:ctrlPr&gt;&lt;/m:num&gt;&lt;m:den&gt;&lt;m:r&gt;&lt;m:rPr&gt;&lt;m:scr m:val=&quot;roman&quot;/&gt;&lt;/m:rPr&gt;&lt;w:rPr&gt;&lt;w:rFonts w:ascii=&quot;Cambria Math&quot; w:h-ansi=&quot;Cambria Math&quot; w:fareast=&quot;Cambria Math&quot; w:cs=&quot;Times New Roman&quot; w:hint=&quot;default&quot;/&gt;&lt;w:sz w:val=&quot;24&quot;/&gt;&lt;w:sz-cs w:val=&quot;24&quot;/&gt;&lt;/w:rPr&gt;&lt;m:t&gt;?z&lt;/m:t&gt;&lt;/m:r&gt;&lt;m:ctrlPr&gt;&lt;w:rPr&gt;&lt;w:rFonts w:ascii=&quot;Cambria Math&quot; w:h-ansi=&quot;Cambria Math&quot; w:fareast=&quot;Cambria Math&quot; w:cs=&quot;Times New Roman&quot; w:hint=&quot;default&quot;/&gt;&lt;w:sz w:val=&quot;24&quot;/&gt;&lt;w:sz-cs w:val=&quot;24&quot;/&gt;&lt;/w:rPr&gt;&lt;/m:ctrlPr&gt;&lt;/m:den&gt;&lt;/m:f&gt;&lt;m:d&gt;&lt;m:dPr&gt;&lt;m:begChr m:val=&quot;[&quot;/&gt;&lt;m:endChr m:val=&quot;]&quot;/&gt;&lt;m:ctrlPr&gt;&lt;w:rPr&gt;&lt;w:rFonts w:ascii=&quot;Cambria Math&quot; w:h-ansi=&quot;Cambria Math&quot; w:fareast=&quot;Cambria Math&quot; w:cs=&quot;Times New Roman&quot; w:hint=&quot;default&quot;/&gt;&lt;w:i/&gt;&lt;w:sz w:val=&quot;24&quot;/&gt;&lt;w:sz-cs w:val=&quot;24&quot;/&gt;&lt;/w:rPr&gt;&lt;/m:ctrlPr&gt;&lt;/m:dPr&gt;&lt;m:e&gt;&lt;m:r&gt;&lt;m:rPr&gt;&lt;m:scr m:val=&quot;roman&quot;/&gt;&lt;/m:rPr&gt;&lt;w:rPr&gt;&lt;w:rFonts w:ascii=&quot;Cambria Math&quot; w:h-ansi=&quot;Cambria Math&quot; w:fareast=&quot;Cambria Math&quot; w:cs=&quot;Times New Roman&quot; w:hint=&quot;default&quot;/&gt;&lt;w:sz w:val=&quot;24&quot;/&gt;&lt;w:sz-cs w:val=&quot;24&quot;/&gt;&lt;/w:rPr&gt;&lt;m:t&gt;k&lt;/m:t&gt;&lt;/m:r&gt;&lt;m:d&gt;&lt;m:dPr&gt;&lt;m:ctrlPr&gt;&lt;w:rPr&gt;&lt;w:rFonts w:ascii=&quot;Cambria Math&quot; w:h-ansi=&quot;Cambria Math&quot; w:fareast=&quot;Cambria Math&quot; w:cs=&quot;Times New Roman&quot; w:hint=&quot;default&quot;/&gt;&lt;w:i/&gt;&lt;w:sz w:val=&quot;24&quot;/&gt;&lt;w:sz-cs w:val=&quot;24&quot;/&gt;&lt;/w:rPr&gt;&lt;/m:ctrlPr&gt;&lt;/m:dPr&gt;&lt;m:e&gt;&lt;m:f&gt;&lt;m:fPr&gt;&lt;m:ctrlPr&gt;&lt;w:rPr&gt;&lt;w:rFonts w:ascii=&quot;Cambria Math&quot; w:h-ansi=&quot;Cambria Math&quot; w:fareast=&quot;Cambria Math&quot; w:cs=&quot;Times New Roman&quot; w:hint=&quot;default&quot;/&gt;&lt;w:i/&gt;&lt;w:sz w:val=&quot;24&quot;/&gt;&lt;w:sz-cs w:val=&quot;24&quot;/&gt;&lt;/w:rPr&gt;&lt;/m:ctrlPr&gt;&lt;/m:fPr&gt;&lt;m:num&gt;&lt;m:r&gt;&lt;m:rPr&gt;&lt;m:scr m:val=&quot;roman&quot;/&gt;&lt;/m:rPr&gt;&lt;w:rPr&gt;&lt;w:rFonts w:ascii=&quot;Cambria Math&quot; w:h-ansi=&quot;Cambria Math&quot; w:fareast=&quot;Cambria Math&quot; w:cs=&quot;Times New Roman&quot; w:hint=&quot;default&quot;/&gt;&lt;w:sz w:val=&quot;24&quot;/&gt;&lt;w:sz-cs w:val=&quot;24&quot;/&gt;&lt;/w:rPr&gt;&lt;m:t&gt;??&lt;/m:t&gt;&lt;/m:r&gt;&lt;m:ctrlPr&gt;&lt;w:rPr&gt;&lt;w:rFonts w:ascii=&quot;Cambria Math&quot; w:h-ansi=&quot;Cambria Math&quot; w:fareast=&quot;Cambria Math&quot; w:cs=&quot;Times New Roman&quot; w:hint=&quot;default&quot;/&gt;&lt;w:i/&gt;&lt;w:sz w:val=&quot;24&quot;/&gt;&lt;w:sz-cs w:val=&quot;24&quot;/&gt;&lt;/w:rPr&gt;&lt;/m:ctrlPr&gt;&lt;/m:num&gt;&lt;m:den&gt;&lt;m:r&gt;&lt;m:rPr&gt;&lt;m:scr m:val=&quot;roman&quot;/&gt;&lt;/m:rPr&gt;&lt;w:rPr&gt;&lt;w:rFonts w:ascii=&quot;Cambria Math&quot; w:h-ansi=&quot;Cambria Math&quot; w:fareast=&quot;Cambria Math&quot; w:cs=&quot;Times New Roman&quot; w:hint=&quot;default&quot;/&gt;&lt;w:sz w:val=&quot;24&quot;/&gt;&lt;w:sz-cs w:val=&quot;24&quot;/&gt;&lt;/w:rPr&gt;&lt;m:t&gt;?z&lt;/m:t&gt;&lt;/m:r&gt;&lt;m:ctrlPr&gt;&lt;w:rPr&gt;&lt;w:rFonts w:ascii=&quot;Cambria Math&quot; w:h-ansi=&quot;Cambria Math&quot; w:fareast=&quot;Cambria Math&quot; w:cs=&quot;Times New Roman&quot; w:hint=&quot;default&quot;/&gt;&lt;w:i/&gt;&lt;w:sz w:val=&quot;24&quot;/&gt;&lt;w:sz-cs w:val=&quot;24&quot;/&gt;&lt;/w:rPr&gt;&lt;/m:ctrlPr&gt;&lt;/m:den&gt;&lt;/m:f&gt;&lt;m:r&gt;&lt;m:rPr&gt;&lt;m:scr m:val=&quot;roman&quot;/&gt;&lt;/m:rPr&gt;&lt;w:rPr&gt;&lt;w:rFonts w:ascii=&quot;Cambria Math&quot; w:h-ansi=&quot;Cambria Math&quot; w:fareast=&quot;Cambria Math&quot; w:cs=&quot;Times New Roman&quot; w:hint=&quot;default&quot;/&gt;&lt;w:sz w:val=&quot;24&quot;/&gt;&lt;w:sz-cs w:val=&quot;24&quot;/&gt;&lt;/w:rPr&gt;&lt;m:t&gt;+1&lt;/m:t&gt;&lt;/m:r&gt;&lt;m:ctrlPr&gt;&lt;w:rPr&gt;&lt;w:rFonts w:ascii=&quot;Cambria Math&quot; w:h-ansi=&quot;Cambria Math&quot; w:fareast=&quot;Cambria Math&quot; w:cs=&quot;Times New Roman&quot; w:hint=&quot;default&quot;/&gt;&lt;w:i/&gt;&lt;w:sz w:val=&quot;24&quot;/&gt;&lt;w:sz-cs w:val=&quot;24&quot;/&gt;&lt;/w:rPr&gt;&lt;/m:ctrlPr&gt;&lt;/m:e&gt;&lt;/m:d&gt;&lt;m:ctrlPr&gt;&lt;w:rPr&gt;&lt;w:rFonts w:ascii=&quot;Cambria Math&quot; w:h-ansi=&quot;Cambria Math&quot; w:fareast=&quot;Cambria Math&quot; w:cs=&quot;Times New Roman&quot; w:hint=&quot;default&quot;/&gt;&lt;w:i/&gt;&lt;w:sz w:val=&quot;24&quot;/&gt;&lt;w:sz-cs w:val=&quot;24&quot;/&gt;&lt;/w:rPr&gt;&lt;/m:ctrlPr&gt;&lt;/m:e&gt;&lt;/m:d&gt;&lt;m:r&gt;&lt;m:rPr&gt;&lt;m:scr m:val=&quot;roman&quot;/&gt;&lt;/m:rPr&gt;&lt;w:rPr&gt;&lt;w:rFonts w:ascii=&quot;Cambria Math&quot; w:h-ansi=&quot;Cambria Math&quot; w:fareast=&quot;Cambria Math&quot; w:cs=&quot;Times New Roman&quot; w:hint=&quot;default&quot;/&gt;&lt;w:sz w:val=&quot;24&quot;/&gt;&lt;w:sz-cs w:val=&quot;24&quot;/&gt;&lt;/w:rPr&gt;&lt;m:t&gt;?S&lt;/m:t&gt;&lt;/m:r&gt;&lt;/m:oMath&gt;&lt;/m:oMathPara&gt;&lt;/w:p&gt;&lt;/wx:sect&gt;&lt;/w:body&gt;&lt;/w:wordDocument&gt;">
            <v:path/>
            <v:fill on="f" focussize="0,0"/>
            <v:stroke on="f" joinstyle="miter"/>
            <v:imagedata r:id="rId230" o:title=""/>
            <o:lock v:ext="edit" aspectratio="f"/>
            <w10:wrap type="none"/>
            <w10:anchorlock/>
          </v:shape>
        </w:pict>
      </w:r>
    </w:p>
    <w:p>
      <w:pPr>
        <w:adjustRightInd/>
        <w:ind w:firstLine="480"/>
        <w:rPr>
          <w:rFonts w:ascii="Times New Roman" w:hAnsi="Times New Roman" w:cs="Times New Roman"/>
          <w:szCs w:val="24"/>
        </w:rPr>
      </w:pPr>
      <w:r>
        <w:rPr>
          <w:rFonts w:ascii="Times New Roman" w:hAnsi="Times New Roman" w:cs="Times New Roman"/>
          <w:szCs w:val="24"/>
        </w:rPr>
        <w:t>式中：θ —土壤体积含水率；</w:t>
      </w:r>
    </w:p>
    <w:p>
      <w:pPr>
        <w:adjustRightInd/>
        <w:ind w:firstLine="480"/>
        <w:rPr>
          <w:rFonts w:ascii="Times New Roman" w:hAnsi="Times New Roman" w:cs="Times New Roman"/>
          <w:szCs w:val="24"/>
        </w:rPr>
      </w:pPr>
      <w:r>
        <w:rPr>
          <w:rFonts w:ascii="Times New Roman" w:hAnsi="Times New Roman" w:cs="Times New Roman"/>
          <w:szCs w:val="24"/>
        </w:rPr>
        <w:t>h —压力水头[L]，饱和带大于零，非饱和带小于零；</w:t>
      </w:r>
    </w:p>
    <w:p>
      <w:pPr>
        <w:adjustRightInd/>
        <w:ind w:firstLine="480"/>
        <w:rPr>
          <w:rFonts w:ascii="Times New Roman" w:hAnsi="Times New Roman" w:cs="Times New Roman"/>
          <w:szCs w:val="24"/>
        </w:rPr>
      </w:pPr>
      <w:r>
        <w:rPr>
          <w:rFonts w:ascii="Times New Roman" w:hAnsi="Times New Roman" w:cs="Times New Roman"/>
          <w:szCs w:val="24"/>
        </w:rPr>
        <w:t>z —垂直方向坐标变量[L]；</w:t>
      </w:r>
    </w:p>
    <w:p>
      <w:pPr>
        <w:adjustRightInd/>
        <w:ind w:firstLine="480"/>
        <w:rPr>
          <w:rFonts w:ascii="Times New Roman" w:hAnsi="Times New Roman" w:cs="Times New Roman"/>
          <w:szCs w:val="24"/>
        </w:rPr>
      </w:pPr>
      <w:r>
        <w:rPr>
          <w:rFonts w:ascii="Times New Roman" w:hAnsi="Times New Roman" w:cs="Times New Roman"/>
          <w:szCs w:val="24"/>
        </w:rPr>
        <w:t>t —时间变量[T]；</w:t>
      </w:r>
    </w:p>
    <w:p>
      <w:pPr>
        <w:adjustRightInd/>
        <w:ind w:firstLine="480"/>
        <w:rPr>
          <w:rFonts w:ascii="Times New Roman" w:hAnsi="Times New Roman" w:cs="Times New Roman"/>
          <w:szCs w:val="24"/>
        </w:rPr>
      </w:pPr>
      <w:r>
        <w:rPr>
          <w:rFonts w:ascii="Times New Roman" w:hAnsi="Times New Roman" w:cs="Times New Roman"/>
          <w:szCs w:val="24"/>
        </w:rPr>
        <w:t>k —垂直方向的水力传导度[LT-1]；</w:t>
      </w:r>
    </w:p>
    <w:p>
      <w:pPr>
        <w:adjustRightInd/>
        <w:ind w:firstLine="480"/>
        <w:rPr>
          <w:rFonts w:ascii="Times New Roman" w:hAnsi="Times New Roman" w:cs="Times New Roman"/>
          <w:szCs w:val="24"/>
        </w:rPr>
      </w:pPr>
      <w:r>
        <w:rPr>
          <w:rFonts w:ascii="Times New Roman" w:hAnsi="Times New Roman" w:cs="Times New Roman"/>
          <w:szCs w:val="24"/>
        </w:rPr>
        <w:t>S —作物根系吸水率[T-1]。</w:t>
      </w:r>
    </w:p>
    <w:p>
      <w:pPr>
        <w:adjustRightInd/>
        <w:ind w:firstLine="480"/>
        <w:rPr>
          <w:rFonts w:ascii="Times New Roman" w:hAnsi="Times New Roman" w:cs="Times New Roman"/>
          <w:szCs w:val="24"/>
        </w:rPr>
      </w:pPr>
      <w:r>
        <w:rPr>
          <w:rFonts w:hint="eastAsia" w:ascii="宋体" w:hAnsi="宋体" w:cs="宋体"/>
          <w:szCs w:val="24"/>
        </w:rPr>
        <w:t>②</w:t>
      </w:r>
      <w:r>
        <w:rPr>
          <w:rFonts w:ascii="Times New Roman" w:hAnsi="Times New Roman" w:cs="Times New Roman"/>
          <w:szCs w:val="24"/>
        </w:rPr>
        <w:t>土壤水分运移模型</w:t>
      </w:r>
    </w:p>
    <w:p>
      <w:pPr>
        <w:adjustRightInd/>
        <w:ind w:firstLine="480"/>
        <w:rPr>
          <w:rFonts w:ascii="Times New Roman" w:hAnsi="Times New Roman" w:cs="Times New Roman"/>
          <w:szCs w:val="24"/>
        </w:rPr>
      </w:pPr>
      <w:r>
        <w:rPr>
          <w:rFonts w:ascii="Times New Roman" w:hAnsi="Times New Roman" w:cs="Times New Roman"/>
          <w:szCs w:val="24"/>
        </w:rPr>
        <w:t>土壤水分运移模型可用来描述水分在土壤中的运移过程。HYDRUS-1D软件水流模型中包括单孔介质模型、双孔隙/双渗透介质模型等多种土壤水分运移模型。本评价模拟时采用 Van Genuchten- Malen提出的土壤水力模型来进行模拟预测，且在模拟中不考虑水流滞后的现象，方程为：</w:t>
      </w:r>
    </w:p>
    <w:p>
      <w:pPr>
        <w:adjustRightInd/>
        <w:ind w:firstLine="480"/>
        <w:jc w:val="center"/>
        <w:rPr>
          <w:rFonts w:ascii="Times New Roman" w:hAnsi="Times New Roman" w:cs="Times New Roman"/>
          <w:szCs w:val="24"/>
        </w:rPr>
      </w:pPr>
      <w:r>
        <w:rPr>
          <w:rFonts w:ascii="Times New Roman" w:hAnsi="Times New Roman" w:cs="Times New Roman"/>
          <w:szCs w:val="24"/>
        </w:rPr>
        <w:drawing>
          <wp:inline distT="0" distB="0" distL="0" distR="0">
            <wp:extent cx="4125595" cy="2073275"/>
            <wp:effectExtent l="0" t="0" r="0" b="0"/>
            <wp:docPr id="134" name="图片 134" descr="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4" name="图片 134" descr="0"/>
                    <pic:cNvPicPr>
                      <a:picLocks noChangeAspect="true" noChangeArrowheads="true"/>
                    </pic:cNvPicPr>
                  </pic:nvPicPr>
                  <pic:blipFill>
                    <a:blip r:embed="rId231"/>
                    <a:srcRect/>
                    <a:stretch>
                      <a:fillRect/>
                    </a:stretch>
                  </pic:blipFill>
                  <pic:spPr>
                    <a:xfrm>
                      <a:off x="0" y="0"/>
                      <a:ext cx="4125595" cy="2073275"/>
                    </a:xfrm>
                    <a:prstGeom prst="rect">
                      <a:avLst/>
                    </a:prstGeom>
                    <a:noFill/>
                    <a:ln>
                      <a:noFill/>
                    </a:ln>
                  </pic:spPr>
                </pic:pic>
              </a:graphicData>
            </a:graphic>
          </wp:inline>
        </w:drawing>
      </w:r>
    </w:p>
    <w:p>
      <w:pPr>
        <w:adjustRightInd/>
        <w:ind w:firstLine="480"/>
        <w:rPr>
          <w:rFonts w:ascii="Times New Roman" w:hAnsi="Times New Roman" w:cs="Times New Roman"/>
          <w:szCs w:val="24"/>
        </w:rPr>
      </w:pPr>
      <w:r>
        <w:rPr>
          <w:rFonts w:ascii="Times New Roman" w:hAnsi="Times New Roman" w:cs="Times New Roman"/>
          <w:szCs w:val="24"/>
        </w:rPr>
        <w:t>式中：θr ——土壤残余含水率；</w:t>
      </w:r>
    </w:p>
    <w:p>
      <w:pPr>
        <w:adjustRightInd/>
        <w:ind w:firstLine="480"/>
        <w:rPr>
          <w:rFonts w:ascii="Times New Roman" w:hAnsi="Times New Roman" w:cs="Times New Roman"/>
          <w:szCs w:val="24"/>
        </w:rPr>
      </w:pPr>
      <w:r>
        <w:rPr>
          <w:rFonts w:ascii="Times New Roman" w:hAnsi="Times New Roman" w:cs="Times New Roman"/>
          <w:szCs w:val="24"/>
        </w:rPr>
        <w:t>θs ——土壤饱和含水率；</w:t>
      </w:r>
    </w:p>
    <w:p>
      <w:pPr>
        <w:adjustRightInd/>
        <w:ind w:firstLine="480"/>
        <w:rPr>
          <w:rFonts w:ascii="Times New Roman" w:hAnsi="Times New Roman" w:cs="Times New Roman"/>
          <w:szCs w:val="24"/>
        </w:rPr>
      </w:pPr>
      <w:r>
        <w:rPr>
          <w:rFonts w:ascii="Times New Roman" w:hAnsi="Times New Roman" w:cs="Times New Roman"/>
          <w:szCs w:val="24"/>
        </w:rPr>
        <w:t>Se ——有效饱和度；</w:t>
      </w:r>
    </w:p>
    <w:p>
      <w:pPr>
        <w:adjustRightInd/>
        <w:ind w:firstLine="480"/>
        <w:rPr>
          <w:rFonts w:ascii="Times New Roman" w:hAnsi="Times New Roman" w:cs="Times New Roman"/>
          <w:szCs w:val="24"/>
        </w:rPr>
      </w:pPr>
      <w:r>
        <w:rPr>
          <w:rFonts w:ascii="Times New Roman" w:hAnsi="Times New Roman" w:cs="Times New Roman"/>
          <w:szCs w:val="24"/>
        </w:rPr>
        <w:t>ɑ ——冒泡压力；</w:t>
      </w:r>
    </w:p>
    <w:p>
      <w:pPr>
        <w:adjustRightInd/>
        <w:ind w:firstLine="480"/>
        <w:rPr>
          <w:rFonts w:ascii="Times New Roman" w:hAnsi="Times New Roman" w:cs="Times New Roman"/>
          <w:szCs w:val="24"/>
        </w:rPr>
      </w:pPr>
      <w:r>
        <w:rPr>
          <w:rFonts w:ascii="Times New Roman" w:hAnsi="Times New Roman" w:cs="Times New Roman"/>
          <w:szCs w:val="24"/>
        </w:rPr>
        <w:t>n ——土壤孔隙大小分配指数；</w:t>
      </w:r>
    </w:p>
    <w:p>
      <w:pPr>
        <w:adjustRightInd/>
        <w:ind w:firstLine="480"/>
        <w:rPr>
          <w:rFonts w:ascii="Times New Roman" w:hAnsi="Times New Roman" w:cs="Times New Roman"/>
          <w:szCs w:val="24"/>
        </w:rPr>
      </w:pPr>
      <w:r>
        <w:rPr>
          <w:rFonts w:ascii="Times New Roman" w:hAnsi="Times New Roman" w:cs="Times New Roman"/>
          <w:szCs w:val="24"/>
        </w:rPr>
        <w:t>Ks ——饱和水力传导系数；</w:t>
      </w:r>
    </w:p>
    <w:p>
      <w:pPr>
        <w:adjustRightInd/>
        <w:ind w:firstLine="480"/>
        <w:rPr>
          <w:rFonts w:ascii="Times New Roman" w:hAnsi="Times New Roman" w:cs="Times New Roman"/>
          <w:szCs w:val="24"/>
        </w:rPr>
      </w:pPr>
      <w:r>
        <w:rPr>
          <w:rFonts w:ascii="Times New Roman" w:hAnsi="Times New Roman" w:cs="Times New Roman"/>
          <w:szCs w:val="24"/>
        </w:rPr>
        <w:t>l——土壤孔隙连通性参数，通常取0.5。</w:t>
      </w:r>
    </w:p>
    <w:p>
      <w:pPr>
        <w:adjustRightInd/>
        <w:ind w:firstLine="480"/>
        <w:rPr>
          <w:rFonts w:ascii="Times New Roman" w:hAnsi="Times New Roman" w:cs="Times New Roman"/>
          <w:szCs w:val="24"/>
        </w:rPr>
      </w:pPr>
      <w:r>
        <w:rPr>
          <w:rFonts w:hint="eastAsia" w:ascii="宋体" w:hAnsi="宋体" w:cs="宋体"/>
          <w:szCs w:val="24"/>
        </w:rPr>
        <w:t>③</w:t>
      </w:r>
      <w:r>
        <w:rPr>
          <w:rFonts w:ascii="Times New Roman" w:hAnsi="Times New Roman" w:cs="Times New Roman"/>
          <w:szCs w:val="24"/>
        </w:rPr>
        <w:t>土壤溶质运移模型</w:t>
      </w:r>
    </w:p>
    <w:p>
      <w:pPr>
        <w:adjustRightInd/>
        <w:ind w:firstLine="480"/>
        <w:rPr>
          <w:rFonts w:ascii="Times New Roman" w:hAnsi="Times New Roman" w:cs="Times New Roman"/>
          <w:szCs w:val="24"/>
        </w:rPr>
      </w:pPr>
      <w:r>
        <w:rPr>
          <w:rFonts w:ascii="Times New Roman" w:hAnsi="Times New Roman" w:cs="Times New Roman"/>
          <w:szCs w:val="24"/>
        </w:rPr>
        <w:t>根据多孔介质溶质运移理论，考虑土壤吸收的饱和-非饱和土壤溶质运移的数学模型为：</w:t>
      </w:r>
    </w:p>
    <w:p>
      <w:pPr>
        <w:adjustRightInd/>
        <w:ind w:firstLine="480"/>
        <w:jc w:val="center"/>
        <w:rPr>
          <w:rFonts w:ascii="Times New Roman" w:hAnsi="Times New Roman" w:cs="Times New Roman"/>
          <w:szCs w:val="24"/>
        </w:rPr>
      </w:pPr>
      <w:r>
        <w:rPr>
          <w:rFonts w:ascii="Times New Roman" w:hAnsi="Times New Roman" w:cs="Times New Roman"/>
          <w:szCs w:val="24"/>
        </w:rPr>
        <w:drawing>
          <wp:inline distT="0" distB="0" distL="0" distR="0">
            <wp:extent cx="3487420" cy="425450"/>
            <wp:effectExtent l="0" t="0" r="0" b="0"/>
            <wp:docPr id="135" name="图片 135" descr="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5" name="图片 135" descr="0"/>
                    <pic:cNvPicPr>
                      <a:picLocks noChangeAspect="true" noChangeArrowheads="true"/>
                    </pic:cNvPicPr>
                  </pic:nvPicPr>
                  <pic:blipFill>
                    <a:blip r:embed="rId232" cstate="print"/>
                    <a:srcRect/>
                    <a:stretch>
                      <a:fillRect/>
                    </a:stretch>
                  </pic:blipFill>
                  <pic:spPr>
                    <a:xfrm>
                      <a:off x="0" y="0"/>
                      <a:ext cx="3487420" cy="425450"/>
                    </a:xfrm>
                    <a:prstGeom prst="rect">
                      <a:avLst/>
                    </a:prstGeom>
                    <a:noFill/>
                    <a:ln>
                      <a:noFill/>
                    </a:ln>
                  </pic:spPr>
                </pic:pic>
              </a:graphicData>
            </a:graphic>
          </wp:inline>
        </w:drawing>
      </w:r>
    </w:p>
    <w:p>
      <w:pPr>
        <w:adjustRightInd/>
        <w:ind w:firstLine="480"/>
        <w:rPr>
          <w:rFonts w:ascii="Times New Roman" w:hAnsi="Times New Roman" w:cs="Times New Roman"/>
          <w:szCs w:val="24"/>
        </w:rPr>
      </w:pPr>
      <w:r>
        <w:rPr>
          <w:rFonts w:ascii="Times New Roman" w:hAnsi="Times New Roman" w:cs="Times New Roman"/>
          <w:szCs w:val="24"/>
        </w:rPr>
        <w:t>式中：c —土壤水中污染物浓度[ML</w:t>
      </w:r>
      <w:r>
        <w:rPr>
          <w:rFonts w:ascii="Times New Roman" w:hAnsi="Times New Roman" w:cs="Times New Roman"/>
          <w:szCs w:val="24"/>
          <w:vertAlign w:val="superscript"/>
        </w:rPr>
        <w:t>-3</w:t>
      </w:r>
      <w:r>
        <w:rPr>
          <w:rFonts w:ascii="Times New Roman" w:hAnsi="Times New Roman" w:cs="Times New Roman"/>
          <w:szCs w:val="24"/>
        </w:rPr>
        <w:t>]；</w:t>
      </w:r>
    </w:p>
    <w:p>
      <w:pPr>
        <w:adjustRightInd/>
        <w:ind w:firstLine="480"/>
        <w:rPr>
          <w:rFonts w:ascii="Times New Roman" w:hAnsi="Times New Roman" w:cs="Times New Roman"/>
          <w:szCs w:val="24"/>
        </w:rPr>
      </w:pPr>
      <w:r>
        <w:rPr>
          <w:rFonts w:ascii="Times New Roman" w:hAnsi="Times New Roman" w:cs="Times New Roman"/>
          <w:szCs w:val="24"/>
        </w:rPr>
        <w:t>ρ —土壤容重[ML</w:t>
      </w:r>
      <w:r>
        <w:rPr>
          <w:rFonts w:ascii="Times New Roman" w:hAnsi="Times New Roman" w:cs="Times New Roman"/>
          <w:szCs w:val="24"/>
          <w:vertAlign w:val="superscript"/>
        </w:rPr>
        <w:t>-3</w:t>
      </w:r>
      <w:r>
        <w:rPr>
          <w:rFonts w:ascii="Times New Roman" w:hAnsi="Times New Roman" w:cs="Times New Roman"/>
          <w:szCs w:val="24"/>
        </w:rPr>
        <w:t>]；</w:t>
      </w:r>
    </w:p>
    <w:p>
      <w:pPr>
        <w:adjustRightInd/>
        <w:ind w:firstLine="480"/>
        <w:rPr>
          <w:rFonts w:ascii="Times New Roman" w:hAnsi="Times New Roman" w:cs="Times New Roman"/>
          <w:szCs w:val="24"/>
        </w:rPr>
      </w:pPr>
      <w:r>
        <w:rPr>
          <w:rFonts w:ascii="Times New Roman" w:hAnsi="Times New Roman" w:cs="Times New Roman"/>
          <w:szCs w:val="24"/>
        </w:rPr>
        <w:t>s —单位质量土壤溶质吸附量[MM-1]；</w:t>
      </w:r>
    </w:p>
    <w:p>
      <w:pPr>
        <w:adjustRightInd/>
        <w:ind w:firstLine="480"/>
        <w:rPr>
          <w:rFonts w:ascii="Times New Roman" w:hAnsi="Times New Roman" w:cs="Times New Roman"/>
          <w:szCs w:val="24"/>
        </w:rPr>
      </w:pPr>
      <w:r>
        <w:rPr>
          <w:rFonts w:ascii="Times New Roman" w:hAnsi="Times New Roman" w:cs="Times New Roman"/>
          <w:szCs w:val="24"/>
        </w:rPr>
        <w:t>D —土壤水动力弥散系数[L2T</w:t>
      </w:r>
      <w:r>
        <w:rPr>
          <w:rFonts w:ascii="Times New Roman" w:hAnsi="Times New Roman" w:cs="Times New Roman"/>
          <w:szCs w:val="24"/>
          <w:vertAlign w:val="superscript"/>
        </w:rPr>
        <w:t>-1</w:t>
      </w:r>
      <w:r>
        <w:rPr>
          <w:rFonts w:ascii="Times New Roman" w:hAnsi="Times New Roman" w:cs="Times New Roman"/>
          <w:szCs w:val="24"/>
        </w:rPr>
        <w:t>]；</w:t>
      </w:r>
    </w:p>
    <w:p>
      <w:pPr>
        <w:adjustRightInd/>
        <w:ind w:firstLine="480"/>
        <w:rPr>
          <w:rFonts w:ascii="Times New Roman" w:hAnsi="Times New Roman" w:cs="Times New Roman"/>
          <w:szCs w:val="24"/>
        </w:rPr>
      </w:pPr>
      <w:r>
        <w:rPr>
          <w:rFonts w:ascii="Times New Roman" w:hAnsi="Times New Roman" w:cs="Times New Roman"/>
          <w:szCs w:val="24"/>
        </w:rPr>
        <w:t>q — Z方向达西流速[LT</w:t>
      </w:r>
      <w:r>
        <w:rPr>
          <w:rFonts w:ascii="Times New Roman" w:hAnsi="Times New Roman" w:cs="Times New Roman"/>
          <w:szCs w:val="24"/>
          <w:vertAlign w:val="superscript"/>
        </w:rPr>
        <w:t>-1</w:t>
      </w:r>
      <w:r>
        <w:rPr>
          <w:rFonts w:ascii="Times New Roman" w:hAnsi="Times New Roman" w:cs="Times New Roman"/>
          <w:szCs w:val="24"/>
        </w:rPr>
        <w:t>]；</w:t>
      </w:r>
    </w:p>
    <w:p>
      <w:pPr>
        <w:adjustRightInd/>
        <w:ind w:firstLine="480"/>
        <w:rPr>
          <w:rFonts w:ascii="Times New Roman" w:hAnsi="Times New Roman" w:cs="Times New Roman"/>
          <w:szCs w:val="24"/>
        </w:rPr>
      </w:pPr>
      <w:r>
        <w:rPr>
          <w:rFonts w:ascii="Times New Roman" w:hAnsi="Times New Roman" w:cs="Times New Roman"/>
          <w:szCs w:val="24"/>
        </w:rPr>
        <w:t>A —一般取1；</w:t>
      </w:r>
    </w:p>
    <w:p>
      <w:pPr>
        <w:adjustRightInd/>
        <w:ind w:firstLine="480"/>
        <w:rPr>
          <w:rFonts w:ascii="Times New Roman" w:hAnsi="Times New Roman" w:cs="Times New Roman"/>
          <w:szCs w:val="24"/>
        </w:rPr>
      </w:pPr>
      <w:r>
        <w:rPr>
          <w:rFonts w:ascii="Times New Roman" w:hAnsi="Times New Roman" w:cs="Times New Roman"/>
          <w:szCs w:val="24"/>
        </w:rPr>
        <w:t>（4）参数选取</w:t>
      </w:r>
    </w:p>
    <w:p>
      <w:pPr>
        <w:adjustRightInd/>
        <w:ind w:firstLine="480"/>
        <w:rPr>
          <w:rFonts w:ascii="Times New Roman" w:hAnsi="Times New Roman" w:cs="Times New Roman"/>
          <w:szCs w:val="24"/>
        </w:rPr>
      </w:pPr>
      <w:r>
        <w:rPr>
          <w:rFonts w:ascii="Times New Roman" w:hAnsi="Times New Roman" w:cs="Times New Roman"/>
          <w:szCs w:val="24"/>
        </w:rPr>
        <w:t>粉质粘土的土壤水力参数值见下表，溶质运移模型方程中相关参数取值见下表，污染物泄漏浓度见下表所示。</w:t>
      </w:r>
    </w:p>
    <w:p>
      <w:pPr>
        <w:pStyle w:val="4"/>
        <w:tabs>
          <w:tab w:val="left" w:pos="1584"/>
        </w:tabs>
        <w:spacing w:line="236" w:lineRule="exact"/>
        <w:ind w:left="482"/>
        <w:jc w:val="center"/>
        <w:rPr>
          <w:rFonts w:ascii="Times New Roman" w:hAnsi="Times New Roman" w:cs="Times New Roman"/>
          <w:color w:val="auto"/>
          <w:sz w:val="21"/>
          <w:szCs w:val="21"/>
        </w:rPr>
      </w:pPr>
      <w:r>
        <w:rPr>
          <w:rFonts w:ascii="Times New Roman" w:hAnsi="Times New Roman" w:cs="Times New Roman"/>
          <w:color w:val="auto"/>
          <w:sz w:val="21"/>
          <w:szCs w:val="21"/>
        </w:rPr>
        <w:t>表5.7-4    土壤水力及溶质运移参数表</w:t>
      </w:r>
    </w:p>
    <w:tbl>
      <w:tblPr>
        <w:tblStyle w:val="62"/>
        <w:tblW w:w="916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235"/>
        <w:gridCol w:w="1621"/>
        <w:gridCol w:w="849"/>
        <w:gridCol w:w="1691"/>
        <w:gridCol w:w="1446"/>
        <w:gridCol w:w="16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8"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b/>
                <w:color w:val="auto"/>
                <w:sz w:val="18"/>
                <w:szCs w:val="18"/>
              </w:rPr>
              <w:t>类别</w:t>
            </w:r>
          </w:p>
        </w:tc>
        <w:tc>
          <w:tcPr>
            <w:tcW w:w="1235"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b/>
                <w:color w:val="auto"/>
                <w:sz w:val="18"/>
                <w:szCs w:val="18"/>
              </w:rPr>
              <w:t>厚度（m）</w:t>
            </w:r>
          </w:p>
        </w:tc>
        <w:tc>
          <w:tcPr>
            <w:tcW w:w="1621"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b/>
                <w:color w:val="auto"/>
                <w:sz w:val="18"/>
                <w:szCs w:val="18"/>
              </w:rPr>
              <w:t>渗透系（m/d）</w:t>
            </w:r>
          </w:p>
        </w:tc>
        <w:tc>
          <w:tcPr>
            <w:tcW w:w="849"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b/>
                <w:color w:val="auto"/>
                <w:sz w:val="18"/>
                <w:szCs w:val="18"/>
              </w:rPr>
              <w:t>孔隙度</w:t>
            </w:r>
          </w:p>
        </w:tc>
        <w:tc>
          <w:tcPr>
            <w:tcW w:w="1691"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b/>
                <w:color w:val="auto"/>
                <w:sz w:val="18"/>
                <w:szCs w:val="18"/>
              </w:rPr>
              <w:t>土壤含水（%）</w:t>
            </w:r>
          </w:p>
        </w:tc>
        <w:tc>
          <w:tcPr>
            <w:tcW w:w="1446"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b/>
                <w:color w:val="auto"/>
                <w:sz w:val="18"/>
                <w:szCs w:val="18"/>
              </w:rPr>
              <w:t>弥散度（m）</w:t>
            </w:r>
          </w:p>
        </w:tc>
        <w:tc>
          <w:tcPr>
            <w:tcW w:w="1685"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b/>
                <w:color w:val="auto"/>
                <w:sz w:val="18"/>
                <w:szCs w:val="18"/>
              </w:rPr>
              <w:t>土壤容重(kg/m</w:t>
            </w:r>
            <w:r>
              <w:rPr>
                <w:rFonts w:ascii="Times New Roman" w:hAnsi="Times New Roman" w:cs="Times New Roman"/>
                <w:b/>
                <w:color w:val="auto"/>
                <w:sz w:val="18"/>
                <w:szCs w:val="18"/>
                <w:vertAlign w:val="superscript"/>
              </w:rPr>
              <w:t>3</w:t>
            </w:r>
            <w:r>
              <w:rPr>
                <w:rFonts w:ascii="Times New Roman" w:hAnsi="Times New Roman" w:cs="Times New Roman"/>
                <w:b/>
                <w:color w:val="auto"/>
                <w:sz w:val="18"/>
                <w:szCs w:val="18"/>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8"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潮土</w:t>
            </w:r>
          </w:p>
        </w:tc>
        <w:tc>
          <w:tcPr>
            <w:tcW w:w="1235"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0～2</w:t>
            </w:r>
          </w:p>
        </w:tc>
        <w:tc>
          <w:tcPr>
            <w:tcW w:w="1621"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2.16</w:t>
            </w:r>
          </w:p>
        </w:tc>
        <w:tc>
          <w:tcPr>
            <w:tcW w:w="849"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0.25</w:t>
            </w:r>
          </w:p>
        </w:tc>
        <w:tc>
          <w:tcPr>
            <w:tcW w:w="1691"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28.1</w:t>
            </w:r>
          </w:p>
        </w:tc>
        <w:tc>
          <w:tcPr>
            <w:tcW w:w="1446"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color w:val="auto"/>
                <w:sz w:val="18"/>
                <w:szCs w:val="18"/>
              </w:rPr>
              <w:t>11.77</w:t>
            </w:r>
          </w:p>
        </w:tc>
        <w:tc>
          <w:tcPr>
            <w:tcW w:w="1685" w:type="dxa"/>
            <w:tcBorders>
              <w:tl2br w:val="nil"/>
              <w:tr2bl w:val="nil"/>
            </w:tcBorders>
            <w:shd w:val="clear" w:color="auto" w:fill="auto"/>
            <w:vAlign w:val="center"/>
          </w:tcPr>
          <w:p>
            <w:pPr>
              <w:tabs>
                <w:tab w:val="center" w:pos="2549"/>
                <w:tab w:val="right" w:pos="5098"/>
              </w:tabs>
              <w:spacing w:line="240" w:lineRule="auto"/>
              <w:ind w:firstLine="0" w:firstLineChars="0"/>
              <w:jc w:val="center"/>
              <w:rPr>
                <w:rFonts w:ascii="Times New Roman" w:hAnsi="Times New Roman" w:cs="Times New Roman"/>
                <w:color w:val="auto"/>
                <w:sz w:val="18"/>
                <w:szCs w:val="18"/>
              </w:rPr>
            </w:pPr>
            <w:r>
              <w:rPr>
                <w:rFonts w:ascii="Times New Roman" w:hAnsi="Times New Roman" w:cs="Times New Roman"/>
                <w:sz w:val="18"/>
                <w:szCs w:val="18"/>
              </w:rPr>
              <w:t>1660</w:t>
            </w:r>
          </w:p>
        </w:tc>
      </w:tr>
    </w:tbl>
    <w:p>
      <w:pPr>
        <w:pStyle w:val="4"/>
        <w:tabs>
          <w:tab w:val="left" w:pos="1584"/>
        </w:tabs>
        <w:spacing w:line="236" w:lineRule="exact"/>
        <w:jc w:val="center"/>
        <w:rPr>
          <w:rFonts w:ascii="Times New Roman" w:hAnsi="Times New Roman" w:cs="Times New Roman"/>
          <w:sz w:val="21"/>
          <w:szCs w:val="21"/>
        </w:rPr>
      </w:pPr>
      <w:r>
        <w:rPr>
          <w:rFonts w:ascii="Times New Roman" w:hAnsi="Times New Roman" w:cs="Times New Roman"/>
          <w:sz w:val="21"/>
          <w:szCs w:val="21"/>
        </w:rPr>
        <w:t>表5.7-5      污染物泄漏浓度</w:t>
      </w:r>
    </w:p>
    <w:tbl>
      <w:tblPr>
        <w:tblStyle w:val="62"/>
        <w:tblW w:w="9072"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61"/>
        <w:gridCol w:w="1605"/>
        <w:gridCol w:w="3321"/>
        <w:gridCol w:w="308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4" w:hRule="atLeast"/>
        </w:trPr>
        <w:tc>
          <w:tcPr>
            <w:tcW w:w="1061" w:type="dxa"/>
            <w:vAlign w:val="center"/>
          </w:tcPr>
          <w:p>
            <w:pPr>
              <w:adjustRightInd/>
              <w:spacing w:line="240" w:lineRule="auto"/>
              <w:ind w:firstLine="0" w:firstLineChars="0"/>
              <w:jc w:val="center"/>
              <w:rPr>
                <w:rFonts w:ascii="Times New Roman" w:hAnsi="Times New Roman" w:cs="Times New Roman"/>
                <w:b/>
                <w:bCs/>
                <w:sz w:val="18"/>
                <w:szCs w:val="18"/>
              </w:rPr>
            </w:pPr>
            <w:r>
              <w:rPr>
                <w:rFonts w:ascii="Times New Roman" w:hAnsi="Times New Roman" w:cs="Times New Roman"/>
                <w:b/>
                <w:bCs/>
                <w:sz w:val="18"/>
                <w:szCs w:val="18"/>
              </w:rPr>
              <w:t>序号</w:t>
            </w:r>
          </w:p>
        </w:tc>
        <w:tc>
          <w:tcPr>
            <w:tcW w:w="1605" w:type="dxa"/>
            <w:vAlign w:val="center"/>
          </w:tcPr>
          <w:p>
            <w:pPr>
              <w:adjustRightInd/>
              <w:spacing w:line="240" w:lineRule="auto"/>
              <w:ind w:firstLine="0" w:firstLineChars="0"/>
              <w:jc w:val="center"/>
              <w:rPr>
                <w:rFonts w:ascii="Times New Roman" w:hAnsi="Times New Roman" w:cs="Times New Roman"/>
                <w:b/>
                <w:bCs/>
                <w:sz w:val="18"/>
                <w:szCs w:val="18"/>
              </w:rPr>
            </w:pPr>
            <w:r>
              <w:rPr>
                <w:rFonts w:ascii="Times New Roman" w:hAnsi="Times New Roman" w:cs="Times New Roman"/>
                <w:b/>
                <w:bCs/>
                <w:sz w:val="18"/>
                <w:szCs w:val="18"/>
              </w:rPr>
              <w:t>污染物</w:t>
            </w:r>
          </w:p>
        </w:tc>
        <w:tc>
          <w:tcPr>
            <w:tcW w:w="3321" w:type="dxa"/>
            <w:vAlign w:val="center"/>
          </w:tcPr>
          <w:p>
            <w:pPr>
              <w:adjustRightInd/>
              <w:spacing w:line="240" w:lineRule="auto"/>
              <w:ind w:firstLine="0" w:firstLineChars="0"/>
              <w:jc w:val="center"/>
              <w:rPr>
                <w:rFonts w:ascii="Times New Roman" w:hAnsi="Times New Roman" w:cs="Times New Roman"/>
                <w:b/>
                <w:bCs/>
                <w:sz w:val="18"/>
                <w:szCs w:val="18"/>
              </w:rPr>
            </w:pPr>
            <w:r>
              <w:rPr>
                <w:rFonts w:ascii="Times New Roman" w:hAnsi="Times New Roman" w:cs="Times New Roman"/>
                <w:b/>
                <w:bCs/>
                <w:sz w:val="18"/>
                <w:szCs w:val="18"/>
              </w:rPr>
              <w:t>浓度（mg/cm</w:t>
            </w:r>
            <w:r>
              <w:rPr>
                <w:rFonts w:ascii="Times New Roman" w:hAnsi="Times New Roman" w:cs="Times New Roman"/>
                <w:b/>
                <w:bCs/>
                <w:sz w:val="18"/>
                <w:szCs w:val="18"/>
                <w:vertAlign w:val="superscript"/>
              </w:rPr>
              <w:t>3</w:t>
            </w:r>
            <w:r>
              <w:rPr>
                <w:rFonts w:ascii="Times New Roman" w:hAnsi="Times New Roman" w:cs="Times New Roman"/>
                <w:b/>
                <w:bCs/>
                <w:sz w:val="18"/>
                <w:szCs w:val="18"/>
              </w:rPr>
              <w:t>）</w:t>
            </w:r>
          </w:p>
        </w:tc>
        <w:tc>
          <w:tcPr>
            <w:tcW w:w="3085" w:type="dxa"/>
            <w:vAlign w:val="center"/>
          </w:tcPr>
          <w:p>
            <w:pPr>
              <w:adjustRightInd/>
              <w:spacing w:line="240" w:lineRule="auto"/>
              <w:ind w:firstLine="0" w:firstLineChars="0"/>
              <w:jc w:val="center"/>
              <w:rPr>
                <w:rFonts w:ascii="Times New Roman" w:hAnsi="Times New Roman" w:cs="Times New Roman"/>
                <w:b/>
                <w:bCs/>
                <w:sz w:val="18"/>
                <w:szCs w:val="18"/>
              </w:rPr>
            </w:pPr>
            <w:r>
              <w:rPr>
                <w:rFonts w:ascii="Times New Roman" w:hAnsi="Times New Roman" w:cs="Times New Roman"/>
                <w:b/>
                <w:bCs/>
                <w:sz w:val="18"/>
                <w:szCs w:val="18"/>
              </w:rPr>
              <w:t>背景浓度（mg/cm</w:t>
            </w:r>
            <w:r>
              <w:rPr>
                <w:rFonts w:ascii="Times New Roman" w:hAnsi="Times New Roman" w:cs="Times New Roman"/>
                <w:b/>
                <w:bCs/>
                <w:sz w:val="18"/>
                <w:szCs w:val="18"/>
                <w:vertAlign w:val="superscript"/>
              </w:rPr>
              <w:t>3</w:t>
            </w:r>
            <w:r>
              <w:rPr>
                <w:rFonts w:ascii="Times New Roman" w:hAnsi="Times New Roman" w:cs="Times New Roman"/>
                <w:b/>
                <w:bCs/>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4" w:hRule="atLeast"/>
        </w:trPr>
        <w:tc>
          <w:tcPr>
            <w:tcW w:w="1061" w:type="dxa"/>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1</w:t>
            </w:r>
          </w:p>
        </w:tc>
        <w:tc>
          <w:tcPr>
            <w:tcW w:w="1605" w:type="dxa"/>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石油烃</w:t>
            </w:r>
          </w:p>
        </w:tc>
        <w:tc>
          <w:tcPr>
            <w:tcW w:w="3321" w:type="dxa"/>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0.2</w:t>
            </w:r>
          </w:p>
        </w:tc>
        <w:tc>
          <w:tcPr>
            <w:tcW w:w="3085" w:type="dxa"/>
            <w:vAlign w:val="center"/>
          </w:tcPr>
          <w:p>
            <w:pPr>
              <w:adjustRightInd/>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ND</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4" w:hRule="atLeast"/>
        </w:trPr>
        <w:tc>
          <w:tcPr>
            <w:tcW w:w="9072" w:type="dxa"/>
            <w:gridSpan w:val="4"/>
            <w:vAlign w:val="center"/>
          </w:tcPr>
          <w:p>
            <w:pPr>
              <w:adjustRightInd/>
              <w:spacing w:line="240" w:lineRule="auto"/>
              <w:ind w:firstLine="360"/>
              <w:jc w:val="center"/>
              <w:rPr>
                <w:rFonts w:ascii="Times New Roman" w:hAnsi="Times New Roman" w:cs="Times New Roman"/>
                <w:sz w:val="18"/>
                <w:szCs w:val="18"/>
              </w:rPr>
            </w:pPr>
            <w:r>
              <w:rPr>
                <w:rFonts w:ascii="Times New Roman" w:hAnsi="Times New Roman" w:cs="Times New Roman"/>
                <w:sz w:val="18"/>
                <w:szCs w:val="18"/>
              </w:rPr>
              <w:t>注：</w:t>
            </w:r>
            <w:r>
              <w:rPr>
                <w:rFonts w:ascii="Times New Roman" w:hAnsi="Times New Roman" w:cs="Times New Roman"/>
                <w:color w:val="auto"/>
                <w:kern w:val="0"/>
                <w:sz w:val="18"/>
                <w:szCs w:val="18"/>
                <w:lang w:val="zh-CN"/>
              </w:rPr>
              <w:t>（</w:t>
            </w:r>
            <w:r>
              <w:rPr>
                <w:rFonts w:ascii="Times New Roman" w:hAnsi="Times New Roman" w:cs="Times New Roman"/>
                <w:color w:val="auto"/>
                <w:kern w:val="0"/>
                <w:sz w:val="18"/>
                <w:szCs w:val="18"/>
              </w:rPr>
              <w:t>石油烃以石油类计</w:t>
            </w:r>
            <w:r>
              <w:rPr>
                <w:rFonts w:ascii="Times New Roman" w:hAnsi="Times New Roman" w:cs="Times New Roman"/>
                <w:color w:val="auto"/>
                <w:kern w:val="0"/>
                <w:sz w:val="18"/>
                <w:szCs w:val="18"/>
                <w:lang w:val="zh-CN"/>
              </w:rPr>
              <w:t>）</w:t>
            </w:r>
          </w:p>
        </w:tc>
      </w:tr>
    </w:tbl>
    <w:p>
      <w:pPr>
        <w:adjustRightInd/>
        <w:snapToGrid/>
        <w:ind w:firstLine="480"/>
        <w:rPr>
          <w:rFonts w:ascii="Times New Roman" w:hAnsi="Times New Roman" w:cs="Times New Roman"/>
          <w:szCs w:val="24"/>
        </w:rPr>
      </w:pPr>
      <w:r>
        <w:rPr>
          <w:rFonts w:ascii="Times New Roman" w:hAnsi="Times New Roman" w:cs="Times New Roman"/>
          <w:szCs w:val="24"/>
        </w:rPr>
        <w:t>（5）数值模型</w:t>
      </w:r>
    </w:p>
    <w:p>
      <w:pPr>
        <w:adjustRightInd/>
        <w:ind w:firstLine="480"/>
        <w:rPr>
          <w:rFonts w:ascii="Times New Roman" w:hAnsi="Times New Roman" w:cs="Times New Roman"/>
          <w:szCs w:val="24"/>
        </w:rPr>
      </w:pPr>
      <w:r>
        <w:rPr>
          <w:rFonts w:ascii="Times New Roman" w:hAnsi="Times New Roman" w:cs="Times New Roman"/>
          <w:szCs w:val="24"/>
        </w:rPr>
        <w:t>1）模拟软件选取</w:t>
      </w:r>
    </w:p>
    <w:p>
      <w:pPr>
        <w:adjustRightInd/>
        <w:ind w:firstLine="480"/>
        <w:rPr>
          <w:rFonts w:ascii="Times New Roman" w:hAnsi="Times New Roman" w:cs="Times New Roman"/>
          <w:szCs w:val="24"/>
        </w:rPr>
      </w:pPr>
      <w:r>
        <w:rPr>
          <w:rFonts w:ascii="Times New Roman" w:hAnsi="Times New Roman" w:cs="Times New Roman"/>
          <w:szCs w:val="24"/>
        </w:rPr>
        <w:t>本次评价应用HYDRUS软件求解非饱和带中的水分与溶质运移方程。</w:t>
      </w:r>
    </w:p>
    <w:p>
      <w:pPr>
        <w:adjustRightInd/>
        <w:ind w:firstLine="480"/>
        <w:rPr>
          <w:rFonts w:ascii="Times New Roman" w:hAnsi="Times New Roman" w:cs="Times New Roman"/>
          <w:szCs w:val="24"/>
        </w:rPr>
      </w:pPr>
      <w:r>
        <w:rPr>
          <w:rFonts w:ascii="Times New Roman" w:hAnsi="Times New Roman" w:cs="Times New Roman"/>
          <w:szCs w:val="24"/>
        </w:rPr>
        <w:t>2）建立模型</w:t>
      </w:r>
    </w:p>
    <w:p>
      <w:pPr>
        <w:widowControl/>
        <w:adjustRightInd/>
        <w:ind w:firstLine="480"/>
        <w:jc w:val="left"/>
        <w:rPr>
          <w:rFonts w:ascii="Times New Roman" w:hAnsi="Times New Roman" w:cs="Times New Roman"/>
          <w:szCs w:val="24"/>
        </w:rPr>
      </w:pPr>
      <w:r>
        <w:rPr>
          <w:rFonts w:ascii="Times New Roman" w:hAnsi="Times New Roman" w:cs="Times New Roman"/>
          <w:szCs w:val="24"/>
        </w:rPr>
        <w:t>包气带污染物运移模型为：密闭式含油污水收集池出现渗漏，对典型污染物石油烃在包气带中的运移进行模拟。</w:t>
      </w:r>
      <w:r>
        <w:rPr>
          <w:rFonts w:ascii="Times New Roman" w:hAnsi="Times New Roman" w:cs="Times New Roman"/>
          <w:color w:val="auto"/>
          <w:kern w:val="0"/>
          <w:szCs w:val="24"/>
          <w:lang w:bidi="ar"/>
        </w:rPr>
        <w:t>地下水埋深2-3m，</w:t>
      </w:r>
      <w:r>
        <w:rPr>
          <w:rFonts w:ascii="Times New Roman" w:hAnsi="Times New Roman" w:cs="Times New Roman"/>
          <w:szCs w:val="24"/>
        </w:rPr>
        <w:t>参照调查地层资料，</w:t>
      </w:r>
      <w:r>
        <w:rPr>
          <w:rFonts w:ascii="Times New Roman" w:hAnsi="Times New Roman" w:cs="Times New Roman"/>
          <w:color w:val="auto"/>
          <w:kern w:val="0"/>
          <w:szCs w:val="24"/>
          <w:lang w:bidi="ar"/>
        </w:rPr>
        <w:t>模型选择自地表向下2m范围内进行模拟。自地表向下至2m处分为1层粉质粘土层：0~2.0m。</w:t>
      </w:r>
      <w:r>
        <w:rPr>
          <w:rFonts w:ascii="Times New Roman" w:hAnsi="Times New Roman" w:cs="Times New Roman"/>
          <w:szCs w:val="24"/>
        </w:rPr>
        <w:t>剖分节点为101个。在预测目标层布置4个观测点，从上到下依次为N1～N4，距模型顶端距离分别为20、60、100和200cm。地槽属地下式建筑。若发生不易发现的小面积渗漏，假设365天后检修才发现，故将时间设定为365天。</w:t>
      </w:r>
    </w:p>
    <w:p>
      <w:pPr>
        <w:adjustRightInd/>
        <w:ind w:firstLine="480"/>
        <w:rPr>
          <w:rFonts w:ascii="Times New Roman" w:hAnsi="Times New Roman" w:cs="Times New Roman"/>
          <w:szCs w:val="24"/>
        </w:rPr>
      </w:pPr>
      <w:r>
        <w:rPr>
          <w:rFonts w:ascii="Times New Roman" w:hAnsi="Times New Roman" w:cs="Times New Roman"/>
          <w:szCs w:val="24"/>
        </w:rPr>
        <w:t>3）预测结果</w:t>
      </w:r>
    </w:p>
    <w:p>
      <w:pPr>
        <w:adjustRightInd/>
        <w:ind w:firstLine="480"/>
        <w:rPr>
          <w:rFonts w:ascii="Times New Roman" w:hAnsi="Times New Roman" w:cs="Times New Roman"/>
          <w:szCs w:val="24"/>
        </w:rPr>
      </w:pPr>
      <w:r>
        <w:rPr>
          <w:rFonts w:ascii="Times New Roman" w:hAnsi="Times New Roman" w:cs="Times New Roman"/>
          <w:szCs w:val="24"/>
        </w:rPr>
        <w:t>非正常状况下</w:t>
      </w:r>
      <w:r>
        <w:rPr>
          <w:rFonts w:ascii="Times New Roman" w:hAnsi="Times New Roman" w:cs="Times New Roman"/>
          <w:color w:val="auto"/>
          <w:szCs w:val="24"/>
          <w:shd w:val="clear" w:color="auto" w:fill="FFFFFF"/>
        </w:rPr>
        <w:t>密闭式含油污水收集池</w:t>
      </w:r>
      <w:r>
        <w:rPr>
          <w:rFonts w:ascii="Times New Roman" w:hAnsi="Times New Roman" w:cs="Times New Roman"/>
          <w:szCs w:val="24"/>
        </w:rPr>
        <w:t>发生泄漏，废水中的石油烃污染因子持续渗入土壤并不断向下运移，初始浓度分别为0.2mg/cm</w:t>
      </w:r>
      <w:r>
        <w:rPr>
          <w:rFonts w:ascii="Times New Roman" w:hAnsi="Times New Roman" w:cs="Times New Roman"/>
          <w:szCs w:val="24"/>
          <w:vertAlign w:val="superscript"/>
        </w:rPr>
        <w:t>3</w:t>
      </w:r>
      <w:r>
        <w:rPr>
          <w:rFonts w:ascii="Times New Roman" w:hAnsi="Times New Roman" w:cs="Times New Roman"/>
          <w:szCs w:val="24"/>
        </w:rPr>
        <w:t>（33.8mg/kg），在不同水平年各污染物沿土壤迁移，土壤底部各污染物浓度随时间变化。（注：浓度（mg/kg）=浓度（mg/cm</w:t>
      </w:r>
      <w:r>
        <w:rPr>
          <w:rFonts w:ascii="Times New Roman" w:hAnsi="Times New Roman" w:cs="Times New Roman"/>
          <w:szCs w:val="24"/>
          <w:vertAlign w:val="superscript"/>
        </w:rPr>
        <w:t>3</w:t>
      </w:r>
      <w:r>
        <w:rPr>
          <w:rFonts w:ascii="Times New Roman" w:hAnsi="Times New Roman" w:cs="Times New Roman"/>
          <w:szCs w:val="24"/>
        </w:rPr>
        <w:t>）×θ含水率×10</w:t>
      </w:r>
      <w:r>
        <w:rPr>
          <w:rFonts w:ascii="Times New Roman" w:hAnsi="Times New Roman" w:cs="Times New Roman"/>
          <w:szCs w:val="24"/>
          <w:vertAlign w:val="superscript"/>
        </w:rPr>
        <w:t>6</w:t>
      </w:r>
      <w:r>
        <w:rPr>
          <w:rFonts w:ascii="Times New Roman" w:hAnsi="Times New Roman" w:cs="Times New Roman"/>
          <w:szCs w:val="24"/>
        </w:rPr>
        <w:t>/ρ土壤容重。）</w:t>
      </w:r>
    </w:p>
    <w:tbl>
      <w:tblPr>
        <w:tblStyle w:val="62"/>
        <w:tblW w:w="88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88"/>
        <w:gridCol w:w="3002"/>
        <w:gridCol w:w="2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86" w:hRule="atLeast"/>
          <w:jc w:val="center"/>
        </w:trPr>
        <w:tc>
          <w:tcPr>
            <w:tcW w:w="3188" w:type="dxa"/>
            <w:shd w:val="clear" w:color="auto" w:fill="auto"/>
          </w:tcPr>
          <w:p>
            <w:pPr>
              <w:adjustRightInd/>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0" distR="0">
                  <wp:extent cx="1169670" cy="7346950"/>
                  <wp:effectExtent l="0" t="0" r="0" b="0"/>
                  <wp:docPr id="136" name="图片 1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true" noChangeArrowheads="true"/>
                          </pic:cNvPicPr>
                        </pic:nvPicPr>
                        <pic:blipFill>
                          <a:blip r:embed="rId233"/>
                          <a:srcRect/>
                          <a:stretch>
                            <a:fillRect/>
                          </a:stretch>
                        </pic:blipFill>
                        <pic:spPr>
                          <a:xfrm>
                            <a:off x="0" y="0"/>
                            <a:ext cx="1169670" cy="7346950"/>
                          </a:xfrm>
                          <a:prstGeom prst="rect">
                            <a:avLst/>
                          </a:prstGeom>
                          <a:noFill/>
                          <a:ln>
                            <a:noFill/>
                          </a:ln>
                        </pic:spPr>
                      </pic:pic>
                    </a:graphicData>
                  </a:graphic>
                </wp:inline>
              </w:drawing>
            </w:r>
          </w:p>
          <w:p>
            <w:pPr>
              <w:adjustRightInd/>
              <w:spacing w:line="240" w:lineRule="auto"/>
              <w:ind w:firstLine="0" w:firstLineChars="0"/>
              <w:jc w:val="center"/>
              <w:rPr>
                <w:rFonts w:ascii="Times New Roman" w:hAnsi="Times New Roman" w:cs="Times New Roman"/>
              </w:rPr>
            </w:pPr>
            <w:r>
              <w:rPr>
                <w:rFonts w:ascii="Times New Roman" w:hAnsi="Times New Roman" w:cs="Times New Roman"/>
                <w:b/>
                <w:bCs/>
                <w:sz w:val="21"/>
                <w:szCs w:val="21"/>
              </w:rPr>
              <w:t>图5.7-1 项目区土壤变化分布图</w:t>
            </w:r>
          </w:p>
        </w:tc>
        <w:tc>
          <w:tcPr>
            <w:tcW w:w="3002" w:type="dxa"/>
            <w:shd w:val="clear" w:color="auto" w:fill="auto"/>
          </w:tcPr>
          <w:p>
            <w:pPr>
              <w:adjustRightInd/>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rPr>
              <w:drawing>
                <wp:inline distT="0" distB="0" distL="0" distR="0">
                  <wp:extent cx="1180465" cy="7336155"/>
                  <wp:effectExtent l="0" t="0" r="0" b="0"/>
                  <wp:docPr id="137" name="图片 1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true" noChangeArrowheads="true"/>
                          </pic:cNvPicPr>
                        </pic:nvPicPr>
                        <pic:blipFill>
                          <a:blip r:embed="rId234"/>
                          <a:srcRect/>
                          <a:stretch>
                            <a:fillRect/>
                          </a:stretch>
                        </pic:blipFill>
                        <pic:spPr>
                          <a:xfrm>
                            <a:off x="0" y="0"/>
                            <a:ext cx="1180465" cy="7336155"/>
                          </a:xfrm>
                          <a:prstGeom prst="rect">
                            <a:avLst/>
                          </a:prstGeom>
                          <a:noFill/>
                          <a:ln>
                            <a:noFill/>
                          </a:ln>
                        </pic:spPr>
                      </pic:pic>
                    </a:graphicData>
                  </a:graphic>
                </wp:inline>
              </w:drawing>
            </w:r>
          </w:p>
          <w:p>
            <w:pPr>
              <w:adjustRightInd/>
              <w:spacing w:line="240" w:lineRule="auto"/>
              <w:ind w:firstLine="0" w:firstLineChars="0"/>
              <w:jc w:val="center"/>
              <w:rPr>
                <w:rFonts w:ascii="Times New Roman" w:hAnsi="Times New Roman" w:cs="Times New Roman"/>
              </w:rPr>
            </w:pPr>
            <w:r>
              <w:rPr>
                <w:rFonts w:ascii="Times New Roman" w:hAnsi="Times New Roman" w:cs="Times New Roman"/>
                <w:b/>
                <w:bCs/>
                <w:sz w:val="21"/>
                <w:szCs w:val="21"/>
              </w:rPr>
              <w:t>图5.7-2 模型压力水头变化图</w:t>
            </w:r>
          </w:p>
        </w:tc>
        <w:tc>
          <w:tcPr>
            <w:tcW w:w="2659" w:type="dxa"/>
            <w:shd w:val="clear" w:color="auto" w:fill="auto"/>
          </w:tcPr>
          <w:p>
            <w:pPr>
              <w:adjustRightInd/>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sz w:val="21"/>
              </w:rPr>
              <mc:AlternateContent>
                <mc:Choice Requires="wps">
                  <w:drawing>
                    <wp:anchor distT="0" distB="0" distL="114300" distR="114300" simplePos="0" relativeHeight="251653120" behindDoc="0" locked="0" layoutInCell="1" allowOverlap="1">
                      <wp:simplePos x="0" y="0"/>
                      <wp:positionH relativeFrom="column">
                        <wp:posOffset>1352550</wp:posOffset>
                      </wp:positionH>
                      <wp:positionV relativeFrom="paragraph">
                        <wp:posOffset>7167880</wp:posOffset>
                      </wp:positionV>
                      <wp:extent cx="432435" cy="302895"/>
                      <wp:effectExtent l="0" t="0" r="0" b="0"/>
                      <wp:wrapNone/>
                      <wp:docPr id="212" name="文本框 35"/>
                      <wp:cNvGraphicFramePr/>
                      <a:graphic xmlns:a="http://schemas.openxmlformats.org/drawingml/2006/main">
                        <a:graphicData uri="http://schemas.microsoft.com/office/word/2010/wordprocessingShape">
                          <wps:wsp>
                            <wps:cNvSpPr txBox="true"/>
                            <wps:spPr>
                              <a:xfrm>
                                <a:off x="0" y="0"/>
                                <a:ext cx="432435" cy="302895"/>
                              </a:xfrm>
                              <a:prstGeom prst="rect">
                                <a:avLst/>
                              </a:prstGeom>
                              <a:noFill/>
                              <a:ln>
                                <a:noFill/>
                              </a:ln>
                            </wps:spPr>
                            <wps:txbx>
                              <w:txbxContent>
                                <w:p>
                                  <w:pPr>
                                    <w:spacing w:line="240" w:lineRule="auto"/>
                                    <w:ind w:firstLine="0" w:firstLineChars="0"/>
                                    <w:rPr>
                                      <w:rFonts w:ascii="Times New Roman" w:hAnsi="Times New Roman" w:cs="Times New Roman"/>
                                      <w:b/>
                                      <w:bCs/>
                                      <w:color w:val="FF0000"/>
                                      <w:szCs w:val="24"/>
                                    </w:rPr>
                                  </w:pPr>
                                  <w:r>
                                    <w:rPr>
                                      <w:rFonts w:ascii="Times New Roman" w:hAnsi="Times New Roman" w:cs="Times New Roman"/>
                                      <w:b/>
                                      <w:bCs/>
                                      <w:color w:val="FF0000"/>
                                      <w:szCs w:val="24"/>
                                    </w:rPr>
                                    <w:t>N4</w:t>
                                  </w:r>
                                </w:p>
                              </w:txbxContent>
                            </wps:txbx>
                            <wps:bodyPr upright="true"/>
                          </wps:wsp>
                        </a:graphicData>
                      </a:graphic>
                    </wp:anchor>
                  </w:drawing>
                </mc:Choice>
                <mc:Fallback>
                  <w:pict>
                    <v:shape id="文本框 35" o:spid="_x0000_s1026" o:spt="202" type="#_x0000_t202" style="position:absolute;left:0pt;margin-left:106.5pt;margin-top:564.4pt;height:23.85pt;width:34.05pt;z-index:251653120;mso-width-relative:page;mso-height-relative:page;" filled="f" stroked="f" coordsize="21600,21600" o:gfxdata="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WAAAAZHJzL1BLAQIUABQAAAAIAIdO4kDeOk2y2AAA&#10;AA0BAAAPAAAAAAAAAAEAIAAAADgAAABkcnMvZG93bnJldi54bWxQSwECFAAUAAAACACHTuJAEKz4&#10;ypYBAAAIAwAADgAAAAAAAAABACAAAAA9AQAAZHJzL2Uyb0RvYy54bWxQSwUGAAAAAAYABgBZAQAA&#10;RQUAAAAA&#10;">
                      <v:fill on="f" focussize="0,0"/>
                      <v:stroke on="f"/>
                      <v:imagedata o:title=""/>
                      <o:lock v:ext="edit" aspectratio="f"/>
                      <v:textbox>
                        <w:txbxContent>
                          <w:p>
                            <w:pPr>
                              <w:spacing w:line="240" w:lineRule="auto"/>
                              <w:ind w:firstLine="0" w:firstLineChars="0"/>
                              <w:rPr>
                                <w:rFonts w:ascii="Times New Roman" w:hAnsi="Times New Roman" w:cs="Times New Roman"/>
                                <w:b/>
                                <w:bCs/>
                                <w:color w:val="FF0000"/>
                                <w:szCs w:val="24"/>
                              </w:rPr>
                            </w:pPr>
                            <w:r>
                              <w:rPr>
                                <w:rFonts w:ascii="Times New Roman" w:hAnsi="Times New Roman" w:cs="Times New Roman"/>
                                <w:b/>
                                <w:bCs/>
                                <w:color w:val="FF0000"/>
                                <w:szCs w:val="24"/>
                              </w:rPr>
                              <w:t>N4</w:t>
                            </w:r>
                          </w:p>
                        </w:txbxContent>
                      </v:textbox>
                    </v:shape>
                  </w:pict>
                </mc:Fallback>
              </mc:AlternateContent>
            </w:r>
            <w:r>
              <w:rPr>
                <w:rFonts w:ascii="Times New Roman" w:hAnsi="Times New Roman" w:cs="Times New Roman"/>
                <w:sz w:val="21"/>
              </w:rPr>
              <mc:AlternateContent>
                <mc:Choice Requires="wps">
                  <w:drawing>
                    <wp:anchor distT="0" distB="0" distL="114300" distR="114300" simplePos="0" relativeHeight="251654144" behindDoc="0" locked="0" layoutInCell="1" allowOverlap="1">
                      <wp:simplePos x="0" y="0"/>
                      <wp:positionH relativeFrom="column">
                        <wp:posOffset>1347470</wp:posOffset>
                      </wp:positionH>
                      <wp:positionV relativeFrom="paragraph">
                        <wp:posOffset>2083435</wp:posOffset>
                      </wp:positionV>
                      <wp:extent cx="432435" cy="302895"/>
                      <wp:effectExtent l="0" t="0" r="0" b="0"/>
                      <wp:wrapNone/>
                      <wp:docPr id="211" name="文本框 45"/>
                      <wp:cNvGraphicFramePr/>
                      <a:graphic xmlns:a="http://schemas.openxmlformats.org/drawingml/2006/main">
                        <a:graphicData uri="http://schemas.microsoft.com/office/word/2010/wordprocessingShape">
                          <wps:wsp>
                            <wps:cNvSpPr txBox="true"/>
                            <wps:spPr>
                              <a:xfrm>
                                <a:off x="0" y="0"/>
                                <a:ext cx="432435" cy="302895"/>
                              </a:xfrm>
                              <a:prstGeom prst="rect">
                                <a:avLst/>
                              </a:prstGeom>
                              <a:noFill/>
                              <a:ln>
                                <a:noFill/>
                              </a:ln>
                            </wps:spPr>
                            <wps:txbx>
                              <w:txbxContent>
                                <w:p>
                                  <w:pPr>
                                    <w:spacing w:line="240" w:lineRule="auto"/>
                                    <w:ind w:firstLine="0" w:firstLineChars="0"/>
                                    <w:rPr>
                                      <w:rFonts w:ascii="Times New Roman" w:hAnsi="Times New Roman" w:cs="Times New Roman"/>
                                      <w:b/>
                                      <w:bCs/>
                                      <w:color w:val="FF0000"/>
                                      <w:szCs w:val="24"/>
                                    </w:rPr>
                                  </w:pPr>
                                  <w:r>
                                    <w:rPr>
                                      <w:rFonts w:ascii="Times New Roman" w:hAnsi="Times New Roman" w:cs="Times New Roman"/>
                                      <w:b/>
                                      <w:bCs/>
                                      <w:color w:val="FF0000"/>
                                      <w:szCs w:val="24"/>
                                    </w:rPr>
                                    <w:t>N2</w:t>
                                  </w:r>
                                </w:p>
                              </w:txbxContent>
                            </wps:txbx>
                            <wps:bodyPr upright="true"/>
                          </wps:wsp>
                        </a:graphicData>
                      </a:graphic>
                    </wp:anchor>
                  </w:drawing>
                </mc:Choice>
                <mc:Fallback>
                  <w:pict>
                    <v:shape id="文本框 45" o:spid="_x0000_s1026" o:spt="202" type="#_x0000_t202" style="position:absolute;left:0pt;margin-left:106.1pt;margin-top:164.05pt;height:23.85pt;width:34.05pt;z-index:251654144;mso-width-relative:page;mso-height-relative:page;" filled="f" stroked="f" coordsize="21600,21600" o:gfxdata="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WAAAAZHJzL1BLAQIUABQAAAAIAIdO4kB0LVo31wAA&#10;AAsBAAAPAAAAAAAAAAEAIAAAADgAAABkcnMvZG93bnJldi54bWxQSwECFAAUAAAACACHTuJAu/uR&#10;UZcBAAAIAwAADgAAAAAAAAABACAAAAA8AQAAZHJzL2Uyb0RvYy54bWxQSwUGAAAAAAYABgBZAQAA&#10;RQUAAAAA&#10;">
                      <v:fill on="f" focussize="0,0"/>
                      <v:stroke on="f"/>
                      <v:imagedata o:title=""/>
                      <o:lock v:ext="edit" aspectratio="f"/>
                      <v:textbox>
                        <w:txbxContent>
                          <w:p>
                            <w:pPr>
                              <w:spacing w:line="240" w:lineRule="auto"/>
                              <w:ind w:firstLine="0" w:firstLineChars="0"/>
                              <w:rPr>
                                <w:rFonts w:ascii="Times New Roman" w:hAnsi="Times New Roman" w:cs="Times New Roman"/>
                                <w:b/>
                                <w:bCs/>
                                <w:color w:val="FF0000"/>
                                <w:szCs w:val="24"/>
                              </w:rPr>
                            </w:pPr>
                            <w:r>
                              <w:rPr>
                                <w:rFonts w:ascii="Times New Roman" w:hAnsi="Times New Roman" w:cs="Times New Roman"/>
                                <w:b/>
                                <w:bCs/>
                                <w:color w:val="FF0000"/>
                                <w:szCs w:val="24"/>
                              </w:rPr>
                              <w:t>N2</w:t>
                            </w:r>
                          </w:p>
                        </w:txbxContent>
                      </v:textbox>
                    </v:shape>
                  </w:pict>
                </mc:Fallback>
              </mc:AlternateContent>
            </w:r>
            <w:r>
              <w:rPr>
                <w:rFonts w:ascii="Times New Roman" w:hAnsi="Times New Roman" w:cs="Times New Roman"/>
                <w:sz w:val="21"/>
              </w:rPr>
              <mc:AlternateContent>
                <mc:Choice Requires="wps">
                  <w:drawing>
                    <wp:anchor distT="0" distB="0" distL="114300" distR="114300" simplePos="0" relativeHeight="251655168" behindDoc="0" locked="0" layoutInCell="1" allowOverlap="1">
                      <wp:simplePos x="0" y="0"/>
                      <wp:positionH relativeFrom="column">
                        <wp:posOffset>1356995</wp:posOffset>
                      </wp:positionH>
                      <wp:positionV relativeFrom="paragraph">
                        <wp:posOffset>3535680</wp:posOffset>
                      </wp:positionV>
                      <wp:extent cx="432435" cy="302895"/>
                      <wp:effectExtent l="0" t="0" r="0" b="0"/>
                      <wp:wrapNone/>
                      <wp:docPr id="210" name="文本框 47"/>
                      <wp:cNvGraphicFramePr/>
                      <a:graphic xmlns:a="http://schemas.openxmlformats.org/drawingml/2006/main">
                        <a:graphicData uri="http://schemas.microsoft.com/office/word/2010/wordprocessingShape">
                          <wps:wsp>
                            <wps:cNvSpPr txBox="true"/>
                            <wps:spPr>
                              <a:xfrm>
                                <a:off x="0" y="0"/>
                                <a:ext cx="432435" cy="302895"/>
                              </a:xfrm>
                              <a:prstGeom prst="rect">
                                <a:avLst/>
                              </a:prstGeom>
                              <a:noFill/>
                              <a:ln>
                                <a:noFill/>
                              </a:ln>
                            </wps:spPr>
                            <wps:txbx>
                              <w:txbxContent>
                                <w:p>
                                  <w:pPr>
                                    <w:spacing w:line="240" w:lineRule="auto"/>
                                    <w:ind w:firstLine="0" w:firstLineChars="0"/>
                                    <w:rPr>
                                      <w:rFonts w:ascii="Times New Roman" w:hAnsi="Times New Roman" w:cs="Times New Roman"/>
                                      <w:b/>
                                      <w:bCs/>
                                      <w:color w:val="FF0000"/>
                                      <w:szCs w:val="24"/>
                                    </w:rPr>
                                  </w:pPr>
                                  <w:r>
                                    <w:rPr>
                                      <w:rFonts w:ascii="Times New Roman" w:hAnsi="Times New Roman" w:cs="Times New Roman"/>
                                      <w:b/>
                                      <w:bCs/>
                                      <w:color w:val="FF0000"/>
                                      <w:szCs w:val="24"/>
                                    </w:rPr>
                                    <w:t>N3</w:t>
                                  </w:r>
                                </w:p>
                              </w:txbxContent>
                            </wps:txbx>
                            <wps:bodyPr upright="true"/>
                          </wps:wsp>
                        </a:graphicData>
                      </a:graphic>
                    </wp:anchor>
                  </w:drawing>
                </mc:Choice>
                <mc:Fallback>
                  <w:pict>
                    <v:shape id="文本框 47" o:spid="_x0000_s1026" o:spt="202" type="#_x0000_t202" style="position:absolute;left:0pt;margin-left:106.85pt;margin-top:278.4pt;height:23.85pt;width:34.05pt;z-index:251655168;mso-width-relative:page;mso-height-relative:page;" filled="f" stroked="f" coordsize="21600,21600" o:gfxdata="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FgAAAGRycy9QSwECFAAUAAAACACHTuJAsiy5DtgA&#10;AAALAQAADwAAAAAAAAABACAAAAA4AAAAZHJzL2Rvd25yZXYueG1sUEsBAhQAFAAAAAgAh07iQNTt&#10;mCGXAQAACAMAAA4AAAAAAAAAAQAgAAAAPQEAAGRycy9lMm9Eb2MueG1sUEsFBgAAAAAGAAYAWQEA&#10;AEYFAAAAAA==&#10;">
                      <v:fill on="f" focussize="0,0"/>
                      <v:stroke on="f"/>
                      <v:imagedata o:title=""/>
                      <o:lock v:ext="edit" aspectratio="f"/>
                      <v:textbox>
                        <w:txbxContent>
                          <w:p>
                            <w:pPr>
                              <w:spacing w:line="240" w:lineRule="auto"/>
                              <w:ind w:firstLine="0" w:firstLineChars="0"/>
                              <w:rPr>
                                <w:rFonts w:ascii="Times New Roman" w:hAnsi="Times New Roman" w:cs="Times New Roman"/>
                                <w:b/>
                                <w:bCs/>
                                <w:color w:val="FF0000"/>
                                <w:szCs w:val="24"/>
                              </w:rPr>
                            </w:pPr>
                            <w:r>
                              <w:rPr>
                                <w:rFonts w:ascii="Times New Roman" w:hAnsi="Times New Roman" w:cs="Times New Roman"/>
                                <w:b/>
                                <w:bCs/>
                                <w:color w:val="FF0000"/>
                                <w:szCs w:val="24"/>
                              </w:rPr>
                              <w:t>N3</w:t>
                            </w:r>
                          </w:p>
                        </w:txbxContent>
                      </v:textbox>
                    </v:shape>
                  </w:pict>
                </mc:Fallback>
              </mc:AlternateContent>
            </w:r>
            <w:r>
              <w:rPr>
                <w:rFonts w:ascii="Times New Roman" w:hAnsi="Times New Roman" w:cs="Times New Roman"/>
                <w:sz w:val="21"/>
              </w:rPr>
              <mc:AlternateContent>
                <mc:Choice Requires="wps">
                  <w:drawing>
                    <wp:anchor distT="0" distB="0" distL="114300" distR="114300" simplePos="0" relativeHeight="251656192" behindDoc="0" locked="0" layoutInCell="1" allowOverlap="1">
                      <wp:simplePos x="0" y="0"/>
                      <wp:positionH relativeFrom="column">
                        <wp:posOffset>1339215</wp:posOffset>
                      </wp:positionH>
                      <wp:positionV relativeFrom="paragraph">
                        <wp:posOffset>605155</wp:posOffset>
                      </wp:positionV>
                      <wp:extent cx="432435" cy="302895"/>
                      <wp:effectExtent l="0" t="0" r="0" b="0"/>
                      <wp:wrapNone/>
                      <wp:docPr id="209" name="文本框 48"/>
                      <wp:cNvGraphicFramePr/>
                      <a:graphic xmlns:a="http://schemas.openxmlformats.org/drawingml/2006/main">
                        <a:graphicData uri="http://schemas.microsoft.com/office/word/2010/wordprocessingShape">
                          <wps:wsp>
                            <wps:cNvSpPr txBox="true"/>
                            <wps:spPr>
                              <a:xfrm>
                                <a:off x="0" y="0"/>
                                <a:ext cx="432435" cy="302895"/>
                              </a:xfrm>
                              <a:prstGeom prst="rect">
                                <a:avLst/>
                              </a:prstGeom>
                              <a:noFill/>
                              <a:ln>
                                <a:noFill/>
                              </a:ln>
                            </wps:spPr>
                            <wps:txbx>
                              <w:txbxContent>
                                <w:p>
                                  <w:pPr>
                                    <w:spacing w:line="240" w:lineRule="auto"/>
                                    <w:ind w:firstLine="0" w:firstLineChars="0"/>
                                    <w:rPr>
                                      <w:rFonts w:ascii="Times New Roman" w:hAnsi="Times New Roman" w:cs="Times New Roman"/>
                                      <w:b/>
                                      <w:bCs/>
                                      <w:color w:val="FF0000"/>
                                      <w:szCs w:val="24"/>
                                    </w:rPr>
                                  </w:pPr>
                                  <w:r>
                                    <w:rPr>
                                      <w:rFonts w:ascii="Times New Roman" w:hAnsi="Times New Roman" w:cs="Times New Roman"/>
                                      <w:b/>
                                      <w:bCs/>
                                      <w:color w:val="FF0000"/>
                                      <w:szCs w:val="24"/>
                                    </w:rPr>
                                    <w:t>N1</w:t>
                                  </w:r>
                                </w:p>
                              </w:txbxContent>
                            </wps:txbx>
                            <wps:bodyPr upright="true"/>
                          </wps:wsp>
                        </a:graphicData>
                      </a:graphic>
                    </wp:anchor>
                  </w:drawing>
                </mc:Choice>
                <mc:Fallback>
                  <w:pict>
                    <v:shape id="文本框 48" o:spid="_x0000_s1026" o:spt="202" type="#_x0000_t202" style="position:absolute;left:0pt;margin-left:105.45pt;margin-top:47.65pt;height:23.85pt;width:34.05pt;z-index:251656192;mso-width-relative:page;mso-height-relative:page;" filled="f" stroked="f" coordsize="21600,21600" o:gfxdata="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BYAAABkcnMvUEsBAhQAFAAAAAgAh07iQGGVDv/XAAAA&#10;CgEAAA8AAAAAAAAAAQAgAAAAOAAAAGRycy9kb3ducmV2LnhtbFBLAQIUABQAAAAIAIdO4kA4v+qj&#10;lgEAAAgDAAAOAAAAAAAAAAEAIAAAADwBAABkcnMvZTJvRG9jLnhtbFBLBQYAAAAABgAGAFkBAABE&#10;BQAAAAA=&#10;">
                      <v:fill on="f" focussize="0,0"/>
                      <v:stroke on="f"/>
                      <v:imagedata o:title=""/>
                      <o:lock v:ext="edit" aspectratio="f"/>
                      <v:textbox>
                        <w:txbxContent>
                          <w:p>
                            <w:pPr>
                              <w:spacing w:line="240" w:lineRule="auto"/>
                              <w:ind w:firstLine="0" w:firstLineChars="0"/>
                              <w:rPr>
                                <w:rFonts w:ascii="Times New Roman" w:hAnsi="Times New Roman" w:cs="Times New Roman"/>
                                <w:b/>
                                <w:bCs/>
                                <w:color w:val="FF0000"/>
                                <w:szCs w:val="24"/>
                              </w:rPr>
                            </w:pPr>
                            <w:r>
                              <w:rPr>
                                <w:rFonts w:ascii="Times New Roman" w:hAnsi="Times New Roman" w:cs="Times New Roman"/>
                                <w:b/>
                                <w:bCs/>
                                <w:color w:val="FF0000"/>
                                <w:szCs w:val="24"/>
                              </w:rPr>
                              <w:t>N1</w:t>
                            </w:r>
                          </w:p>
                        </w:txbxContent>
                      </v:textbox>
                    </v:shape>
                  </w:pict>
                </mc:Fallback>
              </mc:AlternateContent>
            </w:r>
            <w:r>
              <w:rPr>
                <w:rFonts w:ascii="Times New Roman" w:hAnsi="Times New Roman" w:cs="Times New Roman"/>
              </w:rPr>
              <w:drawing>
                <wp:inline distT="0" distB="0" distL="0" distR="0">
                  <wp:extent cx="1169670" cy="7357745"/>
                  <wp:effectExtent l="0" t="0" r="0" b="0"/>
                  <wp:docPr id="138" name="图片 1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true" noChangeArrowheads="true"/>
                          </pic:cNvPicPr>
                        </pic:nvPicPr>
                        <pic:blipFill>
                          <a:blip r:embed="rId235"/>
                          <a:srcRect/>
                          <a:stretch>
                            <a:fillRect/>
                          </a:stretch>
                        </pic:blipFill>
                        <pic:spPr>
                          <a:xfrm>
                            <a:off x="0" y="0"/>
                            <a:ext cx="1169670" cy="7357745"/>
                          </a:xfrm>
                          <a:prstGeom prst="rect">
                            <a:avLst/>
                          </a:prstGeom>
                          <a:noFill/>
                          <a:ln>
                            <a:noFill/>
                          </a:ln>
                        </pic:spPr>
                      </pic:pic>
                    </a:graphicData>
                  </a:graphic>
                </wp:inline>
              </w:drawing>
            </w:r>
          </w:p>
          <w:p>
            <w:pPr>
              <w:adjustRightInd/>
              <w:spacing w:line="240" w:lineRule="auto"/>
              <w:ind w:firstLine="0" w:firstLineChars="0"/>
              <w:jc w:val="center"/>
              <w:rPr>
                <w:rFonts w:ascii="Times New Roman" w:hAnsi="Times New Roman" w:cs="Times New Roman"/>
                <w:b/>
                <w:bCs/>
                <w:sz w:val="21"/>
                <w:szCs w:val="21"/>
              </w:rPr>
            </w:pPr>
            <w:r>
              <w:rPr>
                <w:rFonts w:ascii="Times New Roman" w:hAnsi="Times New Roman" w:cs="Times New Roman"/>
                <w:b/>
                <w:bCs/>
                <w:sz w:val="21"/>
                <w:szCs w:val="21"/>
              </w:rPr>
              <w:t>图5.7-3 模型观测点位图</w:t>
            </w:r>
          </w:p>
        </w:tc>
      </w:tr>
    </w:tbl>
    <w:p>
      <w:pPr>
        <w:adjustRightInd/>
        <w:snapToGrid/>
        <w:spacing w:line="500" w:lineRule="exact"/>
        <w:ind w:firstLine="480"/>
        <w:rPr>
          <w:rFonts w:ascii="Times New Roman" w:hAnsi="Times New Roman" w:cs="Times New Roman"/>
          <w:szCs w:val="24"/>
        </w:rPr>
      </w:pPr>
      <w:r>
        <w:rPr>
          <w:rFonts w:ascii="Times New Roman" w:hAnsi="Times New Roman" w:cs="Times New Roman"/>
          <w:szCs w:val="24"/>
        </w:rPr>
        <w:t>本次模型中没有考虑污染物自身降解、滞留等作用。石油烃在4个观测点的浓度随时间变化曲线见下图。</w:t>
      </w:r>
    </w:p>
    <w:p>
      <w:pPr>
        <w:adjustRightInd/>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0" distR="0">
            <wp:extent cx="5380355" cy="4072255"/>
            <wp:effectExtent l="0" t="0" r="0" b="0"/>
            <wp:docPr id="139" name="图片 139" descr="无标题"/>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9" name="图片 139" descr="无标题"/>
                    <pic:cNvPicPr>
                      <a:picLocks noChangeAspect="true" noChangeArrowheads="true"/>
                    </pic:cNvPicPr>
                  </pic:nvPicPr>
                  <pic:blipFill>
                    <a:blip r:embed="rId236"/>
                    <a:srcRect/>
                    <a:stretch>
                      <a:fillRect/>
                    </a:stretch>
                  </pic:blipFill>
                  <pic:spPr>
                    <a:xfrm>
                      <a:off x="0" y="0"/>
                      <a:ext cx="5380355" cy="4072255"/>
                    </a:xfrm>
                    <a:prstGeom prst="rect">
                      <a:avLst/>
                    </a:prstGeom>
                    <a:noFill/>
                    <a:ln>
                      <a:noFill/>
                    </a:ln>
                  </pic:spPr>
                </pic:pic>
              </a:graphicData>
            </a:graphic>
          </wp:inline>
        </w:drawing>
      </w:r>
    </w:p>
    <w:p>
      <w:pPr>
        <w:adjustRightInd/>
        <w:ind w:firstLine="0" w:firstLineChars="0"/>
        <w:jc w:val="center"/>
        <w:rPr>
          <w:rFonts w:ascii="Times New Roman" w:hAnsi="Times New Roman" w:cs="Times New Roman"/>
          <w:b/>
          <w:sz w:val="21"/>
          <w:szCs w:val="21"/>
        </w:rPr>
      </w:pPr>
      <w:r>
        <w:rPr>
          <w:rFonts w:ascii="Times New Roman" w:hAnsi="Times New Roman" w:cs="Times New Roman"/>
          <w:b/>
          <w:sz w:val="21"/>
          <w:szCs w:val="21"/>
        </w:rPr>
        <w:t>图5.7-4  渗透时间与石油烃浓度关系图</w:t>
      </w:r>
    </w:p>
    <w:p>
      <w:pPr>
        <w:adjustRightInd/>
        <w:ind w:firstLine="480"/>
        <w:rPr>
          <w:rFonts w:ascii="Times New Roman" w:hAnsi="Times New Roman" w:cs="Times New Roman"/>
          <w:szCs w:val="24"/>
        </w:rPr>
      </w:pPr>
      <w:r>
        <w:rPr>
          <w:rFonts w:ascii="Times New Roman" w:hAnsi="Times New Roman" w:cs="Times New Roman"/>
          <w:szCs w:val="24"/>
        </w:rPr>
        <w:t>由上图可知，石油烃进入包气带之后，距离地表以下0.2m处(N1观测点)在渗漏后0.05d开始监测到石油烃，41.6d达到最终恒定浓度；地表以下0.6m处(N2观测点)在渗漏后2.8d开始监测到石油烃，53.2d达到最终恒定浓度；地表以下1m处(N3观测点)在渗漏后4.5d开始监测到石油烃，58.7d达到最终恒定浓度；地表以下2m处(N4观测点)在渗漏后7.6d开始监测到石油烃，64.3d达到最终恒定浓度。</w:t>
      </w:r>
    </w:p>
    <w:p>
      <w:pPr>
        <w:pStyle w:val="3550"/>
        <w:spacing w:before="0" w:after="0"/>
        <w:ind w:firstLine="480" w:firstLineChars="200"/>
        <w:rPr>
          <w:rFonts w:ascii="Times New Roman" w:hAnsi="Times New Roman" w:cs="Times New Roman"/>
          <w:color w:val="auto"/>
          <w:sz w:val="24"/>
          <w:szCs w:val="24"/>
          <w:lang w:val="zh-CN"/>
        </w:rPr>
      </w:pPr>
      <w:r>
        <w:rPr>
          <w:rFonts w:ascii="Times New Roman" w:hAnsi="Times New Roman" w:cs="Times New Roman"/>
          <w:sz w:val="24"/>
          <w:szCs w:val="24"/>
          <w:lang w:val="zh-CN"/>
        </w:rPr>
        <w:t>综合以上分析，正常状况下，由于采取了严格的防渗措施，不会因污水下渗造成土壤污染。</w:t>
      </w:r>
      <w:r>
        <w:rPr>
          <w:rFonts w:ascii="Times New Roman" w:hAnsi="Times New Roman" w:cs="Times New Roman"/>
          <w:color w:val="auto"/>
          <w:sz w:val="24"/>
          <w:szCs w:val="24"/>
          <w:shd w:val="clear" w:color="auto" w:fill="FFFFFF"/>
        </w:rPr>
        <w:t>密闭式含油污水收集池</w:t>
      </w:r>
      <w:r>
        <w:rPr>
          <w:rFonts w:ascii="Times New Roman" w:hAnsi="Times New Roman" w:cs="Times New Roman"/>
          <w:sz w:val="24"/>
          <w:szCs w:val="24"/>
          <w:lang w:val="zh-CN"/>
        </w:rPr>
        <w:t>泄漏非正常状况下，污水通过污水池裂缝进入土壤，</w:t>
      </w:r>
      <w:r>
        <w:rPr>
          <w:rFonts w:ascii="Times New Roman" w:hAnsi="Times New Roman" w:cs="Times New Roman"/>
          <w:sz w:val="24"/>
          <w:szCs w:val="24"/>
        </w:rPr>
        <w:t>对照《土壤环境质量-建设用地土壤污染风险管控标准（试行）》（GB36600-2018）中第二类用地要求，石油烃最终恒定浓度低于标准中第二类用地的筛选值要求，对区域土壤环境影响较小</w:t>
      </w:r>
      <w:r>
        <w:rPr>
          <w:rFonts w:ascii="Times New Roman" w:hAnsi="Times New Roman" w:cs="Times New Roman"/>
          <w:color w:val="auto"/>
          <w:sz w:val="24"/>
          <w:szCs w:val="24"/>
          <w:lang w:val="zh-CN"/>
        </w:rPr>
        <w:t>。</w:t>
      </w:r>
    </w:p>
    <w:p>
      <w:pPr>
        <w:pStyle w:val="3550"/>
        <w:spacing w:before="0" w:after="0"/>
        <w:ind w:firstLine="480" w:firstLineChars="200"/>
        <w:rPr>
          <w:rFonts w:ascii="Times New Roman" w:hAnsi="Times New Roman" w:cs="Times New Roman"/>
          <w:color w:val="auto"/>
          <w:sz w:val="24"/>
          <w:szCs w:val="24"/>
          <w:lang w:val="zh-CN"/>
        </w:rPr>
      </w:pPr>
    </w:p>
    <w:p>
      <w:pPr>
        <w:pStyle w:val="3550"/>
        <w:spacing w:before="0" w:after="0"/>
        <w:ind w:firstLine="480" w:firstLineChars="200"/>
        <w:rPr>
          <w:rFonts w:ascii="Times New Roman" w:hAnsi="Times New Roman" w:cs="Times New Roman"/>
          <w:color w:val="auto"/>
          <w:sz w:val="24"/>
          <w:szCs w:val="24"/>
          <w:lang w:val="zh-CN"/>
        </w:rPr>
      </w:pPr>
    </w:p>
    <w:p>
      <w:pPr>
        <w:pStyle w:val="3550"/>
        <w:spacing w:before="0" w:after="0"/>
        <w:ind w:firstLine="480" w:firstLineChars="200"/>
        <w:rPr>
          <w:rFonts w:ascii="Times New Roman" w:hAnsi="Times New Roman" w:cs="Times New Roman"/>
          <w:color w:val="auto"/>
          <w:kern w:val="2"/>
          <w:sz w:val="24"/>
          <w:szCs w:val="22"/>
        </w:rPr>
      </w:pPr>
    </w:p>
    <w:p>
      <w:pPr>
        <w:pStyle w:val="3"/>
        <w:widowControl w:val="0"/>
        <w:numPr>
          <w:ilvl w:val="0"/>
          <w:numId w:val="0"/>
        </w:numPr>
        <w:tabs>
          <w:tab w:val="left" w:pos="426"/>
          <w:tab w:val="clear" w:pos="921"/>
        </w:tabs>
        <w:spacing w:before="0" w:after="0"/>
        <w:ind w:left="0" w:leftChars="-37" w:hanging="89" w:hangingChars="32"/>
        <w:jc w:val="both"/>
        <w:rPr>
          <w:rFonts w:ascii="Times New Roman" w:hAnsi="Times New Roman" w:cs="Times New Roman"/>
          <w:color w:val="auto"/>
          <w:sz w:val="28"/>
          <w:szCs w:val="28"/>
        </w:rPr>
      </w:pPr>
      <w:bookmarkStart w:id="468" w:name="_Toc104733423"/>
      <w:bookmarkStart w:id="469" w:name="_Toc102979840"/>
      <w:r>
        <w:rPr>
          <w:rFonts w:ascii="Times New Roman" w:hAnsi="Times New Roman" w:cs="Times New Roman"/>
          <w:color w:val="auto"/>
          <w:sz w:val="28"/>
          <w:szCs w:val="28"/>
        </w:rPr>
        <w:t>5.8运营期生态环境影响评价</w:t>
      </w:r>
      <w:bookmarkEnd w:id="468"/>
      <w:bookmarkEnd w:id="469"/>
      <w:bookmarkStart w:id="470" w:name="_Toc102984394"/>
    </w:p>
    <w:p>
      <w:pPr>
        <w:pStyle w:val="4"/>
        <w:rPr>
          <w:rFonts w:ascii="Times New Roman" w:hAnsi="Times New Roman" w:eastAsia="黑体" w:cs="Times New Roman"/>
          <w:bCs w:val="0"/>
          <w:color w:val="auto"/>
          <w:sz w:val="28"/>
          <w:szCs w:val="28"/>
        </w:rPr>
      </w:pPr>
      <w:bookmarkStart w:id="471" w:name="_Toc104733424"/>
      <w:r>
        <w:rPr>
          <w:rFonts w:ascii="Times New Roman" w:hAnsi="Times New Roman" w:eastAsia="黑体" w:cs="Times New Roman"/>
          <w:bCs w:val="0"/>
          <w:color w:val="auto"/>
        </w:rPr>
        <w:t>5.8.1运营期</w:t>
      </w:r>
      <w:bookmarkEnd w:id="470"/>
      <w:bookmarkEnd w:id="471"/>
    </w:p>
    <w:p>
      <w:pPr>
        <w:ind w:firstLine="0" w:firstLineChars="0"/>
        <w:rPr>
          <w:rFonts w:ascii="Times New Roman" w:hAnsi="Times New Roman" w:cs="Times New Roman"/>
          <w:b/>
          <w:bCs/>
          <w:color w:val="auto"/>
        </w:rPr>
      </w:pPr>
      <w:bookmarkStart w:id="472" w:name="_Toc102984395"/>
      <w:r>
        <w:rPr>
          <w:rFonts w:ascii="Times New Roman" w:hAnsi="Times New Roman" w:cs="Times New Roman"/>
          <w:b/>
          <w:bCs/>
          <w:color w:val="auto"/>
        </w:rPr>
        <w:t>1、对陆域生态的影响分析</w:t>
      </w:r>
    </w:p>
    <w:p>
      <w:pPr>
        <w:pStyle w:val="25"/>
        <w:spacing w:line="360" w:lineRule="auto"/>
        <w:ind w:firstLine="480"/>
        <w:rPr>
          <w:rFonts w:ascii="Times New Roman" w:hAnsi="Times New Roman" w:cs="Times New Roman"/>
        </w:rPr>
      </w:pPr>
      <w:r>
        <w:rPr>
          <w:rFonts w:ascii="Times New Roman" w:hAnsi="Times New Roman" w:cs="Times New Roman"/>
        </w:rPr>
        <w:t>（1）</w:t>
      </w:r>
      <w:r>
        <w:rPr>
          <w:rFonts w:hint="eastAsia" w:ascii="Times New Roman" w:hAnsi="Times New Roman" w:cs="Times New Roman"/>
        </w:rPr>
        <w:t>工程占地</w:t>
      </w:r>
      <w:r>
        <w:rPr>
          <w:rFonts w:ascii="Times New Roman" w:hAnsi="Times New Roman" w:cs="Times New Roman"/>
        </w:rPr>
        <w:t>陆域植被</w:t>
      </w:r>
      <w:r>
        <w:rPr>
          <w:rFonts w:hint="eastAsia" w:ascii="Times New Roman" w:hAnsi="Times New Roman" w:cs="Times New Roman"/>
        </w:rPr>
        <w:t>和植物多样性</w:t>
      </w:r>
      <w:r>
        <w:rPr>
          <w:rFonts w:ascii="Times New Roman" w:hAnsi="Times New Roman" w:cs="Times New Roman"/>
        </w:rPr>
        <w:t>影响分析</w:t>
      </w:r>
    </w:p>
    <w:p>
      <w:pPr>
        <w:pStyle w:val="25"/>
        <w:spacing w:line="360" w:lineRule="auto"/>
        <w:ind w:firstLine="480"/>
        <w:rPr>
          <w:rFonts w:ascii="Times New Roman" w:hAnsi="Times New Roman" w:cs="Times New Roman"/>
        </w:rPr>
      </w:pPr>
      <w:r>
        <w:rPr>
          <w:rFonts w:hint="eastAsia" w:ascii="Times New Roman" w:hAnsi="Times New Roman" w:cs="Times New Roman"/>
        </w:rPr>
        <w:t>工程区以沟塘、耕地和村庄建设用地为主，区域耕地种植的农作物主要为水稻、小麦、油菜和棉花；林地多为村庄周边人工林，以意杨林、毛白杨林、樟树林和旱柳林为常见；灌草丛植被主要有构树灌丛、小果蔷薇灌丛、酸枣灌丛、白茅灌草丛、芦苇灌草丛、狗牙根灌草丛等；沿河还有少量芦苇沼泽、香蒲和苔草分布。工程占地涉及的植物种类基本为区域常见种类和人工种植种类，在评价区内分布广泛。因此，对评价内的植被和植物多样性的不利影响较小。</w:t>
      </w:r>
    </w:p>
    <w:p>
      <w:pPr>
        <w:pStyle w:val="25"/>
        <w:spacing w:line="360" w:lineRule="auto"/>
        <w:ind w:firstLine="480"/>
        <w:rPr>
          <w:rFonts w:ascii="Times New Roman" w:hAnsi="Times New Roman" w:cs="Times New Roman"/>
        </w:rPr>
      </w:pPr>
      <w:r>
        <w:rPr>
          <w:rFonts w:ascii="Times New Roman" w:hAnsi="Times New Roman" w:cs="Times New Roman"/>
        </w:rPr>
        <w:t>项目工程设计保证了一定的绿化率，通过结合本地物种进行绿化、种植等人工绿化措施，可以尽最大程度减少对植被覆盖率的影响。</w:t>
      </w:r>
      <w:r>
        <w:rPr>
          <w:rFonts w:hint="eastAsia" w:ascii="Times New Roman" w:hAnsi="Times New Roman" w:cs="Times New Roman"/>
        </w:rPr>
        <w:t>且</w:t>
      </w:r>
      <w:r>
        <w:rPr>
          <w:rFonts w:ascii="Times New Roman" w:hAnsi="Times New Roman" w:cs="Times New Roman"/>
        </w:rPr>
        <w:t>项目陆域所处用地属于合肥循环经济示范园规划范围，总体上对当地陆生植被影响较小。</w:t>
      </w:r>
    </w:p>
    <w:p>
      <w:pPr>
        <w:pStyle w:val="25"/>
        <w:spacing w:line="360" w:lineRule="auto"/>
        <w:ind w:firstLine="480"/>
        <w:rPr>
          <w:rFonts w:ascii="Times New Roman" w:hAnsi="Times New Roman" w:cs="Times New Roman"/>
        </w:rPr>
      </w:pPr>
      <w:r>
        <w:rPr>
          <w:rFonts w:ascii="Times New Roman" w:hAnsi="Times New Roman" w:cs="Times New Roman"/>
        </w:rPr>
        <w:t>（2）植物生物量损失影响</w:t>
      </w:r>
    </w:p>
    <w:p>
      <w:pPr>
        <w:pStyle w:val="25"/>
        <w:spacing w:line="360" w:lineRule="auto"/>
        <w:ind w:firstLine="480"/>
        <w:rPr>
          <w:rFonts w:ascii="Times New Roman" w:hAnsi="Times New Roman" w:cs="Times New Roman"/>
        </w:rPr>
      </w:pPr>
      <w:r>
        <w:rPr>
          <w:rFonts w:ascii="Times New Roman" w:hAnsi="Times New Roman" w:cs="Times New Roman"/>
        </w:rPr>
        <w:t>本工程用地范围永久占用土地共</w:t>
      </w:r>
      <w:r>
        <w:rPr>
          <w:rFonts w:hint="eastAsia" w:ascii="Times New Roman" w:hAnsi="Times New Roman" w:cs="Times New Roman"/>
        </w:rPr>
        <w:t>约</w:t>
      </w:r>
      <w:r>
        <w:rPr>
          <w:rFonts w:ascii="Times New Roman" w:hAnsi="Times New Roman" w:cs="Times New Roman"/>
        </w:rPr>
        <w:t>270亩</w:t>
      </w:r>
      <w:r>
        <w:rPr>
          <w:rFonts w:hint="eastAsia" w:ascii="Times New Roman" w:hAnsi="Times New Roman" w:cs="Times New Roman"/>
        </w:rPr>
        <w:t>（1</w:t>
      </w:r>
      <w:r>
        <w:rPr>
          <w:rFonts w:ascii="Times New Roman" w:hAnsi="Times New Roman" w:cs="Times New Roman"/>
        </w:rPr>
        <w:t>7.9840</w:t>
      </w:r>
      <w:r>
        <w:rPr>
          <w:rFonts w:hint="eastAsia" w:ascii="Times New Roman" w:hAnsi="Times New Roman" w:cs="Times New Roman"/>
        </w:rPr>
        <w:t>公顷）</w:t>
      </w:r>
      <w:r>
        <w:rPr>
          <w:rFonts w:ascii="Times New Roman" w:hAnsi="Times New Roman" w:cs="Times New Roman"/>
        </w:rPr>
        <w:t>。本项目建成后</w:t>
      </w:r>
      <w:r>
        <w:rPr>
          <w:rFonts w:hint="eastAsia" w:ascii="Times New Roman" w:hAnsi="Times New Roman" w:cs="Times New Roman"/>
        </w:rPr>
        <w:t>占地</w:t>
      </w:r>
      <w:r>
        <w:rPr>
          <w:rFonts w:ascii="Times New Roman" w:hAnsi="Times New Roman" w:cs="Times New Roman"/>
        </w:rPr>
        <w:t>范围的植被类型面积和</w:t>
      </w:r>
      <w:r>
        <w:rPr>
          <w:rFonts w:hint="eastAsia" w:ascii="Times New Roman" w:hAnsi="Times New Roman" w:cs="Times New Roman"/>
        </w:rPr>
        <w:t>净初级生产量</w:t>
      </w:r>
      <w:r>
        <w:rPr>
          <w:rFonts w:ascii="Times New Roman" w:hAnsi="Times New Roman" w:cs="Times New Roman"/>
        </w:rPr>
        <w:t>发生变化，具体变化情况见表 5.8-1。</w:t>
      </w:r>
    </w:p>
    <w:p>
      <w:pPr>
        <w:pStyle w:val="98"/>
        <w:snapToGrid w:val="0"/>
        <w:ind w:firstLine="421" w:firstLineChars="200"/>
        <w:jc w:val="center"/>
        <w:rPr>
          <w:rFonts w:ascii="Times New Roman" w:hAnsi="Times New Roman" w:cs="Times New Roman"/>
          <w:b/>
          <w:bCs/>
          <w:sz w:val="21"/>
          <w:szCs w:val="21"/>
        </w:rPr>
      </w:pPr>
      <w:r>
        <w:rPr>
          <w:rFonts w:hint="eastAsia" w:ascii="Times New Roman" w:hAnsi="Times New Roman" w:cs="Times New Roman"/>
          <w:b/>
          <w:bCs/>
          <w:sz w:val="21"/>
          <w:szCs w:val="21"/>
        </w:rPr>
        <w:t>表5</w:t>
      </w:r>
      <w:r>
        <w:rPr>
          <w:rFonts w:ascii="Times New Roman" w:hAnsi="Times New Roman" w:cs="Times New Roman"/>
          <w:b/>
          <w:bCs/>
          <w:sz w:val="21"/>
          <w:szCs w:val="21"/>
        </w:rPr>
        <w:t xml:space="preserve">.8-1   </w:t>
      </w:r>
      <w:r>
        <w:rPr>
          <w:rFonts w:hint="eastAsia" w:ascii="Times New Roman" w:hAnsi="Times New Roman" w:cs="Times New Roman"/>
          <w:b/>
          <w:bCs/>
          <w:sz w:val="21"/>
          <w:szCs w:val="21"/>
        </w:rPr>
        <w:t>项目永久占地带来的植被生物量变化</w:t>
      </w:r>
    </w:p>
    <w:tbl>
      <w:tblPr>
        <w:tblStyle w:val="62"/>
        <w:tblW w:w="906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265"/>
        <w:gridCol w:w="2555"/>
        <w:gridCol w:w="1843"/>
        <w:gridCol w:w="239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3" w:hRule="atLeast"/>
        </w:trPr>
        <w:tc>
          <w:tcPr>
            <w:tcW w:w="4820" w:type="dxa"/>
            <w:gridSpan w:val="2"/>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土地类型变化</w:t>
            </w:r>
          </w:p>
        </w:tc>
        <w:tc>
          <w:tcPr>
            <w:tcW w:w="1843" w:type="dxa"/>
            <w:vMerge w:val="restart"/>
            <w:shd w:val="clear" w:color="auto" w:fill="auto"/>
            <w:vAlign w:val="center"/>
          </w:tcPr>
          <w:p>
            <w:pPr>
              <w:pStyle w:val="98"/>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平均净初级生产力</w:t>
            </w:r>
          </w:p>
          <w:p>
            <w:pPr>
              <w:pStyle w:val="98"/>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（t/</w:t>
            </w:r>
            <w:r>
              <w:rPr>
                <w:rFonts w:ascii="Times New Roman" w:hAnsi="Times New Roman" w:cs="Times New Roman"/>
                <w:sz w:val="18"/>
                <w:szCs w:val="18"/>
              </w:rPr>
              <w:t>hm</w:t>
            </w:r>
            <w:r>
              <w:rPr>
                <w:rFonts w:ascii="Times New Roman" w:hAnsi="Times New Roman" w:cs="Times New Roman"/>
                <w:sz w:val="18"/>
                <w:szCs w:val="18"/>
                <w:vertAlign w:val="superscript"/>
              </w:rPr>
              <w:t>2</w:t>
            </w:r>
            <w:r>
              <w:rPr>
                <w:rFonts w:ascii="Times New Roman" w:hAnsi="Times New Roman" w:cs="Times New Roman"/>
                <w:sz w:val="18"/>
                <w:szCs w:val="18"/>
              </w:rPr>
              <w:t>·a</w:t>
            </w:r>
            <w:r>
              <w:rPr>
                <w:rFonts w:hint="eastAsia" w:ascii="Times New Roman" w:hAnsi="Times New Roman" w:cs="Times New Roman"/>
                <w:sz w:val="18"/>
                <w:szCs w:val="18"/>
              </w:rPr>
              <w:t>）</w:t>
            </w:r>
          </w:p>
        </w:tc>
        <w:tc>
          <w:tcPr>
            <w:tcW w:w="2398" w:type="dxa"/>
            <w:vMerge w:val="restart"/>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年净初级生物量变化（t）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2265"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类型</w:t>
            </w:r>
          </w:p>
        </w:tc>
        <w:tc>
          <w:tcPr>
            <w:tcW w:w="2555"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面积（hm</w:t>
            </w:r>
            <w:r>
              <w:rPr>
                <w:rFonts w:ascii="Times New Roman" w:hAnsi="Times New Roman" w:cs="Times New Roman"/>
                <w:sz w:val="18"/>
                <w:szCs w:val="18"/>
                <w:vertAlign w:val="superscript"/>
              </w:rPr>
              <w:t>2</w:t>
            </w:r>
            <w:r>
              <w:rPr>
                <w:rFonts w:hint="eastAsia" w:ascii="Times New Roman" w:hAnsi="Times New Roman" w:cs="Times New Roman"/>
                <w:sz w:val="18"/>
                <w:szCs w:val="18"/>
              </w:rPr>
              <w:t>）</w:t>
            </w:r>
          </w:p>
        </w:tc>
        <w:tc>
          <w:tcPr>
            <w:tcW w:w="1843" w:type="dxa"/>
            <w:vMerge w:val="continue"/>
            <w:shd w:val="clear" w:color="auto" w:fill="auto"/>
            <w:vAlign w:val="center"/>
          </w:tcPr>
          <w:p>
            <w:pPr>
              <w:pStyle w:val="98"/>
              <w:snapToGrid w:val="0"/>
              <w:spacing w:line="240" w:lineRule="auto"/>
              <w:jc w:val="center"/>
              <w:rPr>
                <w:rFonts w:ascii="Times New Roman" w:hAnsi="Times New Roman" w:cs="Times New Roman"/>
                <w:sz w:val="18"/>
                <w:szCs w:val="18"/>
              </w:rPr>
            </w:pPr>
          </w:p>
        </w:tc>
        <w:tc>
          <w:tcPr>
            <w:tcW w:w="2398" w:type="dxa"/>
            <w:vMerge w:val="continue"/>
            <w:shd w:val="clear" w:color="auto" w:fill="auto"/>
            <w:vAlign w:val="center"/>
          </w:tcPr>
          <w:p>
            <w:pPr>
              <w:pStyle w:val="98"/>
              <w:snapToGrid w:val="0"/>
              <w:spacing w:line="240" w:lineRule="auto"/>
              <w:jc w:val="center"/>
              <w:rPr>
                <w:rFonts w:ascii="Times New Roman" w:hAnsi="Times New Roman" w:cs="Times New Roman"/>
                <w:sz w:val="18"/>
                <w:szCs w:val="18"/>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2265"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水域</w:t>
            </w:r>
          </w:p>
        </w:tc>
        <w:tc>
          <w:tcPr>
            <w:tcW w:w="2555"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ascii="Times New Roman" w:hAnsi="Times New Roman" w:cs="Times New Roman"/>
                <w:sz w:val="18"/>
                <w:szCs w:val="18"/>
              </w:rPr>
              <w:t>-</w:t>
            </w:r>
            <w:r>
              <w:rPr>
                <w:rFonts w:hint="eastAsia" w:ascii="Times New Roman" w:hAnsi="Times New Roman" w:cs="Times New Roman"/>
                <w:sz w:val="18"/>
                <w:szCs w:val="18"/>
              </w:rPr>
              <w:t>2</w:t>
            </w:r>
            <w:r>
              <w:rPr>
                <w:rFonts w:ascii="Times New Roman" w:hAnsi="Times New Roman" w:cs="Times New Roman"/>
                <w:sz w:val="18"/>
                <w:szCs w:val="18"/>
              </w:rPr>
              <w:t>.4512</w:t>
            </w:r>
          </w:p>
        </w:tc>
        <w:tc>
          <w:tcPr>
            <w:tcW w:w="1843"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.44</w:t>
            </w:r>
          </w:p>
        </w:tc>
        <w:tc>
          <w:tcPr>
            <w:tcW w:w="2398"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w:t>
            </w:r>
            <w:r>
              <w:rPr>
                <w:rFonts w:ascii="Times New Roman" w:hAnsi="Times New Roman" w:cs="Times New Roman"/>
                <w:sz w:val="18"/>
                <w:szCs w:val="18"/>
              </w:rPr>
              <w:t>3.53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3" w:hRule="atLeast"/>
        </w:trPr>
        <w:tc>
          <w:tcPr>
            <w:tcW w:w="2265"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滩地（灌草地）</w:t>
            </w:r>
          </w:p>
        </w:tc>
        <w:tc>
          <w:tcPr>
            <w:tcW w:w="2555"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ascii="Times New Roman" w:hAnsi="Times New Roman" w:cs="Times New Roman"/>
                <w:sz w:val="18"/>
                <w:szCs w:val="18"/>
              </w:rPr>
              <w:t>-</w:t>
            </w:r>
            <w:r>
              <w:rPr>
                <w:rFonts w:hint="eastAsia" w:ascii="Times New Roman" w:hAnsi="Times New Roman" w:cs="Times New Roman"/>
                <w:sz w:val="18"/>
                <w:szCs w:val="18"/>
              </w:rPr>
              <w:t>4</w:t>
            </w:r>
            <w:r>
              <w:rPr>
                <w:rFonts w:ascii="Times New Roman" w:hAnsi="Times New Roman" w:cs="Times New Roman"/>
                <w:sz w:val="18"/>
                <w:szCs w:val="18"/>
              </w:rPr>
              <w:t>.1957</w:t>
            </w:r>
          </w:p>
        </w:tc>
        <w:tc>
          <w:tcPr>
            <w:tcW w:w="1843"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8</w:t>
            </w:r>
            <w:r>
              <w:rPr>
                <w:rFonts w:ascii="Times New Roman" w:hAnsi="Times New Roman" w:cs="Times New Roman"/>
                <w:sz w:val="18"/>
                <w:szCs w:val="18"/>
              </w:rPr>
              <w:t>.16</w:t>
            </w:r>
          </w:p>
        </w:tc>
        <w:tc>
          <w:tcPr>
            <w:tcW w:w="2398"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w:t>
            </w:r>
            <w:r>
              <w:rPr>
                <w:rFonts w:ascii="Times New Roman" w:hAnsi="Times New Roman" w:cs="Times New Roman"/>
                <w:sz w:val="18"/>
                <w:szCs w:val="18"/>
              </w:rPr>
              <w:t>34.24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3" w:hRule="atLeast"/>
        </w:trPr>
        <w:tc>
          <w:tcPr>
            <w:tcW w:w="2265"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村庄人工林（农用地）</w:t>
            </w:r>
          </w:p>
        </w:tc>
        <w:tc>
          <w:tcPr>
            <w:tcW w:w="2555"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ascii="Times New Roman" w:hAnsi="Times New Roman" w:cs="Times New Roman"/>
                <w:sz w:val="18"/>
                <w:szCs w:val="18"/>
              </w:rPr>
              <w:t>-</w:t>
            </w:r>
            <w:r>
              <w:rPr>
                <w:rFonts w:hint="eastAsia" w:ascii="Times New Roman" w:hAnsi="Times New Roman" w:cs="Times New Roman"/>
                <w:sz w:val="18"/>
                <w:szCs w:val="18"/>
              </w:rPr>
              <w:t>1</w:t>
            </w:r>
            <w:r>
              <w:rPr>
                <w:rFonts w:ascii="Times New Roman" w:hAnsi="Times New Roman" w:cs="Times New Roman"/>
                <w:sz w:val="18"/>
                <w:szCs w:val="18"/>
              </w:rPr>
              <w:t>.9927</w:t>
            </w:r>
          </w:p>
        </w:tc>
        <w:tc>
          <w:tcPr>
            <w:tcW w:w="1843"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9</w:t>
            </w:r>
            <w:r>
              <w:rPr>
                <w:rFonts w:ascii="Times New Roman" w:hAnsi="Times New Roman" w:cs="Times New Roman"/>
                <w:sz w:val="18"/>
                <w:szCs w:val="18"/>
              </w:rPr>
              <w:t>.08</w:t>
            </w:r>
          </w:p>
        </w:tc>
        <w:tc>
          <w:tcPr>
            <w:tcW w:w="2398"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ascii="Times New Roman" w:hAnsi="Times New Roman" w:cs="Times New Roman"/>
                <w:sz w:val="18"/>
                <w:szCs w:val="18"/>
              </w:rPr>
              <w:t>-</w:t>
            </w:r>
            <w:r>
              <w:rPr>
                <w:rFonts w:hint="eastAsia" w:ascii="Times New Roman" w:hAnsi="Times New Roman" w:cs="Times New Roman"/>
                <w:sz w:val="18"/>
                <w:szCs w:val="18"/>
              </w:rPr>
              <w:t>1</w:t>
            </w:r>
            <w:r>
              <w:rPr>
                <w:rFonts w:ascii="Times New Roman" w:hAnsi="Times New Roman" w:cs="Times New Roman"/>
                <w:sz w:val="18"/>
                <w:szCs w:val="18"/>
              </w:rPr>
              <w:t>8.1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3" w:hRule="atLeast"/>
        </w:trPr>
        <w:tc>
          <w:tcPr>
            <w:tcW w:w="2265"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耕地（旱地）</w:t>
            </w:r>
          </w:p>
        </w:tc>
        <w:tc>
          <w:tcPr>
            <w:tcW w:w="2555"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ascii="Times New Roman" w:hAnsi="Times New Roman" w:cs="Times New Roman"/>
                <w:sz w:val="18"/>
                <w:szCs w:val="18"/>
              </w:rPr>
              <w:t>-</w:t>
            </w:r>
            <w:r>
              <w:rPr>
                <w:rFonts w:hint="eastAsia" w:ascii="Times New Roman" w:hAnsi="Times New Roman" w:cs="Times New Roman"/>
                <w:sz w:val="18"/>
                <w:szCs w:val="18"/>
              </w:rPr>
              <w:t>9</w:t>
            </w:r>
            <w:r>
              <w:rPr>
                <w:rFonts w:ascii="Times New Roman" w:hAnsi="Times New Roman" w:cs="Times New Roman"/>
                <w:sz w:val="18"/>
                <w:szCs w:val="18"/>
              </w:rPr>
              <w:t>.3444</w:t>
            </w:r>
          </w:p>
        </w:tc>
        <w:tc>
          <w:tcPr>
            <w:tcW w:w="1843"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8</w:t>
            </w:r>
            <w:r>
              <w:rPr>
                <w:rFonts w:ascii="Times New Roman" w:hAnsi="Times New Roman" w:cs="Times New Roman"/>
                <w:sz w:val="18"/>
                <w:szCs w:val="18"/>
              </w:rPr>
              <w:t>.42</w:t>
            </w:r>
          </w:p>
        </w:tc>
        <w:tc>
          <w:tcPr>
            <w:tcW w:w="2398"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ascii="Times New Roman" w:hAnsi="Times New Roman" w:cs="Times New Roman"/>
                <w:sz w:val="18"/>
                <w:szCs w:val="18"/>
              </w:rPr>
              <w:t>-</w:t>
            </w:r>
            <w:r>
              <w:rPr>
                <w:rFonts w:hint="eastAsia" w:ascii="Times New Roman" w:hAnsi="Times New Roman" w:cs="Times New Roman"/>
                <w:sz w:val="18"/>
                <w:szCs w:val="18"/>
              </w:rPr>
              <w:t>7</w:t>
            </w:r>
            <w:r>
              <w:rPr>
                <w:rFonts w:ascii="Times New Roman" w:hAnsi="Times New Roman" w:cs="Times New Roman"/>
                <w:sz w:val="18"/>
                <w:szCs w:val="18"/>
              </w:rPr>
              <w:t>8.68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3" w:hRule="atLeast"/>
        </w:trPr>
        <w:tc>
          <w:tcPr>
            <w:tcW w:w="2265"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合计</w:t>
            </w:r>
          </w:p>
        </w:tc>
        <w:tc>
          <w:tcPr>
            <w:tcW w:w="2555"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ascii="Times New Roman" w:hAnsi="Times New Roman" w:cs="Times New Roman"/>
                <w:sz w:val="18"/>
                <w:szCs w:val="18"/>
              </w:rPr>
              <w:t>-</w:t>
            </w:r>
            <w:r>
              <w:rPr>
                <w:rFonts w:hint="eastAsia" w:ascii="Times New Roman" w:hAnsi="Times New Roman" w:cs="Times New Roman"/>
                <w:sz w:val="18"/>
                <w:szCs w:val="18"/>
              </w:rPr>
              <w:t>1</w:t>
            </w:r>
            <w:r>
              <w:rPr>
                <w:rFonts w:ascii="Times New Roman" w:hAnsi="Times New Roman" w:cs="Times New Roman"/>
                <w:sz w:val="18"/>
                <w:szCs w:val="18"/>
              </w:rPr>
              <w:t>7.9840</w:t>
            </w:r>
          </w:p>
        </w:tc>
        <w:tc>
          <w:tcPr>
            <w:tcW w:w="1843"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w:t>
            </w:r>
          </w:p>
        </w:tc>
        <w:tc>
          <w:tcPr>
            <w:tcW w:w="2398" w:type="dxa"/>
            <w:shd w:val="clear" w:color="auto" w:fill="auto"/>
            <w:vAlign w:val="center"/>
          </w:tcPr>
          <w:p>
            <w:pPr>
              <w:pStyle w:val="98"/>
              <w:snapToGrid w:val="0"/>
              <w:spacing w:line="240" w:lineRule="auto"/>
              <w:jc w:val="center"/>
              <w:rPr>
                <w:rFonts w:ascii="Times New Roman" w:hAnsi="Times New Roman" w:cs="Times New Roman"/>
                <w:sz w:val="18"/>
                <w:szCs w:val="18"/>
              </w:rPr>
            </w:pPr>
            <w:r>
              <w:rPr>
                <w:rFonts w:hint="eastAsia" w:ascii="Times New Roman" w:hAnsi="Times New Roman" w:cs="Times New Roman"/>
                <w:sz w:val="18"/>
                <w:szCs w:val="18"/>
              </w:rPr>
              <w:t>1</w:t>
            </w:r>
            <w:r>
              <w:rPr>
                <w:rFonts w:ascii="Times New Roman" w:hAnsi="Times New Roman" w:cs="Times New Roman"/>
                <w:sz w:val="18"/>
                <w:szCs w:val="18"/>
              </w:rPr>
              <w:t>34.55</w:t>
            </w:r>
          </w:p>
        </w:tc>
      </w:tr>
    </w:tbl>
    <w:p>
      <w:pPr>
        <w:pStyle w:val="98"/>
        <w:spacing w:line="240" w:lineRule="auto"/>
        <w:ind w:firstLine="361" w:firstLineChars="200"/>
        <w:rPr>
          <w:rFonts w:ascii="Times New Roman" w:hAnsi="Times New Roman" w:cs="Times New Roman"/>
          <w:b/>
          <w:bCs/>
          <w:sz w:val="18"/>
          <w:szCs w:val="18"/>
        </w:rPr>
      </w:pPr>
      <w:r>
        <w:rPr>
          <w:rFonts w:hint="eastAsia" w:ascii="Times New Roman" w:hAnsi="Times New Roman" w:cs="Times New Roman"/>
          <w:b/>
          <w:bCs/>
          <w:sz w:val="18"/>
          <w:szCs w:val="18"/>
        </w:rPr>
        <w:t>注：平均净初级生产力参考引江济淮工程巢湖流域调查结果．</w:t>
      </w:r>
    </w:p>
    <w:p>
      <w:pPr>
        <w:pStyle w:val="25"/>
        <w:spacing w:line="360" w:lineRule="auto"/>
        <w:ind w:firstLine="480"/>
        <w:rPr>
          <w:rFonts w:ascii="Times New Roman" w:hAnsi="Times New Roman" w:cs="Times New Roman"/>
        </w:rPr>
      </w:pPr>
      <w:r>
        <w:rPr>
          <w:rFonts w:ascii="Times New Roman" w:hAnsi="Times New Roman" w:cs="Times New Roman"/>
        </w:rPr>
        <w:t>在工程建设的施工后期，将进行绿化建设，根据工程设计文件，主要包括道管理区周边绿化，绿化面积25000m</w:t>
      </w:r>
      <w:r>
        <w:rPr>
          <w:rFonts w:ascii="Times New Roman" w:hAnsi="Times New Roman" w:cs="Times New Roman"/>
          <w:vertAlign w:val="superscript"/>
        </w:rPr>
        <w:t>2</w:t>
      </w:r>
      <w:r>
        <w:rPr>
          <w:rFonts w:ascii="Times New Roman" w:hAnsi="Times New Roman" w:cs="Times New Roman"/>
        </w:rPr>
        <w:t>（绿地率13.9%）。因此本工程建设所造成的陆域生态环境损失将得到最大程度的恢复。</w:t>
      </w:r>
    </w:p>
    <w:p>
      <w:pPr>
        <w:pStyle w:val="25"/>
        <w:spacing w:line="360" w:lineRule="auto"/>
        <w:ind w:firstLine="480"/>
        <w:rPr>
          <w:rFonts w:ascii="Times New Roman" w:hAnsi="Times New Roman" w:cs="Times New Roman"/>
        </w:rPr>
      </w:pPr>
      <w:r>
        <w:rPr>
          <w:rFonts w:hint="eastAsia" w:ascii="Times New Roman" w:hAnsi="Times New Roman" w:cs="Times New Roman"/>
        </w:rPr>
        <w:t>（</w:t>
      </w:r>
      <w:r>
        <w:rPr>
          <w:rFonts w:ascii="Times New Roman" w:hAnsi="Times New Roman" w:cs="Times New Roman"/>
        </w:rPr>
        <w:t>3</w:t>
      </w:r>
      <w:r>
        <w:rPr>
          <w:rFonts w:hint="eastAsia" w:ascii="Times New Roman" w:hAnsi="Times New Roman" w:cs="Times New Roman"/>
        </w:rPr>
        <w:t>）对动物的影响</w:t>
      </w:r>
    </w:p>
    <w:p>
      <w:pPr>
        <w:pStyle w:val="25"/>
        <w:spacing w:line="360" w:lineRule="auto"/>
        <w:ind w:firstLine="480"/>
        <w:rPr>
          <w:rFonts w:ascii="Times New Roman" w:hAnsi="Times New Roman" w:cs="Times New Roman"/>
        </w:rPr>
      </w:pPr>
      <w:r>
        <w:rPr>
          <w:rFonts w:hint="eastAsia" w:ascii="Times New Roman" w:hAnsi="Times New Roman" w:cs="Times New Roman"/>
        </w:rPr>
        <w:t>现状调查表明，码头所在区域受人类活动开发影响的历史较久；建设区动物主要为家禽、爬行类、小型哺乳类动物等常见种类。爬行类以及小型哺乳类的栖息地相对稳定。工程占用其栖息地，将迫使其向周边生境迁移。评价区内人为开发历史较长，生境同质性较高，爬行类和小型哺乳类动物的种类和数量均较少，大多为常见种类，工程占地对其种群大小影响十分有限。</w:t>
      </w:r>
    </w:p>
    <w:p>
      <w:pPr>
        <w:pStyle w:val="25"/>
        <w:spacing w:line="360" w:lineRule="auto"/>
        <w:ind w:firstLine="480"/>
        <w:rPr>
          <w:rFonts w:ascii="Times New Roman" w:hAnsi="Times New Roman" w:cs="Times New Roman"/>
          <w:b/>
          <w:bCs/>
          <w:color w:val="auto"/>
        </w:rPr>
      </w:pPr>
      <w:bookmarkStart w:id="473" w:name="_Hlk106195647"/>
      <w:r>
        <w:rPr>
          <w:rFonts w:ascii="Times New Roman" w:hAnsi="Times New Roman" w:cs="Times New Roman"/>
        </w:rPr>
        <w:t>2</w:t>
      </w:r>
      <w:r>
        <w:rPr>
          <w:rFonts w:ascii="Times New Roman" w:hAnsi="Times New Roman" w:cs="Times New Roman"/>
          <w:b/>
          <w:bCs/>
          <w:color w:val="auto"/>
        </w:rPr>
        <w:t>、对</w:t>
      </w:r>
      <w:r>
        <w:rPr>
          <w:rFonts w:hint="eastAsia" w:ascii="Times New Roman" w:hAnsi="Times New Roman" w:cs="Times New Roman"/>
          <w:b/>
          <w:bCs/>
          <w:color w:val="auto"/>
        </w:rPr>
        <w:t>水生</w:t>
      </w:r>
      <w:r>
        <w:rPr>
          <w:rFonts w:ascii="Times New Roman" w:hAnsi="Times New Roman" w:cs="Times New Roman"/>
          <w:b/>
          <w:bCs/>
          <w:color w:val="auto"/>
        </w:rPr>
        <w:t>生态的影响分析</w:t>
      </w:r>
    </w:p>
    <w:bookmarkEnd w:id="473"/>
    <w:p>
      <w:pPr>
        <w:pStyle w:val="25"/>
        <w:spacing w:line="360" w:lineRule="auto"/>
        <w:ind w:firstLine="480"/>
        <w:rPr>
          <w:rFonts w:ascii="Times New Roman" w:hAnsi="Times New Roman" w:cs="Times New Roman"/>
          <w:color w:val="auto"/>
        </w:rPr>
      </w:pPr>
      <w:r>
        <w:rPr>
          <w:rFonts w:ascii="Times New Roman" w:hAnsi="Times New Roman" w:cs="Times New Roman"/>
          <w:color w:val="auto"/>
        </w:rPr>
        <w:t>码头运营期，在正常情况下对水生态的影响，主要体现为：航行船舶的影响；对水生生物的影响表现为：</w:t>
      </w:r>
      <w:bookmarkEnd w:id="472"/>
    </w:p>
    <w:p>
      <w:pPr>
        <w:ind w:firstLine="480"/>
        <w:rPr>
          <w:rFonts w:ascii="Times New Roman" w:hAnsi="Times New Roman" w:cs="Times New Roman"/>
          <w:color w:val="auto"/>
          <w:spacing w:val="4"/>
          <w:kern w:val="0"/>
        </w:rPr>
      </w:pPr>
      <w:r>
        <w:rPr>
          <w:rFonts w:ascii="Times New Roman" w:hAnsi="Times New Roman" w:cs="Times New Roman"/>
          <w:color w:val="auto"/>
          <w:spacing w:val="4"/>
          <w:kern w:val="0"/>
        </w:rPr>
        <w:fldChar w:fldCharType="begin"/>
      </w:r>
      <w:r>
        <w:rPr>
          <w:rFonts w:ascii="Times New Roman" w:hAnsi="Times New Roman" w:cs="Times New Roman"/>
          <w:color w:val="auto"/>
          <w:spacing w:val="4"/>
          <w:kern w:val="0"/>
        </w:rPr>
        <w:instrText xml:space="preserve"> = 1 \* GB3 </w:instrText>
      </w:r>
      <w:r>
        <w:rPr>
          <w:rFonts w:ascii="Times New Roman" w:hAnsi="Times New Roman" w:cs="Times New Roman"/>
          <w:color w:val="auto"/>
          <w:spacing w:val="4"/>
          <w:kern w:val="0"/>
        </w:rPr>
        <w:fldChar w:fldCharType="separate"/>
      </w:r>
      <w:bookmarkStart w:id="474" w:name="_Toc102984396"/>
      <w:r>
        <w:rPr>
          <w:rFonts w:hint="eastAsia" w:ascii="宋体" w:hAnsi="宋体" w:cs="宋体"/>
          <w:color w:val="auto"/>
          <w:spacing w:val="4"/>
          <w:kern w:val="0"/>
        </w:rPr>
        <w:t>①</w:t>
      </w:r>
      <w:r>
        <w:rPr>
          <w:rFonts w:ascii="Times New Roman" w:hAnsi="Times New Roman" w:cs="Times New Roman"/>
          <w:color w:val="auto"/>
          <w:spacing w:val="4"/>
          <w:kern w:val="0"/>
        </w:rPr>
        <w:fldChar w:fldCharType="end"/>
      </w:r>
      <w:r>
        <w:rPr>
          <w:rFonts w:ascii="Times New Roman" w:hAnsi="Times New Roman" w:cs="Times New Roman"/>
          <w:color w:val="auto"/>
          <w:spacing w:val="4"/>
          <w:kern w:val="0"/>
        </w:rPr>
        <w:t>压缩水生生物的生存空间，影响水生生物的生存、繁殖。不断增加的往来船舶在店埠河航线航行及在港口码头停泊过程中，这将导致水生生物生活生存空间被占用与挤压，水生生物生存空间将受到限制，繁殖行为也会发生相应变化</w:t>
      </w:r>
      <w:r>
        <w:rPr>
          <w:rFonts w:hint="eastAsia" w:ascii="Times New Roman" w:hAnsi="Times New Roman" w:cs="Times New Roman"/>
          <w:color w:val="auto"/>
          <w:spacing w:val="4"/>
          <w:kern w:val="0"/>
        </w:rPr>
        <w:t>，本工程采用挖入式港池，不直接占用店埠河水域</w:t>
      </w:r>
      <w:r>
        <w:rPr>
          <w:rFonts w:ascii="Times New Roman" w:hAnsi="Times New Roman" w:cs="Times New Roman"/>
          <w:color w:val="auto"/>
          <w:spacing w:val="4"/>
          <w:kern w:val="0"/>
        </w:rPr>
        <w:t>。</w:t>
      </w:r>
      <w:bookmarkEnd w:id="474"/>
    </w:p>
    <w:p>
      <w:pPr>
        <w:ind w:firstLine="480"/>
        <w:rPr>
          <w:rFonts w:ascii="Times New Roman" w:hAnsi="Times New Roman" w:cs="Times New Roman"/>
          <w:color w:val="auto"/>
          <w:spacing w:val="4"/>
          <w:kern w:val="0"/>
        </w:rPr>
      </w:pPr>
      <w:r>
        <w:rPr>
          <w:rFonts w:ascii="Times New Roman" w:hAnsi="Times New Roman" w:cs="Times New Roman"/>
          <w:color w:val="auto"/>
          <w:spacing w:val="4"/>
          <w:kern w:val="0"/>
        </w:rPr>
        <w:fldChar w:fldCharType="begin"/>
      </w:r>
      <w:r>
        <w:rPr>
          <w:rFonts w:ascii="Times New Roman" w:hAnsi="Times New Roman" w:cs="Times New Roman"/>
          <w:color w:val="auto"/>
          <w:spacing w:val="4"/>
          <w:kern w:val="0"/>
        </w:rPr>
        <w:instrText xml:space="preserve"> = 2 \* GB3 </w:instrText>
      </w:r>
      <w:r>
        <w:rPr>
          <w:rFonts w:ascii="Times New Roman" w:hAnsi="Times New Roman" w:cs="Times New Roman"/>
          <w:color w:val="auto"/>
          <w:spacing w:val="4"/>
          <w:kern w:val="0"/>
        </w:rPr>
        <w:fldChar w:fldCharType="separate"/>
      </w:r>
      <w:bookmarkStart w:id="475" w:name="_Toc102984397"/>
      <w:r>
        <w:rPr>
          <w:rFonts w:hint="eastAsia" w:ascii="宋体" w:hAnsi="宋体" w:cs="宋体"/>
          <w:color w:val="auto"/>
          <w:spacing w:val="4"/>
          <w:kern w:val="0"/>
        </w:rPr>
        <w:t>②</w:t>
      </w:r>
      <w:r>
        <w:rPr>
          <w:rFonts w:ascii="Times New Roman" w:hAnsi="Times New Roman" w:cs="Times New Roman"/>
          <w:color w:val="auto"/>
          <w:spacing w:val="4"/>
          <w:kern w:val="0"/>
        </w:rPr>
        <w:fldChar w:fldCharType="end"/>
      </w:r>
      <w:r>
        <w:rPr>
          <w:rFonts w:ascii="Times New Roman" w:hAnsi="Times New Roman" w:cs="Times New Roman"/>
          <w:color w:val="auto"/>
          <w:spacing w:val="4"/>
          <w:kern w:val="0"/>
        </w:rPr>
        <w:t>船舶航行密度的增加，将会产生船舶噪声、强光等，进而对区域水生生物的正常活动造成干扰。</w:t>
      </w:r>
      <w:bookmarkEnd w:id="475"/>
    </w:p>
    <w:p>
      <w:pPr>
        <w:pStyle w:val="25"/>
        <w:spacing w:line="360" w:lineRule="auto"/>
        <w:ind w:firstLine="480"/>
        <w:rPr>
          <w:rFonts w:ascii="Times New Roman" w:hAnsi="Times New Roman" w:cs="Times New Roman"/>
        </w:rPr>
      </w:pPr>
      <w:r>
        <w:rPr>
          <w:rFonts w:ascii="Times New Roman" w:hAnsi="Times New Roman" w:cs="Times New Roman"/>
        </w:rPr>
        <w:t>（1）船舶航行对鱼类的影响</w:t>
      </w:r>
    </w:p>
    <w:p>
      <w:pPr>
        <w:pStyle w:val="25"/>
        <w:spacing w:line="360" w:lineRule="auto"/>
        <w:ind w:firstLine="480"/>
        <w:rPr>
          <w:rFonts w:ascii="Times New Roman" w:hAnsi="Times New Roman" w:cs="Times New Roman"/>
        </w:rPr>
      </w:pPr>
      <w:r>
        <w:rPr>
          <w:rFonts w:hint="eastAsia" w:ascii="Times New Roman" w:hAnsi="Times New Roman" w:cs="Times New Roman"/>
        </w:rPr>
        <w:t>本</w:t>
      </w:r>
      <w:r>
        <w:rPr>
          <w:rFonts w:ascii="Times New Roman" w:hAnsi="Times New Roman" w:cs="Times New Roman"/>
        </w:rPr>
        <w:t>码头工程建成运行后，</w:t>
      </w:r>
      <w:r>
        <w:rPr>
          <w:rFonts w:hint="eastAsia" w:ascii="Times New Roman" w:hAnsi="Times New Roman" w:cs="Times New Roman"/>
        </w:rPr>
        <w:t>店埠河、南淝河和巢湖航道的船舶运行</w:t>
      </w:r>
      <w:r>
        <w:rPr>
          <w:rFonts w:ascii="Times New Roman" w:hAnsi="Times New Roman" w:cs="Times New Roman"/>
        </w:rPr>
        <w:t>密度</w:t>
      </w:r>
      <w:r>
        <w:rPr>
          <w:rFonts w:hint="eastAsia" w:ascii="Times New Roman" w:hAnsi="Times New Roman" w:cs="Times New Roman"/>
        </w:rPr>
        <w:t>将有一定程度的</w:t>
      </w:r>
      <w:r>
        <w:rPr>
          <w:rFonts w:ascii="Times New Roman" w:hAnsi="Times New Roman" w:cs="Times New Roman"/>
        </w:rPr>
        <w:t>增</w:t>
      </w:r>
      <w:r>
        <w:rPr>
          <w:rFonts w:hint="eastAsia" w:ascii="Times New Roman" w:hAnsi="Times New Roman" w:cs="Times New Roman"/>
        </w:rPr>
        <w:t>加</w:t>
      </w:r>
      <w:r>
        <w:rPr>
          <w:rFonts w:ascii="Times New Roman" w:hAnsi="Times New Roman" w:cs="Times New Roman"/>
        </w:rPr>
        <w:t>。</w:t>
      </w:r>
      <w:r>
        <w:rPr>
          <w:rFonts w:hint="eastAsia" w:ascii="Times New Roman" w:hAnsi="Times New Roman" w:cs="Times New Roman"/>
        </w:rPr>
        <w:t>船舶的航行</w:t>
      </w:r>
      <w:r>
        <w:rPr>
          <w:rFonts w:ascii="Times New Roman" w:hAnsi="Times New Roman" w:cs="Times New Roman"/>
        </w:rPr>
        <w:t>对</w:t>
      </w:r>
      <w:r>
        <w:rPr>
          <w:rFonts w:hint="eastAsia" w:ascii="Times New Roman" w:hAnsi="Times New Roman" w:cs="Times New Roman"/>
        </w:rPr>
        <w:t>店埠河、南淝河和巢湖</w:t>
      </w:r>
      <w:r>
        <w:rPr>
          <w:rFonts w:ascii="Times New Roman" w:hAnsi="Times New Roman" w:cs="Times New Roman"/>
        </w:rPr>
        <w:t>鱼类</w:t>
      </w:r>
      <w:r>
        <w:rPr>
          <w:rFonts w:hint="eastAsia" w:ascii="Times New Roman" w:hAnsi="Times New Roman" w:cs="Times New Roman"/>
        </w:rPr>
        <w:t>会</w:t>
      </w:r>
      <w:r>
        <w:rPr>
          <w:rFonts w:ascii="Times New Roman" w:hAnsi="Times New Roman" w:cs="Times New Roman"/>
        </w:rPr>
        <w:t>产生一定的影响，其主要是影响鱼类的分布。</w:t>
      </w:r>
      <w:r>
        <w:rPr>
          <w:rFonts w:hint="eastAsia" w:ascii="Times New Roman" w:hAnsi="Times New Roman" w:cs="Times New Roman"/>
        </w:rPr>
        <w:t>根据调查资料先生，巢湖分布鱼类有</w:t>
      </w:r>
      <w:r>
        <w:rPr>
          <w:rFonts w:ascii="Times New Roman" w:hAnsi="Times New Roman" w:cs="Times New Roman"/>
        </w:rPr>
        <w:t>9</w:t>
      </w:r>
      <w:r>
        <w:rPr>
          <w:rFonts w:hint="eastAsia" w:ascii="Times New Roman" w:hAnsi="Times New Roman" w:cs="Times New Roman"/>
        </w:rPr>
        <w:t>目16科54种，鱼类种类主要以鲤科鱼类为主，湖泊定居性鱼类趋于稳定，以湖鲚等小型鱼类占绝对优势。常见种类主要有四大家鱼、鲤、鲫、鲌类、湖鲚和太湖新银鱼等，四大家鱼等主要靠人工投放。</w:t>
      </w:r>
      <w:r>
        <w:rPr>
          <w:rFonts w:ascii="Times New Roman" w:hAnsi="Times New Roman" w:cs="Times New Roman"/>
        </w:rPr>
        <w:t>船只的噪音及螺旋桨导致鱼类分布的变化，</w:t>
      </w:r>
      <w:r>
        <w:rPr>
          <w:rFonts w:hint="eastAsia" w:ascii="Times New Roman" w:hAnsi="Times New Roman" w:cs="Times New Roman"/>
        </w:rPr>
        <w:t>船舶</w:t>
      </w:r>
      <w:r>
        <w:rPr>
          <w:rFonts w:ascii="Times New Roman" w:hAnsi="Times New Roman" w:cs="Times New Roman"/>
        </w:rPr>
        <w:t>运行的噪音和波浪造成鱼类的主动回避，主航道的鱼类将离开栖息地，其影响程度不大；船只螺旋桨可能造成躲避不及时的鱼类的死亡和伤害，误伤一定数量的鱼类，但这种影响和误伤的比例很小。</w:t>
      </w:r>
    </w:p>
    <w:p>
      <w:pPr>
        <w:pStyle w:val="25"/>
        <w:spacing w:line="360" w:lineRule="auto"/>
        <w:ind w:firstLine="480"/>
        <w:rPr>
          <w:rFonts w:ascii="Times New Roman" w:hAnsi="Times New Roman" w:cs="Times New Roman"/>
        </w:rPr>
      </w:pPr>
      <w:r>
        <w:rPr>
          <w:rFonts w:ascii="Times New Roman" w:hAnsi="Times New Roman" w:cs="Times New Roman"/>
        </w:rPr>
        <w:t>（2）对浮游及底栖生物影响分析</w:t>
      </w:r>
    </w:p>
    <w:p>
      <w:pPr>
        <w:pStyle w:val="25"/>
        <w:spacing w:line="360" w:lineRule="auto"/>
        <w:ind w:firstLine="480"/>
        <w:rPr>
          <w:rFonts w:ascii="Times New Roman" w:hAnsi="Times New Roman" w:cs="Times New Roman"/>
        </w:rPr>
      </w:pPr>
      <w:r>
        <w:rPr>
          <w:rFonts w:ascii="Times New Roman" w:hAnsi="Times New Roman" w:cs="Times New Roman"/>
        </w:rPr>
        <w:t>本码头工程建成后，船舶来往使周围水体产生扰动，这些扰动对项目区河段水域水生生物包括底栖生物的生物量、种类及栖息环境产生一定影响，但由于船舶运营对水体的影响主要集中在水体上层，水生生物除浮游生物（主要是浮游植物）在水体表层活动强度较大外，其它生物多在中层及底层活动，且水生生物的浮动性较强，船舶来往产生的水体扰动影响范围较小，故对浮游及底栖生物影响影响较小，不会根本改变水生生物的栖息环境，亦不会使生物、种类、数量明显减少。</w:t>
      </w:r>
    </w:p>
    <w:p>
      <w:pPr>
        <w:ind w:firstLine="496"/>
        <w:rPr>
          <w:rFonts w:ascii="Times New Roman" w:hAnsi="Times New Roman" w:cs="Times New Roman"/>
          <w:color w:val="auto"/>
        </w:rPr>
      </w:pPr>
      <w:bookmarkStart w:id="476" w:name="_Toc102984398"/>
      <w:r>
        <w:rPr>
          <w:rFonts w:ascii="Times New Roman" w:hAnsi="Times New Roman" w:cs="Times New Roman"/>
          <w:color w:val="auto"/>
          <w:spacing w:val="4"/>
          <w:kern w:val="0"/>
        </w:rPr>
        <w:t>店埠河、南淝河不涉及水产种质资源保护区及珍稀水生生物的“三场”；</w:t>
      </w:r>
      <w:r>
        <w:rPr>
          <w:rFonts w:ascii="Times New Roman" w:hAnsi="Times New Roman" w:cs="Times New Roman"/>
          <w:color w:val="auto"/>
        </w:rPr>
        <w:t>在严格落实相关船舶航行环境保护措施的情况下，本项目运营期正常情况下对</w:t>
      </w:r>
      <w:r>
        <w:rPr>
          <w:rFonts w:ascii="Times New Roman" w:hAnsi="Times New Roman" w:cs="Times New Roman"/>
          <w:color w:val="auto"/>
          <w:spacing w:val="4"/>
          <w:kern w:val="0"/>
        </w:rPr>
        <w:t>店埠河、南淝河及巢湖</w:t>
      </w:r>
      <w:r>
        <w:rPr>
          <w:rFonts w:ascii="Times New Roman" w:hAnsi="Times New Roman" w:cs="Times New Roman"/>
          <w:color w:val="auto"/>
        </w:rPr>
        <w:t>的水生生态环境影响较小。</w:t>
      </w:r>
      <w:bookmarkEnd w:id="476"/>
    </w:p>
    <w:p>
      <w:pPr>
        <w:pStyle w:val="25"/>
        <w:spacing w:line="360" w:lineRule="auto"/>
        <w:ind w:firstLine="480"/>
        <w:rPr>
          <w:rFonts w:ascii="Times New Roman" w:hAnsi="Times New Roman" w:cs="Times New Roman"/>
          <w:color w:val="auto"/>
        </w:rPr>
      </w:pPr>
      <w:r>
        <w:rPr>
          <w:rFonts w:ascii="Times New Roman" w:hAnsi="Times New Roman" w:cs="Times New Roman"/>
        </w:rPr>
        <w:t>3</w:t>
      </w:r>
      <w:r>
        <w:rPr>
          <w:rFonts w:ascii="Times New Roman" w:hAnsi="Times New Roman" w:cs="Times New Roman"/>
          <w:color w:val="auto"/>
        </w:rPr>
        <w:t>、对</w:t>
      </w:r>
      <w:r>
        <w:rPr>
          <w:rFonts w:hint="eastAsia" w:ascii="Times New Roman" w:hAnsi="Times New Roman" w:cs="Times New Roman"/>
          <w:color w:val="auto"/>
        </w:rPr>
        <w:t>巢湖</w:t>
      </w:r>
      <w:r>
        <w:rPr>
          <w:rFonts w:ascii="Times New Roman" w:hAnsi="Times New Roman" w:cs="Times New Roman"/>
          <w:color w:val="auto"/>
        </w:rPr>
        <w:t>生态的影响分析</w:t>
      </w:r>
    </w:p>
    <w:p>
      <w:pPr>
        <w:ind w:firstLine="480"/>
        <w:rPr>
          <w:rFonts w:ascii="Times New Roman" w:hAnsi="Times New Roman" w:cs="Times New Roman"/>
          <w:color w:val="auto"/>
        </w:rPr>
      </w:pPr>
      <w:r>
        <w:rPr>
          <w:rFonts w:hint="eastAsia" w:ascii="Times New Roman" w:hAnsi="Times New Roman" w:cs="Times New Roman"/>
          <w:color w:val="auto"/>
        </w:rPr>
        <w:t>（1）对鸟类的影响</w:t>
      </w:r>
    </w:p>
    <w:p>
      <w:pPr>
        <w:ind w:firstLine="480"/>
        <w:rPr>
          <w:rFonts w:ascii="Times New Roman" w:hAnsi="Times New Roman" w:cs="Times New Roman"/>
          <w:color w:val="auto"/>
        </w:rPr>
      </w:pPr>
      <w:r>
        <w:rPr>
          <w:rFonts w:hint="eastAsia" w:ascii="Times New Roman" w:hAnsi="Times New Roman" w:cs="Times New Roman"/>
          <w:color w:val="auto"/>
        </w:rPr>
        <w:t>本项目工程永久占地不涉及巢湖风景名胜区、巢湖重要湿地及位于南淝河的肥东临河省级湿地公园、生态保护红线。但进入码头的运输船舶需要经过巢湖及南淝河航行，船舶航行会对巢湖湿地范围内的鸟类的栖息和越冬产生一定影响。</w:t>
      </w:r>
    </w:p>
    <w:p>
      <w:pPr>
        <w:ind w:firstLine="480"/>
        <w:rPr>
          <w:rFonts w:ascii="Times New Roman" w:hAnsi="Times New Roman" w:cs="Times New Roman"/>
          <w:color w:val="auto"/>
        </w:rPr>
      </w:pPr>
      <w:r>
        <w:rPr>
          <w:rFonts w:hint="eastAsia" w:ascii="Times New Roman" w:hAnsi="Times New Roman" w:cs="Times New Roman"/>
          <w:color w:val="auto"/>
        </w:rPr>
        <w:t>巢湖沿岸有大面积圩区的水田和沼泽，为冬季和春季栖息觅食的鸟类提供了生境，扇尾沙锥、凤头麦鸡和红脚鹬等是该区域的优势种，白腰草鹬、林鹬、青脚鹬、黑水鸡、红嘴鸥等种类也比较常见，苍鹭、大白鹭、赤麻鸭、大沙锥等种类较为稀少。夏季分布在该区域的常见鸟类有池鹭、夜鹭，白鹭、灰头麦鸡等比较少见。在巢湖湖区栖息的鸟类中，鹭科、鹬科类为涉禽，主要分布在湖泊浅水区、泥滩湿地、沼泽湿地、稻田/冬水田湿地；小鸊鷉、黑水鸡等留鸟均会在草丛或芦苇丛中筑巢，同时也以湖泊湿地浅水区为生境；红嘴鸥、雁鸭类等游禽主要出现在湖泊水面，也有部分以草丛为生境。</w:t>
      </w:r>
    </w:p>
    <w:p>
      <w:pPr>
        <w:ind w:firstLine="480"/>
        <w:rPr>
          <w:rFonts w:ascii="Times New Roman" w:hAnsi="Times New Roman" w:cs="Times New Roman"/>
          <w:color w:val="auto"/>
        </w:rPr>
      </w:pPr>
      <w:r>
        <w:rPr>
          <w:rFonts w:hint="eastAsia" w:ascii="Times New Roman" w:hAnsi="Times New Roman" w:cs="Times New Roman"/>
          <w:color w:val="auto"/>
        </w:rPr>
        <w:t>进港船舶依托巢湖航道及南淝河航道、店埠河航道进港；对湿地鸟类的影响主要表现在船舶噪声对鸟类和灯光的干扰影响。</w:t>
      </w:r>
    </w:p>
    <w:p>
      <w:pPr>
        <w:ind w:firstLine="480"/>
        <w:rPr>
          <w:rFonts w:ascii="Times New Roman" w:hAnsi="Times New Roman" w:cs="Times New Roman"/>
          <w:color w:val="auto"/>
        </w:rPr>
      </w:pPr>
      <w:r>
        <w:rPr>
          <w:rFonts w:hint="eastAsia" w:ascii="Times New Roman" w:hAnsi="Times New Roman" w:cs="Times New Roman"/>
          <w:color w:val="auto"/>
        </w:rPr>
        <w:t>各类动物中，鸟类对噪声较为敏感。根据有关资料（Weise J H., A study of the</w:t>
      </w:r>
      <w:r>
        <w:rPr>
          <w:rFonts w:ascii="Times New Roman" w:hAnsi="Times New Roman" w:cs="Times New Roman"/>
          <w:color w:val="auto"/>
        </w:rPr>
        <w:t>reproduce biology of herons , Egrets, and ibis nesting on Pea Patch Island, Delaware.</w:t>
      </w:r>
      <w:r>
        <w:rPr>
          <w:rFonts w:hint="eastAsia" w:ascii="Times New Roman" w:hAnsi="Times New Roman" w:cs="Times New Roman"/>
          <w:color w:val="auto"/>
        </w:rPr>
        <w:t>Wilmington: Delmarva Power and Light Co.1979），鸟类栖息地以外的周围背景噪声(如树叶摇动)平均为 45dB(A)，而鸟巢内的本底噪声一般为 56～60dB(A)。当噪声值低于60dB(A)时，巢内的鸟类将感受不到噪声影响。工程运行后，在航道内过往的船只会产生一定的噪声，根据本报告中运行期噪声预测结果，1000t 级货运船舶运行时，距离船舷 2m 处的噪声即可衰减至 55 dB(A)；在鸣笛的情况下，按《内河船舶噪声级规定》的相关要求，舶船内噪声最大值在 65~110 dB(A)之间，在 125m 以内可衰减至 60 dB(A)。因此，在控制鸣笛的情况下，船舶行驶的噪声对周边动物基本无不利影响；在不控制鸣笛的情况下，对鸟类较为集中的区域，如菜子湖区、巢湖区和瓦埠湖区，会有一定程度的不利影响。</w:t>
      </w:r>
    </w:p>
    <w:p>
      <w:pPr>
        <w:ind w:firstLine="480"/>
        <w:rPr>
          <w:rFonts w:ascii="Times New Roman" w:hAnsi="Times New Roman" w:cs="Times New Roman"/>
          <w:color w:val="auto"/>
        </w:rPr>
      </w:pPr>
      <w:r>
        <w:rPr>
          <w:rFonts w:hint="eastAsia" w:ascii="Times New Roman" w:hAnsi="Times New Roman" w:cs="Times New Roman"/>
          <w:color w:val="auto"/>
        </w:rPr>
        <w:t>在运行期，船舶灯光会对附近区域夜行性的鸟类等动物产生一定程度的干扰，引起鸟类生物钟紊乱。本工程依托区域已有航道，船舶运行的灯光干扰对动物的不利影响较小。在巢湖等鸟类相对较为集中的区域，应加强船舶调度，合理安排进港船舶时间；控制船舶灯光的干扰影响。</w:t>
      </w:r>
    </w:p>
    <w:p>
      <w:pPr>
        <w:ind w:firstLine="480"/>
        <w:rPr>
          <w:rFonts w:ascii="Times New Roman" w:hAnsi="Times New Roman" w:cs="Times New Roman"/>
          <w:color w:val="auto"/>
        </w:rPr>
      </w:pPr>
      <w:r>
        <w:rPr>
          <w:rFonts w:hint="eastAsia" w:ascii="Times New Roman" w:hAnsi="Times New Roman" w:cs="Times New Roman"/>
          <w:color w:val="auto"/>
        </w:rPr>
        <w:t>（</w:t>
      </w:r>
      <w:r>
        <w:rPr>
          <w:rFonts w:ascii="Times New Roman" w:hAnsi="Times New Roman" w:cs="Times New Roman"/>
          <w:color w:val="auto"/>
        </w:rPr>
        <w:t>2</w:t>
      </w:r>
      <w:r>
        <w:rPr>
          <w:rFonts w:hint="eastAsia" w:ascii="Times New Roman" w:hAnsi="Times New Roman" w:cs="Times New Roman"/>
          <w:color w:val="auto"/>
        </w:rPr>
        <w:t>）对湿地生态的影响</w:t>
      </w:r>
    </w:p>
    <w:p>
      <w:pPr>
        <w:ind w:firstLine="480"/>
        <w:rPr>
          <w:rFonts w:ascii="Times New Roman" w:hAnsi="Times New Roman" w:cs="Times New Roman"/>
          <w:color w:val="auto"/>
        </w:rPr>
      </w:pPr>
      <w:r>
        <w:rPr>
          <w:rFonts w:hint="eastAsia" w:ascii="Times New Roman" w:hAnsi="Times New Roman" w:cs="Times New Roman"/>
          <w:color w:val="auto"/>
        </w:rPr>
        <w:t>根据本工程建设方案及洪评结论，多年平均情况下，工程实施前后店埠河水位基本没有变化；更不会影响到下游南淝河及巢湖的水文情势，不会引起下游临河湿地和巢湖湿地的水文变化，不会影响湿地植物及鸟类的生存环境。</w:t>
      </w:r>
    </w:p>
    <w:p>
      <w:pPr>
        <w:ind w:firstLine="480"/>
        <w:rPr>
          <w:rFonts w:ascii="Times New Roman" w:hAnsi="Times New Roman" w:cs="Times New Roman"/>
          <w:color w:val="auto"/>
        </w:rPr>
      </w:pPr>
      <w:r>
        <w:rPr>
          <w:rFonts w:hint="eastAsia" w:ascii="Times New Roman" w:hAnsi="Times New Roman" w:cs="Times New Roman"/>
          <w:color w:val="auto"/>
        </w:rPr>
        <w:t>进港船舶依托巢湖航道及南淝河航道、店埠河航道进港；本工程不涉及进港航道疏浚，总体上不会对巢湖及环巢湖湿地生态构成影响。</w:t>
      </w:r>
    </w:p>
    <w:p>
      <w:pPr>
        <w:pStyle w:val="5"/>
        <w:numPr>
          <w:ilvl w:val="0"/>
          <w:numId w:val="0"/>
        </w:numPr>
        <w:spacing w:line="360" w:lineRule="auto"/>
        <w:rPr>
          <w:rFonts w:ascii="Times New Roman" w:hAnsi="Times New Roman" w:eastAsia="黑体" w:cs="Times New Roman"/>
          <w:b w:val="0"/>
          <w:color w:val="auto"/>
          <w:sz w:val="24"/>
          <w:szCs w:val="22"/>
        </w:rPr>
      </w:pPr>
      <w:bookmarkStart w:id="477" w:name="_Toc102984399"/>
      <w:r>
        <w:rPr>
          <w:rFonts w:ascii="Times New Roman" w:hAnsi="Times New Roman" w:eastAsia="黑体" w:cs="Times New Roman"/>
          <w:color w:val="auto"/>
          <w:sz w:val="24"/>
          <w:szCs w:val="22"/>
        </w:rPr>
        <w:t>5.8.2事故状态下的生态环境影响分析</w:t>
      </w:r>
      <w:bookmarkEnd w:id="477"/>
    </w:p>
    <w:p>
      <w:pPr>
        <w:ind w:firstLine="480"/>
        <w:rPr>
          <w:rFonts w:ascii="Times New Roman" w:hAnsi="Times New Roman" w:cs="Times New Roman"/>
          <w:color w:val="auto"/>
        </w:rPr>
      </w:pPr>
      <w:bookmarkStart w:id="478" w:name="_Toc102984400"/>
      <w:r>
        <w:rPr>
          <w:rFonts w:ascii="Times New Roman" w:hAnsi="Times New Roman" w:cs="Times New Roman"/>
          <w:color w:val="auto"/>
        </w:rPr>
        <w:t>本项目码头液体化学品泊位主要从事化学品及油品的运输，根据化学品的主要理化性质，可以将化学品分为漂浮类、溶解类、挥发类、沉淀类。漂浮类化学品泄漏后对在水面上停留一段时间，对环境造成一定影响；溶解类化学品泄漏后会快速溶解在水中，并随着水流的移动而转移，对附近区域的生物带来影响；对挥发类化学品，若泄漏后将在空气中形成气体云，气体云可能带有毒性或燃爆型，会对事故附近水域的水生生物产生影响；沉淀类化学品泄漏后沉到水底并停留一段时间，若沉淀物具有水生生物毒性，会对区域的水生生物产生一定影响。</w:t>
      </w:r>
      <w:bookmarkEnd w:id="478"/>
      <w:bookmarkStart w:id="479" w:name="_Toc102984401"/>
    </w:p>
    <w:p>
      <w:pPr>
        <w:ind w:firstLine="480"/>
        <w:rPr>
          <w:rFonts w:ascii="Times New Roman" w:hAnsi="Times New Roman" w:cs="Times New Roman"/>
          <w:color w:val="auto"/>
        </w:rPr>
      </w:pPr>
      <w:r>
        <w:rPr>
          <w:rFonts w:ascii="Times New Roman" w:hAnsi="Times New Roman" w:cs="Times New Roman"/>
          <w:color w:val="auto"/>
        </w:rPr>
        <w:t>码头一旦发生风险事故，如不及时采取控制措施，油类浓度达到一定程度，浮游生物、底栖生物的生存将受到威胁。浮游生物是水域生态环境的基础，是一切水生生物（包括游泳生物、底栖生物等）赖以生存的基本条件。浮游生物对石油污染物极为敏感，许多浮游生物会因受溢油危害而死亡，食物链和饵料基础遭破坏，特别是由于浮游生物缺乏运动能力，加以有多生毛性，易为石油及其它化工产品所附着而受到污染。据资料报道，一些浮游植物的石油急性中毒致死浓度范围为0.1~10mg/L，浮游动物为0.1~15mg/L。因此，当溢油或其它化工产品泄露事故发生后，对区域饵料基础、浮游动植物的损害影响较大。如突发性环境污染事故发生在鱼类生殖洄游和仔稚鱼类育肥、索饵的春、夏季，将会对邻近区域的水生生物资源产生一定的影响。</w:t>
      </w:r>
    </w:p>
    <w:p>
      <w:pPr>
        <w:ind w:firstLine="480"/>
        <w:rPr>
          <w:rFonts w:ascii="Times New Roman" w:hAnsi="Times New Roman" w:cs="Times New Roman"/>
          <w:color w:val="auto"/>
        </w:rPr>
      </w:pPr>
      <w:r>
        <w:rPr>
          <w:rFonts w:ascii="Times New Roman" w:hAnsi="Times New Roman" w:cs="Times New Roman"/>
          <w:color w:val="auto"/>
        </w:rPr>
        <w:t>本项目码头所在地店埠河及下游南淝河无重要生态环境保护目标；发生事故时，通过及时在码头下游及店埠河汇南淝河口前端布设围油栏等措施，事故状态下对水生生态环境影响较小。</w:t>
      </w:r>
      <w:bookmarkEnd w:id="479"/>
    </w:p>
    <w:p>
      <w:pPr>
        <w:ind w:firstLine="480"/>
        <w:rPr>
          <w:rFonts w:ascii="Times New Roman" w:hAnsi="Times New Roman" w:cs="Times New Roman"/>
          <w:color w:val="auto"/>
        </w:rPr>
      </w:pPr>
      <w:bookmarkStart w:id="480" w:name="_Toc102984402"/>
      <w:r>
        <w:rPr>
          <w:rFonts w:ascii="Times New Roman" w:hAnsi="Times New Roman" w:cs="Times New Roman"/>
          <w:color w:val="auto"/>
        </w:rPr>
        <w:t>综上，本项目码头应严格采取相应的环境风险防范措施和应急措施，最大限度的减轻事故状态下对水生生态及下游重要生态环境保护目标的影响。</w:t>
      </w:r>
      <w:bookmarkEnd w:id="480"/>
    </w:p>
    <w:p>
      <w:pPr>
        <w:snapToGrid/>
        <w:spacing w:line="240" w:lineRule="auto"/>
        <w:ind w:firstLine="0" w:firstLineChars="0"/>
        <w:jc w:val="center"/>
        <w:rPr>
          <w:rFonts w:ascii="黑体" w:hAnsi="Courier New" w:cs="Courier New"/>
          <w:color w:val="auto"/>
          <w:sz w:val="13"/>
          <w:szCs w:val="21"/>
        </w:rPr>
      </w:pPr>
      <w:r>
        <w:rPr>
          <w:rFonts w:hint="eastAsia" w:ascii="Times New Roman" w:hAnsi="Times New Roman" w:cs="Times New Roman"/>
          <w:b/>
          <w:color w:val="auto"/>
          <w:sz w:val="21"/>
          <w:szCs w:val="21"/>
        </w:rPr>
        <w:t>表</w:t>
      </w:r>
      <w:r>
        <w:rPr>
          <w:rFonts w:ascii="Times New Roman" w:hAnsi="Times New Roman" w:cs="Times New Roman"/>
          <w:b/>
          <w:color w:val="auto"/>
          <w:sz w:val="21"/>
          <w:szCs w:val="21"/>
        </w:rPr>
        <w:t>5.8</w:t>
      </w:r>
      <w:r>
        <w:rPr>
          <w:rFonts w:hint="eastAsia" w:ascii="Times New Roman" w:hAnsi="Times New Roman" w:cs="Times New Roman"/>
          <w:b/>
          <w:color w:val="auto"/>
          <w:sz w:val="21"/>
          <w:szCs w:val="21"/>
        </w:rPr>
        <w:t>-1</w:t>
      </w:r>
      <w:r>
        <w:rPr>
          <w:rFonts w:hint="eastAsia" w:ascii="Times New Roman" w:hAnsi="Times New Roman" w:cs="Times New Roman"/>
          <w:b/>
          <w:color w:val="auto"/>
          <w:sz w:val="21"/>
          <w:szCs w:val="21"/>
        </w:rPr>
        <w:tab/>
      </w:r>
      <w:r>
        <w:rPr>
          <w:rFonts w:hint="eastAsia" w:ascii="Times New Roman" w:hAnsi="Times New Roman" w:cs="Times New Roman"/>
          <w:b/>
          <w:color w:val="auto"/>
          <w:sz w:val="21"/>
          <w:szCs w:val="21"/>
        </w:rPr>
        <w:t>生态影响评价自查表</w:t>
      </w:r>
    </w:p>
    <w:tbl>
      <w:tblPr>
        <w:tblStyle w:val="62"/>
        <w:tblW w:w="9065"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96"/>
        <w:gridCol w:w="1231"/>
        <w:gridCol w:w="4000"/>
        <w:gridCol w:w="273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2327"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工作内容</w:t>
            </w:r>
          </w:p>
        </w:tc>
        <w:tc>
          <w:tcPr>
            <w:tcW w:w="6738"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自查项目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1096" w:type="dxa"/>
            <w:vMerge w:val="restart"/>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p>
          <w:p>
            <w:pPr>
              <w:adjustRightInd/>
              <w:spacing w:line="240" w:lineRule="auto"/>
              <w:ind w:firstLine="0" w:firstLineChars="0"/>
              <w:jc w:val="center"/>
              <w:rPr>
                <w:rFonts w:ascii="Times New Roman" w:hAnsi="Times New Roman" w:cs="Times New Roman"/>
                <w:color w:val="auto"/>
                <w:kern w:val="0"/>
                <w:sz w:val="18"/>
                <w:lang w:eastAsia="en-US"/>
              </w:rPr>
            </w:pPr>
          </w:p>
          <w:p>
            <w:pPr>
              <w:adjustRightInd/>
              <w:spacing w:line="240" w:lineRule="auto"/>
              <w:ind w:firstLine="0" w:firstLineChars="0"/>
              <w:jc w:val="center"/>
              <w:rPr>
                <w:rFonts w:ascii="Times New Roman" w:hAnsi="Times New Roman" w:cs="Times New Roman"/>
                <w:color w:val="auto"/>
                <w:kern w:val="0"/>
                <w:sz w:val="18"/>
                <w:lang w:eastAsia="en-US"/>
              </w:rPr>
            </w:pPr>
          </w:p>
          <w:p>
            <w:pPr>
              <w:adjustRightInd/>
              <w:spacing w:line="240" w:lineRule="auto"/>
              <w:ind w:firstLine="0" w:firstLineChars="0"/>
              <w:jc w:val="center"/>
              <w:rPr>
                <w:rFonts w:ascii="Times New Roman" w:hAnsi="Times New Roman" w:cs="Times New Roman"/>
                <w:color w:val="auto"/>
                <w:kern w:val="0"/>
                <w:sz w:val="18"/>
                <w:lang w:eastAsia="en-US"/>
              </w:rPr>
            </w:pPr>
          </w:p>
          <w:p>
            <w:pPr>
              <w:adjustRightInd/>
              <w:spacing w:line="240" w:lineRule="auto"/>
              <w:ind w:firstLine="0" w:firstLineChars="0"/>
              <w:jc w:val="center"/>
              <w:rPr>
                <w:rFonts w:ascii="Times New Roman" w:hAnsi="Times New Roman" w:cs="Times New Roman"/>
                <w:color w:val="auto"/>
                <w:kern w:val="0"/>
                <w:sz w:val="18"/>
                <w:lang w:eastAsia="en-US"/>
              </w:rPr>
            </w:pPr>
          </w:p>
          <w:p>
            <w:pPr>
              <w:adjustRightInd/>
              <w:spacing w:line="240" w:lineRule="auto"/>
              <w:ind w:firstLine="0" w:firstLineChars="0"/>
              <w:jc w:val="center"/>
              <w:rPr>
                <w:rFonts w:ascii="Times New Roman" w:hAnsi="Times New Roman" w:cs="Times New Roman"/>
                <w:color w:val="auto"/>
                <w:kern w:val="0"/>
                <w:sz w:val="18"/>
                <w:lang w:eastAsia="en-US"/>
              </w:rPr>
            </w:pPr>
          </w:p>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生态影响识别</w:t>
            </w:r>
          </w:p>
        </w:tc>
        <w:tc>
          <w:tcPr>
            <w:tcW w:w="1231"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生态保护目标</w:t>
            </w:r>
          </w:p>
        </w:tc>
        <w:tc>
          <w:tcPr>
            <w:tcW w:w="6738"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rPr>
            </w:pPr>
            <w:r>
              <w:rPr>
                <w:rFonts w:ascii="Times New Roman" w:hAnsi="Times New Roman" w:cs="Times New Roman"/>
                <w:color w:val="auto"/>
                <w:kern w:val="0"/>
                <w:sz w:val="18"/>
              </w:rPr>
              <w:t>重要物种□；国家公园</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；自然保护区□；自然公园□；世界自然遗产□；生态保护红线</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；重要生境□；其他具有重要生态功能、对保护生物多样性具有重要意义的区域□；其他□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1096" w:type="dxa"/>
            <w:vMerge w:val="continue"/>
            <w:tcBorders>
              <w:tl2br w:val="nil"/>
              <w:tr2bl w:val="nil"/>
            </w:tcBorders>
            <w:vAlign w:val="center"/>
          </w:tcPr>
          <w:p>
            <w:pPr>
              <w:adjustRightInd/>
              <w:spacing w:line="240" w:lineRule="auto"/>
              <w:ind w:firstLine="0" w:firstLineChars="0"/>
              <w:jc w:val="center"/>
              <w:rPr>
                <w:rFonts w:ascii="Times New Roman" w:hAnsi="Times New Roman" w:cs="Times New Roman"/>
                <w:color w:val="auto"/>
                <w:sz w:val="2"/>
                <w:szCs w:val="2"/>
              </w:rPr>
            </w:pPr>
          </w:p>
        </w:tc>
        <w:tc>
          <w:tcPr>
            <w:tcW w:w="1231"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影响方式</w:t>
            </w:r>
          </w:p>
        </w:tc>
        <w:tc>
          <w:tcPr>
            <w:tcW w:w="6738"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rPr>
            </w:pPr>
            <w:r>
              <w:rPr>
                <w:rFonts w:ascii="Times New Roman" w:hAnsi="Times New Roman" w:cs="Times New Roman"/>
                <w:color w:val="auto"/>
                <w:kern w:val="0"/>
                <w:sz w:val="18"/>
              </w:rPr>
              <w:t>工程占用</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；施工活动干扰□；改变环境条件</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pPr>
              <w:adjustRightInd/>
              <w:spacing w:line="240" w:lineRule="auto"/>
              <w:ind w:firstLine="0" w:firstLineChars="0"/>
              <w:jc w:val="center"/>
              <w:rPr>
                <w:rFonts w:ascii="Times New Roman" w:hAnsi="Times New Roman" w:cs="Times New Roman"/>
                <w:color w:val="auto"/>
                <w:sz w:val="2"/>
                <w:szCs w:val="2"/>
              </w:rPr>
            </w:pPr>
          </w:p>
        </w:tc>
        <w:tc>
          <w:tcPr>
            <w:tcW w:w="1231"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评价因子</w:t>
            </w:r>
          </w:p>
        </w:tc>
        <w:tc>
          <w:tcPr>
            <w:tcW w:w="6738" w:type="dxa"/>
            <w:gridSpan w:val="2"/>
            <w:tcBorders>
              <w:tl2br w:val="nil"/>
              <w:tr2bl w:val="nil"/>
            </w:tcBorders>
            <w:vAlign w:val="center"/>
          </w:tcPr>
          <w:p>
            <w:pPr>
              <w:tabs>
                <w:tab w:val="left" w:pos="3092"/>
              </w:tabs>
              <w:adjustRightInd/>
              <w:spacing w:line="240" w:lineRule="auto"/>
              <w:ind w:firstLine="0" w:firstLineChars="0"/>
              <w:jc w:val="left"/>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物种</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lang w:eastAsia="en-US"/>
              </w:rPr>
              <w:t>（</w:t>
            </w:r>
            <w:r>
              <w:rPr>
                <w:rFonts w:ascii="Times New Roman" w:hAnsi="Times New Roman" w:cs="Times New Roman"/>
                <w:color w:val="auto"/>
                <w:kern w:val="0"/>
                <w:sz w:val="18"/>
                <w:lang w:eastAsia="en-US"/>
              </w:rPr>
              <w:tab/>
            </w:r>
            <w:r>
              <w:rPr>
                <w:rFonts w:ascii="Times New Roman" w:hAnsi="Times New Roman" w:cs="Times New Roman"/>
                <w:color w:val="auto"/>
                <w:kern w:val="0"/>
                <w:sz w:val="18"/>
                <w:lang w:eastAsia="en-US"/>
              </w:rPr>
              <w:t>）</w:t>
            </w:r>
          </w:p>
          <w:p>
            <w:pPr>
              <w:tabs>
                <w:tab w:val="left" w:pos="3092"/>
              </w:tabs>
              <w:adjustRightInd/>
              <w:spacing w:line="240" w:lineRule="auto"/>
              <w:ind w:firstLine="0" w:firstLineChars="0"/>
              <w:jc w:val="left"/>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生境</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lang w:eastAsia="en-US"/>
              </w:rPr>
              <w:t>（</w:t>
            </w:r>
            <w:r>
              <w:rPr>
                <w:rFonts w:ascii="Times New Roman" w:hAnsi="Times New Roman" w:cs="Times New Roman"/>
                <w:color w:val="auto"/>
                <w:kern w:val="0"/>
                <w:sz w:val="18"/>
                <w:lang w:eastAsia="en-US"/>
              </w:rPr>
              <w:tab/>
            </w:r>
            <w:r>
              <w:rPr>
                <w:rFonts w:ascii="Times New Roman" w:hAnsi="Times New Roman" w:cs="Times New Roman"/>
                <w:color w:val="auto"/>
                <w:kern w:val="0"/>
                <w:sz w:val="18"/>
                <w:lang w:eastAsia="en-US"/>
              </w:rPr>
              <w:t>）</w:t>
            </w:r>
          </w:p>
          <w:p>
            <w:pPr>
              <w:tabs>
                <w:tab w:val="left" w:pos="3092"/>
              </w:tabs>
              <w:adjustRightInd/>
              <w:spacing w:line="240" w:lineRule="auto"/>
              <w:ind w:firstLine="0" w:firstLineChars="0"/>
              <w:jc w:val="left"/>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生物群落□（</w:t>
            </w:r>
            <w:r>
              <w:rPr>
                <w:rFonts w:ascii="Times New Roman" w:hAnsi="Times New Roman" w:cs="Times New Roman"/>
                <w:color w:val="auto"/>
                <w:kern w:val="0"/>
                <w:sz w:val="18"/>
                <w:lang w:eastAsia="en-US"/>
              </w:rPr>
              <w:tab/>
            </w:r>
            <w:r>
              <w:rPr>
                <w:rFonts w:ascii="Times New Roman" w:hAnsi="Times New Roman" w:cs="Times New Roman"/>
                <w:color w:val="auto"/>
                <w:kern w:val="0"/>
                <w:sz w:val="18"/>
                <w:lang w:eastAsia="en-US"/>
              </w:rPr>
              <w:t>）</w:t>
            </w:r>
          </w:p>
          <w:p>
            <w:pPr>
              <w:tabs>
                <w:tab w:val="left" w:pos="3092"/>
              </w:tabs>
              <w:adjustRightInd/>
              <w:spacing w:line="240" w:lineRule="auto"/>
              <w:ind w:firstLine="0" w:firstLineChars="0"/>
              <w:jc w:val="left"/>
              <w:rPr>
                <w:rFonts w:ascii="Times New Roman" w:hAnsi="Times New Roman" w:cs="Times New Roman"/>
                <w:color w:val="auto"/>
                <w:kern w:val="0"/>
                <w:sz w:val="18"/>
              </w:rPr>
            </w:pPr>
            <w:r>
              <w:rPr>
                <w:rFonts w:ascii="Times New Roman" w:hAnsi="Times New Roman" w:cs="Times New Roman"/>
                <w:color w:val="auto"/>
                <w:kern w:val="0"/>
                <w:sz w:val="18"/>
              </w:rPr>
              <w:t>生态系统□（</w:t>
            </w:r>
            <w:r>
              <w:rPr>
                <w:rFonts w:ascii="Times New Roman" w:hAnsi="Times New Roman" w:cs="Times New Roman"/>
                <w:color w:val="auto"/>
                <w:kern w:val="0"/>
                <w:sz w:val="18"/>
              </w:rPr>
              <w:tab/>
            </w:r>
            <w:r>
              <w:rPr>
                <w:rFonts w:ascii="Times New Roman" w:hAnsi="Times New Roman" w:cs="Times New Roman"/>
                <w:color w:val="auto"/>
                <w:kern w:val="0"/>
                <w:sz w:val="18"/>
              </w:rPr>
              <w:t>）</w:t>
            </w:r>
          </w:p>
          <w:p>
            <w:pPr>
              <w:tabs>
                <w:tab w:val="left" w:pos="3092"/>
              </w:tabs>
              <w:adjustRightInd/>
              <w:spacing w:line="240" w:lineRule="auto"/>
              <w:ind w:firstLine="0" w:firstLineChars="0"/>
              <w:jc w:val="left"/>
              <w:rPr>
                <w:rFonts w:ascii="Times New Roman" w:hAnsi="Times New Roman" w:cs="Times New Roman"/>
                <w:color w:val="auto"/>
                <w:kern w:val="0"/>
                <w:sz w:val="18"/>
              </w:rPr>
            </w:pPr>
            <w:r>
              <w:rPr>
                <w:rFonts w:ascii="Times New Roman" w:hAnsi="Times New Roman" w:cs="Times New Roman"/>
                <w:color w:val="auto"/>
                <w:kern w:val="0"/>
                <w:sz w:val="18"/>
              </w:rPr>
              <w:t>生物多样性□（</w:t>
            </w:r>
            <w:r>
              <w:rPr>
                <w:rFonts w:ascii="Times New Roman" w:hAnsi="Times New Roman" w:cs="Times New Roman"/>
                <w:color w:val="auto"/>
                <w:kern w:val="0"/>
                <w:sz w:val="18"/>
              </w:rPr>
              <w:tab/>
            </w:r>
            <w:r>
              <w:rPr>
                <w:rFonts w:ascii="Times New Roman" w:hAnsi="Times New Roman" w:cs="Times New Roman"/>
                <w:color w:val="auto"/>
                <w:kern w:val="0"/>
                <w:sz w:val="18"/>
              </w:rPr>
              <w:t>）</w:t>
            </w:r>
          </w:p>
          <w:p>
            <w:pPr>
              <w:tabs>
                <w:tab w:val="left" w:pos="3092"/>
              </w:tabs>
              <w:adjustRightInd/>
              <w:spacing w:line="240" w:lineRule="auto"/>
              <w:ind w:firstLine="0" w:firstLineChars="0"/>
              <w:jc w:val="left"/>
              <w:rPr>
                <w:rFonts w:ascii="Times New Roman" w:hAnsi="Times New Roman" w:cs="Times New Roman"/>
                <w:color w:val="auto"/>
                <w:kern w:val="0"/>
                <w:sz w:val="18"/>
              </w:rPr>
            </w:pPr>
            <w:r>
              <w:rPr>
                <w:rFonts w:ascii="Times New Roman" w:hAnsi="Times New Roman" w:cs="Times New Roman"/>
                <w:color w:val="auto"/>
                <w:kern w:val="0"/>
                <w:sz w:val="18"/>
              </w:rPr>
              <w:t>生态敏感区</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w:t>
            </w:r>
            <w:r>
              <w:rPr>
                <w:rFonts w:hint="eastAsia" w:ascii="Times New Roman" w:hAnsi="Times New Roman" w:cs="Times New Roman"/>
                <w:color w:val="auto"/>
                <w:kern w:val="0"/>
                <w:sz w:val="18"/>
                <w:szCs w:val="18"/>
              </w:rPr>
              <w:t>巢湖重要湿地、安徽合肥巢湖湖滨国家湿地公园、</w:t>
            </w:r>
            <w:r>
              <w:rPr>
                <w:rFonts w:hint="eastAsia"/>
                <w:sz w:val="18"/>
                <w:szCs w:val="18"/>
              </w:rPr>
              <w:t>合肥滨湖湿地森林公园、肥东临河省级湿地公园、安徽省生态保护红线</w:t>
            </w:r>
            <w:r>
              <w:rPr>
                <w:rFonts w:hint="eastAsia" w:ascii="宋体" w:hAnsi="宋体" w:cs="宋体"/>
                <w:sz w:val="18"/>
                <w:szCs w:val="18"/>
              </w:rPr>
              <w:t>Ⅲ</w:t>
            </w:r>
            <w:r>
              <w:rPr>
                <w:sz w:val="18"/>
                <w:szCs w:val="18"/>
              </w:rPr>
              <w:t>-3 巢湖盆地生物多样性维护生态保护红线</w:t>
            </w:r>
            <w:r>
              <w:rPr>
                <w:rFonts w:ascii="Times New Roman" w:hAnsi="Times New Roman" w:cs="Times New Roman"/>
                <w:color w:val="auto"/>
                <w:kern w:val="0"/>
                <w:sz w:val="18"/>
              </w:rPr>
              <w:t>）</w:t>
            </w:r>
          </w:p>
          <w:p>
            <w:pPr>
              <w:tabs>
                <w:tab w:val="left" w:pos="3092"/>
              </w:tabs>
              <w:adjustRightInd/>
              <w:spacing w:line="240" w:lineRule="auto"/>
              <w:ind w:firstLine="0" w:firstLineChars="0"/>
              <w:jc w:val="left"/>
              <w:rPr>
                <w:rFonts w:ascii="Times New Roman" w:hAnsi="Times New Roman" w:cs="Times New Roman"/>
                <w:color w:val="auto"/>
                <w:kern w:val="0"/>
                <w:sz w:val="18"/>
              </w:rPr>
            </w:pPr>
            <w:r>
              <w:rPr>
                <w:rFonts w:ascii="Times New Roman" w:hAnsi="Times New Roman" w:cs="Times New Roman"/>
                <w:color w:val="auto"/>
                <w:kern w:val="0"/>
                <w:sz w:val="18"/>
              </w:rPr>
              <w:t>自然景观□（</w:t>
            </w:r>
            <w:r>
              <w:rPr>
                <w:rFonts w:hint="eastAsia" w:ascii="Times New Roman" w:hAnsi="Times New Roman" w:cs="Times New Roman"/>
                <w:color w:val="auto"/>
                <w:kern w:val="0"/>
                <w:sz w:val="18"/>
              </w:rPr>
              <w:t>巢湖风景名胜区</w:t>
            </w:r>
            <w:r>
              <w:rPr>
                <w:rFonts w:ascii="Times New Roman" w:hAnsi="Times New Roman" w:cs="Times New Roman"/>
                <w:color w:val="auto"/>
                <w:kern w:val="0"/>
                <w:sz w:val="18"/>
              </w:rPr>
              <w:tab/>
            </w:r>
            <w:r>
              <w:rPr>
                <w:rFonts w:ascii="Times New Roman" w:hAnsi="Times New Roman" w:cs="Times New Roman"/>
                <w:color w:val="auto"/>
                <w:kern w:val="0"/>
                <w:sz w:val="18"/>
              </w:rPr>
              <w:t>）</w:t>
            </w:r>
          </w:p>
          <w:p>
            <w:pPr>
              <w:tabs>
                <w:tab w:val="left" w:pos="3092"/>
              </w:tabs>
              <w:adjustRightInd/>
              <w:spacing w:line="240" w:lineRule="auto"/>
              <w:ind w:firstLine="0" w:firstLineChars="0"/>
              <w:jc w:val="left"/>
              <w:rPr>
                <w:rFonts w:ascii="Times New Roman" w:hAnsi="Times New Roman" w:cs="Times New Roman"/>
                <w:color w:val="auto"/>
                <w:kern w:val="0"/>
                <w:sz w:val="18"/>
              </w:rPr>
            </w:pPr>
            <w:r>
              <w:rPr>
                <w:rFonts w:ascii="Times New Roman" w:hAnsi="Times New Roman" w:cs="Times New Roman"/>
                <w:color w:val="auto"/>
                <w:kern w:val="0"/>
                <w:sz w:val="18"/>
              </w:rPr>
              <w:t>自然遗迹□（</w:t>
            </w:r>
            <w:r>
              <w:rPr>
                <w:rFonts w:ascii="Times New Roman" w:hAnsi="Times New Roman" w:cs="Times New Roman"/>
                <w:color w:val="auto"/>
                <w:kern w:val="0"/>
                <w:sz w:val="18"/>
              </w:rPr>
              <w:tab/>
            </w:r>
            <w:r>
              <w:rPr>
                <w:rFonts w:ascii="Times New Roman" w:hAnsi="Times New Roman" w:cs="Times New Roman"/>
                <w:color w:val="auto"/>
                <w:kern w:val="0"/>
                <w:sz w:val="18"/>
              </w:rPr>
              <w:t>）</w:t>
            </w:r>
          </w:p>
          <w:p>
            <w:pPr>
              <w:tabs>
                <w:tab w:val="left" w:pos="3092"/>
              </w:tabs>
              <w:adjustRightInd/>
              <w:spacing w:line="240" w:lineRule="auto"/>
              <w:ind w:firstLine="0" w:firstLineChars="0"/>
              <w:jc w:val="left"/>
              <w:rPr>
                <w:rFonts w:ascii="Times New Roman" w:hAnsi="Times New Roman" w:cs="Times New Roman"/>
                <w:color w:val="auto"/>
                <w:kern w:val="0"/>
                <w:sz w:val="18"/>
              </w:rPr>
            </w:pPr>
            <w:r>
              <w:rPr>
                <w:rFonts w:ascii="Times New Roman" w:hAnsi="Times New Roman" w:cs="Times New Roman"/>
                <w:color w:val="auto"/>
                <w:kern w:val="0"/>
                <w:sz w:val="18"/>
              </w:rPr>
              <w:t>其他□（</w:t>
            </w:r>
            <w:r>
              <w:rPr>
                <w:rFonts w:ascii="Times New Roman" w:hAnsi="Times New Roman" w:cs="Times New Roman"/>
                <w:color w:val="auto"/>
                <w:kern w:val="0"/>
                <w:sz w:val="18"/>
              </w:rPr>
              <w:tab/>
            </w:r>
            <w:r>
              <w:rPr>
                <w:rFonts w:ascii="Times New Roman" w:hAnsi="Times New Roman" w:cs="Times New Roman"/>
                <w:color w:val="auto"/>
                <w:kern w:val="0"/>
                <w:sz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2327"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评价等级</w:t>
            </w:r>
          </w:p>
        </w:tc>
        <w:tc>
          <w:tcPr>
            <w:tcW w:w="4000"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一级□</w:t>
            </w:r>
            <w:r>
              <w:rPr>
                <w:rFonts w:ascii="Times New Roman" w:hAnsi="Times New Roman" w:cs="Times New Roman"/>
                <w:color w:val="auto"/>
                <w:kern w:val="0"/>
                <w:sz w:val="18"/>
                <w:lang w:eastAsia="en-US"/>
              </w:rPr>
              <w:tab/>
            </w:r>
            <w:r>
              <w:rPr>
                <w:rFonts w:ascii="Times New Roman" w:hAnsi="Times New Roman" w:cs="Times New Roman"/>
                <w:color w:val="auto"/>
                <w:kern w:val="0"/>
                <w:sz w:val="18"/>
                <w:lang w:eastAsia="en-US"/>
              </w:rPr>
              <w:t>二级</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lang w:eastAsia="en-US"/>
              </w:rPr>
              <w:tab/>
            </w:r>
            <w:r>
              <w:rPr>
                <w:rFonts w:ascii="Times New Roman" w:hAnsi="Times New Roman" w:cs="Times New Roman"/>
                <w:color w:val="auto"/>
                <w:kern w:val="0"/>
                <w:sz w:val="18"/>
                <w:lang w:eastAsia="en-US"/>
              </w:rPr>
              <w:t>三级</w:t>
            </w:r>
            <w:r>
              <w:rPr>
                <w:rFonts w:ascii="Times New Roman" w:hAnsi="Times New Roman" w:cs="Times New Roman"/>
                <w:color w:val="auto"/>
                <w:kern w:val="0"/>
                <w:sz w:val="18"/>
                <w:lang w:eastAsia="en-US"/>
              </w:rPr>
              <w:sym w:font="Wingdings 2" w:char="0052"/>
            </w:r>
          </w:p>
        </w:tc>
        <w:tc>
          <w:tcPr>
            <w:tcW w:w="2738"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生态影响简单分析□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2327"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评价范围</w:t>
            </w:r>
          </w:p>
        </w:tc>
        <w:tc>
          <w:tcPr>
            <w:tcW w:w="4000" w:type="dxa"/>
            <w:tcBorders>
              <w:tl2br w:val="nil"/>
              <w:tr2bl w:val="nil"/>
            </w:tcBorders>
            <w:vAlign w:val="center"/>
          </w:tcPr>
          <w:p>
            <w:pPr>
              <w:tabs>
                <w:tab w:val="left" w:pos="1560"/>
              </w:tabs>
              <w:adjustRightInd/>
              <w:spacing w:line="240" w:lineRule="auto"/>
              <w:ind w:firstLine="0" w:firstLineChars="0"/>
              <w:rPr>
                <w:rFonts w:ascii="Times New Roman" w:hAnsi="Times New Roman" w:cs="Times New Roman"/>
                <w:color w:val="auto"/>
                <w:kern w:val="0"/>
                <w:sz w:val="18"/>
              </w:rPr>
            </w:pPr>
            <w:r>
              <w:rPr>
                <w:rFonts w:ascii="Times New Roman" w:hAnsi="Times New Roman" w:cs="Times New Roman"/>
                <w:color w:val="auto"/>
                <w:kern w:val="0"/>
                <w:sz w:val="18"/>
              </w:rPr>
              <w:t>陆域面积</w:t>
            </w:r>
            <w:r>
              <w:rPr>
                <w:rFonts w:ascii="Times New Roman" w:hAnsi="Times New Roman" w:cs="Times New Roman"/>
                <w:color w:val="auto"/>
                <w:spacing w:val="-92"/>
                <w:kern w:val="0"/>
                <w:sz w:val="18"/>
              </w:rPr>
              <w:t>：</w:t>
            </w:r>
            <w:r>
              <w:rPr>
                <w:rFonts w:ascii="Times New Roman" w:hAnsi="Times New Roman" w:cs="Times New Roman"/>
                <w:color w:val="auto"/>
                <w:kern w:val="0"/>
                <w:sz w:val="18"/>
              </w:rPr>
              <w:t>（</w:t>
            </w:r>
            <w:r>
              <w:rPr>
                <w:rFonts w:hint="eastAsia" w:ascii="Times New Roman" w:hAnsi="Times New Roman" w:cs="Times New Roman"/>
                <w:color w:val="auto"/>
                <w:kern w:val="0"/>
                <w:sz w:val="18"/>
              </w:rPr>
              <w:t>0.</w:t>
            </w:r>
            <w:r>
              <w:rPr>
                <w:rFonts w:ascii="Times New Roman" w:hAnsi="Times New Roman" w:cs="Times New Roman"/>
                <w:color w:val="auto"/>
                <w:kern w:val="0"/>
                <w:sz w:val="18"/>
              </w:rPr>
              <w:t>18）</w:t>
            </w:r>
            <w:r>
              <w:rPr>
                <w:rFonts w:ascii="Times New Roman" w:hAnsi="Times New Roman" w:cs="Times New Roman"/>
                <w:color w:val="auto"/>
                <w:spacing w:val="-2"/>
                <w:kern w:val="0"/>
                <w:sz w:val="18"/>
              </w:rPr>
              <w:t>k</w:t>
            </w:r>
            <w:r>
              <w:rPr>
                <w:rFonts w:ascii="Times New Roman" w:hAnsi="Times New Roman" w:cs="Times New Roman"/>
                <w:color w:val="auto"/>
                <w:spacing w:val="-4"/>
                <w:kern w:val="0"/>
                <w:sz w:val="18"/>
              </w:rPr>
              <w:t>m</w:t>
            </w:r>
            <w:r>
              <w:rPr>
                <w:rFonts w:ascii="Times New Roman" w:hAnsi="Times New Roman" w:cs="Times New Roman"/>
                <w:color w:val="auto"/>
                <w:w w:val="97"/>
                <w:kern w:val="0"/>
                <w:sz w:val="18"/>
                <w:vertAlign w:val="superscript"/>
              </w:rPr>
              <w:t>2</w:t>
            </w:r>
            <w:r>
              <w:rPr>
                <w:rFonts w:ascii="Times New Roman" w:hAnsi="Times New Roman" w:cs="Times New Roman"/>
                <w:color w:val="auto"/>
                <w:kern w:val="0"/>
                <w:sz w:val="18"/>
              </w:rPr>
              <w:t>；水</w:t>
            </w:r>
            <w:r>
              <w:rPr>
                <w:rFonts w:ascii="Times New Roman" w:hAnsi="Times New Roman" w:cs="Times New Roman"/>
                <w:color w:val="auto"/>
                <w:spacing w:val="2"/>
                <w:kern w:val="0"/>
                <w:sz w:val="18"/>
              </w:rPr>
              <w:t>域</w:t>
            </w:r>
            <w:r>
              <w:rPr>
                <w:rFonts w:ascii="Times New Roman" w:hAnsi="Times New Roman" w:cs="Times New Roman"/>
                <w:color w:val="auto"/>
                <w:kern w:val="0"/>
                <w:sz w:val="18"/>
              </w:rPr>
              <w:t>面积</w:t>
            </w:r>
            <w:r>
              <w:rPr>
                <w:rFonts w:ascii="Times New Roman" w:hAnsi="Times New Roman" w:cs="Times New Roman"/>
                <w:color w:val="auto"/>
                <w:spacing w:val="-92"/>
                <w:kern w:val="0"/>
                <w:sz w:val="18"/>
              </w:rPr>
              <w:t>：</w:t>
            </w:r>
            <w:r>
              <w:rPr>
                <w:rFonts w:hint="eastAsia" w:ascii="Times New Roman" w:hAnsi="Times New Roman" w:cs="Times New Roman"/>
                <w:color w:val="auto"/>
                <w:spacing w:val="-92"/>
                <w:kern w:val="0"/>
                <w:sz w:val="18"/>
              </w:rPr>
              <w:t xml:space="preserve">  </w:t>
            </w:r>
            <w:r>
              <w:rPr>
                <w:rFonts w:hint="eastAsia" w:ascii="Times New Roman" w:hAnsi="Times New Roman" w:cs="Times New Roman"/>
                <w:color w:val="auto"/>
                <w:kern w:val="0"/>
                <w:sz w:val="18"/>
              </w:rPr>
              <w:t>：（</w:t>
            </w:r>
            <w:r>
              <w:rPr>
                <w:rFonts w:ascii="Times New Roman" w:hAnsi="Times New Roman" w:cs="Times New Roman"/>
                <w:color w:val="auto"/>
                <w:kern w:val="0"/>
                <w:sz w:val="18"/>
              </w:rPr>
              <w:t>/</w:t>
            </w:r>
            <w:r>
              <w:rPr>
                <w:rFonts w:hint="eastAsia" w:ascii="Times New Roman" w:hAnsi="Times New Roman" w:cs="Times New Roman"/>
                <w:color w:val="auto"/>
                <w:kern w:val="0"/>
                <w:sz w:val="18"/>
              </w:rPr>
              <w:t>）</w:t>
            </w:r>
            <w:r>
              <w:rPr>
                <w:rFonts w:ascii="Times New Roman" w:hAnsi="Times New Roman" w:cs="Times New Roman"/>
                <w:color w:val="auto"/>
                <w:kern w:val="0"/>
                <w:sz w:val="18"/>
              </w:rPr>
              <w:t>km</w:t>
            </w:r>
            <w:r>
              <w:rPr>
                <w:rFonts w:ascii="Times New Roman" w:hAnsi="Times New Roman" w:cs="Times New Roman"/>
                <w:color w:val="auto"/>
                <w:kern w:val="0"/>
                <w:sz w:val="18"/>
                <w:vertAlign w:val="superscript"/>
              </w:rPr>
              <w:t>2</w:t>
            </w:r>
          </w:p>
        </w:tc>
        <w:tc>
          <w:tcPr>
            <w:tcW w:w="2738"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1096" w:type="dxa"/>
            <w:vMerge w:val="restart"/>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spacing w:val="-5"/>
                <w:kern w:val="0"/>
                <w:sz w:val="18"/>
                <w:lang w:eastAsia="en-US"/>
              </w:rPr>
              <w:t>生态现状</w:t>
            </w:r>
            <w:r>
              <w:rPr>
                <w:rFonts w:ascii="Times New Roman" w:hAnsi="Times New Roman" w:cs="Times New Roman"/>
                <w:color w:val="auto"/>
                <w:kern w:val="0"/>
                <w:sz w:val="18"/>
                <w:lang w:eastAsia="en-US"/>
              </w:rPr>
              <w:t>调查与评价</w:t>
            </w:r>
          </w:p>
        </w:tc>
        <w:tc>
          <w:tcPr>
            <w:tcW w:w="1231"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调查方法</w:t>
            </w:r>
          </w:p>
        </w:tc>
        <w:tc>
          <w:tcPr>
            <w:tcW w:w="6738"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rPr>
            </w:pPr>
            <w:r>
              <w:rPr>
                <w:rFonts w:ascii="Times New Roman" w:hAnsi="Times New Roman" w:cs="Times New Roman"/>
                <w:color w:val="auto"/>
                <w:kern w:val="0"/>
                <w:sz w:val="18"/>
              </w:rPr>
              <w:t>资料收集</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；遥感调查□；调查样方、样线</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；调查点位、断面</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；专家和公众咨询法□；其他□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1096" w:type="dxa"/>
            <w:vMerge w:val="continue"/>
            <w:tcBorders>
              <w:tl2br w:val="nil"/>
              <w:tr2bl w:val="nil"/>
            </w:tcBorders>
            <w:vAlign w:val="center"/>
          </w:tcPr>
          <w:p>
            <w:pPr>
              <w:adjustRightInd/>
              <w:spacing w:line="240" w:lineRule="auto"/>
              <w:ind w:firstLine="0" w:firstLineChars="0"/>
              <w:jc w:val="center"/>
              <w:rPr>
                <w:rFonts w:ascii="Times New Roman" w:hAnsi="Times New Roman" w:cs="Times New Roman"/>
                <w:color w:val="auto"/>
                <w:sz w:val="2"/>
                <w:szCs w:val="2"/>
              </w:rPr>
            </w:pPr>
          </w:p>
        </w:tc>
        <w:tc>
          <w:tcPr>
            <w:tcW w:w="1231"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调查时间</w:t>
            </w:r>
          </w:p>
        </w:tc>
        <w:tc>
          <w:tcPr>
            <w:tcW w:w="6738"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春季□；夏季□；秋季□；冬季□ 丰水期□；枯水期□；平水期□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1096" w:type="dxa"/>
            <w:vMerge w:val="continue"/>
            <w:tcBorders>
              <w:tl2br w:val="nil"/>
              <w:tr2bl w:val="nil"/>
            </w:tcBorders>
            <w:vAlign w:val="center"/>
          </w:tcPr>
          <w:p>
            <w:pPr>
              <w:adjustRightInd/>
              <w:spacing w:line="240" w:lineRule="auto"/>
              <w:ind w:firstLine="0" w:firstLineChars="0"/>
              <w:jc w:val="center"/>
              <w:rPr>
                <w:rFonts w:ascii="Times New Roman" w:hAnsi="Times New Roman" w:cs="Times New Roman"/>
                <w:color w:val="auto"/>
                <w:sz w:val="2"/>
                <w:szCs w:val="2"/>
              </w:rPr>
            </w:pPr>
          </w:p>
        </w:tc>
        <w:tc>
          <w:tcPr>
            <w:tcW w:w="1231"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所在区域的生态问题</w:t>
            </w:r>
          </w:p>
        </w:tc>
        <w:tc>
          <w:tcPr>
            <w:tcW w:w="6738"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2"/>
              </w:rPr>
            </w:pPr>
          </w:p>
          <w:p>
            <w:pPr>
              <w:adjustRightInd/>
              <w:spacing w:line="240" w:lineRule="auto"/>
              <w:ind w:firstLine="0" w:firstLineChars="0"/>
              <w:jc w:val="center"/>
              <w:rPr>
                <w:rFonts w:ascii="Times New Roman" w:hAnsi="Times New Roman" w:cs="Times New Roman"/>
                <w:color w:val="auto"/>
                <w:kern w:val="0"/>
                <w:sz w:val="18"/>
              </w:rPr>
            </w:pPr>
            <w:r>
              <w:rPr>
                <w:rFonts w:ascii="Times New Roman" w:hAnsi="Times New Roman" w:cs="Times New Roman"/>
                <w:color w:val="auto"/>
                <w:kern w:val="0"/>
                <w:sz w:val="18"/>
              </w:rPr>
              <w:t>水土流失</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；沙漠化□；石漠化□；盐渍化□；生物入侵</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；污染危害</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1096" w:type="dxa"/>
            <w:vMerge w:val="continue"/>
            <w:tcBorders>
              <w:tl2br w:val="nil"/>
              <w:tr2bl w:val="nil"/>
            </w:tcBorders>
            <w:vAlign w:val="center"/>
          </w:tcPr>
          <w:p>
            <w:pPr>
              <w:adjustRightInd/>
              <w:spacing w:line="240" w:lineRule="auto"/>
              <w:ind w:firstLine="0" w:firstLineChars="0"/>
              <w:jc w:val="center"/>
              <w:rPr>
                <w:rFonts w:ascii="Times New Roman" w:hAnsi="Times New Roman" w:cs="Times New Roman"/>
                <w:color w:val="auto"/>
                <w:sz w:val="2"/>
                <w:szCs w:val="2"/>
              </w:rPr>
            </w:pPr>
          </w:p>
        </w:tc>
        <w:tc>
          <w:tcPr>
            <w:tcW w:w="1231"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评价内容</w:t>
            </w:r>
          </w:p>
        </w:tc>
        <w:tc>
          <w:tcPr>
            <w:tcW w:w="6738"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rPr>
            </w:pPr>
            <w:r>
              <w:rPr>
                <w:rFonts w:ascii="Times New Roman" w:hAnsi="Times New Roman" w:cs="Times New Roman"/>
                <w:color w:val="auto"/>
                <w:kern w:val="0"/>
                <w:sz w:val="18"/>
              </w:rPr>
              <w:t>植被/植物群落□；土地利用</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；生态系统□；生物多样性</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；重要物种□；生态敏感区</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1096" w:type="dxa"/>
            <w:vMerge w:val="restart"/>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spacing w:val="-5"/>
                <w:kern w:val="0"/>
                <w:sz w:val="18"/>
                <w:lang w:eastAsia="en-US"/>
              </w:rPr>
              <w:t>生态影响</w:t>
            </w:r>
            <w:r>
              <w:rPr>
                <w:rFonts w:ascii="Times New Roman" w:hAnsi="Times New Roman" w:cs="Times New Roman"/>
                <w:color w:val="auto"/>
                <w:kern w:val="0"/>
                <w:sz w:val="18"/>
                <w:lang w:eastAsia="en-US"/>
              </w:rPr>
              <w:t>预测与评价</w:t>
            </w:r>
          </w:p>
        </w:tc>
        <w:tc>
          <w:tcPr>
            <w:tcW w:w="1231"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评价方法</w:t>
            </w:r>
          </w:p>
        </w:tc>
        <w:tc>
          <w:tcPr>
            <w:tcW w:w="6738"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定性□；定性和定量</w:t>
            </w:r>
            <w:r>
              <w:rPr>
                <w:rFonts w:ascii="Times New Roman" w:hAnsi="Times New Roman" w:cs="Times New Roman"/>
                <w:color w:val="auto"/>
                <w:kern w:val="0"/>
                <w:sz w:val="18"/>
                <w:lang w:eastAsia="en-US"/>
              </w:rPr>
              <w:sym w:font="Wingdings 2" w:char="0052"/>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1096" w:type="dxa"/>
            <w:vMerge w:val="continue"/>
            <w:tcBorders>
              <w:tl2br w:val="nil"/>
              <w:tr2bl w:val="nil"/>
            </w:tcBorders>
            <w:vAlign w:val="center"/>
          </w:tcPr>
          <w:p>
            <w:pPr>
              <w:adjustRightInd/>
              <w:spacing w:line="240" w:lineRule="auto"/>
              <w:ind w:firstLine="0" w:firstLineChars="0"/>
              <w:jc w:val="center"/>
              <w:rPr>
                <w:rFonts w:ascii="Times New Roman" w:hAnsi="Times New Roman" w:cs="Times New Roman"/>
                <w:color w:val="auto"/>
                <w:sz w:val="2"/>
                <w:szCs w:val="2"/>
              </w:rPr>
            </w:pPr>
          </w:p>
        </w:tc>
        <w:tc>
          <w:tcPr>
            <w:tcW w:w="1231"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评价内容</w:t>
            </w:r>
          </w:p>
        </w:tc>
        <w:tc>
          <w:tcPr>
            <w:tcW w:w="6738"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rPr>
            </w:pPr>
            <w:r>
              <w:rPr>
                <w:rFonts w:ascii="Times New Roman" w:hAnsi="Times New Roman" w:cs="Times New Roman"/>
                <w:color w:val="auto"/>
                <w:kern w:val="0"/>
                <w:sz w:val="18"/>
              </w:rPr>
              <w:t>植被/植物群落</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；土地利用</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；生态系统□；生物多样性□；重要物种</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；生态敏感区</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；生物入侵风险□；其他□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1096" w:type="dxa"/>
            <w:vMerge w:val="restart"/>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7"/>
              </w:rPr>
            </w:pPr>
          </w:p>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生态保护对策措施</w:t>
            </w:r>
          </w:p>
        </w:tc>
        <w:tc>
          <w:tcPr>
            <w:tcW w:w="1231"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对策措施</w:t>
            </w:r>
          </w:p>
        </w:tc>
        <w:tc>
          <w:tcPr>
            <w:tcW w:w="6738"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rPr>
            </w:pPr>
            <w:r>
              <w:rPr>
                <w:rFonts w:ascii="Times New Roman" w:hAnsi="Times New Roman" w:cs="Times New Roman"/>
                <w:color w:val="auto"/>
                <w:kern w:val="0"/>
                <w:sz w:val="18"/>
              </w:rPr>
              <w:t>避让□；减缓</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；生态修复</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；生态补偿</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；科研□；其他□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1096" w:type="dxa"/>
            <w:vMerge w:val="continue"/>
            <w:tcBorders>
              <w:tl2br w:val="nil"/>
              <w:tr2bl w:val="nil"/>
            </w:tcBorders>
            <w:vAlign w:val="center"/>
          </w:tcPr>
          <w:p>
            <w:pPr>
              <w:adjustRightInd/>
              <w:spacing w:line="240" w:lineRule="auto"/>
              <w:ind w:firstLine="0" w:firstLineChars="0"/>
              <w:jc w:val="center"/>
              <w:rPr>
                <w:rFonts w:ascii="Times New Roman" w:hAnsi="Times New Roman" w:cs="Times New Roman"/>
                <w:color w:val="auto"/>
                <w:sz w:val="2"/>
                <w:szCs w:val="2"/>
              </w:rPr>
            </w:pPr>
          </w:p>
        </w:tc>
        <w:tc>
          <w:tcPr>
            <w:tcW w:w="1231"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生态监测计划</w:t>
            </w:r>
          </w:p>
        </w:tc>
        <w:tc>
          <w:tcPr>
            <w:tcW w:w="6738"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rPr>
            </w:pPr>
            <w:r>
              <w:rPr>
                <w:rFonts w:ascii="Times New Roman" w:hAnsi="Times New Roman" w:cs="Times New Roman"/>
                <w:color w:val="auto"/>
                <w:kern w:val="0"/>
                <w:sz w:val="18"/>
              </w:rPr>
              <w:t>全生命周期□；长期跟踪</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；常规□；无□</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1096" w:type="dxa"/>
            <w:vMerge w:val="continue"/>
            <w:tcBorders>
              <w:tl2br w:val="nil"/>
              <w:tr2bl w:val="nil"/>
            </w:tcBorders>
            <w:vAlign w:val="center"/>
          </w:tcPr>
          <w:p>
            <w:pPr>
              <w:adjustRightInd/>
              <w:spacing w:line="240" w:lineRule="auto"/>
              <w:ind w:firstLine="0" w:firstLineChars="0"/>
              <w:jc w:val="center"/>
              <w:rPr>
                <w:rFonts w:ascii="Times New Roman" w:hAnsi="Times New Roman" w:cs="Times New Roman"/>
                <w:color w:val="auto"/>
                <w:sz w:val="2"/>
                <w:szCs w:val="2"/>
              </w:rPr>
            </w:pPr>
          </w:p>
        </w:tc>
        <w:tc>
          <w:tcPr>
            <w:tcW w:w="1231"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环境管理</w:t>
            </w:r>
          </w:p>
        </w:tc>
        <w:tc>
          <w:tcPr>
            <w:tcW w:w="6738"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rPr>
            </w:pPr>
            <w:r>
              <w:rPr>
                <w:rFonts w:ascii="Times New Roman" w:hAnsi="Times New Roman" w:cs="Times New Roman"/>
                <w:color w:val="auto"/>
                <w:kern w:val="0"/>
                <w:sz w:val="18"/>
              </w:rPr>
              <w:t>环境监理</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；环境影响后评价</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rPr>
              <w:t>；其他□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1096"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评价结论</w:t>
            </w:r>
          </w:p>
        </w:tc>
        <w:tc>
          <w:tcPr>
            <w:tcW w:w="1231" w:type="dxa"/>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生态影响</w:t>
            </w:r>
          </w:p>
        </w:tc>
        <w:tc>
          <w:tcPr>
            <w:tcW w:w="6738" w:type="dxa"/>
            <w:gridSpan w:val="2"/>
            <w:tcBorders>
              <w:tl2br w:val="nil"/>
              <w:tr2bl w:val="nil"/>
            </w:tcBorders>
            <w:vAlign w:val="center"/>
          </w:tcPr>
          <w:p>
            <w:pPr>
              <w:adjustRightInd/>
              <w:spacing w:line="240" w:lineRule="auto"/>
              <w:ind w:firstLine="0" w:firstLineChars="0"/>
              <w:jc w:val="center"/>
              <w:rPr>
                <w:rFonts w:ascii="Times New Roman" w:hAnsi="Times New Roman" w:cs="Times New Roman"/>
                <w:color w:val="auto"/>
                <w:kern w:val="0"/>
                <w:sz w:val="18"/>
                <w:lang w:eastAsia="en-US"/>
              </w:rPr>
            </w:pPr>
            <w:r>
              <w:rPr>
                <w:rFonts w:ascii="Times New Roman" w:hAnsi="Times New Roman" w:cs="Times New Roman"/>
                <w:color w:val="auto"/>
                <w:kern w:val="0"/>
                <w:sz w:val="18"/>
                <w:lang w:eastAsia="en-US"/>
              </w:rPr>
              <w:t>可行</w:t>
            </w:r>
            <w:r>
              <w:rPr>
                <w:rFonts w:ascii="Times New Roman" w:hAnsi="Times New Roman" w:cs="Times New Roman"/>
                <w:color w:val="auto"/>
                <w:kern w:val="0"/>
                <w:sz w:val="18"/>
                <w:lang w:eastAsia="en-US"/>
              </w:rPr>
              <w:sym w:font="Wingdings 2" w:char="0052"/>
            </w:r>
            <w:r>
              <w:rPr>
                <w:rFonts w:ascii="Times New Roman" w:hAnsi="Times New Roman" w:cs="Times New Roman"/>
                <w:color w:val="auto"/>
                <w:kern w:val="0"/>
                <w:sz w:val="18"/>
                <w:lang w:eastAsia="en-US"/>
              </w:rPr>
              <w:t>；不可行□</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9065" w:type="dxa"/>
            <w:gridSpan w:val="4"/>
            <w:tcBorders>
              <w:tl2br w:val="nil"/>
              <w:tr2bl w:val="nil"/>
            </w:tcBorders>
            <w:vAlign w:val="center"/>
          </w:tcPr>
          <w:p>
            <w:pPr>
              <w:tabs>
                <w:tab w:val="left" w:pos="3259"/>
              </w:tabs>
              <w:adjustRightInd/>
              <w:spacing w:line="240" w:lineRule="auto"/>
              <w:ind w:firstLine="0" w:firstLineChars="0"/>
              <w:jc w:val="center"/>
              <w:rPr>
                <w:rFonts w:ascii="Times New Roman" w:hAnsi="Times New Roman" w:cs="Times New Roman"/>
                <w:color w:val="auto"/>
                <w:kern w:val="0"/>
                <w:sz w:val="18"/>
              </w:rPr>
            </w:pPr>
            <w:r>
              <w:rPr>
                <w:rFonts w:ascii="Times New Roman" w:hAnsi="Times New Roman" w:cs="Times New Roman"/>
                <w:color w:val="auto"/>
                <w:kern w:val="0"/>
                <w:sz w:val="18"/>
              </w:rPr>
              <w:t>注：</w:t>
            </w:r>
            <w:r>
              <w:rPr>
                <w:rFonts w:ascii="Times New Roman" w:hAnsi="Times New Roman" w:cs="Times New Roman"/>
                <w:color w:val="auto"/>
                <w:spacing w:val="1"/>
                <w:kern w:val="0"/>
                <w:sz w:val="18"/>
              </w:rPr>
              <w:t xml:space="preserve"> </w:t>
            </w:r>
            <w:r>
              <w:rPr>
                <w:rFonts w:ascii="Times New Roman" w:hAnsi="Times New Roman" w:cs="Times New Roman"/>
                <w:color w:val="auto"/>
                <w:kern w:val="0"/>
                <w:sz w:val="18"/>
              </w:rPr>
              <w:t>“□”</w:t>
            </w:r>
            <w:r>
              <w:rPr>
                <w:rFonts w:ascii="Times New Roman" w:hAnsi="Times New Roman" w:cs="Times New Roman"/>
                <w:color w:val="auto"/>
                <w:spacing w:val="1"/>
                <w:kern w:val="0"/>
                <w:sz w:val="18"/>
              </w:rPr>
              <w:t xml:space="preserve"> </w:t>
            </w:r>
            <w:r>
              <w:rPr>
                <w:rFonts w:ascii="Times New Roman" w:hAnsi="Times New Roman" w:cs="Times New Roman"/>
                <w:color w:val="auto"/>
                <w:kern w:val="0"/>
                <w:sz w:val="18"/>
              </w:rPr>
              <w:t>为勾选项</w:t>
            </w:r>
            <w:r>
              <w:rPr>
                <w:rFonts w:ascii="Times New Roman" w:hAnsi="Times New Roman" w:cs="Times New Roman"/>
                <w:color w:val="auto"/>
                <w:spacing w:val="1"/>
                <w:kern w:val="0"/>
                <w:sz w:val="18"/>
              </w:rPr>
              <w:t xml:space="preserve"> </w:t>
            </w:r>
            <w:r>
              <w:rPr>
                <w:rFonts w:ascii="Times New Roman" w:hAnsi="Times New Roman" w:cs="Times New Roman"/>
                <w:color w:val="auto"/>
                <w:kern w:val="0"/>
                <w:sz w:val="18"/>
              </w:rPr>
              <w:t>，可√</w:t>
            </w:r>
            <w:r>
              <w:rPr>
                <w:rFonts w:ascii="Times New Roman" w:hAnsi="Times New Roman" w:cs="Times New Roman"/>
                <w:color w:val="auto"/>
                <w:spacing w:val="-1"/>
                <w:kern w:val="0"/>
                <w:sz w:val="18"/>
              </w:rPr>
              <w:t xml:space="preserve"> </w:t>
            </w:r>
            <w:r>
              <w:rPr>
                <w:rFonts w:ascii="Times New Roman" w:hAnsi="Times New Roman" w:cs="Times New Roman"/>
                <w:color w:val="auto"/>
                <w:spacing w:val="-92"/>
                <w:kern w:val="0"/>
                <w:sz w:val="18"/>
              </w:rPr>
              <w:t>；“</w:t>
            </w:r>
            <w:r>
              <w:rPr>
                <w:rFonts w:ascii="Times New Roman" w:hAnsi="Times New Roman" w:cs="Times New Roman"/>
                <w:color w:val="auto"/>
                <w:kern w:val="0"/>
                <w:sz w:val="18"/>
              </w:rPr>
              <w:t>（</w:t>
            </w:r>
            <w:r>
              <w:rPr>
                <w:rFonts w:ascii="Times New Roman" w:hAnsi="Times New Roman" w:cs="Times New Roman"/>
                <w:color w:val="auto"/>
                <w:kern w:val="0"/>
                <w:sz w:val="18"/>
              </w:rPr>
              <w:tab/>
            </w:r>
            <w:r>
              <w:rPr>
                <w:rFonts w:ascii="Times New Roman" w:hAnsi="Times New Roman" w:cs="Times New Roman"/>
                <w:color w:val="auto"/>
                <w:spacing w:val="-92"/>
                <w:kern w:val="0"/>
                <w:sz w:val="18"/>
              </w:rPr>
              <w:t>）</w:t>
            </w:r>
            <w:r>
              <w:rPr>
                <w:rFonts w:ascii="Times New Roman" w:hAnsi="Times New Roman" w:cs="Times New Roman"/>
                <w:color w:val="auto"/>
                <w:kern w:val="0"/>
                <w:sz w:val="18"/>
              </w:rPr>
              <w:t>”</w:t>
            </w:r>
            <w:r>
              <w:rPr>
                <w:rFonts w:ascii="Times New Roman" w:hAnsi="Times New Roman" w:cs="Times New Roman"/>
                <w:color w:val="auto"/>
                <w:spacing w:val="1"/>
                <w:kern w:val="0"/>
                <w:sz w:val="18"/>
              </w:rPr>
              <w:t xml:space="preserve"> </w:t>
            </w:r>
            <w:r>
              <w:rPr>
                <w:rFonts w:ascii="Times New Roman" w:hAnsi="Times New Roman" w:cs="Times New Roman"/>
                <w:color w:val="auto"/>
                <w:kern w:val="0"/>
                <w:sz w:val="18"/>
              </w:rPr>
              <w:t>为内容填写项。</w:t>
            </w:r>
          </w:p>
        </w:tc>
      </w:tr>
    </w:tbl>
    <w:p>
      <w:pPr>
        <w:pStyle w:val="25"/>
        <w:ind w:firstLine="480"/>
        <w:sectPr>
          <w:pgSz w:w="11906" w:h="16838"/>
          <w:pgMar w:top="1417" w:right="1417" w:bottom="1417" w:left="1417" w:header="850" w:footer="992" w:gutter="0"/>
          <w:cols w:space="720" w:num="1"/>
          <w:docGrid w:type="lines" w:linePitch="333" w:charSpace="0"/>
        </w:sectPr>
      </w:pPr>
    </w:p>
    <w:p>
      <w:pPr>
        <w:ind w:firstLine="480"/>
        <w:rPr>
          <w:rFonts w:ascii="Times New Roman" w:hAnsi="Times New Roman" w:cs="Times New Roman"/>
          <w:color w:val="auto"/>
          <w:sz w:val="32"/>
          <w:szCs w:val="32"/>
        </w:rPr>
      </w:pPr>
      <w:bookmarkStart w:id="481" w:name="_GoBack"/>
      <w:bookmarkEnd w:id="481"/>
    </w:p>
    <w:sectPr>
      <w:headerReference r:id="rId20" w:type="default"/>
      <w:pgSz w:w="11906" w:h="16838"/>
      <w:pgMar w:top="1417" w:right="1417" w:bottom="1417" w:left="1417" w:header="850" w:footer="992" w:gutter="0"/>
      <w:cols w:space="720" w:num="1"/>
      <w:docGrid w:type="lines" w:linePitch="333"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auto"/>
    <w:pitch w:val="default"/>
    <w:sig w:usb0="00000001" w:usb1="080E0000" w:usb2="00000000" w:usb3="00000000" w:csb0="00040000" w:csb1="00000000"/>
  </w:font>
  <w:font w:name="华文楷体">
    <w:altName w:val="方正楷体_GBK"/>
    <w:panose1 w:val="02010600040101010101"/>
    <w:charset w:val="86"/>
    <w:family w:val="auto"/>
    <w:pitch w:val="default"/>
    <w:sig w:usb0="00000000" w:usb1="00000000" w:usb2="00000010" w:usb3="00000000" w:csb0="0004009F" w:csb1="00000000"/>
  </w:font>
  <w:font w:name="楷体_GB2312">
    <w:panose1 w:val="02010609030101010101"/>
    <w:charset w:val="86"/>
    <w:family w:val="modern"/>
    <w:pitch w:val="default"/>
    <w:sig w:usb0="00000001" w:usb1="080E0000" w:usb2="00000000" w:usb3="00000000" w:csb0="00040000" w:csb1="00000000"/>
  </w:font>
  <w:font w:name="DFKai-SB">
    <w:altName w:val="方正书宋_GBK"/>
    <w:panose1 w:val="00000000000000000000"/>
    <w:charset w:val="88"/>
    <w:family w:val="script"/>
    <w:pitch w:val="default"/>
    <w:sig w:usb0="00000000" w:usb1="00000000" w:usb2="00000016" w:usb3="00000000" w:csb0="00100001" w:csb1="00000000"/>
  </w:font>
  <w:font w:name="PMingLiU">
    <w:altName w:val="Noto Sans CJK SC"/>
    <w:panose1 w:val="02010601000101010101"/>
    <w:charset w:val="88"/>
    <w:family w:val="roman"/>
    <w:pitch w:val="default"/>
    <w:sig w:usb0="00000000" w:usb1="00000000" w:usb2="00000016" w:usb3="00000000" w:csb0="00100001" w:csb1="00000000"/>
  </w:font>
  <w:font w:name="Cambria">
    <w:altName w:val="Noto Sans Syriac Eastern"/>
    <w:panose1 w:val="02040503050406030204"/>
    <w:charset w:val="00"/>
    <w:family w:val="roman"/>
    <w:pitch w:val="default"/>
    <w:sig w:usb0="00000000" w:usb1="00000000" w:usb2="02000000" w:usb3="00000000" w:csb0="0000019F" w:csb1="00000000"/>
  </w:font>
  <w:font w:name="Arial Black">
    <w:altName w:val="Times New Roman"/>
    <w:panose1 w:val="020B0A04020102020204"/>
    <w:charset w:val="00"/>
    <w:family w:val="swiss"/>
    <w:pitch w:val="default"/>
    <w:sig w:usb0="00000000" w:usb1="00000000" w:usb2="00000000" w:usb3="00000000" w:csb0="0000009F" w:csb1="00000000"/>
  </w:font>
  <w:font w:name="华文新魏">
    <w:altName w:val="方正魏碑_GBK"/>
    <w:panose1 w:val="02010800040101010101"/>
    <w:charset w:val="86"/>
    <w:family w:val="auto"/>
    <w:pitch w:val="default"/>
    <w:sig w:usb0="00000000" w:usb1="00000000" w:usb2="00000010" w:usb3="00000000" w:csb0="00040000" w:csb1="00000000"/>
  </w:font>
  <w:font w:name="幼圆">
    <w:altName w:val="仿宋"/>
    <w:panose1 w:val="02010509060101010101"/>
    <w:charset w:val="86"/>
    <w:family w:val="modern"/>
    <w:pitch w:val="default"/>
    <w:sig w:usb0="00000000" w:usb1="00000000" w:usb2="00000010" w:usb3="00000000" w:csb0="00040000" w:csb1="00000000"/>
  </w:font>
  <w:font w:name="Tahoma">
    <w:altName w:val="DejaVu Sans"/>
    <w:panose1 w:val="020B0604030504040204"/>
    <w:charset w:val="00"/>
    <w:family w:val="swiss"/>
    <w:pitch w:val="default"/>
    <w:sig w:usb0="00000000" w:usb1="00000000" w:usb2="00000029" w:usb3="00000000" w:csb0="000101FF" w:csb1="00000000"/>
  </w:font>
  <w:font w:name="华文宋体">
    <w:altName w:val="方正书宋_GBK"/>
    <w:panose1 w:val="02010600040101010101"/>
    <w:charset w:val="86"/>
    <w:family w:val="auto"/>
    <w:pitch w:val="default"/>
    <w:sig w:usb0="00000000" w:usb1="00000000" w:usb2="00000010" w:usb3="00000000" w:csb0="0004009F" w:csb1="00000000"/>
  </w:font>
  <w:font w:name="ˎ̥">
    <w:altName w:val="Times New Roman"/>
    <w:panose1 w:val="00000000000000000000"/>
    <w:charset w:val="00"/>
    <w:family w:val="roman"/>
    <w:pitch w:val="default"/>
    <w:sig w:usb0="00000000" w:usb1="00000000" w:usb2="00000000" w:usb3="00000000" w:csb0="00040001" w:csb1="00000000"/>
  </w:font>
  <w:font w:name="楷体">
    <w:altName w:val="方正楷体_GBK"/>
    <w:panose1 w:val="02010609060101010101"/>
    <w:charset w:val="86"/>
    <w:family w:val="modern"/>
    <w:pitch w:val="default"/>
    <w:sig w:usb0="00000000" w:usb1="00000000" w:usb2="00000016" w:usb3="00000000" w:csb0="00040001" w:csb1="00000000"/>
  </w:font>
  <w:font w:name="仿宋体">
    <w:altName w:val="方正仿宋_GBK"/>
    <w:panose1 w:val="00000000000000000000"/>
    <w:charset w:val="86"/>
    <w:family w:val="roman"/>
    <w:pitch w:val="default"/>
    <w:sig w:usb0="00000000" w:usb1="00000000" w:usb2="00000010" w:usb3="00000000" w:csb0="00040000" w:csb1="00000000"/>
  </w:font>
  <w:font w:name="Swis721 BlkCn BT">
    <w:altName w:val="Noto Nastaliq Urdu"/>
    <w:panose1 w:val="020B0806030502040204"/>
    <w:charset w:val="00"/>
    <w:family w:val="swiss"/>
    <w:pitch w:val="default"/>
    <w:sig w:usb0="00000000" w:usb1="00000000" w:usb2="00000000" w:usb3="00000000" w:csb0="0000001B" w:csb1="00000000"/>
  </w:font>
  <w:font w:name="方正大黑简体">
    <w:altName w:val="黑体"/>
    <w:panose1 w:val="00000000000000000000"/>
    <w:charset w:val="86"/>
    <w:family w:val="auto"/>
    <w:pitch w:val="default"/>
    <w:sig w:usb0="00000000" w:usb1="00000000" w:usb2="00000010" w:usb3="00000000" w:csb0="00040000" w:csb1="00000000"/>
  </w:font>
  <w:font w:name="Times New Roman;Symbol;Arial;婼">
    <w:altName w:val="黑体"/>
    <w:panose1 w:val="00000000000000000000"/>
    <w:charset w:val="86"/>
    <w:family w:val="auto"/>
    <w:pitch w:val="default"/>
    <w:sig w:usb0="00000000" w:usb1="00000000" w:usb2="00000010" w:usb3="00000000" w:csb0="00040000" w:csb1="00000000"/>
  </w:font>
  <w:font w:name="Verdana">
    <w:altName w:val="DejaVu Sans"/>
    <w:panose1 w:val="020B0604030504040204"/>
    <w:charset w:val="00"/>
    <w:family w:val="swiss"/>
    <w:pitch w:val="default"/>
    <w:sig w:usb0="00000000" w:usb1="00000000" w:usb2="00000010" w:usb3="00000000" w:csb0="0000019F" w:csb1="00000000"/>
  </w:font>
  <w:font w:name="Times">
    <w:altName w:val="Times New Roman"/>
    <w:panose1 w:val="02020603050405020304"/>
    <w:charset w:val="00"/>
    <w:family w:val="roman"/>
    <w:pitch w:val="default"/>
    <w:sig w:usb0="00000000" w:usb1="00000000" w:usb2="00000009" w:usb3="00000000" w:csb0="000001FF" w:csb1="00000000"/>
  </w:font>
  <w:font w:name="Tms Rmn">
    <w:altName w:val="Times New Roman"/>
    <w:panose1 w:val="02020603040505020304"/>
    <w:charset w:val="00"/>
    <w:family w:val="roman"/>
    <w:pitch w:val="default"/>
    <w:sig w:usb0="00000000" w:usb1="00000000" w:usb2="00000000" w:usb3="00000000" w:csb0="00000001" w:csb1="00000000"/>
  </w:font>
  <w:font w:name="仿宋">
    <w:panose1 w:val="02010609060101010101"/>
    <w:charset w:val="86"/>
    <w:family w:val="modern"/>
    <w:pitch w:val="default"/>
    <w:sig w:usb0="800002BF" w:usb1="38CF7CFA" w:usb2="00000016" w:usb3="00000000" w:csb0="00040001" w:csb1="00000000"/>
  </w:font>
  <w:font w:name="方正小标宋_GBK">
    <w:panose1 w:val="02000000000000000000"/>
    <w:charset w:val="86"/>
    <w:family w:val="script"/>
    <w:pitch w:val="default"/>
    <w:sig w:usb0="00000001" w:usb1="08000000" w:usb2="00000000" w:usb3="00000000" w:csb0="00040000" w:csb1="00000000"/>
  </w:font>
  <w:font w:name="Arial Unicode MS">
    <w:altName w:val="Times New Roman"/>
    <w:panose1 w:val="020B0604020202020204"/>
    <w:charset w:val="86"/>
    <w:family w:val="swiss"/>
    <w:pitch w:val="default"/>
    <w:sig w:usb0="00000000" w:usb1="00000000" w:usb2="0000003F" w:usb3="00000000" w:csb0="003F01FF" w:csb1="00000000"/>
  </w:font>
  <w:font w:name="汉鼎简书宋">
    <w:altName w:val="方正书宋_GBK"/>
    <w:panose1 w:val="00000000000000000000"/>
    <w:charset w:val="86"/>
    <w:family w:val="modern"/>
    <w:pitch w:val="default"/>
    <w:sig w:usb0="00000000" w:usb1="00000000" w:usb2="00000010" w:usb3="00000000" w:csb0="00040000" w:csb1="00000000"/>
  </w:font>
  <w:font w:name="”“Times New Roman”“">
    <w:altName w:val="DejaVu Sans"/>
    <w:panose1 w:val="00000000000000000000"/>
    <w:charset w:val="86"/>
    <w:family w:val="roman"/>
    <w:pitch w:val="default"/>
    <w:sig w:usb0="00000000" w:usb1="00000000" w:usb2="00000010" w:usb3="00000000" w:csb0="00040000" w:csb1="00000000"/>
  </w:font>
  <w:font w:name="Symusic">
    <w:altName w:val="汉仪中秀体简"/>
    <w:panose1 w:val="00000400000000000000"/>
    <w:charset w:val="00"/>
    <w:family w:val="auto"/>
    <w:pitch w:val="default"/>
    <w:sig w:usb0="00000000" w:usb1="00000000" w:usb2="00000000" w:usb3="00000000" w:csb0="000001FF" w:csb1="00000000"/>
  </w:font>
  <w:font w:name="MingLiU">
    <w:altName w:val="方正书宋_GBK"/>
    <w:panose1 w:val="02010609000101010101"/>
    <w:charset w:val="88"/>
    <w:family w:val="modern"/>
    <w:pitch w:val="default"/>
    <w:sig w:usb0="00000000" w:usb1="00000000" w:usb2="00000016" w:usb3="00000000" w:csb0="00100001" w:csb1="00000000"/>
  </w:font>
  <w:font w:name="华文细黑">
    <w:altName w:val="汉仪中等线简"/>
    <w:panose1 w:val="02010600040101010101"/>
    <w:charset w:val="86"/>
    <w:family w:val="auto"/>
    <w:pitch w:val="default"/>
    <w:sig w:usb0="00000000" w:usb1="00000000" w:usb2="00000010" w:usb3="00000000" w:csb0="0004009F" w:csb1="00000000"/>
  </w:font>
  <w:font w:name="方正仿宋_GBK">
    <w:panose1 w:val="02000000000000000000"/>
    <w:charset w:val="86"/>
    <w:family w:val="script"/>
    <w:pitch w:val="default"/>
    <w:sig w:usb0="00000001" w:usb1="08000000" w:usb2="00000000" w:usb3="00000000" w:csb0="00040000" w:csb1="00000000"/>
  </w:font>
  <w:font w:name="..">
    <w:altName w:val="汉仪仿宋S"/>
    <w:panose1 w:val="00000000000000000000"/>
    <w:charset w:val="86"/>
    <w:family w:val="auto"/>
    <w:pitch w:val="default"/>
    <w:sig w:usb0="00000000" w:usb1="00000000" w:usb2="00000010" w:usb3="00000000" w:csb0="00040000" w:csb1="00000000"/>
  </w:font>
  <w:font w:name="华文行楷">
    <w:altName w:val="汉仪行楷简"/>
    <w:panose1 w:val="02010800040101010101"/>
    <w:charset w:val="86"/>
    <w:family w:val="auto"/>
    <w:pitch w:val="default"/>
    <w:sig w:usb0="00000000" w:usb1="00000000" w:usb2="00000010" w:usb3="00000000" w:csb0="00040000" w:csb1="00000000"/>
  </w:font>
  <w:font w:name="微软雅黑">
    <w:altName w:val="黑体"/>
    <w:panose1 w:val="020B0503020204020204"/>
    <w:charset w:val="86"/>
    <w:family w:val="swiss"/>
    <w:pitch w:val="default"/>
    <w:sig w:usb0="00000000" w:usb1="00000000" w:usb2="00000016" w:usb3="00000000" w:csb0="0004001F" w:csb1="00000000"/>
  </w:font>
  <w:font w:name="MS Mincho">
    <w:altName w:val="方正书宋_GBK"/>
    <w:panose1 w:val="02020609040205080304"/>
    <w:charset w:val="80"/>
    <w:family w:val="modern"/>
    <w:pitch w:val="default"/>
    <w:sig w:usb0="00000000" w:usb1="00000000" w:usb2="08000012" w:usb3="00000000" w:csb0="0002009F" w:csb1="00000000"/>
  </w:font>
  <w:font w:name="Batang">
    <w:altName w:val="方正书宋_GBK"/>
    <w:panose1 w:val="02030600000101010101"/>
    <w:charset w:val="81"/>
    <w:family w:val="roman"/>
    <w:pitch w:val="default"/>
    <w:sig w:usb0="00000000" w:usb1="00000000" w:usb2="00000030" w:usb3="00000000" w:csb0="0008009F" w:csb1="00000000"/>
  </w:font>
  <w:font w:name="华文仿宋">
    <w:altName w:val="汉仪仿宋简"/>
    <w:panose1 w:val="02010600040101010101"/>
    <w:charset w:val="86"/>
    <w:family w:val="auto"/>
    <w:pitch w:val="default"/>
    <w:sig w:usb0="00000000" w:usb1="00000000" w:usb2="00000010" w:usb3="00000000" w:csb0="0004009F" w:csb1="00000000"/>
  </w:font>
  <w:font w:name="新宋体">
    <w:altName w:val="方正书宋_GBK"/>
    <w:panose1 w:val="02010609030101010101"/>
    <w:charset w:val="86"/>
    <w:family w:val="modern"/>
    <w:pitch w:val="default"/>
    <w:sig w:usb0="00000000" w:usb1="00000000" w:usb2="00000016" w:usb3="00000000" w:csb0="00040001" w:csb1="00000000"/>
  </w:font>
  <w:font w:name="等线">
    <w:altName w:val="汉仪中圆B5"/>
    <w:panose1 w:val="02010600030101010101"/>
    <w:charset w:val="86"/>
    <w:family w:val="auto"/>
    <w:pitch w:val="default"/>
    <w:sig w:usb0="00000000" w:usb1="00000000" w:usb2="00000016" w:usb3="00000000" w:csb0="0004000F" w:csb1="00000000"/>
  </w:font>
  <w:font w:name="Noto Sans CJK JP Black">
    <w:altName w:val="汉仪仿宋S"/>
    <w:panose1 w:val="00000000000000000000"/>
    <w:charset w:val="00"/>
    <w:family w:val="auto"/>
    <w:pitch w:val="default"/>
    <w:sig w:usb0="00000000" w:usb1="00000000" w:usb2="00000000" w:usb3="00000000" w:csb0="00000000" w:csb1="00000000"/>
  </w:font>
  <w:font w:name="TimesNewRomanPSMT">
    <w:altName w:val="Times New Roman"/>
    <w:panose1 w:val="00000000000000000000"/>
    <w:charset w:val="00"/>
    <w:family w:val="roman"/>
    <w:pitch w:val="default"/>
    <w:sig w:usb0="00000000" w:usb1="00000000" w:usb2="00000010" w:usb3="00000000" w:csb0="00040001" w:csb1="00000000"/>
  </w:font>
  <w:font w:name="Segoe UI Symbol">
    <w:altName w:val="Noto Sans"/>
    <w:panose1 w:val="020B0502040204020203"/>
    <w:charset w:val="00"/>
    <w:family w:val="swiss"/>
    <w:pitch w:val="default"/>
    <w:sig w:usb0="00000000" w:usb1="00000000" w:usb2="00040000" w:usb3="00000000" w:csb0="00000001" w:csb1="00000000"/>
  </w:font>
  <w:font w:name="Wingdings 2">
    <w:panose1 w:val="05020102010507070707"/>
    <w:charset w:val="02"/>
    <w:family w:val="roman"/>
    <w:pitch w:val="default"/>
    <w:sig w:usb0="00000000" w:usb1="00000000" w:usb2="00000000" w:usb3="00000000" w:csb0="80000000" w:csb1="00000000"/>
  </w:font>
  <w:font w:name="Microsoft Yi Baiti">
    <w:altName w:val="汉仪叶叶相思体简"/>
    <w:panose1 w:val="03000500000000000000"/>
    <w:charset w:val="00"/>
    <w:family w:val="script"/>
    <w:pitch w:val="default"/>
    <w:sig w:usb0="00000000" w:usb1="00000000" w:usb2="00080002" w:usb3="00000000" w:csb0="00000001"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方正楷体_GBK">
    <w:panose1 w:val="02000000000000000000"/>
    <w:charset w:val="86"/>
    <w:family w:val="auto"/>
    <w:pitch w:val="default"/>
    <w:sig w:usb0="00000001" w:usb1="08000000" w:usb2="00000000" w:usb3="00000000" w:csb0="00040000" w:csb1="00000000"/>
  </w:font>
  <w:font w:name="方正魏碑_GBK">
    <w:panose1 w:val="02000000000000000000"/>
    <w:charset w:val="86"/>
    <w:family w:val="auto"/>
    <w:pitch w:val="default"/>
    <w:sig w:usb0="00000001" w:usb1="08000000" w:usb2="00000000" w:usb3="00000000" w:csb0="00040000" w:csb1="00000000"/>
  </w:font>
  <w:font w:name="汉仪中圆B5">
    <w:panose1 w:val="02010600000101010101"/>
    <w:charset w:val="88"/>
    <w:family w:val="auto"/>
    <w:pitch w:val="default"/>
    <w:sig w:usb0="00000001" w:usb1="080E0800" w:usb2="00000002" w:usb3="00000000" w:csb0="00100000" w:csb1="00000000"/>
  </w:font>
  <w:font w:name="方正宋体S-超大字符集">
    <w:panose1 w:val="02000000000000000000"/>
    <w:charset w:val="86"/>
    <w:family w:val="auto"/>
    <w:pitch w:val="default"/>
    <w:sig w:usb0="00000001" w:usb1="08000000" w:usb2="00000000" w:usb3="00000000" w:csb0="00040000" w:csb1="00000000"/>
  </w:font>
  <w:font w:name="Noto Sans">
    <w:panose1 w:val="020B0502040504020204"/>
    <w:charset w:val="00"/>
    <w:family w:val="auto"/>
    <w:pitch w:val="default"/>
    <w:sig w:usb0="E00002FF" w:usb1="4000201F" w:usb2="08000029" w:usb3="00100000" w:csb0="0000019F" w:csb1="00000000"/>
  </w:font>
  <w:font w:name="汉仪叶叶相思体简">
    <w:panose1 w:val="02010509060101010101"/>
    <w:charset w:val="86"/>
    <w:family w:val="auto"/>
    <w:pitch w:val="default"/>
    <w:sig w:usb0="00000001" w:usb1="080E0000" w:usb2="00000000" w:usb3="00000000" w:csb0="00040000" w:csb1="00000000"/>
  </w:font>
  <w:font w:name="Noto Sans Yi">
    <w:panose1 w:val="020B0502040504020204"/>
    <w:charset w:val="00"/>
    <w:family w:val="auto"/>
    <w:pitch w:val="default"/>
    <w:sig w:usb0="00000003" w:usb1="00050000" w:usb2="00080010" w:usb3="00000000" w:csb0="00000001" w:csb1="00000000"/>
  </w:font>
  <w:font w:name="Noto Sans CJK SC">
    <w:panose1 w:val="020B0500000000000000"/>
    <w:charset w:val="86"/>
    <w:family w:val="auto"/>
    <w:pitch w:val="default"/>
    <w:sig w:usb0="30000003" w:usb1="2BDF3C10" w:usb2="00000016" w:usb3="00000000" w:csb0="602E0107" w:csb1="00000000"/>
  </w:font>
  <w:font w:name="Noto Sans Syriac Eastern">
    <w:panose1 w:val="02040503050306020203"/>
    <w:charset w:val="86"/>
    <w:family w:val="auto"/>
    <w:pitch w:val="default"/>
    <w:sig w:usb0="00000000" w:usb1="00000000" w:usb2="00000080" w:usb3="00000000" w:csb0="203E0161" w:csb1="D7FF0000"/>
  </w:font>
  <w:font w:name="Noto Nastaliq Urdu">
    <w:panose1 w:val="020B0802040504020204"/>
    <w:charset w:val="00"/>
    <w:family w:val="auto"/>
    <w:pitch w:val="default"/>
    <w:sig w:usb0="80002003" w:usb1="80002040" w:usb2="00000000" w:usb3="00000000" w:csb0="00000041" w:csb1="00000000"/>
  </w:font>
  <w:font w:name="汉仪中秀体简">
    <w:panose1 w:val="00020600040101010101"/>
    <w:charset w:val="86"/>
    <w:family w:val="auto"/>
    <w:pitch w:val="default"/>
    <w:sig w:usb0="A00002BF" w:usb1="1ACF7CFA" w:usb2="00000016" w:usb3="00000000" w:csb0="0004009F" w:csb1="00000000"/>
  </w:font>
  <w:font w:name="汉仪中等线简">
    <w:panose1 w:val="02010600000101010101"/>
    <w:charset w:val="86"/>
    <w:family w:val="auto"/>
    <w:pitch w:val="default"/>
    <w:sig w:usb0="00000001" w:usb1="080E0800" w:usb2="00000002" w:usb3="00000000" w:csb0="00040000" w:csb1="00000000"/>
  </w:font>
  <w:font w:name="汉仪仿宋S">
    <w:panose1 w:val="00020600040101000101"/>
    <w:charset w:val="86"/>
    <w:family w:val="auto"/>
    <w:pitch w:val="default"/>
    <w:sig w:usb0="A00002BF" w:usb1="38CF7CFA" w:usb2="00000016" w:usb3="00000000" w:csb0="0004009F" w:csb1="00000000"/>
  </w:font>
  <w:font w:name="汉仪行楷简">
    <w:panose1 w:val="02010600000101010101"/>
    <w:charset w:val="86"/>
    <w:family w:val="auto"/>
    <w:pitch w:val="default"/>
    <w:sig w:usb0="00000001" w:usb1="080E0800" w:usb2="00000002" w:usb3="00000000" w:csb0="00040000" w:csb1="00000000"/>
  </w:font>
  <w:font w:name="汉仪仿宋简">
    <w:panose1 w:val="02010600000101010101"/>
    <w:charset w:val="86"/>
    <w:family w:val="auto"/>
    <w:pitch w:val="default"/>
    <w:sig w:usb0="00000001" w:usb1="080E0800" w:usb2="00000002"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spacing w:line="240" w:lineRule="auto"/>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top w:val="single" w:color="auto" w:sz="4" w:space="0"/>
      </w:pBdr>
      <w:spacing w:line="240" w:lineRule="auto"/>
      <w:ind w:firstLine="0" w:firstLineChars="0"/>
      <w:rPr>
        <w:rFonts w:ascii="Times New Roman" w:hAnsi="Times New Roman"/>
      </w:rPr>
    </w:pPr>
    <w:r>
      <mc:AlternateContent>
        <mc:Choice Requires="wps">
          <w:drawing>
            <wp:anchor distT="0" distB="0" distL="114300" distR="114300" simplePos="0" relativeHeight="251657216" behindDoc="0" locked="0" layoutInCell="1" allowOverlap="1">
              <wp:simplePos x="0" y="0"/>
              <wp:positionH relativeFrom="margin">
                <wp:align>right</wp:align>
              </wp:positionH>
              <wp:positionV relativeFrom="paragraph">
                <wp:posOffset>0</wp:posOffset>
              </wp:positionV>
              <wp:extent cx="257810" cy="152400"/>
              <wp:effectExtent l="1905" t="0" r="0" b="635"/>
              <wp:wrapNone/>
              <wp:docPr id="2" name="Text Box 17"/>
              <wp:cNvGraphicFramePr/>
              <a:graphic xmlns:a="http://schemas.openxmlformats.org/drawingml/2006/main">
                <a:graphicData uri="http://schemas.microsoft.com/office/word/2010/wordprocessingShape">
                  <wps:wsp>
                    <wps:cNvSpPr txBox="true">
                      <a:spLocks noChangeArrowheads="true"/>
                    </wps:cNvSpPr>
                    <wps:spPr bwMode="auto">
                      <a:xfrm>
                        <a:off x="0" y="0"/>
                        <a:ext cx="257810" cy="152400"/>
                      </a:xfrm>
                      <a:prstGeom prst="rect">
                        <a:avLst/>
                      </a:prstGeom>
                      <a:noFill/>
                      <a:ln>
                        <a:noFill/>
                      </a:ln>
                    </wps:spPr>
                    <wps:txbx>
                      <w:txbxContent>
                        <w:p>
                          <w:pPr>
                            <w:pStyle w:val="41"/>
                            <w:ind w:firstLine="360"/>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wps:txbx>
                    <wps:bodyPr rot="0" vert="horz" wrap="none" lIns="0" tIns="0" rIns="0" bIns="0" anchor="t" anchorCtr="false" upright="true">
                      <a:spAutoFit/>
                    </wps:bodyPr>
                  </wps:wsp>
                </a:graphicData>
              </a:graphic>
            </wp:anchor>
          </w:drawing>
        </mc:Choice>
        <mc:Fallback>
          <w:pict>
            <v:shape id="Text Box 17" o:spid="_x0000_s1026" o:spt="202" type="#_x0000_t202" style="position:absolute;left:0pt;margin-top:0pt;height:12pt;width:20.3pt;mso-position-horizontal:right;mso-position-horizontal-relative:margin;mso-wrap-style:none;z-index:251657216;mso-width-relative:page;mso-height-relative:page;" filled="f" stroked="f" coordsize="21600,21600" o:gfxdata="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FgAAAGRycy9QSwECFAAU&#10;AAAACACHTuJAypC+ptEAAAADAQAADwAAAAAAAAABACAAAAA4AAAAZHJzL2Rvd25yZXYueG1sUEsB&#10;AhQAFAAAAAgAh07iQI7CdLHmAQAAwQMAAA4AAAAAAAAAAQAgAAAANgEAAGRycy9lMm9Eb2MueG1s&#10;UEsFBgAAAAAGAAYAWQEAAI4FAAAAAA==&#10;">
              <v:fill on="f" focussize="0,0"/>
              <v:stroke on="f"/>
              <v:imagedata o:title=""/>
              <o:lock v:ext="edit" aspectratio="f"/>
              <v:textbox inset="0mm,0mm,0mm,0mm" style="mso-fit-shape-to-text:t;">
                <w:txbxContent>
                  <w:p>
                    <w:pPr>
                      <w:pStyle w:val="41"/>
                      <w:ind w:firstLine="360"/>
                    </w:pPr>
                    <w:r>
                      <w:rPr>
                        <w:rFonts w:hint="eastAsia"/>
                      </w:rPr>
                      <w:fldChar w:fldCharType="begin"/>
                    </w:r>
                    <w:r>
                      <w:rPr>
                        <w:rFonts w:hint="eastAsia"/>
                      </w:rPr>
                      <w:instrText xml:space="preserve"> PAGE  \* MERGEFORMAT </w:instrText>
                    </w:r>
                    <w:r>
                      <w:rPr>
                        <w:rFonts w:hint="eastAsia"/>
                      </w:rPr>
                      <w:fldChar w:fldCharType="separate"/>
                    </w:r>
                    <w:r>
                      <w:t>III</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top w:val="single" w:color="auto" w:sz="4" w:space="0"/>
      </w:pBdr>
      <w:spacing w:line="240" w:lineRule="auto"/>
      <w:ind w:firstLine="0" w:firstLineChars="0"/>
      <w:rPr>
        <w:rFonts w:ascii="Times New Roman" w:hAnsi="Times New Roman"/>
      </w:rPr>
    </w:pPr>
    <w: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-28575</wp:posOffset>
              </wp:positionV>
              <wp:extent cx="629285" cy="180975"/>
              <wp:effectExtent l="1905" t="1905" r="0" b="0"/>
              <wp:wrapNone/>
              <wp:docPr id="1" name="Text Box 28"/>
              <wp:cNvGraphicFramePr/>
              <a:graphic xmlns:a="http://schemas.openxmlformats.org/drawingml/2006/main">
                <a:graphicData uri="http://schemas.microsoft.com/office/word/2010/wordprocessingShape">
                  <wps:wsp>
                    <wps:cNvSpPr txBox="true">
                      <a:spLocks noChangeArrowheads="true"/>
                    </wps:cNvSpPr>
                    <wps:spPr bwMode="auto">
                      <a:xfrm>
                        <a:off x="0" y="0"/>
                        <a:ext cx="629285" cy="180975"/>
                      </a:xfrm>
                      <a:prstGeom prst="rect">
                        <a:avLst/>
                      </a:prstGeom>
                      <a:noFill/>
                      <a:ln>
                        <a:noFill/>
                      </a:ln>
                    </wps:spPr>
                    <wps:txbx>
                      <w:txbxContent>
                        <w:p>
                          <w:pPr>
                            <w:pStyle w:val="41"/>
                            <w:ind w:firstLine="0" w:firstLineChars="0"/>
                          </w:pPr>
                          <w:r>
                            <w:rPr>
                              <w:rFonts w:hint="eastAsia"/>
                            </w:rPr>
                            <w:t xml:space="preserve">第 </w:t>
                          </w: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rPr>
                            <w:t>109</w:t>
                          </w:r>
                          <w:r>
                            <w:rPr>
                              <w:rFonts w:ascii="Times New Roman" w:hAnsi="Times New Roman"/>
                            </w:rPr>
                            <w:fldChar w:fldCharType="end"/>
                          </w:r>
                          <w:r>
                            <w:rPr>
                              <w:rFonts w:hint="eastAsia"/>
                            </w:rPr>
                            <w:t xml:space="preserve"> 页</w:t>
                          </w:r>
                        </w:p>
                      </w:txbxContent>
                    </wps:txbx>
                    <wps:bodyPr rot="0" vert="horz" wrap="square" lIns="0" tIns="0" rIns="0" bIns="0" anchor="t" anchorCtr="false" upright="true">
                      <a:noAutofit/>
                    </wps:bodyPr>
                  </wps:wsp>
                </a:graphicData>
              </a:graphic>
            </wp:anchor>
          </w:drawing>
        </mc:Choice>
        <mc:Fallback>
          <w:pict>
            <v:shape id="Text Box 28" o:spid="_x0000_s1026" o:spt="202" type="#_x0000_t202" style="position:absolute;left:0pt;margin-top:-2.25pt;height:14.25pt;width:49.55pt;mso-position-horizontal:right;mso-position-horizontal-relative:margin;z-index:251658240;mso-width-relative:page;mso-height-relative:page;" filled="f" stroked="f" coordsize="21600,21600" o:gfxdata="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FgAAAGRycy9Q&#10;SwECFAAUAAAACACHTuJAiVL8FtUAAAAFAQAADwAAAAAAAAABACAAAAA4AAAAZHJzL2Rvd25yZXYu&#10;eG1sUEsBAhQAFAAAAAgAh07iQOKp1FjoAQAAwwMAAA4AAAAAAAAAAQAgAAAAOgEAAGRycy9lMm9E&#10;b2MueG1sUEsFBgAAAAAGAAYAWQEAAJQFAAAAAA==&#10;">
              <v:fill on="f" focussize="0,0"/>
              <v:stroke on="f"/>
              <v:imagedata o:title=""/>
              <o:lock v:ext="edit" aspectratio="f"/>
              <v:textbox inset="0mm,0mm,0mm,0mm">
                <w:txbxContent>
                  <w:p>
                    <w:pPr>
                      <w:pStyle w:val="41"/>
                      <w:ind w:firstLine="0" w:firstLineChars="0"/>
                    </w:pPr>
                    <w:r>
                      <w:rPr>
                        <w:rFonts w:hint="eastAsia"/>
                      </w:rPr>
                      <w:t xml:space="preserve">第 </w:t>
                    </w: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Pr>
                        <w:rFonts w:ascii="Times New Roman" w:hAnsi="Times New Roman"/>
                      </w:rPr>
                      <w:t>109</w:t>
                    </w:r>
                    <w:r>
                      <w:rPr>
                        <w:rFonts w:ascii="Times New Roman" w:hAnsi="Times New Roman"/>
                      </w:rPr>
                      <w:fldChar w:fldCharType="end"/>
                    </w:r>
                    <w:r>
                      <w:rPr>
                        <w:rFonts w:hint="eastAsia"/>
                      </w:rPr>
                      <w:t xml:space="preserve"> 页</w:t>
                    </w:r>
                  </w:p>
                </w:txbxContent>
              </v:textbox>
            </v:shape>
          </w:pict>
        </mc:Fallback>
      </mc:AlternateContent>
    </w:r>
    <w:r>
      <w:rPr>
        <w:rFonts w:hint="eastAsia" w:ascii="Times New Roman" w:hAnsi="Times New Roman"/>
      </w:rPr>
      <w:t>安徽港航物流有限公司</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1"/>
      </w:pBdr>
      <w:tabs>
        <w:tab w:val="right" w:pos="9072"/>
      </w:tabs>
      <w:spacing w:line="240" w:lineRule="auto"/>
      <w:ind w:firstLine="482"/>
      <w:rPr>
        <w:rFonts w:hAnsi="宋体"/>
        <w:b/>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tabs>
        <w:tab w:val="right" w:pos="9072"/>
      </w:tabs>
      <w:spacing w:line="240" w:lineRule="auto"/>
      <w:ind w:firstLine="0" w:firstLineChars="0"/>
      <w:jc w:val="center"/>
      <w:rPr>
        <w:rFonts w:ascii="宋体" w:hAnsi="宋体"/>
        <w:sz w:val="11"/>
        <w:szCs w:val="11"/>
      </w:rPr>
    </w:pPr>
    <w:r>
      <w:rPr>
        <w:rFonts w:hint="eastAsia"/>
        <w:sz w:val="18"/>
        <w:szCs w:val="16"/>
      </w:rPr>
      <w:t>合肥东航码头工程项目</w:t>
    </w:r>
    <w:r>
      <w:rPr>
        <w:sz w:val="18"/>
        <w:szCs w:val="16"/>
      </w:rPr>
      <w:t>环境影响报告书</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spacing w:line="240" w:lineRule="auto"/>
      <w:ind w:firstLine="360"/>
    </w:pPr>
    <w:r>
      <w:rPr>
        <w:rFonts w:hint="eastAsia"/>
      </w:rPr>
      <w:t>合肥东航码头工程项目</w:t>
    </w:r>
    <w:r>
      <w:rPr>
        <w:rFonts w:ascii="Times New Roman" w:hAnsi="Times New Roman"/>
      </w:rPr>
      <w:t>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tabs>
        <w:tab w:val="right" w:pos="9072"/>
      </w:tabs>
      <w:spacing w:line="240" w:lineRule="auto"/>
      <w:ind w:firstLine="0" w:firstLineChars="0"/>
      <w:jc w:val="center"/>
      <w:rPr>
        <w:rFonts w:hAnsi="宋体"/>
        <w:b/>
      </w:rPr>
    </w:pPr>
    <w:r>
      <w:rPr>
        <w:rFonts w:hint="eastAsia"/>
        <w:sz w:val="18"/>
        <w:szCs w:val="18"/>
      </w:rPr>
      <w:t>合肥东航码头工程项目环境影响报告书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tabs>
        <w:tab w:val="right" w:pos="9072"/>
      </w:tabs>
      <w:spacing w:line="240" w:lineRule="auto"/>
      <w:ind w:firstLine="0" w:firstLineChars="0"/>
      <w:jc w:val="center"/>
      <w:rPr>
        <w:rFonts w:ascii="宋体" w:hAnsi="宋体"/>
        <w:sz w:val="18"/>
        <w:szCs w:val="18"/>
      </w:rPr>
    </w:pPr>
    <w:r>
      <w:rPr>
        <w:rFonts w:hint="eastAsia"/>
        <w:sz w:val="18"/>
        <w:szCs w:val="18"/>
      </w:rPr>
      <w:t>合肥东航码头工程项目</w:t>
    </w:r>
    <w:r>
      <w:rPr>
        <w:sz w:val="18"/>
        <w:szCs w:val="18"/>
      </w:rPr>
      <w:t>环境影响报告</w:t>
    </w:r>
    <w:r>
      <w:rPr>
        <w:rFonts w:hint="eastAsia" w:ascii="宋体" w:hAnsi="宋体"/>
        <w:sz w:val="18"/>
        <w:szCs w:val="18"/>
      </w:rPr>
      <w:t>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ind w:firstLine="360"/>
    </w:pPr>
    <w:r>
      <w:rPr>
        <w:rFonts w:hint="eastAsia"/>
      </w:rPr>
      <w:t>合肥东航码头工程项目</w:t>
    </w:r>
    <w:r>
      <w:t>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tabs>
        <w:tab w:val="right" w:pos="9072"/>
      </w:tabs>
      <w:spacing w:line="240" w:lineRule="auto"/>
      <w:ind w:firstLine="0" w:firstLineChars="0"/>
      <w:jc w:val="center"/>
      <w:rPr>
        <w:rFonts w:ascii="宋体" w:hAnsi="宋体"/>
        <w:sz w:val="18"/>
        <w:szCs w:val="18"/>
      </w:rPr>
    </w:pPr>
    <w:r>
      <w:rPr>
        <w:rFonts w:hint="eastAsia"/>
        <w:sz w:val="18"/>
        <w:szCs w:val="18"/>
      </w:rPr>
      <w:t>合肥东航码头工程项目</w:t>
    </w:r>
    <w:r>
      <w:rPr>
        <w:sz w:val="18"/>
        <w:szCs w:val="18"/>
      </w:rPr>
      <w:t>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1"/>
      </w:pBdr>
      <w:tabs>
        <w:tab w:val="right" w:pos="9072"/>
      </w:tabs>
      <w:spacing w:line="240" w:lineRule="auto"/>
      <w:ind w:firstLine="0" w:firstLineChars="0"/>
      <w:jc w:val="center"/>
      <w:rPr>
        <w:rFonts w:ascii="宋体" w:hAnsi="宋体"/>
        <w:sz w:val="18"/>
        <w:szCs w:val="18"/>
      </w:rPr>
    </w:pPr>
    <w:r>
      <w:rPr>
        <w:rFonts w:hint="eastAsia"/>
        <w:sz w:val="18"/>
        <w:szCs w:val="18"/>
      </w:rPr>
      <w:t>合肥东航码头工程项目</w:t>
    </w:r>
    <w:r>
      <w:rPr>
        <w:sz w:val="18"/>
        <w:szCs w:val="18"/>
      </w:rPr>
      <w:t>环境影响报告书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ind w:firstLine="360"/>
    </w:pPr>
    <w:r>
      <w:rPr>
        <w:rFonts w:hint="eastAsia"/>
      </w:rPr>
      <w:t>合肥东航码头工程项目</w:t>
    </w:r>
    <w:r>
      <w:t>环境影响报告书</w:t>
    </w:r>
  </w:p>
  <w:p>
    <w:pPr>
      <w:pStyle w:val="25"/>
      <w:spacing w:line="14" w:lineRule="auto"/>
      <w:ind w:firstLine="400"/>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3D72B92"/>
    <w:multiLevelType w:val="singleLevel"/>
    <w:tmpl w:val="23D72B92"/>
    <w:lvl w:ilvl="0" w:tentative="0">
      <w:start w:val="1"/>
      <w:numFmt w:val="bullet"/>
      <w:lvlText w:val=""/>
      <w:lvlJc w:val="left"/>
      <w:pPr>
        <w:ind w:left="562" w:hanging="420"/>
      </w:pPr>
      <w:rPr>
        <w:rFonts w:hint="default" w:ascii="Wingdings" w:hAnsi="Wingdings"/>
      </w:rPr>
    </w:lvl>
  </w:abstractNum>
  <w:abstractNum w:abstractNumId="1">
    <w:nsid w:val="3AC83754"/>
    <w:multiLevelType w:val="multilevel"/>
    <w:tmpl w:val="3AC83754"/>
    <w:lvl w:ilvl="0" w:tentative="0">
      <w:start w:val="1"/>
      <w:numFmt w:val="decimal"/>
      <w:lvlText w:val="%1."/>
      <w:lvlJc w:val="left"/>
      <w:pPr>
        <w:tabs>
          <w:tab w:val="left" w:pos="921"/>
        </w:tabs>
        <w:ind w:left="921" w:hanging="360"/>
      </w:pPr>
      <w:rPr>
        <w:rFonts w:hint="default"/>
      </w:rPr>
    </w:lvl>
    <w:lvl w:ilvl="1" w:tentative="0">
      <w:start w:val="1"/>
      <w:numFmt w:val="lowerLetter"/>
      <w:lvlText w:val="%2)"/>
      <w:lvlJc w:val="left"/>
      <w:pPr>
        <w:tabs>
          <w:tab w:val="left" w:pos="1401"/>
        </w:tabs>
        <w:ind w:left="1401" w:hanging="420"/>
      </w:pPr>
    </w:lvl>
    <w:lvl w:ilvl="2" w:tentative="0">
      <w:start w:val="1"/>
      <w:numFmt w:val="lowerRoman"/>
      <w:lvlText w:val="%3."/>
      <w:lvlJc w:val="right"/>
      <w:pPr>
        <w:tabs>
          <w:tab w:val="left" w:pos="1860"/>
        </w:tabs>
        <w:ind w:left="1860" w:hanging="420"/>
      </w:pPr>
    </w:lvl>
    <w:lvl w:ilvl="3" w:tentative="0">
      <w:start w:val="1"/>
      <w:numFmt w:val="decimal"/>
      <w:lvlText w:val="%4."/>
      <w:lvlJc w:val="left"/>
      <w:pPr>
        <w:tabs>
          <w:tab w:val="left" w:pos="2241"/>
        </w:tabs>
        <w:ind w:left="2241" w:hanging="420"/>
      </w:pPr>
    </w:lvl>
    <w:lvl w:ilvl="4" w:tentative="0">
      <w:start w:val="1"/>
      <w:numFmt w:val="lowerLetter"/>
      <w:lvlText w:val="%5)"/>
      <w:lvlJc w:val="left"/>
      <w:pPr>
        <w:tabs>
          <w:tab w:val="left" w:pos="2661"/>
        </w:tabs>
        <w:ind w:left="2661" w:hanging="420"/>
      </w:pPr>
    </w:lvl>
    <w:lvl w:ilvl="5" w:tentative="0">
      <w:start w:val="1"/>
      <w:numFmt w:val="lowerRoman"/>
      <w:lvlText w:val="%6."/>
      <w:lvlJc w:val="right"/>
      <w:pPr>
        <w:tabs>
          <w:tab w:val="left" w:pos="3081"/>
        </w:tabs>
        <w:ind w:left="3081" w:hanging="420"/>
      </w:pPr>
    </w:lvl>
    <w:lvl w:ilvl="6" w:tentative="0">
      <w:start w:val="1"/>
      <w:numFmt w:val="decimal"/>
      <w:lvlText w:val="%7."/>
      <w:lvlJc w:val="left"/>
      <w:pPr>
        <w:tabs>
          <w:tab w:val="left" w:pos="3501"/>
        </w:tabs>
        <w:ind w:left="3501" w:hanging="420"/>
      </w:pPr>
    </w:lvl>
    <w:lvl w:ilvl="7" w:tentative="0">
      <w:start w:val="1"/>
      <w:numFmt w:val="lowerLetter"/>
      <w:lvlText w:val="%8)"/>
      <w:lvlJc w:val="left"/>
      <w:pPr>
        <w:tabs>
          <w:tab w:val="left" w:pos="3921"/>
        </w:tabs>
        <w:ind w:left="3921" w:hanging="420"/>
      </w:pPr>
    </w:lvl>
    <w:lvl w:ilvl="8" w:tentative="0">
      <w:start w:val="1"/>
      <w:numFmt w:val="lowerRoman"/>
      <w:lvlText w:val="%9."/>
      <w:lvlJc w:val="right"/>
      <w:pPr>
        <w:tabs>
          <w:tab w:val="left" w:pos="4341"/>
        </w:tabs>
        <w:ind w:left="4341" w:hanging="420"/>
      </w:pPr>
    </w:lvl>
  </w:abstractNum>
  <w:abstractNum w:abstractNumId="2">
    <w:nsid w:val="3D8E37FC"/>
    <w:multiLevelType w:val="multilevel"/>
    <w:tmpl w:val="3D8E37FC"/>
    <w:lvl w:ilvl="0" w:tentative="0">
      <w:start w:val="1"/>
      <w:numFmt w:val="decimal"/>
      <w:lvlText w:val="%1"/>
      <w:lvlJc w:val="left"/>
      <w:pPr>
        <w:tabs>
          <w:tab w:val="left" w:pos="432"/>
        </w:tabs>
        <w:ind w:left="432" w:hanging="432"/>
      </w:pPr>
      <w:rPr>
        <w:rFonts w:hint="eastAsia"/>
      </w:rPr>
    </w:lvl>
    <w:lvl w:ilvl="1" w:tentative="0">
      <w:start w:val="1"/>
      <w:numFmt w:val="decimal"/>
      <w:pStyle w:val="950"/>
      <w:lvlText w:val="%1.%2"/>
      <w:lvlJc w:val="left"/>
      <w:pPr>
        <w:tabs>
          <w:tab w:val="left" w:pos="576"/>
        </w:tabs>
        <w:ind w:left="576" w:hanging="576"/>
      </w:pPr>
      <w:rPr>
        <w:rFonts w:hint="eastAsia"/>
      </w:rPr>
    </w:lvl>
    <w:lvl w:ilvl="2" w:tentative="0">
      <w:start w:val="1"/>
      <w:numFmt w:val="decimal"/>
      <w:pStyle w:val="881"/>
      <w:lvlText w:val="%1.%2.%3"/>
      <w:lvlJc w:val="left"/>
      <w:pPr>
        <w:tabs>
          <w:tab w:val="left" w:pos="720"/>
        </w:tabs>
        <w:ind w:left="720" w:hanging="720"/>
      </w:pPr>
      <w:rPr>
        <w:rFonts w:hint="eastAsia"/>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none"/>
      <w:lvlText w:val="A)"/>
      <w:lvlJc w:val="left"/>
      <w:pPr>
        <w:tabs>
          <w:tab w:val="left" w:pos="454"/>
        </w:tabs>
        <w:ind w:left="680" w:hanging="680"/>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
    <w:nsid w:val="58F61F62"/>
    <w:multiLevelType w:val="multilevel"/>
    <w:tmpl w:val="58F61F62"/>
    <w:lvl w:ilvl="0" w:tentative="0">
      <w:start w:val="1"/>
      <w:numFmt w:val="decimal"/>
      <w:pStyle w:val="1701"/>
      <w:lvlText w:val="%1"/>
      <w:lvlJc w:val="left"/>
      <w:pPr>
        <w:tabs>
          <w:tab w:val="left" w:pos="432"/>
        </w:tabs>
        <w:ind w:left="432" w:hanging="432"/>
      </w:pPr>
      <w:rPr>
        <w:rFonts w:hint="eastAsia"/>
      </w:rPr>
    </w:lvl>
    <w:lvl w:ilvl="1" w:tentative="0">
      <w:start w:val="1"/>
      <w:numFmt w:val="decimal"/>
      <w:pStyle w:val="2084"/>
      <w:lvlText w:val="%1.%2"/>
      <w:lvlJc w:val="left"/>
      <w:pPr>
        <w:tabs>
          <w:tab w:val="left" w:pos="576"/>
        </w:tabs>
        <w:ind w:left="576" w:hanging="576"/>
      </w:pPr>
      <w:rPr>
        <w:rFonts w:hint="eastAsia"/>
      </w:rPr>
    </w:lvl>
    <w:lvl w:ilvl="2" w:tentative="0">
      <w:start w:val="1"/>
      <w:numFmt w:val="decimal"/>
      <w:pStyle w:val="2203"/>
      <w:lvlText w:val="%1.%2.%3"/>
      <w:lvlJc w:val="left"/>
      <w:pPr>
        <w:tabs>
          <w:tab w:val="left" w:pos="720"/>
        </w:tabs>
        <w:ind w:left="720" w:hanging="720"/>
      </w:pPr>
      <w:rPr>
        <w:rFonts w:hint="eastAsia"/>
        <w:b/>
        <w:i w:val="0"/>
        <w:sz w:val="24"/>
      </w:rPr>
    </w:lvl>
    <w:lvl w:ilvl="3" w:tentative="0">
      <w:start w:val="1"/>
      <w:numFmt w:val="decimal"/>
      <w:pStyle w:val="1776"/>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none"/>
      <w:lvlText w:val="A)"/>
      <w:lvlJc w:val="left"/>
      <w:pPr>
        <w:tabs>
          <w:tab w:val="left" w:pos="454"/>
        </w:tabs>
        <w:ind w:left="680" w:hanging="680"/>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4">
    <w:nsid w:val="63FE427B"/>
    <w:multiLevelType w:val="multilevel"/>
    <w:tmpl w:val="63FE427B"/>
    <w:lvl w:ilvl="0" w:tentative="0">
      <w:start w:val="1"/>
      <w:numFmt w:val="decimal"/>
      <w:isLgl/>
      <w:lvlText w:val="%1."/>
      <w:lvlJc w:val="left"/>
      <w:pPr>
        <w:tabs>
          <w:tab w:val="left" w:pos="432"/>
        </w:tabs>
        <w:ind w:left="432" w:hanging="432"/>
      </w:pPr>
      <w:rPr>
        <w:rFonts w:hint="default" w:ascii="Times New Roman" w:hAnsi="Times New Roman" w:eastAsia="宋体"/>
        <w:b/>
        <w:i w:val="0"/>
        <w:color w:val="auto"/>
        <w:sz w:val="32"/>
        <w:szCs w:val="32"/>
        <w:u w:val="none"/>
      </w:rPr>
    </w:lvl>
    <w:lvl w:ilvl="1" w:tentative="0">
      <w:start w:val="1"/>
      <w:numFmt w:val="decimal"/>
      <w:lvlText w:val="%1.%2"/>
      <w:lvlJc w:val="left"/>
      <w:pPr>
        <w:tabs>
          <w:tab w:val="left" w:pos="602"/>
        </w:tabs>
        <w:ind w:left="602" w:hanging="576"/>
      </w:pPr>
      <w:rPr>
        <w:rFonts w:hint="default" w:ascii="Times New Roman" w:hAnsi="Times New Roman" w:cs="Times New Roman"/>
      </w:rPr>
    </w:lvl>
    <w:lvl w:ilvl="2" w:tentative="0">
      <w:start w:val="1"/>
      <w:numFmt w:val="decimal"/>
      <w:lvlText w:val="%1.%2.%3"/>
      <w:lvlJc w:val="left"/>
      <w:pPr>
        <w:tabs>
          <w:tab w:val="left" w:pos="1146"/>
        </w:tabs>
        <w:ind w:left="1146" w:hanging="720"/>
      </w:pPr>
      <w:rPr>
        <w:rFonts w:hint="eastAsia"/>
      </w:rPr>
    </w:lvl>
    <w:lvl w:ilvl="3" w:tentative="0">
      <w:start w:val="1"/>
      <w:numFmt w:val="decimal"/>
      <w:lvlText w:val="%1.%2.%3.%4"/>
      <w:lvlJc w:val="left"/>
      <w:pPr>
        <w:tabs>
          <w:tab w:val="left" w:pos="864"/>
        </w:tabs>
        <w:ind w:left="864" w:hanging="864"/>
      </w:pPr>
      <w:rPr>
        <w:rFonts w:hint="default" w:ascii="Times New Roman" w:hAnsi="Times New Roman" w:cs="Times New Roman"/>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num w:numId="1">
    <w:abstractNumId w:val="1"/>
    <w:lvlOverride w:ilvl="0">
      <w:lvl w:ilvl="0" w:tentative="1">
        <w:start w:val="1"/>
        <w:numFmt w:val="decimal"/>
        <w:pStyle w:val="2"/>
        <w:lvlText w:val="%1."/>
        <w:lvlJc w:val="left"/>
        <w:pPr>
          <w:tabs>
            <w:tab w:val="left" w:pos="921"/>
          </w:tabs>
          <w:ind w:left="921" w:hanging="360"/>
        </w:pPr>
        <w:rPr>
          <w:rFonts w:hint="default"/>
        </w:rPr>
      </w:lvl>
    </w:lvlOverride>
    <w:lvlOverride w:ilvl="1">
      <w:lvl w:ilvl="1" w:tentative="1">
        <w:start w:val="1"/>
        <w:numFmt w:val="lowerLetter"/>
        <w:pStyle w:val="3"/>
        <w:lvlText w:val="%2)"/>
        <w:lvlJc w:val="left"/>
        <w:pPr>
          <w:tabs>
            <w:tab w:val="left" w:pos="1401"/>
          </w:tabs>
          <w:ind w:left="1401" w:hanging="420"/>
        </w:pPr>
      </w:lvl>
    </w:lvlOverride>
    <w:lvlOverride w:ilvl="2">
      <w:lvl w:ilvl="2" w:tentative="1">
        <w:start w:val="1"/>
        <w:numFmt w:val="lowerRoman"/>
        <w:lvlText w:val="%3."/>
        <w:lvlJc w:val="right"/>
        <w:pPr>
          <w:tabs>
            <w:tab w:val="left" w:pos="1860"/>
          </w:tabs>
          <w:ind w:left="1860" w:hanging="420"/>
        </w:pPr>
      </w:lvl>
    </w:lvlOverride>
    <w:lvlOverride w:ilvl="3">
      <w:lvl w:ilvl="3" w:tentative="1">
        <w:start w:val="1"/>
        <w:numFmt w:val="decimal"/>
        <w:pStyle w:val="5"/>
        <w:lvlText w:val="%4."/>
        <w:lvlJc w:val="left"/>
        <w:pPr>
          <w:tabs>
            <w:tab w:val="left" w:pos="2241"/>
          </w:tabs>
          <w:ind w:left="2241" w:hanging="420"/>
        </w:pPr>
      </w:lvl>
    </w:lvlOverride>
    <w:lvlOverride w:ilvl="4">
      <w:lvl w:ilvl="4" w:tentative="1">
        <w:start w:val="1"/>
        <w:numFmt w:val="lowerLetter"/>
        <w:pStyle w:val="6"/>
        <w:lvlText w:val="%5)"/>
        <w:lvlJc w:val="left"/>
        <w:pPr>
          <w:tabs>
            <w:tab w:val="left" w:pos="2661"/>
          </w:tabs>
          <w:ind w:left="2661" w:hanging="420"/>
        </w:pPr>
      </w:lvl>
    </w:lvlOverride>
    <w:lvlOverride w:ilvl="5">
      <w:lvl w:ilvl="5" w:tentative="1">
        <w:start w:val="1"/>
        <w:numFmt w:val="lowerRoman"/>
        <w:pStyle w:val="7"/>
        <w:lvlText w:val="%6."/>
        <w:lvlJc w:val="right"/>
        <w:pPr>
          <w:tabs>
            <w:tab w:val="left" w:pos="3081"/>
          </w:tabs>
          <w:ind w:left="3081" w:hanging="420"/>
        </w:pPr>
      </w:lvl>
    </w:lvlOverride>
    <w:lvlOverride w:ilvl="6">
      <w:lvl w:ilvl="6" w:tentative="1">
        <w:start w:val="1"/>
        <w:numFmt w:val="decimal"/>
        <w:pStyle w:val="8"/>
        <w:lvlText w:val="%7."/>
        <w:lvlJc w:val="left"/>
        <w:pPr>
          <w:tabs>
            <w:tab w:val="left" w:pos="3501"/>
          </w:tabs>
          <w:ind w:left="3501" w:hanging="420"/>
        </w:pPr>
      </w:lvl>
    </w:lvlOverride>
    <w:lvlOverride w:ilvl="7">
      <w:lvl w:ilvl="7" w:tentative="1">
        <w:start w:val="1"/>
        <w:numFmt w:val="lowerLetter"/>
        <w:pStyle w:val="9"/>
        <w:lvlText w:val="%8)"/>
        <w:lvlJc w:val="left"/>
        <w:pPr>
          <w:tabs>
            <w:tab w:val="left" w:pos="3921"/>
          </w:tabs>
          <w:ind w:left="3921" w:hanging="420"/>
        </w:pPr>
      </w:lvl>
    </w:lvlOverride>
    <w:lvlOverride w:ilvl="8">
      <w:lvl w:ilvl="8" w:tentative="1">
        <w:start w:val="1"/>
        <w:numFmt w:val="lowerRoman"/>
        <w:pStyle w:val="10"/>
        <w:lvlText w:val="%9."/>
        <w:lvlJc w:val="right"/>
        <w:pPr>
          <w:tabs>
            <w:tab w:val="left" w:pos="4341"/>
          </w:tabs>
          <w:ind w:left="4341" w:hanging="420"/>
        </w:pPr>
      </w:lvl>
    </w:lvlOverride>
  </w:num>
  <w:num w:numId="2">
    <w:abstractNumId w:val="2"/>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true"/>
  <w:bordersDoNotSurroundHeader w:val="true"/>
  <w:bordersDoNotSurroundFooter w:val="true"/>
  <w:hideSpellingErrors/>
  <w:documentProtection w:enforcement="0"/>
  <w:defaultTabStop w:val="210"/>
  <w:displayHorizontalDrawingGridEvery w:val="0"/>
  <w:displayVerticalDrawingGridEvery w:val="2"/>
  <w:characterSpacingControl w:val="doNotCompress"/>
  <w:footnotePr>
    <w:footnote w:id="0"/>
    <w:footnote w:id="1"/>
  </w:footnotePr>
  <w:endnotePr>
    <w:endnote w:id="0"/>
    <w:endnote w:id="1"/>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wNWIzMWNjYzAzYTczMjFkYWZjMGIzNGQzZGMyNzgifQ=="/>
  </w:docVars>
  <w:rsids>
    <w:rsidRoot w:val="0049551D"/>
    <w:rsid w:val="000000F2"/>
    <w:rsid w:val="00000143"/>
    <w:rsid w:val="000002BB"/>
    <w:rsid w:val="0000032B"/>
    <w:rsid w:val="000003F2"/>
    <w:rsid w:val="00000638"/>
    <w:rsid w:val="00000F15"/>
    <w:rsid w:val="00001368"/>
    <w:rsid w:val="000013DA"/>
    <w:rsid w:val="00001520"/>
    <w:rsid w:val="000017C6"/>
    <w:rsid w:val="00001D4D"/>
    <w:rsid w:val="00001E52"/>
    <w:rsid w:val="00001E5C"/>
    <w:rsid w:val="0000206E"/>
    <w:rsid w:val="00002112"/>
    <w:rsid w:val="00002130"/>
    <w:rsid w:val="000024EA"/>
    <w:rsid w:val="000028F2"/>
    <w:rsid w:val="00003123"/>
    <w:rsid w:val="000034D7"/>
    <w:rsid w:val="000036A8"/>
    <w:rsid w:val="00003AE9"/>
    <w:rsid w:val="00003BC9"/>
    <w:rsid w:val="00003D1F"/>
    <w:rsid w:val="00003E1B"/>
    <w:rsid w:val="00003F57"/>
    <w:rsid w:val="0000439A"/>
    <w:rsid w:val="00004D29"/>
    <w:rsid w:val="000055A2"/>
    <w:rsid w:val="00005610"/>
    <w:rsid w:val="00005DA5"/>
    <w:rsid w:val="000074F4"/>
    <w:rsid w:val="00007B1D"/>
    <w:rsid w:val="00007F4B"/>
    <w:rsid w:val="000101E0"/>
    <w:rsid w:val="0001060D"/>
    <w:rsid w:val="00010984"/>
    <w:rsid w:val="000109BE"/>
    <w:rsid w:val="00010A95"/>
    <w:rsid w:val="0001120E"/>
    <w:rsid w:val="000114C4"/>
    <w:rsid w:val="0001181A"/>
    <w:rsid w:val="000119D4"/>
    <w:rsid w:val="00011CAD"/>
    <w:rsid w:val="00012437"/>
    <w:rsid w:val="000124C8"/>
    <w:rsid w:val="00012635"/>
    <w:rsid w:val="0001299E"/>
    <w:rsid w:val="000129DA"/>
    <w:rsid w:val="00012B58"/>
    <w:rsid w:val="00012BB0"/>
    <w:rsid w:val="00012FAF"/>
    <w:rsid w:val="0001386C"/>
    <w:rsid w:val="00013DED"/>
    <w:rsid w:val="00014E51"/>
    <w:rsid w:val="00015AF7"/>
    <w:rsid w:val="00016008"/>
    <w:rsid w:val="00016038"/>
    <w:rsid w:val="000161A6"/>
    <w:rsid w:val="000162BB"/>
    <w:rsid w:val="000162C4"/>
    <w:rsid w:val="0001679F"/>
    <w:rsid w:val="0001682A"/>
    <w:rsid w:val="00016B71"/>
    <w:rsid w:val="00016E4B"/>
    <w:rsid w:val="00017055"/>
    <w:rsid w:val="000170C1"/>
    <w:rsid w:val="00017115"/>
    <w:rsid w:val="00017475"/>
    <w:rsid w:val="0001763B"/>
    <w:rsid w:val="0001790D"/>
    <w:rsid w:val="000179AB"/>
    <w:rsid w:val="00017C86"/>
    <w:rsid w:val="00017CA2"/>
    <w:rsid w:val="00017E03"/>
    <w:rsid w:val="00020052"/>
    <w:rsid w:val="000206C4"/>
    <w:rsid w:val="000209CB"/>
    <w:rsid w:val="00020DF1"/>
    <w:rsid w:val="00020E78"/>
    <w:rsid w:val="0002198F"/>
    <w:rsid w:val="000219D5"/>
    <w:rsid w:val="00021BA1"/>
    <w:rsid w:val="0002246F"/>
    <w:rsid w:val="0002271A"/>
    <w:rsid w:val="000227F4"/>
    <w:rsid w:val="000228FB"/>
    <w:rsid w:val="00022AC1"/>
    <w:rsid w:val="00022C38"/>
    <w:rsid w:val="00022D23"/>
    <w:rsid w:val="0002308C"/>
    <w:rsid w:val="00023245"/>
    <w:rsid w:val="00023933"/>
    <w:rsid w:val="000241CB"/>
    <w:rsid w:val="0002445D"/>
    <w:rsid w:val="00024858"/>
    <w:rsid w:val="000248AC"/>
    <w:rsid w:val="00024EFC"/>
    <w:rsid w:val="000254B8"/>
    <w:rsid w:val="000255FF"/>
    <w:rsid w:val="00025902"/>
    <w:rsid w:val="00025ADC"/>
    <w:rsid w:val="00025BB2"/>
    <w:rsid w:val="000260D5"/>
    <w:rsid w:val="0002625C"/>
    <w:rsid w:val="00026733"/>
    <w:rsid w:val="00027B25"/>
    <w:rsid w:val="00027CC5"/>
    <w:rsid w:val="00027EE2"/>
    <w:rsid w:val="0003014E"/>
    <w:rsid w:val="00030391"/>
    <w:rsid w:val="0003070C"/>
    <w:rsid w:val="00030B63"/>
    <w:rsid w:val="0003110F"/>
    <w:rsid w:val="00031307"/>
    <w:rsid w:val="000318BE"/>
    <w:rsid w:val="000318F9"/>
    <w:rsid w:val="0003198F"/>
    <w:rsid w:val="00031CE3"/>
    <w:rsid w:val="000329C1"/>
    <w:rsid w:val="00032C50"/>
    <w:rsid w:val="0003340B"/>
    <w:rsid w:val="00034039"/>
    <w:rsid w:val="00034B1B"/>
    <w:rsid w:val="00034B71"/>
    <w:rsid w:val="00034BD3"/>
    <w:rsid w:val="0003560C"/>
    <w:rsid w:val="0003586D"/>
    <w:rsid w:val="00036282"/>
    <w:rsid w:val="0003645D"/>
    <w:rsid w:val="000366E9"/>
    <w:rsid w:val="000368BE"/>
    <w:rsid w:val="00037154"/>
    <w:rsid w:val="00037285"/>
    <w:rsid w:val="00037425"/>
    <w:rsid w:val="000375C2"/>
    <w:rsid w:val="00037FBE"/>
    <w:rsid w:val="00040126"/>
    <w:rsid w:val="000404C6"/>
    <w:rsid w:val="00040A23"/>
    <w:rsid w:val="00040EC2"/>
    <w:rsid w:val="00041124"/>
    <w:rsid w:val="0004122B"/>
    <w:rsid w:val="00041294"/>
    <w:rsid w:val="0004131B"/>
    <w:rsid w:val="000416AE"/>
    <w:rsid w:val="000420A3"/>
    <w:rsid w:val="000420F4"/>
    <w:rsid w:val="000424ED"/>
    <w:rsid w:val="00042575"/>
    <w:rsid w:val="000425B5"/>
    <w:rsid w:val="0004261B"/>
    <w:rsid w:val="00042A52"/>
    <w:rsid w:val="00042AD5"/>
    <w:rsid w:val="00042DB1"/>
    <w:rsid w:val="00042FF7"/>
    <w:rsid w:val="000435A8"/>
    <w:rsid w:val="00043780"/>
    <w:rsid w:val="0004386D"/>
    <w:rsid w:val="0004477D"/>
    <w:rsid w:val="000449BD"/>
    <w:rsid w:val="00044A9B"/>
    <w:rsid w:val="00044C68"/>
    <w:rsid w:val="00045671"/>
    <w:rsid w:val="00045841"/>
    <w:rsid w:val="00045932"/>
    <w:rsid w:val="00045933"/>
    <w:rsid w:val="00045B5E"/>
    <w:rsid w:val="00045BE1"/>
    <w:rsid w:val="0004600B"/>
    <w:rsid w:val="00046405"/>
    <w:rsid w:val="000475A4"/>
    <w:rsid w:val="00047A7B"/>
    <w:rsid w:val="00047B7A"/>
    <w:rsid w:val="0005031A"/>
    <w:rsid w:val="00050427"/>
    <w:rsid w:val="000508D2"/>
    <w:rsid w:val="0005106B"/>
    <w:rsid w:val="00051084"/>
    <w:rsid w:val="00051491"/>
    <w:rsid w:val="000517FD"/>
    <w:rsid w:val="000520A5"/>
    <w:rsid w:val="000522F7"/>
    <w:rsid w:val="00052563"/>
    <w:rsid w:val="00052A4B"/>
    <w:rsid w:val="00052C0B"/>
    <w:rsid w:val="00052C81"/>
    <w:rsid w:val="00052DC7"/>
    <w:rsid w:val="00053345"/>
    <w:rsid w:val="00053464"/>
    <w:rsid w:val="00053F2F"/>
    <w:rsid w:val="0005446E"/>
    <w:rsid w:val="00054587"/>
    <w:rsid w:val="00054990"/>
    <w:rsid w:val="00055245"/>
    <w:rsid w:val="0005574B"/>
    <w:rsid w:val="00055780"/>
    <w:rsid w:val="0005663C"/>
    <w:rsid w:val="00056694"/>
    <w:rsid w:val="00056A2B"/>
    <w:rsid w:val="00056B61"/>
    <w:rsid w:val="00056B80"/>
    <w:rsid w:val="00056C42"/>
    <w:rsid w:val="00056C85"/>
    <w:rsid w:val="0005702F"/>
    <w:rsid w:val="00057E2C"/>
    <w:rsid w:val="00057F45"/>
    <w:rsid w:val="000602D4"/>
    <w:rsid w:val="00060DC8"/>
    <w:rsid w:val="0006152C"/>
    <w:rsid w:val="00062315"/>
    <w:rsid w:val="00062630"/>
    <w:rsid w:val="00062C45"/>
    <w:rsid w:val="00063293"/>
    <w:rsid w:val="00063342"/>
    <w:rsid w:val="0006349C"/>
    <w:rsid w:val="000635F3"/>
    <w:rsid w:val="0006388D"/>
    <w:rsid w:val="000640AD"/>
    <w:rsid w:val="000642D8"/>
    <w:rsid w:val="00064D23"/>
    <w:rsid w:val="0006508E"/>
    <w:rsid w:val="000650E1"/>
    <w:rsid w:val="00065493"/>
    <w:rsid w:val="0006557A"/>
    <w:rsid w:val="00065595"/>
    <w:rsid w:val="000656A1"/>
    <w:rsid w:val="0006570D"/>
    <w:rsid w:val="0006571A"/>
    <w:rsid w:val="0006582F"/>
    <w:rsid w:val="00065A18"/>
    <w:rsid w:val="00066066"/>
    <w:rsid w:val="0006619F"/>
    <w:rsid w:val="0006634A"/>
    <w:rsid w:val="000669B2"/>
    <w:rsid w:val="00066A0F"/>
    <w:rsid w:val="00066C64"/>
    <w:rsid w:val="00066C97"/>
    <w:rsid w:val="0006703B"/>
    <w:rsid w:val="000672C1"/>
    <w:rsid w:val="00070158"/>
    <w:rsid w:val="000704F7"/>
    <w:rsid w:val="00070707"/>
    <w:rsid w:val="00070935"/>
    <w:rsid w:val="000709E1"/>
    <w:rsid w:val="00070A60"/>
    <w:rsid w:val="00070DB1"/>
    <w:rsid w:val="00071750"/>
    <w:rsid w:val="000719F2"/>
    <w:rsid w:val="00072672"/>
    <w:rsid w:val="000726EB"/>
    <w:rsid w:val="00072CBE"/>
    <w:rsid w:val="00072FA1"/>
    <w:rsid w:val="00073343"/>
    <w:rsid w:val="00073766"/>
    <w:rsid w:val="000737BC"/>
    <w:rsid w:val="00073A04"/>
    <w:rsid w:val="00073C89"/>
    <w:rsid w:val="00074272"/>
    <w:rsid w:val="000742CD"/>
    <w:rsid w:val="0007451A"/>
    <w:rsid w:val="00074559"/>
    <w:rsid w:val="0007478E"/>
    <w:rsid w:val="00074913"/>
    <w:rsid w:val="000750A5"/>
    <w:rsid w:val="0007535A"/>
    <w:rsid w:val="00075507"/>
    <w:rsid w:val="000760B8"/>
    <w:rsid w:val="00076219"/>
    <w:rsid w:val="00076536"/>
    <w:rsid w:val="0007664B"/>
    <w:rsid w:val="00076804"/>
    <w:rsid w:val="00076A08"/>
    <w:rsid w:val="00076D60"/>
    <w:rsid w:val="00076E31"/>
    <w:rsid w:val="00077208"/>
    <w:rsid w:val="00077278"/>
    <w:rsid w:val="0007732A"/>
    <w:rsid w:val="000779FB"/>
    <w:rsid w:val="00077AFB"/>
    <w:rsid w:val="0008027D"/>
    <w:rsid w:val="00080AE4"/>
    <w:rsid w:val="00080DDC"/>
    <w:rsid w:val="00080EEF"/>
    <w:rsid w:val="000811CB"/>
    <w:rsid w:val="00081209"/>
    <w:rsid w:val="000812BA"/>
    <w:rsid w:val="0008156F"/>
    <w:rsid w:val="000819FB"/>
    <w:rsid w:val="00081AB7"/>
    <w:rsid w:val="000820C0"/>
    <w:rsid w:val="00082114"/>
    <w:rsid w:val="00082593"/>
    <w:rsid w:val="00082AE7"/>
    <w:rsid w:val="000830C2"/>
    <w:rsid w:val="000830EE"/>
    <w:rsid w:val="00083141"/>
    <w:rsid w:val="00083222"/>
    <w:rsid w:val="000833F6"/>
    <w:rsid w:val="00083511"/>
    <w:rsid w:val="000835BF"/>
    <w:rsid w:val="000837B9"/>
    <w:rsid w:val="00083812"/>
    <w:rsid w:val="00083B01"/>
    <w:rsid w:val="00083DEF"/>
    <w:rsid w:val="0008408B"/>
    <w:rsid w:val="000840D1"/>
    <w:rsid w:val="00084414"/>
    <w:rsid w:val="000844F6"/>
    <w:rsid w:val="000845F4"/>
    <w:rsid w:val="0008474F"/>
    <w:rsid w:val="0008480B"/>
    <w:rsid w:val="00084D68"/>
    <w:rsid w:val="00084E78"/>
    <w:rsid w:val="000855F7"/>
    <w:rsid w:val="00085705"/>
    <w:rsid w:val="00085A93"/>
    <w:rsid w:val="00085AE2"/>
    <w:rsid w:val="00085F8A"/>
    <w:rsid w:val="0008627C"/>
    <w:rsid w:val="0008691D"/>
    <w:rsid w:val="00086D41"/>
    <w:rsid w:val="00087105"/>
    <w:rsid w:val="00087260"/>
    <w:rsid w:val="00087C36"/>
    <w:rsid w:val="00087CD8"/>
    <w:rsid w:val="00087D54"/>
    <w:rsid w:val="00090671"/>
    <w:rsid w:val="00090CEA"/>
    <w:rsid w:val="00091160"/>
    <w:rsid w:val="000915C9"/>
    <w:rsid w:val="00091BA9"/>
    <w:rsid w:val="00091D54"/>
    <w:rsid w:val="00092110"/>
    <w:rsid w:val="000923DE"/>
    <w:rsid w:val="00092782"/>
    <w:rsid w:val="00093400"/>
    <w:rsid w:val="000935A3"/>
    <w:rsid w:val="000936C4"/>
    <w:rsid w:val="00093E96"/>
    <w:rsid w:val="00094215"/>
    <w:rsid w:val="00094369"/>
    <w:rsid w:val="0009455A"/>
    <w:rsid w:val="0009487F"/>
    <w:rsid w:val="000948CB"/>
    <w:rsid w:val="00094B4E"/>
    <w:rsid w:val="00095B9C"/>
    <w:rsid w:val="0009601E"/>
    <w:rsid w:val="00096211"/>
    <w:rsid w:val="00096906"/>
    <w:rsid w:val="00096B55"/>
    <w:rsid w:val="00096C8C"/>
    <w:rsid w:val="00096C9B"/>
    <w:rsid w:val="00096FA5"/>
    <w:rsid w:val="000970C3"/>
    <w:rsid w:val="00097289"/>
    <w:rsid w:val="00097396"/>
    <w:rsid w:val="00097413"/>
    <w:rsid w:val="00097FC6"/>
    <w:rsid w:val="000A09AF"/>
    <w:rsid w:val="000A13DC"/>
    <w:rsid w:val="000A1504"/>
    <w:rsid w:val="000A19C9"/>
    <w:rsid w:val="000A1AEE"/>
    <w:rsid w:val="000A245F"/>
    <w:rsid w:val="000A2AF5"/>
    <w:rsid w:val="000A2D8F"/>
    <w:rsid w:val="000A355B"/>
    <w:rsid w:val="000A4093"/>
    <w:rsid w:val="000A4B1A"/>
    <w:rsid w:val="000A4C31"/>
    <w:rsid w:val="000A4FAA"/>
    <w:rsid w:val="000A57BD"/>
    <w:rsid w:val="000A5A26"/>
    <w:rsid w:val="000A5C3F"/>
    <w:rsid w:val="000A6002"/>
    <w:rsid w:val="000A64CF"/>
    <w:rsid w:val="000A6E41"/>
    <w:rsid w:val="000A7297"/>
    <w:rsid w:val="000B03C2"/>
    <w:rsid w:val="000B08B1"/>
    <w:rsid w:val="000B096D"/>
    <w:rsid w:val="000B09A5"/>
    <w:rsid w:val="000B0B76"/>
    <w:rsid w:val="000B0C42"/>
    <w:rsid w:val="000B0D85"/>
    <w:rsid w:val="000B0E9A"/>
    <w:rsid w:val="000B0F45"/>
    <w:rsid w:val="000B115E"/>
    <w:rsid w:val="000B12F3"/>
    <w:rsid w:val="000B1375"/>
    <w:rsid w:val="000B1922"/>
    <w:rsid w:val="000B226D"/>
    <w:rsid w:val="000B2B6F"/>
    <w:rsid w:val="000B2F02"/>
    <w:rsid w:val="000B2FE4"/>
    <w:rsid w:val="000B314C"/>
    <w:rsid w:val="000B3164"/>
    <w:rsid w:val="000B328C"/>
    <w:rsid w:val="000B3864"/>
    <w:rsid w:val="000B3CC6"/>
    <w:rsid w:val="000B3E48"/>
    <w:rsid w:val="000B41B3"/>
    <w:rsid w:val="000B481B"/>
    <w:rsid w:val="000B4E6B"/>
    <w:rsid w:val="000B4ED9"/>
    <w:rsid w:val="000B54EE"/>
    <w:rsid w:val="000B56D1"/>
    <w:rsid w:val="000B57E3"/>
    <w:rsid w:val="000B588E"/>
    <w:rsid w:val="000B5CF6"/>
    <w:rsid w:val="000B5E26"/>
    <w:rsid w:val="000B5F17"/>
    <w:rsid w:val="000B6077"/>
    <w:rsid w:val="000B6C16"/>
    <w:rsid w:val="000B7033"/>
    <w:rsid w:val="000B70C7"/>
    <w:rsid w:val="000B72D8"/>
    <w:rsid w:val="000B7533"/>
    <w:rsid w:val="000B76D1"/>
    <w:rsid w:val="000B7C86"/>
    <w:rsid w:val="000B7D6A"/>
    <w:rsid w:val="000B7E94"/>
    <w:rsid w:val="000C0292"/>
    <w:rsid w:val="000C032E"/>
    <w:rsid w:val="000C0507"/>
    <w:rsid w:val="000C0760"/>
    <w:rsid w:val="000C0A3E"/>
    <w:rsid w:val="000C0AAE"/>
    <w:rsid w:val="000C0B48"/>
    <w:rsid w:val="000C0B72"/>
    <w:rsid w:val="000C1022"/>
    <w:rsid w:val="000C14F7"/>
    <w:rsid w:val="000C1511"/>
    <w:rsid w:val="000C1975"/>
    <w:rsid w:val="000C19BD"/>
    <w:rsid w:val="000C1F2D"/>
    <w:rsid w:val="000C20D4"/>
    <w:rsid w:val="000C219B"/>
    <w:rsid w:val="000C21D3"/>
    <w:rsid w:val="000C238C"/>
    <w:rsid w:val="000C26AF"/>
    <w:rsid w:val="000C34B2"/>
    <w:rsid w:val="000C359B"/>
    <w:rsid w:val="000C3678"/>
    <w:rsid w:val="000C3813"/>
    <w:rsid w:val="000C3972"/>
    <w:rsid w:val="000C405A"/>
    <w:rsid w:val="000C46CC"/>
    <w:rsid w:val="000C4987"/>
    <w:rsid w:val="000C4ECF"/>
    <w:rsid w:val="000C5124"/>
    <w:rsid w:val="000C536D"/>
    <w:rsid w:val="000C55C9"/>
    <w:rsid w:val="000C5D77"/>
    <w:rsid w:val="000C5DF5"/>
    <w:rsid w:val="000C6325"/>
    <w:rsid w:val="000C6356"/>
    <w:rsid w:val="000C651D"/>
    <w:rsid w:val="000C6860"/>
    <w:rsid w:val="000C6E69"/>
    <w:rsid w:val="000C6F00"/>
    <w:rsid w:val="000C7118"/>
    <w:rsid w:val="000C75B4"/>
    <w:rsid w:val="000C77CD"/>
    <w:rsid w:val="000C77D0"/>
    <w:rsid w:val="000C78C6"/>
    <w:rsid w:val="000C7C24"/>
    <w:rsid w:val="000C7C83"/>
    <w:rsid w:val="000D0122"/>
    <w:rsid w:val="000D0366"/>
    <w:rsid w:val="000D0453"/>
    <w:rsid w:val="000D058C"/>
    <w:rsid w:val="000D0BCB"/>
    <w:rsid w:val="000D0E02"/>
    <w:rsid w:val="000D1104"/>
    <w:rsid w:val="000D2B9F"/>
    <w:rsid w:val="000D2D6D"/>
    <w:rsid w:val="000D35C5"/>
    <w:rsid w:val="000D3707"/>
    <w:rsid w:val="000D3810"/>
    <w:rsid w:val="000D3B63"/>
    <w:rsid w:val="000D3F73"/>
    <w:rsid w:val="000D43C9"/>
    <w:rsid w:val="000D45BB"/>
    <w:rsid w:val="000D4AE8"/>
    <w:rsid w:val="000D4E0A"/>
    <w:rsid w:val="000D4FEB"/>
    <w:rsid w:val="000D527D"/>
    <w:rsid w:val="000D5866"/>
    <w:rsid w:val="000D5ABC"/>
    <w:rsid w:val="000D5CCD"/>
    <w:rsid w:val="000D5DE8"/>
    <w:rsid w:val="000D62D1"/>
    <w:rsid w:val="000D6CAC"/>
    <w:rsid w:val="000D6D85"/>
    <w:rsid w:val="000D70D3"/>
    <w:rsid w:val="000D7249"/>
    <w:rsid w:val="000D787E"/>
    <w:rsid w:val="000D7A5C"/>
    <w:rsid w:val="000E0089"/>
    <w:rsid w:val="000E02F6"/>
    <w:rsid w:val="000E0644"/>
    <w:rsid w:val="000E074E"/>
    <w:rsid w:val="000E09DC"/>
    <w:rsid w:val="000E0B4F"/>
    <w:rsid w:val="000E0F79"/>
    <w:rsid w:val="000E1007"/>
    <w:rsid w:val="000E119D"/>
    <w:rsid w:val="000E139F"/>
    <w:rsid w:val="000E1A9C"/>
    <w:rsid w:val="000E23CD"/>
    <w:rsid w:val="000E253D"/>
    <w:rsid w:val="000E35A5"/>
    <w:rsid w:val="000E395F"/>
    <w:rsid w:val="000E3FF0"/>
    <w:rsid w:val="000E49C4"/>
    <w:rsid w:val="000E4C61"/>
    <w:rsid w:val="000E52E9"/>
    <w:rsid w:val="000E5CD1"/>
    <w:rsid w:val="000E6265"/>
    <w:rsid w:val="000E6394"/>
    <w:rsid w:val="000E66D2"/>
    <w:rsid w:val="000E6899"/>
    <w:rsid w:val="000E692D"/>
    <w:rsid w:val="000E6BC5"/>
    <w:rsid w:val="000E6CCC"/>
    <w:rsid w:val="000E6F8B"/>
    <w:rsid w:val="000E7438"/>
    <w:rsid w:val="000E77EB"/>
    <w:rsid w:val="000E7AF9"/>
    <w:rsid w:val="000E7BE6"/>
    <w:rsid w:val="000E7F8B"/>
    <w:rsid w:val="000F0032"/>
    <w:rsid w:val="000F0289"/>
    <w:rsid w:val="000F0942"/>
    <w:rsid w:val="000F0C7F"/>
    <w:rsid w:val="000F0CF0"/>
    <w:rsid w:val="000F1249"/>
    <w:rsid w:val="000F1362"/>
    <w:rsid w:val="000F154D"/>
    <w:rsid w:val="000F163F"/>
    <w:rsid w:val="000F167A"/>
    <w:rsid w:val="000F1A49"/>
    <w:rsid w:val="000F1D1E"/>
    <w:rsid w:val="000F2CA8"/>
    <w:rsid w:val="000F2E5B"/>
    <w:rsid w:val="000F2E86"/>
    <w:rsid w:val="000F30D5"/>
    <w:rsid w:val="000F3365"/>
    <w:rsid w:val="000F3AD1"/>
    <w:rsid w:val="000F3E29"/>
    <w:rsid w:val="000F427F"/>
    <w:rsid w:val="000F4AAC"/>
    <w:rsid w:val="000F4D07"/>
    <w:rsid w:val="000F51E6"/>
    <w:rsid w:val="000F52CB"/>
    <w:rsid w:val="000F538D"/>
    <w:rsid w:val="000F54C7"/>
    <w:rsid w:val="000F550E"/>
    <w:rsid w:val="000F562F"/>
    <w:rsid w:val="000F571F"/>
    <w:rsid w:val="000F5C02"/>
    <w:rsid w:val="000F66F3"/>
    <w:rsid w:val="000F6805"/>
    <w:rsid w:val="000F7386"/>
    <w:rsid w:val="000F7464"/>
    <w:rsid w:val="000F77BC"/>
    <w:rsid w:val="000F7C0C"/>
    <w:rsid w:val="000F7C23"/>
    <w:rsid w:val="00100172"/>
    <w:rsid w:val="00100C7E"/>
    <w:rsid w:val="001012AC"/>
    <w:rsid w:val="00101505"/>
    <w:rsid w:val="0010163A"/>
    <w:rsid w:val="00101815"/>
    <w:rsid w:val="00101AFC"/>
    <w:rsid w:val="00102005"/>
    <w:rsid w:val="00102154"/>
    <w:rsid w:val="0010245F"/>
    <w:rsid w:val="00102997"/>
    <w:rsid w:val="00102E9E"/>
    <w:rsid w:val="001032B2"/>
    <w:rsid w:val="00103A4A"/>
    <w:rsid w:val="00103CA7"/>
    <w:rsid w:val="00103DA1"/>
    <w:rsid w:val="00103F44"/>
    <w:rsid w:val="00104551"/>
    <w:rsid w:val="0010468F"/>
    <w:rsid w:val="0010469B"/>
    <w:rsid w:val="00104852"/>
    <w:rsid w:val="00104CF8"/>
    <w:rsid w:val="00104D71"/>
    <w:rsid w:val="00104DB2"/>
    <w:rsid w:val="00104FDA"/>
    <w:rsid w:val="0010530D"/>
    <w:rsid w:val="001057AE"/>
    <w:rsid w:val="001060E3"/>
    <w:rsid w:val="0010631C"/>
    <w:rsid w:val="001065B5"/>
    <w:rsid w:val="0010661F"/>
    <w:rsid w:val="001066F4"/>
    <w:rsid w:val="001067A7"/>
    <w:rsid w:val="00107332"/>
    <w:rsid w:val="00107A0A"/>
    <w:rsid w:val="00107C94"/>
    <w:rsid w:val="00107CB2"/>
    <w:rsid w:val="00110011"/>
    <w:rsid w:val="00110C78"/>
    <w:rsid w:val="0011109C"/>
    <w:rsid w:val="001111E2"/>
    <w:rsid w:val="001115DB"/>
    <w:rsid w:val="001116C9"/>
    <w:rsid w:val="001119DF"/>
    <w:rsid w:val="001124D1"/>
    <w:rsid w:val="00112544"/>
    <w:rsid w:val="0011255A"/>
    <w:rsid w:val="001125D0"/>
    <w:rsid w:val="00112A02"/>
    <w:rsid w:val="00112ABE"/>
    <w:rsid w:val="00112B5F"/>
    <w:rsid w:val="00112B65"/>
    <w:rsid w:val="00112B91"/>
    <w:rsid w:val="00112D23"/>
    <w:rsid w:val="001132AA"/>
    <w:rsid w:val="0011348F"/>
    <w:rsid w:val="00113A3A"/>
    <w:rsid w:val="00113CB2"/>
    <w:rsid w:val="00114274"/>
    <w:rsid w:val="0011428A"/>
    <w:rsid w:val="001142A4"/>
    <w:rsid w:val="0011437D"/>
    <w:rsid w:val="00114511"/>
    <w:rsid w:val="001148F9"/>
    <w:rsid w:val="00114A52"/>
    <w:rsid w:val="00114CB4"/>
    <w:rsid w:val="00114D02"/>
    <w:rsid w:val="00114FA4"/>
    <w:rsid w:val="00115291"/>
    <w:rsid w:val="0011545C"/>
    <w:rsid w:val="001156E4"/>
    <w:rsid w:val="00115715"/>
    <w:rsid w:val="00116609"/>
    <w:rsid w:val="00116DC2"/>
    <w:rsid w:val="00117130"/>
    <w:rsid w:val="0011713F"/>
    <w:rsid w:val="00117531"/>
    <w:rsid w:val="00117B5B"/>
    <w:rsid w:val="0012005A"/>
    <w:rsid w:val="001201E6"/>
    <w:rsid w:val="001207D7"/>
    <w:rsid w:val="001207EF"/>
    <w:rsid w:val="00120846"/>
    <w:rsid w:val="00120B36"/>
    <w:rsid w:val="00120CCB"/>
    <w:rsid w:val="00120D89"/>
    <w:rsid w:val="0012141A"/>
    <w:rsid w:val="00121F88"/>
    <w:rsid w:val="00122724"/>
    <w:rsid w:val="00122E32"/>
    <w:rsid w:val="0012302A"/>
    <w:rsid w:val="00123085"/>
    <w:rsid w:val="00123397"/>
    <w:rsid w:val="001233B9"/>
    <w:rsid w:val="00123486"/>
    <w:rsid w:val="00123560"/>
    <w:rsid w:val="0012368A"/>
    <w:rsid w:val="00123779"/>
    <w:rsid w:val="001245E8"/>
    <w:rsid w:val="00124753"/>
    <w:rsid w:val="0012478A"/>
    <w:rsid w:val="001247F5"/>
    <w:rsid w:val="00124B39"/>
    <w:rsid w:val="00124ECF"/>
    <w:rsid w:val="00125047"/>
    <w:rsid w:val="001250B3"/>
    <w:rsid w:val="001250B6"/>
    <w:rsid w:val="00125993"/>
    <w:rsid w:val="00125AFF"/>
    <w:rsid w:val="00125C0C"/>
    <w:rsid w:val="00125C68"/>
    <w:rsid w:val="00126058"/>
    <w:rsid w:val="001261B0"/>
    <w:rsid w:val="001268B5"/>
    <w:rsid w:val="0012690C"/>
    <w:rsid w:val="00126AA6"/>
    <w:rsid w:val="00126ACF"/>
    <w:rsid w:val="00126DC1"/>
    <w:rsid w:val="00127BF7"/>
    <w:rsid w:val="001302C9"/>
    <w:rsid w:val="00130471"/>
    <w:rsid w:val="001304FD"/>
    <w:rsid w:val="0013077A"/>
    <w:rsid w:val="00130899"/>
    <w:rsid w:val="00131097"/>
    <w:rsid w:val="0013126B"/>
    <w:rsid w:val="001312FA"/>
    <w:rsid w:val="00131470"/>
    <w:rsid w:val="00132026"/>
    <w:rsid w:val="0013211E"/>
    <w:rsid w:val="001323CE"/>
    <w:rsid w:val="001325AA"/>
    <w:rsid w:val="00132745"/>
    <w:rsid w:val="0013275B"/>
    <w:rsid w:val="00132AC9"/>
    <w:rsid w:val="00132B19"/>
    <w:rsid w:val="0013329B"/>
    <w:rsid w:val="00133A9B"/>
    <w:rsid w:val="00133AFB"/>
    <w:rsid w:val="00133B7F"/>
    <w:rsid w:val="00133C99"/>
    <w:rsid w:val="00134373"/>
    <w:rsid w:val="00134557"/>
    <w:rsid w:val="001345FD"/>
    <w:rsid w:val="001346BC"/>
    <w:rsid w:val="001348EA"/>
    <w:rsid w:val="001351D6"/>
    <w:rsid w:val="0013559B"/>
    <w:rsid w:val="001356B1"/>
    <w:rsid w:val="00135893"/>
    <w:rsid w:val="00135C74"/>
    <w:rsid w:val="00135F47"/>
    <w:rsid w:val="00136060"/>
    <w:rsid w:val="0013645C"/>
    <w:rsid w:val="001364F8"/>
    <w:rsid w:val="00136639"/>
    <w:rsid w:val="0013696E"/>
    <w:rsid w:val="00136BED"/>
    <w:rsid w:val="00136D33"/>
    <w:rsid w:val="00136F39"/>
    <w:rsid w:val="00137020"/>
    <w:rsid w:val="001372A5"/>
    <w:rsid w:val="00137866"/>
    <w:rsid w:val="0013789C"/>
    <w:rsid w:val="00137AC7"/>
    <w:rsid w:val="00137DDA"/>
    <w:rsid w:val="00140558"/>
    <w:rsid w:val="00140C76"/>
    <w:rsid w:val="00140E12"/>
    <w:rsid w:val="00141315"/>
    <w:rsid w:val="001418DD"/>
    <w:rsid w:val="00141CD9"/>
    <w:rsid w:val="00142841"/>
    <w:rsid w:val="00142965"/>
    <w:rsid w:val="00142E5B"/>
    <w:rsid w:val="00143162"/>
    <w:rsid w:val="0014325B"/>
    <w:rsid w:val="00143A18"/>
    <w:rsid w:val="00143A31"/>
    <w:rsid w:val="00143CE3"/>
    <w:rsid w:val="00143D37"/>
    <w:rsid w:val="0014557E"/>
    <w:rsid w:val="00146151"/>
    <w:rsid w:val="00147070"/>
    <w:rsid w:val="0014743B"/>
    <w:rsid w:val="001475F2"/>
    <w:rsid w:val="001478B7"/>
    <w:rsid w:val="00147C1B"/>
    <w:rsid w:val="00147DE1"/>
    <w:rsid w:val="00147F86"/>
    <w:rsid w:val="001500FA"/>
    <w:rsid w:val="00150476"/>
    <w:rsid w:val="0015061E"/>
    <w:rsid w:val="001506B5"/>
    <w:rsid w:val="00150763"/>
    <w:rsid w:val="00150D07"/>
    <w:rsid w:val="00150EA5"/>
    <w:rsid w:val="00151752"/>
    <w:rsid w:val="001517FA"/>
    <w:rsid w:val="00151837"/>
    <w:rsid w:val="00151C07"/>
    <w:rsid w:val="00151D82"/>
    <w:rsid w:val="0015267F"/>
    <w:rsid w:val="001527AC"/>
    <w:rsid w:val="00152889"/>
    <w:rsid w:val="001529F4"/>
    <w:rsid w:val="00153956"/>
    <w:rsid w:val="00153A71"/>
    <w:rsid w:val="00153C49"/>
    <w:rsid w:val="00154746"/>
    <w:rsid w:val="00154D68"/>
    <w:rsid w:val="00154D75"/>
    <w:rsid w:val="00154D7A"/>
    <w:rsid w:val="00154E16"/>
    <w:rsid w:val="00155214"/>
    <w:rsid w:val="001554D0"/>
    <w:rsid w:val="00155A41"/>
    <w:rsid w:val="00155FD4"/>
    <w:rsid w:val="001560AB"/>
    <w:rsid w:val="0015630A"/>
    <w:rsid w:val="001564B1"/>
    <w:rsid w:val="0015675B"/>
    <w:rsid w:val="00156B4F"/>
    <w:rsid w:val="0015717C"/>
    <w:rsid w:val="001571DE"/>
    <w:rsid w:val="00157224"/>
    <w:rsid w:val="00157495"/>
    <w:rsid w:val="00157788"/>
    <w:rsid w:val="0015799F"/>
    <w:rsid w:val="001579D7"/>
    <w:rsid w:val="00157D2B"/>
    <w:rsid w:val="00160005"/>
    <w:rsid w:val="001601D6"/>
    <w:rsid w:val="001604C3"/>
    <w:rsid w:val="00160514"/>
    <w:rsid w:val="0016060C"/>
    <w:rsid w:val="00160C62"/>
    <w:rsid w:val="00161156"/>
    <w:rsid w:val="00161574"/>
    <w:rsid w:val="00161886"/>
    <w:rsid w:val="001618D7"/>
    <w:rsid w:val="00161D8A"/>
    <w:rsid w:val="0016226A"/>
    <w:rsid w:val="00162722"/>
    <w:rsid w:val="00163047"/>
    <w:rsid w:val="00163449"/>
    <w:rsid w:val="00163E02"/>
    <w:rsid w:val="00164057"/>
    <w:rsid w:val="00164225"/>
    <w:rsid w:val="00164380"/>
    <w:rsid w:val="00164468"/>
    <w:rsid w:val="0016452D"/>
    <w:rsid w:val="001648E7"/>
    <w:rsid w:val="00164ACB"/>
    <w:rsid w:val="00164FA1"/>
    <w:rsid w:val="00165140"/>
    <w:rsid w:val="00165385"/>
    <w:rsid w:val="001654E9"/>
    <w:rsid w:val="001656FD"/>
    <w:rsid w:val="00165766"/>
    <w:rsid w:val="001659A4"/>
    <w:rsid w:val="00165C56"/>
    <w:rsid w:val="00165F4E"/>
    <w:rsid w:val="00166549"/>
    <w:rsid w:val="001667F5"/>
    <w:rsid w:val="001668C0"/>
    <w:rsid w:val="00166A3C"/>
    <w:rsid w:val="00166BF1"/>
    <w:rsid w:val="00166F02"/>
    <w:rsid w:val="0016708E"/>
    <w:rsid w:val="001674E6"/>
    <w:rsid w:val="00167D88"/>
    <w:rsid w:val="0017004C"/>
    <w:rsid w:val="0017017D"/>
    <w:rsid w:val="0017097E"/>
    <w:rsid w:val="0017117C"/>
    <w:rsid w:val="001715A8"/>
    <w:rsid w:val="00171B81"/>
    <w:rsid w:val="00171C7B"/>
    <w:rsid w:val="00172209"/>
    <w:rsid w:val="00172249"/>
    <w:rsid w:val="001722B5"/>
    <w:rsid w:val="0017257F"/>
    <w:rsid w:val="001725C4"/>
    <w:rsid w:val="00172DC6"/>
    <w:rsid w:val="00172F17"/>
    <w:rsid w:val="001731C6"/>
    <w:rsid w:val="0017321E"/>
    <w:rsid w:val="00173B5D"/>
    <w:rsid w:val="001745AB"/>
    <w:rsid w:val="00174728"/>
    <w:rsid w:val="0017491D"/>
    <w:rsid w:val="00174AED"/>
    <w:rsid w:val="00174C02"/>
    <w:rsid w:val="00174FAA"/>
    <w:rsid w:val="00175352"/>
    <w:rsid w:val="001754D2"/>
    <w:rsid w:val="001756E8"/>
    <w:rsid w:val="001757AA"/>
    <w:rsid w:val="00175B18"/>
    <w:rsid w:val="00175CAC"/>
    <w:rsid w:val="00175EF5"/>
    <w:rsid w:val="0017632E"/>
    <w:rsid w:val="0017655E"/>
    <w:rsid w:val="00176923"/>
    <w:rsid w:val="00176B85"/>
    <w:rsid w:val="00176D2A"/>
    <w:rsid w:val="00177106"/>
    <w:rsid w:val="001772EA"/>
    <w:rsid w:val="0017739D"/>
    <w:rsid w:val="001774A8"/>
    <w:rsid w:val="00177617"/>
    <w:rsid w:val="00177715"/>
    <w:rsid w:val="00177B56"/>
    <w:rsid w:val="00180272"/>
    <w:rsid w:val="00180A77"/>
    <w:rsid w:val="00180C06"/>
    <w:rsid w:val="00180C0E"/>
    <w:rsid w:val="00180C61"/>
    <w:rsid w:val="0018147C"/>
    <w:rsid w:val="001814E2"/>
    <w:rsid w:val="001816AD"/>
    <w:rsid w:val="001817EA"/>
    <w:rsid w:val="00181AAF"/>
    <w:rsid w:val="0018205C"/>
    <w:rsid w:val="00182405"/>
    <w:rsid w:val="00182700"/>
    <w:rsid w:val="00182C5D"/>
    <w:rsid w:val="00182CFB"/>
    <w:rsid w:val="00183126"/>
    <w:rsid w:val="00183128"/>
    <w:rsid w:val="0018328C"/>
    <w:rsid w:val="0018372E"/>
    <w:rsid w:val="0018373C"/>
    <w:rsid w:val="001845EA"/>
    <w:rsid w:val="00184B27"/>
    <w:rsid w:val="00184C4A"/>
    <w:rsid w:val="00184CDA"/>
    <w:rsid w:val="00184EDD"/>
    <w:rsid w:val="00185581"/>
    <w:rsid w:val="001856DF"/>
    <w:rsid w:val="00185B81"/>
    <w:rsid w:val="00185BBB"/>
    <w:rsid w:val="00185D9B"/>
    <w:rsid w:val="00186119"/>
    <w:rsid w:val="001862A2"/>
    <w:rsid w:val="00186F71"/>
    <w:rsid w:val="001876EE"/>
    <w:rsid w:val="00187C18"/>
    <w:rsid w:val="00187E81"/>
    <w:rsid w:val="00190111"/>
    <w:rsid w:val="00191381"/>
    <w:rsid w:val="001914B6"/>
    <w:rsid w:val="00191544"/>
    <w:rsid w:val="00191729"/>
    <w:rsid w:val="00191F1A"/>
    <w:rsid w:val="00192131"/>
    <w:rsid w:val="0019223F"/>
    <w:rsid w:val="001922FE"/>
    <w:rsid w:val="00192497"/>
    <w:rsid w:val="001926CA"/>
    <w:rsid w:val="00192870"/>
    <w:rsid w:val="00192B7B"/>
    <w:rsid w:val="00192CA9"/>
    <w:rsid w:val="00192E5E"/>
    <w:rsid w:val="00193097"/>
    <w:rsid w:val="001930BB"/>
    <w:rsid w:val="00193299"/>
    <w:rsid w:val="00193621"/>
    <w:rsid w:val="00193C3D"/>
    <w:rsid w:val="0019418A"/>
    <w:rsid w:val="00194347"/>
    <w:rsid w:val="001943BB"/>
    <w:rsid w:val="0019467E"/>
    <w:rsid w:val="0019488D"/>
    <w:rsid w:val="001949BF"/>
    <w:rsid w:val="00194D4C"/>
    <w:rsid w:val="00194E7F"/>
    <w:rsid w:val="0019510C"/>
    <w:rsid w:val="001954E7"/>
    <w:rsid w:val="00195540"/>
    <w:rsid w:val="00195999"/>
    <w:rsid w:val="00195DC7"/>
    <w:rsid w:val="001964FB"/>
    <w:rsid w:val="001966B7"/>
    <w:rsid w:val="001967CA"/>
    <w:rsid w:val="00196D57"/>
    <w:rsid w:val="00196E8C"/>
    <w:rsid w:val="001970B8"/>
    <w:rsid w:val="001970C1"/>
    <w:rsid w:val="001973ED"/>
    <w:rsid w:val="00197543"/>
    <w:rsid w:val="001977E1"/>
    <w:rsid w:val="00197CC5"/>
    <w:rsid w:val="00197E03"/>
    <w:rsid w:val="001A0430"/>
    <w:rsid w:val="001A0573"/>
    <w:rsid w:val="001A06FB"/>
    <w:rsid w:val="001A12D5"/>
    <w:rsid w:val="001A13E9"/>
    <w:rsid w:val="001A20F1"/>
    <w:rsid w:val="001A2215"/>
    <w:rsid w:val="001A22BD"/>
    <w:rsid w:val="001A281A"/>
    <w:rsid w:val="001A345B"/>
    <w:rsid w:val="001A34A0"/>
    <w:rsid w:val="001A34C1"/>
    <w:rsid w:val="001A35E8"/>
    <w:rsid w:val="001A370D"/>
    <w:rsid w:val="001A4036"/>
    <w:rsid w:val="001A4227"/>
    <w:rsid w:val="001A42B7"/>
    <w:rsid w:val="001A43FC"/>
    <w:rsid w:val="001A4680"/>
    <w:rsid w:val="001A4F8F"/>
    <w:rsid w:val="001A539A"/>
    <w:rsid w:val="001A54BC"/>
    <w:rsid w:val="001A5CC2"/>
    <w:rsid w:val="001A635D"/>
    <w:rsid w:val="001A6F1A"/>
    <w:rsid w:val="001A75F4"/>
    <w:rsid w:val="001A760C"/>
    <w:rsid w:val="001A7763"/>
    <w:rsid w:val="001A7816"/>
    <w:rsid w:val="001A7BF3"/>
    <w:rsid w:val="001B029F"/>
    <w:rsid w:val="001B04C6"/>
    <w:rsid w:val="001B055D"/>
    <w:rsid w:val="001B073B"/>
    <w:rsid w:val="001B0CD1"/>
    <w:rsid w:val="001B1324"/>
    <w:rsid w:val="001B1616"/>
    <w:rsid w:val="001B161D"/>
    <w:rsid w:val="001B1D5D"/>
    <w:rsid w:val="001B2191"/>
    <w:rsid w:val="001B2853"/>
    <w:rsid w:val="001B2F8B"/>
    <w:rsid w:val="001B3013"/>
    <w:rsid w:val="001B3208"/>
    <w:rsid w:val="001B3587"/>
    <w:rsid w:val="001B37AE"/>
    <w:rsid w:val="001B390F"/>
    <w:rsid w:val="001B39CC"/>
    <w:rsid w:val="001B3C00"/>
    <w:rsid w:val="001B3DA8"/>
    <w:rsid w:val="001B4014"/>
    <w:rsid w:val="001B4443"/>
    <w:rsid w:val="001B444B"/>
    <w:rsid w:val="001B455D"/>
    <w:rsid w:val="001B4820"/>
    <w:rsid w:val="001B49A2"/>
    <w:rsid w:val="001B4A54"/>
    <w:rsid w:val="001B4D83"/>
    <w:rsid w:val="001B4DC9"/>
    <w:rsid w:val="001B54B7"/>
    <w:rsid w:val="001B57F5"/>
    <w:rsid w:val="001B58CF"/>
    <w:rsid w:val="001B596E"/>
    <w:rsid w:val="001B5BE8"/>
    <w:rsid w:val="001B60F0"/>
    <w:rsid w:val="001B643D"/>
    <w:rsid w:val="001B64C3"/>
    <w:rsid w:val="001B6CE5"/>
    <w:rsid w:val="001B6F83"/>
    <w:rsid w:val="001B6FC8"/>
    <w:rsid w:val="001B700B"/>
    <w:rsid w:val="001B7193"/>
    <w:rsid w:val="001B724F"/>
    <w:rsid w:val="001B7854"/>
    <w:rsid w:val="001B7A84"/>
    <w:rsid w:val="001B7B5D"/>
    <w:rsid w:val="001B7F1F"/>
    <w:rsid w:val="001C00E3"/>
    <w:rsid w:val="001C0459"/>
    <w:rsid w:val="001C0596"/>
    <w:rsid w:val="001C0D1B"/>
    <w:rsid w:val="001C12EE"/>
    <w:rsid w:val="001C184D"/>
    <w:rsid w:val="001C1A37"/>
    <w:rsid w:val="001C2289"/>
    <w:rsid w:val="001C2784"/>
    <w:rsid w:val="001C396B"/>
    <w:rsid w:val="001C3AC4"/>
    <w:rsid w:val="001C3C70"/>
    <w:rsid w:val="001C3E55"/>
    <w:rsid w:val="001C41B7"/>
    <w:rsid w:val="001C42B0"/>
    <w:rsid w:val="001C4302"/>
    <w:rsid w:val="001C45E8"/>
    <w:rsid w:val="001C4D23"/>
    <w:rsid w:val="001C50BA"/>
    <w:rsid w:val="001C5575"/>
    <w:rsid w:val="001C61BA"/>
    <w:rsid w:val="001C63BA"/>
    <w:rsid w:val="001C64AF"/>
    <w:rsid w:val="001C64B7"/>
    <w:rsid w:val="001C6DE2"/>
    <w:rsid w:val="001C6F37"/>
    <w:rsid w:val="001C7145"/>
    <w:rsid w:val="001C7C63"/>
    <w:rsid w:val="001D020B"/>
    <w:rsid w:val="001D044F"/>
    <w:rsid w:val="001D0A30"/>
    <w:rsid w:val="001D0B7A"/>
    <w:rsid w:val="001D0BD3"/>
    <w:rsid w:val="001D111E"/>
    <w:rsid w:val="001D1148"/>
    <w:rsid w:val="001D1387"/>
    <w:rsid w:val="001D16BA"/>
    <w:rsid w:val="001D2383"/>
    <w:rsid w:val="001D2609"/>
    <w:rsid w:val="001D2712"/>
    <w:rsid w:val="001D2948"/>
    <w:rsid w:val="001D2DEC"/>
    <w:rsid w:val="001D3485"/>
    <w:rsid w:val="001D3546"/>
    <w:rsid w:val="001D36DD"/>
    <w:rsid w:val="001D3708"/>
    <w:rsid w:val="001D39B9"/>
    <w:rsid w:val="001D3A50"/>
    <w:rsid w:val="001D3ABE"/>
    <w:rsid w:val="001D3D29"/>
    <w:rsid w:val="001D4C0A"/>
    <w:rsid w:val="001D4E8B"/>
    <w:rsid w:val="001D50C2"/>
    <w:rsid w:val="001D6069"/>
    <w:rsid w:val="001D633A"/>
    <w:rsid w:val="001D66A1"/>
    <w:rsid w:val="001D6963"/>
    <w:rsid w:val="001D69C2"/>
    <w:rsid w:val="001D6A54"/>
    <w:rsid w:val="001D740E"/>
    <w:rsid w:val="001D7FB9"/>
    <w:rsid w:val="001E0126"/>
    <w:rsid w:val="001E038E"/>
    <w:rsid w:val="001E076A"/>
    <w:rsid w:val="001E088D"/>
    <w:rsid w:val="001E126C"/>
    <w:rsid w:val="001E1435"/>
    <w:rsid w:val="001E1735"/>
    <w:rsid w:val="001E20C9"/>
    <w:rsid w:val="001E22C4"/>
    <w:rsid w:val="001E24AF"/>
    <w:rsid w:val="001E29C4"/>
    <w:rsid w:val="001E2CF0"/>
    <w:rsid w:val="001E2FCE"/>
    <w:rsid w:val="001E382E"/>
    <w:rsid w:val="001E3A27"/>
    <w:rsid w:val="001E3D5A"/>
    <w:rsid w:val="001E3D62"/>
    <w:rsid w:val="001E3E8C"/>
    <w:rsid w:val="001E422A"/>
    <w:rsid w:val="001E4293"/>
    <w:rsid w:val="001E4882"/>
    <w:rsid w:val="001E490E"/>
    <w:rsid w:val="001E495E"/>
    <w:rsid w:val="001E4E43"/>
    <w:rsid w:val="001E4FF7"/>
    <w:rsid w:val="001E50CD"/>
    <w:rsid w:val="001E5497"/>
    <w:rsid w:val="001E5AF2"/>
    <w:rsid w:val="001E5CAD"/>
    <w:rsid w:val="001E64C1"/>
    <w:rsid w:val="001E6699"/>
    <w:rsid w:val="001E790F"/>
    <w:rsid w:val="001E7EA1"/>
    <w:rsid w:val="001F00DD"/>
    <w:rsid w:val="001F0231"/>
    <w:rsid w:val="001F02BD"/>
    <w:rsid w:val="001F04E0"/>
    <w:rsid w:val="001F057B"/>
    <w:rsid w:val="001F08D8"/>
    <w:rsid w:val="001F0F8E"/>
    <w:rsid w:val="001F1253"/>
    <w:rsid w:val="001F136D"/>
    <w:rsid w:val="001F14EF"/>
    <w:rsid w:val="001F18B0"/>
    <w:rsid w:val="001F1C18"/>
    <w:rsid w:val="001F20A0"/>
    <w:rsid w:val="001F2678"/>
    <w:rsid w:val="001F2C16"/>
    <w:rsid w:val="001F2CC5"/>
    <w:rsid w:val="001F3557"/>
    <w:rsid w:val="001F3CD8"/>
    <w:rsid w:val="001F4288"/>
    <w:rsid w:val="001F49B8"/>
    <w:rsid w:val="001F4ABB"/>
    <w:rsid w:val="001F521B"/>
    <w:rsid w:val="001F5A98"/>
    <w:rsid w:val="001F5AB9"/>
    <w:rsid w:val="001F5BE3"/>
    <w:rsid w:val="001F5F89"/>
    <w:rsid w:val="001F5FF5"/>
    <w:rsid w:val="001F6518"/>
    <w:rsid w:val="001F7091"/>
    <w:rsid w:val="001F76B9"/>
    <w:rsid w:val="001F77BE"/>
    <w:rsid w:val="001F7AD9"/>
    <w:rsid w:val="001F7B72"/>
    <w:rsid w:val="00200388"/>
    <w:rsid w:val="002009C4"/>
    <w:rsid w:val="002009E6"/>
    <w:rsid w:val="00200AB4"/>
    <w:rsid w:val="00200BC5"/>
    <w:rsid w:val="00200C28"/>
    <w:rsid w:val="00200CDD"/>
    <w:rsid w:val="00200E25"/>
    <w:rsid w:val="00200E6E"/>
    <w:rsid w:val="00201051"/>
    <w:rsid w:val="00201106"/>
    <w:rsid w:val="002018F9"/>
    <w:rsid w:val="00201C71"/>
    <w:rsid w:val="0020223A"/>
    <w:rsid w:val="00202539"/>
    <w:rsid w:val="00202AFC"/>
    <w:rsid w:val="002035B9"/>
    <w:rsid w:val="002036E2"/>
    <w:rsid w:val="0020390C"/>
    <w:rsid w:val="00203A09"/>
    <w:rsid w:val="00203C82"/>
    <w:rsid w:val="00203CF3"/>
    <w:rsid w:val="002046FE"/>
    <w:rsid w:val="00204955"/>
    <w:rsid w:val="00204C60"/>
    <w:rsid w:val="002053DB"/>
    <w:rsid w:val="002054DD"/>
    <w:rsid w:val="002055BC"/>
    <w:rsid w:val="00205B89"/>
    <w:rsid w:val="00205B8D"/>
    <w:rsid w:val="002060DF"/>
    <w:rsid w:val="00206133"/>
    <w:rsid w:val="0020651A"/>
    <w:rsid w:val="00206CCC"/>
    <w:rsid w:val="0020761A"/>
    <w:rsid w:val="00207A32"/>
    <w:rsid w:val="00210630"/>
    <w:rsid w:val="00210C4A"/>
    <w:rsid w:val="002112CF"/>
    <w:rsid w:val="002117BD"/>
    <w:rsid w:val="00211865"/>
    <w:rsid w:val="00211E11"/>
    <w:rsid w:val="00211F45"/>
    <w:rsid w:val="00212449"/>
    <w:rsid w:val="00213202"/>
    <w:rsid w:val="0021339F"/>
    <w:rsid w:val="002134AA"/>
    <w:rsid w:val="00213558"/>
    <w:rsid w:val="00213997"/>
    <w:rsid w:val="00213ED2"/>
    <w:rsid w:val="00213F78"/>
    <w:rsid w:val="002140AF"/>
    <w:rsid w:val="002147A1"/>
    <w:rsid w:val="00214961"/>
    <w:rsid w:val="00214F34"/>
    <w:rsid w:val="002150CF"/>
    <w:rsid w:val="0021512B"/>
    <w:rsid w:val="002151FF"/>
    <w:rsid w:val="00215248"/>
    <w:rsid w:val="002158C1"/>
    <w:rsid w:val="00215B72"/>
    <w:rsid w:val="00215EE8"/>
    <w:rsid w:val="00215FC0"/>
    <w:rsid w:val="002165F9"/>
    <w:rsid w:val="00216619"/>
    <w:rsid w:val="00216AA0"/>
    <w:rsid w:val="00216DD7"/>
    <w:rsid w:val="00216FDF"/>
    <w:rsid w:val="002171B6"/>
    <w:rsid w:val="00217549"/>
    <w:rsid w:val="00217922"/>
    <w:rsid w:val="00217B21"/>
    <w:rsid w:val="00217D51"/>
    <w:rsid w:val="00220027"/>
    <w:rsid w:val="002200C2"/>
    <w:rsid w:val="00220F1A"/>
    <w:rsid w:val="002211D4"/>
    <w:rsid w:val="00221423"/>
    <w:rsid w:val="00221A0A"/>
    <w:rsid w:val="00221A9B"/>
    <w:rsid w:val="0022231A"/>
    <w:rsid w:val="002225C8"/>
    <w:rsid w:val="002227F2"/>
    <w:rsid w:val="00222D8C"/>
    <w:rsid w:val="00222F1E"/>
    <w:rsid w:val="00222F1F"/>
    <w:rsid w:val="00223102"/>
    <w:rsid w:val="00223173"/>
    <w:rsid w:val="00223253"/>
    <w:rsid w:val="0022341E"/>
    <w:rsid w:val="0022369C"/>
    <w:rsid w:val="00223CFF"/>
    <w:rsid w:val="0022407D"/>
    <w:rsid w:val="00224559"/>
    <w:rsid w:val="00224686"/>
    <w:rsid w:val="002246DD"/>
    <w:rsid w:val="002248DD"/>
    <w:rsid w:val="0022526C"/>
    <w:rsid w:val="00225460"/>
    <w:rsid w:val="0022547F"/>
    <w:rsid w:val="002258CA"/>
    <w:rsid w:val="00225C83"/>
    <w:rsid w:val="00225D92"/>
    <w:rsid w:val="00225F09"/>
    <w:rsid w:val="0022615C"/>
    <w:rsid w:val="0022632C"/>
    <w:rsid w:val="002267F0"/>
    <w:rsid w:val="0022685C"/>
    <w:rsid w:val="00226870"/>
    <w:rsid w:val="0022693A"/>
    <w:rsid w:val="00226B74"/>
    <w:rsid w:val="00226F23"/>
    <w:rsid w:val="00226FAD"/>
    <w:rsid w:val="002273E9"/>
    <w:rsid w:val="00227486"/>
    <w:rsid w:val="0022774D"/>
    <w:rsid w:val="00227D63"/>
    <w:rsid w:val="002304FA"/>
    <w:rsid w:val="002307AE"/>
    <w:rsid w:val="002309A7"/>
    <w:rsid w:val="00230B86"/>
    <w:rsid w:val="00230BA5"/>
    <w:rsid w:val="00230EED"/>
    <w:rsid w:val="002312AB"/>
    <w:rsid w:val="0023147E"/>
    <w:rsid w:val="00231C84"/>
    <w:rsid w:val="00231C9D"/>
    <w:rsid w:val="00231CDE"/>
    <w:rsid w:val="00231D69"/>
    <w:rsid w:val="00231E43"/>
    <w:rsid w:val="00231EF3"/>
    <w:rsid w:val="00232263"/>
    <w:rsid w:val="00232797"/>
    <w:rsid w:val="00232B9F"/>
    <w:rsid w:val="00232BCB"/>
    <w:rsid w:val="00232CD5"/>
    <w:rsid w:val="00232CF9"/>
    <w:rsid w:val="00232DAF"/>
    <w:rsid w:val="00233616"/>
    <w:rsid w:val="002347C2"/>
    <w:rsid w:val="00234938"/>
    <w:rsid w:val="002349BF"/>
    <w:rsid w:val="00234F61"/>
    <w:rsid w:val="00235190"/>
    <w:rsid w:val="00235614"/>
    <w:rsid w:val="00235BDE"/>
    <w:rsid w:val="00235CD3"/>
    <w:rsid w:val="00235E9C"/>
    <w:rsid w:val="002364B8"/>
    <w:rsid w:val="002377BC"/>
    <w:rsid w:val="00237C4F"/>
    <w:rsid w:val="00237D49"/>
    <w:rsid w:val="00237F3E"/>
    <w:rsid w:val="0024037E"/>
    <w:rsid w:val="00240785"/>
    <w:rsid w:val="00240E3B"/>
    <w:rsid w:val="00240F8B"/>
    <w:rsid w:val="00241022"/>
    <w:rsid w:val="0024178B"/>
    <w:rsid w:val="0024185C"/>
    <w:rsid w:val="00241B20"/>
    <w:rsid w:val="00241B5F"/>
    <w:rsid w:val="00241C2A"/>
    <w:rsid w:val="00241C41"/>
    <w:rsid w:val="0024240B"/>
    <w:rsid w:val="0024275E"/>
    <w:rsid w:val="002428BA"/>
    <w:rsid w:val="00242914"/>
    <w:rsid w:val="00242CAC"/>
    <w:rsid w:val="002433C2"/>
    <w:rsid w:val="002435B9"/>
    <w:rsid w:val="00243B14"/>
    <w:rsid w:val="00243B2B"/>
    <w:rsid w:val="00243B53"/>
    <w:rsid w:val="00243B81"/>
    <w:rsid w:val="00244460"/>
    <w:rsid w:val="002449FF"/>
    <w:rsid w:val="00245150"/>
    <w:rsid w:val="002453F4"/>
    <w:rsid w:val="002457D0"/>
    <w:rsid w:val="002465DF"/>
    <w:rsid w:val="00246661"/>
    <w:rsid w:val="002466A7"/>
    <w:rsid w:val="0024680B"/>
    <w:rsid w:val="00246A61"/>
    <w:rsid w:val="00246CC9"/>
    <w:rsid w:val="00247006"/>
    <w:rsid w:val="0024726F"/>
    <w:rsid w:val="00247759"/>
    <w:rsid w:val="00247984"/>
    <w:rsid w:val="00247C11"/>
    <w:rsid w:val="00247C20"/>
    <w:rsid w:val="002500E3"/>
    <w:rsid w:val="002505BB"/>
    <w:rsid w:val="00250CDE"/>
    <w:rsid w:val="00250EC4"/>
    <w:rsid w:val="00250F74"/>
    <w:rsid w:val="0025110B"/>
    <w:rsid w:val="00251119"/>
    <w:rsid w:val="002511DD"/>
    <w:rsid w:val="00251368"/>
    <w:rsid w:val="002515F5"/>
    <w:rsid w:val="0025165E"/>
    <w:rsid w:val="00251AF7"/>
    <w:rsid w:val="00251EBA"/>
    <w:rsid w:val="00251F38"/>
    <w:rsid w:val="00252202"/>
    <w:rsid w:val="0025224B"/>
    <w:rsid w:val="00253176"/>
    <w:rsid w:val="0025397C"/>
    <w:rsid w:val="00253E37"/>
    <w:rsid w:val="00253EE2"/>
    <w:rsid w:val="00253EFD"/>
    <w:rsid w:val="002546BD"/>
    <w:rsid w:val="00254A19"/>
    <w:rsid w:val="00254AFC"/>
    <w:rsid w:val="00254EEC"/>
    <w:rsid w:val="0025524A"/>
    <w:rsid w:val="0025527F"/>
    <w:rsid w:val="00255B3D"/>
    <w:rsid w:val="00255BD7"/>
    <w:rsid w:val="0025644A"/>
    <w:rsid w:val="00256E04"/>
    <w:rsid w:val="00257077"/>
    <w:rsid w:val="002571B2"/>
    <w:rsid w:val="00257431"/>
    <w:rsid w:val="002574BA"/>
    <w:rsid w:val="00257805"/>
    <w:rsid w:val="00257B0C"/>
    <w:rsid w:val="00257E0D"/>
    <w:rsid w:val="00257F1A"/>
    <w:rsid w:val="0026031D"/>
    <w:rsid w:val="002604F5"/>
    <w:rsid w:val="00260747"/>
    <w:rsid w:val="00260808"/>
    <w:rsid w:val="00260D55"/>
    <w:rsid w:val="00260F00"/>
    <w:rsid w:val="00260F50"/>
    <w:rsid w:val="00261C2D"/>
    <w:rsid w:val="00261E10"/>
    <w:rsid w:val="00261F26"/>
    <w:rsid w:val="0026209B"/>
    <w:rsid w:val="002620AE"/>
    <w:rsid w:val="00262264"/>
    <w:rsid w:val="002623FF"/>
    <w:rsid w:val="002625EC"/>
    <w:rsid w:val="00262897"/>
    <w:rsid w:val="00262BC6"/>
    <w:rsid w:val="00262DB3"/>
    <w:rsid w:val="00262FD3"/>
    <w:rsid w:val="002632A4"/>
    <w:rsid w:val="00263439"/>
    <w:rsid w:val="0026444D"/>
    <w:rsid w:val="0026447F"/>
    <w:rsid w:val="002645E8"/>
    <w:rsid w:val="00264B62"/>
    <w:rsid w:val="00265415"/>
    <w:rsid w:val="00265441"/>
    <w:rsid w:val="00265531"/>
    <w:rsid w:val="00265711"/>
    <w:rsid w:val="00265C77"/>
    <w:rsid w:val="00265E1A"/>
    <w:rsid w:val="00266235"/>
    <w:rsid w:val="00266D27"/>
    <w:rsid w:val="00266DFC"/>
    <w:rsid w:val="00266E2A"/>
    <w:rsid w:val="00266EF4"/>
    <w:rsid w:val="00267139"/>
    <w:rsid w:val="0026743D"/>
    <w:rsid w:val="00267956"/>
    <w:rsid w:val="002702AD"/>
    <w:rsid w:val="002707C1"/>
    <w:rsid w:val="00271235"/>
    <w:rsid w:val="002713BB"/>
    <w:rsid w:val="00271451"/>
    <w:rsid w:val="00271524"/>
    <w:rsid w:val="00271ED9"/>
    <w:rsid w:val="002722BE"/>
    <w:rsid w:val="002724D1"/>
    <w:rsid w:val="00272506"/>
    <w:rsid w:val="002726E9"/>
    <w:rsid w:val="00272704"/>
    <w:rsid w:val="00272D84"/>
    <w:rsid w:val="00272E22"/>
    <w:rsid w:val="00273480"/>
    <w:rsid w:val="002734E5"/>
    <w:rsid w:val="00273986"/>
    <w:rsid w:val="00273B77"/>
    <w:rsid w:val="00273C5A"/>
    <w:rsid w:val="00273C60"/>
    <w:rsid w:val="00273EDB"/>
    <w:rsid w:val="00274935"/>
    <w:rsid w:val="00274B98"/>
    <w:rsid w:val="00274BFA"/>
    <w:rsid w:val="00274D09"/>
    <w:rsid w:val="002751F2"/>
    <w:rsid w:val="00275237"/>
    <w:rsid w:val="00275383"/>
    <w:rsid w:val="002755B2"/>
    <w:rsid w:val="00275ECA"/>
    <w:rsid w:val="00275F0B"/>
    <w:rsid w:val="00275F9A"/>
    <w:rsid w:val="002762FC"/>
    <w:rsid w:val="00276504"/>
    <w:rsid w:val="002767F1"/>
    <w:rsid w:val="00276BCA"/>
    <w:rsid w:val="00276D3F"/>
    <w:rsid w:val="00276E7A"/>
    <w:rsid w:val="00276F1F"/>
    <w:rsid w:val="002773B3"/>
    <w:rsid w:val="00277992"/>
    <w:rsid w:val="00277C57"/>
    <w:rsid w:val="002808F8"/>
    <w:rsid w:val="002809B8"/>
    <w:rsid w:val="00280AA7"/>
    <w:rsid w:val="00280CD4"/>
    <w:rsid w:val="00280DE0"/>
    <w:rsid w:val="002810AC"/>
    <w:rsid w:val="00281996"/>
    <w:rsid w:val="00281DAC"/>
    <w:rsid w:val="00281ED0"/>
    <w:rsid w:val="00282757"/>
    <w:rsid w:val="00282A09"/>
    <w:rsid w:val="00282D89"/>
    <w:rsid w:val="00282DEB"/>
    <w:rsid w:val="00282E8C"/>
    <w:rsid w:val="0028320E"/>
    <w:rsid w:val="002832D9"/>
    <w:rsid w:val="002838B7"/>
    <w:rsid w:val="00284110"/>
    <w:rsid w:val="0028450C"/>
    <w:rsid w:val="00284731"/>
    <w:rsid w:val="00284841"/>
    <w:rsid w:val="00285C50"/>
    <w:rsid w:val="00285DC8"/>
    <w:rsid w:val="00285E5A"/>
    <w:rsid w:val="002866AA"/>
    <w:rsid w:val="00286C14"/>
    <w:rsid w:val="00286EC3"/>
    <w:rsid w:val="00287789"/>
    <w:rsid w:val="00287A47"/>
    <w:rsid w:val="00287B11"/>
    <w:rsid w:val="00290716"/>
    <w:rsid w:val="00290BDD"/>
    <w:rsid w:val="002916F8"/>
    <w:rsid w:val="00291DE2"/>
    <w:rsid w:val="0029213E"/>
    <w:rsid w:val="00292BEB"/>
    <w:rsid w:val="00292CEF"/>
    <w:rsid w:val="002936E4"/>
    <w:rsid w:val="00293888"/>
    <w:rsid w:val="00293A9B"/>
    <w:rsid w:val="00293B2B"/>
    <w:rsid w:val="00293E09"/>
    <w:rsid w:val="00294C0C"/>
    <w:rsid w:val="00294F9F"/>
    <w:rsid w:val="002951A8"/>
    <w:rsid w:val="0029552E"/>
    <w:rsid w:val="0029553B"/>
    <w:rsid w:val="00295794"/>
    <w:rsid w:val="00295C78"/>
    <w:rsid w:val="0029623C"/>
    <w:rsid w:val="00296432"/>
    <w:rsid w:val="00296830"/>
    <w:rsid w:val="00296E09"/>
    <w:rsid w:val="00296E78"/>
    <w:rsid w:val="00297041"/>
    <w:rsid w:val="00297396"/>
    <w:rsid w:val="002978B1"/>
    <w:rsid w:val="00297CAA"/>
    <w:rsid w:val="002A03C0"/>
    <w:rsid w:val="002A053C"/>
    <w:rsid w:val="002A0A2B"/>
    <w:rsid w:val="002A0D0C"/>
    <w:rsid w:val="002A10A7"/>
    <w:rsid w:val="002A1904"/>
    <w:rsid w:val="002A1B0D"/>
    <w:rsid w:val="002A1BF9"/>
    <w:rsid w:val="002A1EAC"/>
    <w:rsid w:val="002A1F28"/>
    <w:rsid w:val="002A2074"/>
    <w:rsid w:val="002A2169"/>
    <w:rsid w:val="002A2801"/>
    <w:rsid w:val="002A2879"/>
    <w:rsid w:val="002A2A45"/>
    <w:rsid w:val="002A31C5"/>
    <w:rsid w:val="002A349B"/>
    <w:rsid w:val="002A35DB"/>
    <w:rsid w:val="002A39B1"/>
    <w:rsid w:val="002A43BC"/>
    <w:rsid w:val="002A43CF"/>
    <w:rsid w:val="002A449D"/>
    <w:rsid w:val="002A4524"/>
    <w:rsid w:val="002A45F1"/>
    <w:rsid w:val="002A4718"/>
    <w:rsid w:val="002A49BE"/>
    <w:rsid w:val="002A5115"/>
    <w:rsid w:val="002A5251"/>
    <w:rsid w:val="002A56BF"/>
    <w:rsid w:val="002A57AD"/>
    <w:rsid w:val="002A585D"/>
    <w:rsid w:val="002A5A00"/>
    <w:rsid w:val="002A604C"/>
    <w:rsid w:val="002A60C2"/>
    <w:rsid w:val="002A67E6"/>
    <w:rsid w:val="002A6E7F"/>
    <w:rsid w:val="002A6F34"/>
    <w:rsid w:val="002A707C"/>
    <w:rsid w:val="002B0023"/>
    <w:rsid w:val="002B0153"/>
    <w:rsid w:val="002B0C1A"/>
    <w:rsid w:val="002B115F"/>
    <w:rsid w:val="002B138F"/>
    <w:rsid w:val="002B142B"/>
    <w:rsid w:val="002B158B"/>
    <w:rsid w:val="002B158E"/>
    <w:rsid w:val="002B1836"/>
    <w:rsid w:val="002B1EA8"/>
    <w:rsid w:val="002B1F44"/>
    <w:rsid w:val="002B235E"/>
    <w:rsid w:val="002B2877"/>
    <w:rsid w:val="002B2B6E"/>
    <w:rsid w:val="002B2CCC"/>
    <w:rsid w:val="002B34B5"/>
    <w:rsid w:val="002B34D7"/>
    <w:rsid w:val="002B37F8"/>
    <w:rsid w:val="002B38E1"/>
    <w:rsid w:val="002B3B47"/>
    <w:rsid w:val="002B4998"/>
    <w:rsid w:val="002B4B2A"/>
    <w:rsid w:val="002B4EFF"/>
    <w:rsid w:val="002B503F"/>
    <w:rsid w:val="002B548A"/>
    <w:rsid w:val="002B54FF"/>
    <w:rsid w:val="002B5711"/>
    <w:rsid w:val="002B5A98"/>
    <w:rsid w:val="002B5AA0"/>
    <w:rsid w:val="002B5F02"/>
    <w:rsid w:val="002B6A9D"/>
    <w:rsid w:val="002B6CD6"/>
    <w:rsid w:val="002B6F17"/>
    <w:rsid w:val="002B736A"/>
    <w:rsid w:val="002B7674"/>
    <w:rsid w:val="002B76FC"/>
    <w:rsid w:val="002B7AAC"/>
    <w:rsid w:val="002B7D09"/>
    <w:rsid w:val="002B7D24"/>
    <w:rsid w:val="002C01C8"/>
    <w:rsid w:val="002C02FF"/>
    <w:rsid w:val="002C044C"/>
    <w:rsid w:val="002C04DB"/>
    <w:rsid w:val="002C0704"/>
    <w:rsid w:val="002C0762"/>
    <w:rsid w:val="002C0C8F"/>
    <w:rsid w:val="002C1965"/>
    <w:rsid w:val="002C2335"/>
    <w:rsid w:val="002C2B51"/>
    <w:rsid w:val="002C2E31"/>
    <w:rsid w:val="002C3036"/>
    <w:rsid w:val="002C30DB"/>
    <w:rsid w:val="002C3EE5"/>
    <w:rsid w:val="002C4E17"/>
    <w:rsid w:val="002C571E"/>
    <w:rsid w:val="002C5ADD"/>
    <w:rsid w:val="002C5BE2"/>
    <w:rsid w:val="002C614C"/>
    <w:rsid w:val="002C6287"/>
    <w:rsid w:val="002C6BF1"/>
    <w:rsid w:val="002C6D3C"/>
    <w:rsid w:val="002C716B"/>
    <w:rsid w:val="002C7D69"/>
    <w:rsid w:val="002C7EF9"/>
    <w:rsid w:val="002D0184"/>
    <w:rsid w:val="002D0230"/>
    <w:rsid w:val="002D02EC"/>
    <w:rsid w:val="002D0409"/>
    <w:rsid w:val="002D0A82"/>
    <w:rsid w:val="002D0B49"/>
    <w:rsid w:val="002D0DC6"/>
    <w:rsid w:val="002D0DEC"/>
    <w:rsid w:val="002D0E67"/>
    <w:rsid w:val="002D0F8D"/>
    <w:rsid w:val="002D107E"/>
    <w:rsid w:val="002D140B"/>
    <w:rsid w:val="002D1DF6"/>
    <w:rsid w:val="002D1FA7"/>
    <w:rsid w:val="002D206D"/>
    <w:rsid w:val="002D2198"/>
    <w:rsid w:val="002D225A"/>
    <w:rsid w:val="002D267C"/>
    <w:rsid w:val="002D2A26"/>
    <w:rsid w:val="002D2A30"/>
    <w:rsid w:val="002D2C6E"/>
    <w:rsid w:val="002D2E1C"/>
    <w:rsid w:val="002D37A7"/>
    <w:rsid w:val="002D3B1D"/>
    <w:rsid w:val="002D48B6"/>
    <w:rsid w:val="002D4A5B"/>
    <w:rsid w:val="002D4A77"/>
    <w:rsid w:val="002D4FC5"/>
    <w:rsid w:val="002D5702"/>
    <w:rsid w:val="002D599F"/>
    <w:rsid w:val="002D63E7"/>
    <w:rsid w:val="002D64BA"/>
    <w:rsid w:val="002D654A"/>
    <w:rsid w:val="002D69DD"/>
    <w:rsid w:val="002D6B75"/>
    <w:rsid w:val="002D6CFC"/>
    <w:rsid w:val="002D6F30"/>
    <w:rsid w:val="002D700D"/>
    <w:rsid w:val="002D70E2"/>
    <w:rsid w:val="002D7237"/>
    <w:rsid w:val="002D731D"/>
    <w:rsid w:val="002D7654"/>
    <w:rsid w:val="002E0622"/>
    <w:rsid w:val="002E0B10"/>
    <w:rsid w:val="002E0B1E"/>
    <w:rsid w:val="002E0B6E"/>
    <w:rsid w:val="002E0EDF"/>
    <w:rsid w:val="002E1047"/>
    <w:rsid w:val="002E154D"/>
    <w:rsid w:val="002E158E"/>
    <w:rsid w:val="002E26EC"/>
    <w:rsid w:val="002E2797"/>
    <w:rsid w:val="002E2812"/>
    <w:rsid w:val="002E28F5"/>
    <w:rsid w:val="002E2F42"/>
    <w:rsid w:val="002E3188"/>
    <w:rsid w:val="002E3317"/>
    <w:rsid w:val="002E33B1"/>
    <w:rsid w:val="002E3C6F"/>
    <w:rsid w:val="002E4D1C"/>
    <w:rsid w:val="002E5315"/>
    <w:rsid w:val="002E591A"/>
    <w:rsid w:val="002E5A90"/>
    <w:rsid w:val="002E6904"/>
    <w:rsid w:val="002E6A9B"/>
    <w:rsid w:val="002E6FB1"/>
    <w:rsid w:val="002E6FE1"/>
    <w:rsid w:val="002E700F"/>
    <w:rsid w:val="002E7260"/>
    <w:rsid w:val="002E73F3"/>
    <w:rsid w:val="002F0484"/>
    <w:rsid w:val="002F0742"/>
    <w:rsid w:val="002F09FE"/>
    <w:rsid w:val="002F1014"/>
    <w:rsid w:val="002F1117"/>
    <w:rsid w:val="002F1221"/>
    <w:rsid w:val="002F1325"/>
    <w:rsid w:val="002F1972"/>
    <w:rsid w:val="002F1B01"/>
    <w:rsid w:val="002F2B44"/>
    <w:rsid w:val="002F2D30"/>
    <w:rsid w:val="002F30EE"/>
    <w:rsid w:val="002F3309"/>
    <w:rsid w:val="002F3498"/>
    <w:rsid w:val="002F3723"/>
    <w:rsid w:val="002F3768"/>
    <w:rsid w:val="002F3916"/>
    <w:rsid w:val="002F3961"/>
    <w:rsid w:val="002F3C10"/>
    <w:rsid w:val="002F3EE8"/>
    <w:rsid w:val="002F4111"/>
    <w:rsid w:val="002F4746"/>
    <w:rsid w:val="002F48E5"/>
    <w:rsid w:val="002F4A16"/>
    <w:rsid w:val="002F4A52"/>
    <w:rsid w:val="002F5141"/>
    <w:rsid w:val="002F5788"/>
    <w:rsid w:val="002F5B74"/>
    <w:rsid w:val="002F5F1D"/>
    <w:rsid w:val="002F5FBE"/>
    <w:rsid w:val="002F600A"/>
    <w:rsid w:val="002F6160"/>
    <w:rsid w:val="002F61CD"/>
    <w:rsid w:val="002F67F7"/>
    <w:rsid w:val="002F67F8"/>
    <w:rsid w:val="002F693B"/>
    <w:rsid w:val="002F6960"/>
    <w:rsid w:val="002F6AC6"/>
    <w:rsid w:val="002F713B"/>
    <w:rsid w:val="002F71C2"/>
    <w:rsid w:val="002F7211"/>
    <w:rsid w:val="002F723C"/>
    <w:rsid w:val="002F7277"/>
    <w:rsid w:val="002F73A0"/>
    <w:rsid w:val="002F767E"/>
    <w:rsid w:val="00300ABB"/>
    <w:rsid w:val="00300DFE"/>
    <w:rsid w:val="00300E8A"/>
    <w:rsid w:val="0030115A"/>
    <w:rsid w:val="00301235"/>
    <w:rsid w:val="00301346"/>
    <w:rsid w:val="00301399"/>
    <w:rsid w:val="0030140D"/>
    <w:rsid w:val="00301899"/>
    <w:rsid w:val="00301970"/>
    <w:rsid w:val="00301CD9"/>
    <w:rsid w:val="00301E05"/>
    <w:rsid w:val="0030215F"/>
    <w:rsid w:val="00302181"/>
    <w:rsid w:val="00302331"/>
    <w:rsid w:val="00302342"/>
    <w:rsid w:val="0030258C"/>
    <w:rsid w:val="003026F4"/>
    <w:rsid w:val="0030295F"/>
    <w:rsid w:val="0030299F"/>
    <w:rsid w:val="00302A39"/>
    <w:rsid w:val="00302AB1"/>
    <w:rsid w:val="00302B32"/>
    <w:rsid w:val="00302B5E"/>
    <w:rsid w:val="00302D5A"/>
    <w:rsid w:val="00302FDE"/>
    <w:rsid w:val="003037DF"/>
    <w:rsid w:val="00303EDF"/>
    <w:rsid w:val="003040BE"/>
    <w:rsid w:val="00304201"/>
    <w:rsid w:val="0030436D"/>
    <w:rsid w:val="0030464F"/>
    <w:rsid w:val="003046EA"/>
    <w:rsid w:val="003047CF"/>
    <w:rsid w:val="00304971"/>
    <w:rsid w:val="00304A0D"/>
    <w:rsid w:val="00304A92"/>
    <w:rsid w:val="00304BA4"/>
    <w:rsid w:val="00304CAE"/>
    <w:rsid w:val="00304F75"/>
    <w:rsid w:val="00305F6D"/>
    <w:rsid w:val="00306447"/>
    <w:rsid w:val="0030650D"/>
    <w:rsid w:val="00306A2D"/>
    <w:rsid w:val="00306F26"/>
    <w:rsid w:val="003072A1"/>
    <w:rsid w:val="00307806"/>
    <w:rsid w:val="00307892"/>
    <w:rsid w:val="0030794E"/>
    <w:rsid w:val="00307C99"/>
    <w:rsid w:val="00307E19"/>
    <w:rsid w:val="00310853"/>
    <w:rsid w:val="00310B85"/>
    <w:rsid w:val="00310BDA"/>
    <w:rsid w:val="00310C0C"/>
    <w:rsid w:val="00310DFD"/>
    <w:rsid w:val="003111F2"/>
    <w:rsid w:val="0031202A"/>
    <w:rsid w:val="003120AD"/>
    <w:rsid w:val="00312A69"/>
    <w:rsid w:val="00312D41"/>
    <w:rsid w:val="00312E4A"/>
    <w:rsid w:val="00313DB2"/>
    <w:rsid w:val="0031475E"/>
    <w:rsid w:val="00314807"/>
    <w:rsid w:val="00314CB5"/>
    <w:rsid w:val="003150DC"/>
    <w:rsid w:val="00315180"/>
    <w:rsid w:val="003152C8"/>
    <w:rsid w:val="00315633"/>
    <w:rsid w:val="00315974"/>
    <w:rsid w:val="00315D0F"/>
    <w:rsid w:val="00315DE5"/>
    <w:rsid w:val="00316106"/>
    <w:rsid w:val="0031612B"/>
    <w:rsid w:val="00316223"/>
    <w:rsid w:val="0031624D"/>
    <w:rsid w:val="0031639E"/>
    <w:rsid w:val="00316566"/>
    <w:rsid w:val="003165C0"/>
    <w:rsid w:val="003167CE"/>
    <w:rsid w:val="00316B8A"/>
    <w:rsid w:val="00316BC9"/>
    <w:rsid w:val="00316D1F"/>
    <w:rsid w:val="0031739F"/>
    <w:rsid w:val="0031762F"/>
    <w:rsid w:val="00317E26"/>
    <w:rsid w:val="00317F06"/>
    <w:rsid w:val="0032028F"/>
    <w:rsid w:val="0032088C"/>
    <w:rsid w:val="003208C2"/>
    <w:rsid w:val="003208CE"/>
    <w:rsid w:val="00320F6F"/>
    <w:rsid w:val="003210A3"/>
    <w:rsid w:val="0032110C"/>
    <w:rsid w:val="003212C6"/>
    <w:rsid w:val="00321300"/>
    <w:rsid w:val="0032135A"/>
    <w:rsid w:val="00321CF7"/>
    <w:rsid w:val="00321D02"/>
    <w:rsid w:val="003225A8"/>
    <w:rsid w:val="00322619"/>
    <w:rsid w:val="00322697"/>
    <w:rsid w:val="00322773"/>
    <w:rsid w:val="0032292F"/>
    <w:rsid w:val="003229E6"/>
    <w:rsid w:val="00322C45"/>
    <w:rsid w:val="003236EE"/>
    <w:rsid w:val="003239C0"/>
    <w:rsid w:val="00323C53"/>
    <w:rsid w:val="00324029"/>
    <w:rsid w:val="0032411B"/>
    <w:rsid w:val="00325353"/>
    <w:rsid w:val="00325482"/>
    <w:rsid w:val="00325691"/>
    <w:rsid w:val="00325D9A"/>
    <w:rsid w:val="00325F0B"/>
    <w:rsid w:val="00325F8F"/>
    <w:rsid w:val="0032629B"/>
    <w:rsid w:val="00326879"/>
    <w:rsid w:val="00326A45"/>
    <w:rsid w:val="00326BF3"/>
    <w:rsid w:val="00326E61"/>
    <w:rsid w:val="003270B3"/>
    <w:rsid w:val="00327236"/>
    <w:rsid w:val="0032794F"/>
    <w:rsid w:val="00330429"/>
    <w:rsid w:val="003304ED"/>
    <w:rsid w:val="00330DEA"/>
    <w:rsid w:val="0033101F"/>
    <w:rsid w:val="0033121E"/>
    <w:rsid w:val="003312FD"/>
    <w:rsid w:val="003313DA"/>
    <w:rsid w:val="003318D0"/>
    <w:rsid w:val="0033194B"/>
    <w:rsid w:val="003319AB"/>
    <w:rsid w:val="003319B7"/>
    <w:rsid w:val="00332032"/>
    <w:rsid w:val="00332594"/>
    <w:rsid w:val="003328AE"/>
    <w:rsid w:val="00332E23"/>
    <w:rsid w:val="00333605"/>
    <w:rsid w:val="003338CF"/>
    <w:rsid w:val="00333DC9"/>
    <w:rsid w:val="003340F1"/>
    <w:rsid w:val="00334698"/>
    <w:rsid w:val="00334F16"/>
    <w:rsid w:val="00334FE3"/>
    <w:rsid w:val="003352E5"/>
    <w:rsid w:val="00335707"/>
    <w:rsid w:val="00335B8D"/>
    <w:rsid w:val="00335D86"/>
    <w:rsid w:val="0033656F"/>
    <w:rsid w:val="0033679B"/>
    <w:rsid w:val="00336BC8"/>
    <w:rsid w:val="003370D5"/>
    <w:rsid w:val="00337227"/>
    <w:rsid w:val="003377E9"/>
    <w:rsid w:val="00337CB6"/>
    <w:rsid w:val="00337F78"/>
    <w:rsid w:val="00340249"/>
    <w:rsid w:val="00340A8E"/>
    <w:rsid w:val="00340C27"/>
    <w:rsid w:val="00341023"/>
    <w:rsid w:val="00341586"/>
    <w:rsid w:val="0034166F"/>
    <w:rsid w:val="0034206E"/>
    <w:rsid w:val="0034292E"/>
    <w:rsid w:val="00342BDD"/>
    <w:rsid w:val="00342CEF"/>
    <w:rsid w:val="00342FFD"/>
    <w:rsid w:val="003438AD"/>
    <w:rsid w:val="0034396E"/>
    <w:rsid w:val="00343A56"/>
    <w:rsid w:val="00343B62"/>
    <w:rsid w:val="00343D0C"/>
    <w:rsid w:val="00344077"/>
    <w:rsid w:val="0034416E"/>
    <w:rsid w:val="00344272"/>
    <w:rsid w:val="003442CA"/>
    <w:rsid w:val="00344D93"/>
    <w:rsid w:val="00344EE4"/>
    <w:rsid w:val="003450D2"/>
    <w:rsid w:val="0034555C"/>
    <w:rsid w:val="003457EB"/>
    <w:rsid w:val="00345906"/>
    <w:rsid w:val="00345BC1"/>
    <w:rsid w:val="003462FD"/>
    <w:rsid w:val="00346345"/>
    <w:rsid w:val="00346832"/>
    <w:rsid w:val="00346A75"/>
    <w:rsid w:val="00346FB8"/>
    <w:rsid w:val="003471EE"/>
    <w:rsid w:val="0034722C"/>
    <w:rsid w:val="00347A96"/>
    <w:rsid w:val="00347D2E"/>
    <w:rsid w:val="00347EBC"/>
    <w:rsid w:val="003502B4"/>
    <w:rsid w:val="0035045E"/>
    <w:rsid w:val="00350DE2"/>
    <w:rsid w:val="003513A9"/>
    <w:rsid w:val="0035185A"/>
    <w:rsid w:val="003518ED"/>
    <w:rsid w:val="00351DF4"/>
    <w:rsid w:val="00351F73"/>
    <w:rsid w:val="0035221F"/>
    <w:rsid w:val="00352433"/>
    <w:rsid w:val="003528F2"/>
    <w:rsid w:val="00352C7F"/>
    <w:rsid w:val="00352DE3"/>
    <w:rsid w:val="00353451"/>
    <w:rsid w:val="003534F8"/>
    <w:rsid w:val="00353698"/>
    <w:rsid w:val="003536B2"/>
    <w:rsid w:val="00353828"/>
    <w:rsid w:val="00353C8A"/>
    <w:rsid w:val="0035415A"/>
    <w:rsid w:val="003541BD"/>
    <w:rsid w:val="003544EC"/>
    <w:rsid w:val="003550BB"/>
    <w:rsid w:val="00355130"/>
    <w:rsid w:val="0035532F"/>
    <w:rsid w:val="0035582B"/>
    <w:rsid w:val="00355EC6"/>
    <w:rsid w:val="00356A8D"/>
    <w:rsid w:val="00357558"/>
    <w:rsid w:val="003578B0"/>
    <w:rsid w:val="00357909"/>
    <w:rsid w:val="00357910"/>
    <w:rsid w:val="00357ABA"/>
    <w:rsid w:val="00357D24"/>
    <w:rsid w:val="00357E2D"/>
    <w:rsid w:val="00360141"/>
    <w:rsid w:val="003602E1"/>
    <w:rsid w:val="003603F7"/>
    <w:rsid w:val="00360536"/>
    <w:rsid w:val="00360835"/>
    <w:rsid w:val="00360E0A"/>
    <w:rsid w:val="00360FAB"/>
    <w:rsid w:val="00361139"/>
    <w:rsid w:val="003611DC"/>
    <w:rsid w:val="0036124D"/>
    <w:rsid w:val="003613B4"/>
    <w:rsid w:val="0036161E"/>
    <w:rsid w:val="00362322"/>
    <w:rsid w:val="00362354"/>
    <w:rsid w:val="00362429"/>
    <w:rsid w:val="003628D3"/>
    <w:rsid w:val="00362B88"/>
    <w:rsid w:val="003634EB"/>
    <w:rsid w:val="00363586"/>
    <w:rsid w:val="0036385E"/>
    <w:rsid w:val="003644EF"/>
    <w:rsid w:val="0036452A"/>
    <w:rsid w:val="00364A7A"/>
    <w:rsid w:val="00364AC6"/>
    <w:rsid w:val="00364B31"/>
    <w:rsid w:val="00364C4F"/>
    <w:rsid w:val="00364E8A"/>
    <w:rsid w:val="00364FAD"/>
    <w:rsid w:val="00365136"/>
    <w:rsid w:val="0036547D"/>
    <w:rsid w:val="00365B9A"/>
    <w:rsid w:val="003661C5"/>
    <w:rsid w:val="00366296"/>
    <w:rsid w:val="00366987"/>
    <w:rsid w:val="003669EE"/>
    <w:rsid w:val="00366B05"/>
    <w:rsid w:val="00366C27"/>
    <w:rsid w:val="00366DD5"/>
    <w:rsid w:val="00366F3C"/>
    <w:rsid w:val="00366F95"/>
    <w:rsid w:val="00366FDA"/>
    <w:rsid w:val="003673B9"/>
    <w:rsid w:val="00367692"/>
    <w:rsid w:val="00367C49"/>
    <w:rsid w:val="00367D91"/>
    <w:rsid w:val="003701D4"/>
    <w:rsid w:val="0037028C"/>
    <w:rsid w:val="00370339"/>
    <w:rsid w:val="003704C4"/>
    <w:rsid w:val="00370529"/>
    <w:rsid w:val="00370606"/>
    <w:rsid w:val="00370812"/>
    <w:rsid w:val="00370CF1"/>
    <w:rsid w:val="00371D98"/>
    <w:rsid w:val="00371F5A"/>
    <w:rsid w:val="003721DF"/>
    <w:rsid w:val="003722E6"/>
    <w:rsid w:val="0037232B"/>
    <w:rsid w:val="00372573"/>
    <w:rsid w:val="00372965"/>
    <w:rsid w:val="00372ACB"/>
    <w:rsid w:val="00372B2E"/>
    <w:rsid w:val="00372E4E"/>
    <w:rsid w:val="003730B6"/>
    <w:rsid w:val="003730BB"/>
    <w:rsid w:val="00373323"/>
    <w:rsid w:val="00373347"/>
    <w:rsid w:val="00373547"/>
    <w:rsid w:val="0037355D"/>
    <w:rsid w:val="00373905"/>
    <w:rsid w:val="003744F1"/>
    <w:rsid w:val="003745EB"/>
    <w:rsid w:val="00374693"/>
    <w:rsid w:val="00374BD4"/>
    <w:rsid w:val="00374BE6"/>
    <w:rsid w:val="00374DDB"/>
    <w:rsid w:val="00374E14"/>
    <w:rsid w:val="0037536E"/>
    <w:rsid w:val="003753A7"/>
    <w:rsid w:val="00375418"/>
    <w:rsid w:val="003754E3"/>
    <w:rsid w:val="00375652"/>
    <w:rsid w:val="0037599B"/>
    <w:rsid w:val="00375CF1"/>
    <w:rsid w:val="00375DB9"/>
    <w:rsid w:val="00375EE8"/>
    <w:rsid w:val="003761F7"/>
    <w:rsid w:val="00376319"/>
    <w:rsid w:val="00376C53"/>
    <w:rsid w:val="003779F2"/>
    <w:rsid w:val="00377C4D"/>
    <w:rsid w:val="00377C54"/>
    <w:rsid w:val="00377EB6"/>
    <w:rsid w:val="003801DE"/>
    <w:rsid w:val="0038039F"/>
    <w:rsid w:val="003803D1"/>
    <w:rsid w:val="00380815"/>
    <w:rsid w:val="00380858"/>
    <w:rsid w:val="00380E19"/>
    <w:rsid w:val="00381137"/>
    <w:rsid w:val="0038127F"/>
    <w:rsid w:val="00381655"/>
    <w:rsid w:val="00381722"/>
    <w:rsid w:val="003817F7"/>
    <w:rsid w:val="00381E7D"/>
    <w:rsid w:val="0038261E"/>
    <w:rsid w:val="00382861"/>
    <w:rsid w:val="00382945"/>
    <w:rsid w:val="00382E36"/>
    <w:rsid w:val="00382F80"/>
    <w:rsid w:val="0038339B"/>
    <w:rsid w:val="003838C2"/>
    <w:rsid w:val="00383936"/>
    <w:rsid w:val="00383EA8"/>
    <w:rsid w:val="00383F47"/>
    <w:rsid w:val="00384053"/>
    <w:rsid w:val="003846E5"/>
    <w:rsid w:val="00384D39"/>
    <w:rsid w:val="00385304"/>
    <w:rsid w:val="00385D72"/>
    <w:rsid w:val="00385D76"/>
    <w:rsid w:val="003865DA"/>
    <w:rsid w:val="0038665A"/>
    <w:rsid w:val="003866C2"/>
    <w:rsid w:val="003866F2"/>
    <w:rsid w:val="00386750"/>
    <w:rsid w:val="00386DFD"/>
    <w:rsid w:val="00387082"/>
    <w:rsid w:val="00387598"/>
    <w:rsid w:val="00387677"/>
    <w:rsid w:val="003906DD"/>
    <w:rsid w:val="00390727"/>
    <w:rsid w:val="00390779"/>
    <w:rsid w:val="00390BF6"/>
    <w:rsid w:val="00391588"/>
    <w:rsid w:val="00391786"/>
    <w:rsid w:val="00391BCB"/>
    <w:rsid w:val="00391C34"/>
    <w:rsid w:val="00391DAA"/>
    <w:rsid w:val="00391EA1"/>
    <w:rsid w:val="0039236D"/>
    <w:rsid w:val="00392583"/>
    <w:rsid w:val="0039258D"/>
    <w:rsid w:val="00392733"/>
    <w:rsid w:val="00392961"/>
    <w:rsid w:val="003930AB"/>
    <w:rsid w:val="00393963"/>
    <w:rsid w:val="00393D96"/>
    <w:rsid w:val="00393E32"/>
    <w:rsid w:val="00393E92"/>
    <w:rsid w:val="00393F8B"/>
    <w:rsid w:val="00393FA5"/>
    <w:rsid w:val="00393FCF"/>
    <w:rsid w:val="00394011"/>
    <w:rsid w:val="00394141"/>
    <w:rsid w:val="0039498D"/>
    <w:rsid w:val="00394BBD"/>
    <w:rsid w:val="00394D6A"/>
    <w:rsid w:val="00395186"/>
    <w:rsid w:val="0039562E"/>
    <w:rsid w:val="00395F19"/>
    <w:rsid w:val="003961A2"/>
    <w:rsid w:val="003966EE"/>
    <w:rsid w:val="0039680A"/>
    <w:rsid w:val="00396EF4"/>
    <w:rsid w:val="00397D8B"/>
    <w:rsid w:val="00397D9F"/>
    <w:rsid w:val="00397DA5"/>
    <w:rsid w:val="00397E3D"/>
    <w:rsid w:val="00397EE0"/>
    <w:rsid w:val="003A0285"/>
    <w:rsid w:val="003A02E1"/>
    <w:rsid w:val="003A0535"/>
    <w:rsid w:val="003A087D"/>
    <w:rsid w:val="003A10AC"/>
    <w:rsid w:val="003A1176"/>
    <w:rsid w:val="003A1986"/>
    <w:rsid w:val="003A1E31"/>
    <w:rsid w:val="003A2631"/>
    <w:rsid w:val="003A26B9"/>
    <w:rsid w:val="003A27A0"/>
    <w:rsid w:val="003A2844"/>
    <w:rsid w:val="003A3036"/>
    <w:rsid w:val="003A3467"/>
    <w:rsid w:val="003A3746"/>
    <w:rsid w:val="003A378B"/>
    <w:rsid w:val="003A39D9"/>
    <w:rsid w:val="003A3AB6"/>
    <w:rsid w:val="003A42F6"/>
    <w:rsid w:val="003A433B"/>
    <w:rsid w:val="003A4346"/>
    <w:rsid w:val="003A46E7"/>
    <w:rsid w:val="003A48E6"/>
    <w:rsid w:val="003A4D6F"/>
    <w:rsid w:val="003A529B"/>
    <w:rsid w:val="003A5361"/>
    <w:rsid w:val="003A5598"/>
    <w:rsid w:val="003A5A46"/>
    <w:rsid w:val="003A5CAB"/>
    <w:rsid w:val="003A6608"/>
    <w:rsid w:val="003A6611"/>
    <w:rsid w:val="003A6752"/>
    <w:rsid w:val="003A68EA"/>
    <w:rsid w:val="003A6F39"/>
    <w:rsid w:val="003A7116"/>
    <w:rsid w:val="003A71CA"/>
    <w:rsid w:val="003A72D0"/>
    <w:rsid w:val="003A73F3"/>
    <w:rsid w:val="003B0A61"/>
    <w:rsid w:val="003B0C6D"/>
    <w:rsid w:val="003B0E23"/>
    <w:rsid w:val="003B1173"/>
    <w:rsid w:val="003B14E4"/>
    <w:rsid w:val="003B169A"/>
    <w:rsid w:val="003B16DB"/>
    <w:rsid w:val="003B2811"/>
    <w:rsid w:val="003B2882"/>
    <w:rsid w:val="003B29F5"/>
    <w:rsid w:val="003B2E02"/>
    <w:rsid w:val="003B374B"/>
    <w:rsid w:val="003B3BFC"/>
    <w:rsid w:val="003B3EE5"/>
    <w:rsid w:val="003B469B"/>
    <w:rsid w:val="003B4887"/>
    <w:rsid w:val="003B4F10"/>
    <w:rsid w:val="003B572B"/>
    <w:rsid w:val="003B5CC6"/>
    <w:rsid w:val="003B6194"/>
    <w:rsid w:val="003B6E59"/>
    <w:rsid w:val="003B6F69"/>
    <w:rsid w:val="003B724E"/>
    <w:rsid w:val="003B79E1"/>
    <w:rsid w:val="003B7E97"/>
    <w:rsid w:val="003C0562"/>
    <w:rsid w:val="003C0997"/>
    <w:rsid w:val="003C0B3C"/>
    <w:rsid w:val="003C121C"/>
    <w:rsid w:val="003C1683"/>
    <w:rsid w:val="003C16D1"/>
    <w:rsid w:val="003C1CD2"/>
    <w:rsid w:val="003C1D1D"/>
    <w:rsid w:val="003C1E2C"/>
    <w:rsid w:val="003C2210"/>
    <w:rsid w:val="003C2230"/>
    <w:rsid w:val="003C22FF"/>
    <w:rsid w:val="003C24A1"/>
    <w:rsid w:val="003C28FE"/>
    <w:rsid w:val="003C2AA4"/>
    <w:rsid w:val="003C2C46"/>
    <w:rsid w:val="003C2D18"/>
    <w:rsid w:val="003C302B"/>
    <w:rsid w:val="003C3109"/>
    <w:rsid w:val="003C32D3"/>
    <w:rsid w:val="003C3646"/>
    <w:rsid w:val="003C3942"/>
    <w:rsid w:val="003C3E32"/>
    <w:rsid w:val="003C3F48"/>
    <w:rsid w:val="003C3F91"/>
    <w:rsid w:val="003C41B1"/>
    <w:rsid w:val="003C4ACA"/>
    <w:rsid w:val="003C527D"/>
    <w:rsid w:val="003C584D"/>
    <w:rsid w:val="003C637C"/>
    <w:rsid w:val="003C66A8"/>
    <w:rsid w:val="003C674A"/>
    <w:rsid w:val="003C689F"/>
    <w:rsid w:val="003C6B57"/>
    <w:rsid w:val="003C71C1"/>
    <w:rsid w:val="003C7489"/>
    <w:rsid w:val="003C76ED"/>
    <w:rsid w:val="003C788C"/>
    <w:rsid w:val="003C7E27"/>
    <w:rsid w:val="003C7EAD"/>
    <w:rsid w:val="003C7F8C"/>
    <w:rsid w:val="003D0D55"/>
    <w:rsid w:val="003D0F17"/>
    <w:rsid w:val="003D1280"/>
    <w:rsid w:val="003D1D80"/>
    <w:rsid w:val="003D20CD"/>
    <w:rsid w:val="003D23D3"/>
    <w:rsid w:val="003D2566"/>
    <w:rsid w:val="003D2864"/>
    <w:rsid w:val="003D28F4"/>
    <w:rsid w:val="003D2FB8"/>
    <w:rsid w:val="003D338F"/>
    <w:rsid w:val="003D36ED"/>
    <w:rsid w:val="003D36F6"/>
    <w:rsid w:val="003D3881"/>
    <w:rsid w:val="003D3886"/>
    <w:rsid w:val="003D39C0"/>
    <w:rsid w:val="003D3AA5"/>
    <w:rsid w:val="003D3C11"/>
    <w:rsid w:val="003D3EA3"/>
    <w:rsid w:val="003D3EAD"/>
    <w:rsid w:val="003D3FA7"/>
    <w:rsid w:val="003D44E6"/>
    <w:rsid w:val="003D5950"/>
    <w:rsid w:val="003D5B3A"/>
    <w:rsid w:val="003D5B4C"/>
    <w:rsid w:val="003D60C5"/>
    <w:rsid w:val="003D69F3"/>
    <w:rsid w:val="003D7658"/>
    <w:rsid w:val="003D7732"/>
    <w:rsid w:val="003E005F"/>
    <w:rsid w:val="003E00E4"/>
    <w:rsid w:val="003E0176"/>
    <w:rsid w:val="003E0C89"/>
    <w:rsid w:val="003E0DAC"/>
    <w:rsid w:val="003E1A40"/>
    <w:rsid w:val="003E1F60"/>
    <w:rsid w:val="003E2247"/>
    <w:rsid w:val="003E2258"/>
    <w:rsid w:val="003E283F"/>
    <w:rsid w:val="003E2934"/>
    <w:rsid w:val="003E2AD6"/>
    <w:rsid w:val="003E2F63"/>
    <w:rsid w:val="003E34E1"/>
    <w:rsid w:val="003E362E"/>
    <w:rsid w:val="003E3E41"/>
    <w:rsid w:val="003E50B2"/>
    <w:rsid w:val="003E542A"/>
    <w:rsid w:val="003E55F0"/>
    <w:rsid w:val="003E597E"/>
    <w:rsid w:val="003E5A50"/>
    <w:rsid w:val="003E5E6F"/>
    <w:rsid w:val="003E61C8"/>
    <w:rsid w:val="003E664D"/>
    <w:rsid w:val="003E6AB5"/>
    <w:rsid w:val="003E7087"/>
    <w:rsid w:val="003E7142"/>
    <w:rsid w:val="003E739A"/>
    <w:rsid w:val="003E74DA"/>
    <w:rsid w:val="003E74F0"/>
    <w:rsid w:val="003F0298"/>
    <w:rsid w:val="003F03F2"/>
    <w:rsid w:val="003F06F4"/>
    <w:rsid w:val="003F0F63"/>
    <w:rsid w:val="003F17AE"/>
    <w:rsid w:val="003F1C59"/>
    <w:rsid w:val="003F2082"/>
    <w:rsid w:val="003F2595"/>
    <w:rsid w:val="003F29C6"/>
    <w:rsid w:val="003F2E78"/>
    <w:rsid w:val="003F316A"/>
    <w:rsid w:val="003F32CE"/>
    <w:rsid w:val="003F3345"/>
    <w:rsid w:val="003F3698"/>
    <w:rsid w:val="003F3B61"/>
    <w:rsid w:val="003F49FE"/>
    <w:rsid w:val="003F4ADC"/>
    <w:rsid w:val="003F4C29"/>
    <w:rsid w:val="003F4C6F"/>
    <w:rsid w:val="003F549E"/>
    <w:rsid w:val="003F57D1"/>
    <w:rsid w:val="003F5940"/>
    <w:rsid w:val="003F5DDA"/>
    <w:rsid w:val="003F603D"/>
    <w:rsid w:val="003F611C"/>
    <w:rsid w:val="003F62D3"/>
    <w:rsid w:val="003F6954"/>
    <w:rsid w:val="003F6B8C"/>
    <w:rsid w:val="003F6E85"/>
    <w:rsid w:val="003F6F43"/>
    <w:rsid w:val="003F6FC7"/>
    <w:rsid w:val="003F7582"/>
    <w:rsid w:val="003F7835"/>
    <w:rsid w:val="003F7A88"/>
    <w:rsid w:val="003F7B52"/>
    <w:rsid w:val="00400672"/>
    <w:rsid w:val="004008C7"/>
    <w:rsid w:val="00400F49"/>
    <w:rsid w:val="004011A2"/>
    <w:rsid w:val="0040174F"/>
    <w:rsid w:val="0040191E"/>
    <w:rsid w:val="00402021"/>
    <w:rsid w:val="00402442"/>
    <w:rsid w:val="004025E5"/>
    <w:rsid w:val="00402635"/>
    <w:rsid w:val="004026B0"/>
    <w:rsid w:val="00402CFE"/>
    <w:rsid w:val="00402E94"/>
    <w:rsid w:val="00402F6B"/>
    <w:rsid w:val="00403434"/>
    <w:rsid w:val="0040344B"/>
    <w:rsid w:val="0040357F"/>
    <w:rsid w:val="004035E9"/>
    <w:rsid w:val="00404195"/>
    <w:rsid w:val="004043FA"/>
    <w:rsid w:val="0040450F"/>
    <w:rsid w:val="00404D5B"/>
    <w:rsid w:val="00404F1A"/>
    <w:rsid w:val="004055EA"/>
    <w:rsid w:val="00405979"/>
    <w:rsid w:val="00405C81"/>
    <w:rsid w:val="0040631A"/>
    <w:rsid w:val="00406713"/>
    <w:rsid w:val="004069AC"/>
    <w:rsid w:val="00406BBC"/>
    <w:rsid w:val="00407423"/>
    <w:rsid w:val="00407650"/>
    <w:rsid w:val="00407773"/>
    <w:rsid w:val="00407A13"/>
    <w:rsid w:val="00407A4D"/>
    <w:rsid w:val="00407E09"/>
    <w:rsid w:val="00410292"/>
    <w:rsid w:val="0041089B"/>
    <w:rsid w:val="00410954"/>
    <w:rsid w:val="00410B06"/>
    <w:rsid w:val="00410F7B"/>
    <w:rsid w:val="00411447"/>
    <w:rsid w:val="00411573"/>
    <w:rsid w:val="00411717"/>
    <w:rsid w:val="00411A06"/>
    <w:rsid w:val="004130DA"/>
    <w:rsid w:val="0041336D"/>
    <w:rsid w:val="00413CC2"/>
    <w:rsid w:val="00413E81"/>
    <w:rsid w:val="00414484"/>
    <w:rsid w:val="00414690"/>
    <w:rsid w:val="00414760"/>
    <w:rsid w:val="00414A65"/>
    <w:rsid w:val="00414A70"/>
    <w:rsid w:val="00414AF3"/>
    <w:rsid w:val="00414B12"/>
    <w:rsid w:val="00414B35"/>
    <w:rsid w:val="00415128"/>
    <w:rsid w:val="00415279"/>
    <w:rsid w:val="0041542B"/>
    <w:rsid w:val="004156CF"/>
    <w:rsid w:val="00415FB5"/>
    <w:rsid w:val="004162D9"/>
    <w:rsid w:val="004168E2"/>
    <w:rsid w:val="00416BD0"/>
    <w:rsid w:val="00416CCB"/>
    <w:rsid w:val="00417245"/>
    <w:rsid w:val="0041738B"/>
    <w:rsid w:val="0042046C"/>
    <w:rsid w:val="00420518"/>
    <w:rsid w:val="004205E6"/>
    <w:rsid w:val="00420743"/>
    <w:rsid w:val="00420F61"/>
    <w:rsid w:val="0042213A"/>
    <w:rsid w:val="004222D4"/>
    <w:rsid w:val="0042267A"/>
    <w:rsid w:val="00422716"/>
    <w:rsid w:val="0042298A"/>
    <w:rsid w:val="004229CF"/>
    <w:rsid w:val="00422C23"/>
    <w:rsid w:val="00422DC7"/>
    <w:rsid w:val="00422E69"/>
    <w:rsid w:val="004237C3"/>
    <w:rsid w:val="00423C5D"/>
    <w:rsid w:val="0042409C"/>
    <w:rsid w:val="004240C6"/>
    <w:rsid w:val="004248D4"/>
    <w:rsid w:val="00424B90"/>
    <w:rsid w:val="00425221"/>
    <w:rsid w:val="00425624"/>
    <w:rsid w:val="00425A74"/>
    <w:rsid w:val="00425D2C"/>
    <w:rsid w:val="0042632C"/>
    <w:rsid w:val="004264E2"/>
    <w:rsid w:val="00426541"/>
    <w:rsid w:val="00426D7F"/>
    <w:rsid w:val="00427174"/>
    <w:rsid w:val="0043074A"/>
    <w:rsid w:val="00430CB0"/>
    <w:rsid w:val="004313A9"/>
    <w:rsid w:val="0043156D"/>
    <w:rsid w:val="00431897"/>
    <w:rsid w:val="00431B01"/>
    <w:rsid w:val="00431B25"/>
    <w:rsid w:val="00431D31"/>
    <w:rsid w:val="00431FB5"/>
    <w:rsid w:val="00432379"/>
    <w:rsid w:val="004327DD"/>
    <w:rsid w:val="00432839"/>
    <w:rsid w:val="00432895"/>
    <w:rsid w:val="00432FCA"/>
    <w:rsid w:val="004330E7"/>
    <w:rsid w:val="0043321A"/>
    <w:rsid w:val="004332B6"/>
    <w:rsid w:val="00433352"/>
    <w:rsid w:val="00433501"/>
    <w:rsid w:val="00433A51"/>
    <w:rsid w:val="00433A61"/>
    <w:rsid w:val="004344DE"/>
    <w:rsid w:val="00434F87"/>
    <w:rsid w:val="004352F3"/>
    <w:rsid w:val="00435581"/>
    <w:rsid w:val="004362E3"/>
    <w:rsid w:val="004364D3"/>
    <w:rsid w:val="00436C47"/>
    <w:rsid w:val="00436C7C"/>
    <w:rsid w:val="00436DC1"/>
    <w:rsid w:val="0043700E"/>
    <w:rsid w:val="004371B4"/>
    <w:rsid w:val="00437535"/>
    <w:rsid w:val="00437792"/>
    <w:rsid w:val="004377CE"/>
    <w:rsid w:val="00437822"/>
    <w:rsid w:val="00437B3B"/>
    <w:rsid w:val="00440156"/>
    <w:rsid w:val="00440543"/>
    <w:rsid w:val="00440671"/>
    <w:rsid w:val="004409DB"/>
    <w:rsid w:val="00440BD3"/>
    <w:rsid w:val="00441336"/>
    <w:rsid w:val="00441B66"/>
    <w:rsid w:val="0044228C"/>
    <w:rsid w:val="0044258C"/>
    <w:rsid w:val="00442CBD"/>
    <w:rsid w:val="00442D32"/>
    <w:rsid w:val="00442EF9"/>
    <w:rsid w:val="004430EF"/>
    <w:rsid w:val="0044357B"/>
    <w:rsid w:val="00443674"/>
    <w:rsid w:val="00443DA2"/>
    <w:rsid w:val="00444288"/>
    <w:rsid w:val="004446F8"/>
    <w:rsid w:val="004449BE"/>
    <w:rsid w:val="00444C1D"/>
    <w:rsid w:val="00444C6E"/>
    <w:rsid w:val="00444DDB"/>
    <w:rsid w:val="0044566A"/>
    <w:rsid w:val="0044566C"/>
    <w:rsid w:val="004457E5"/>
    <w:rsid w:val="00445843"/>
    <w:rsid w:val="00445C2E"/>
    <w:rsid w:val="0044625A"/>
    <w:rsid w:val="004462D3"/>
    <w:rsid w:val="00446384"/>
    <w:rsid w:val="0044685A"/>
    <w:rsid w:val="00446B31"/>
    <w:rsid w:val="00446DE0"/>
    <w:rsid w:val="00446E42"/>
    <w:rsid w:val="004470A2"/>
    <w:rsid w:val="00447308"/>
    <w:rsid w:val="0044731F"/>
    <w:rsid w:val="00447430"/>
    <w:rsid w:val="004476F4"/>
    <w:rsid w:val="004479D6"/>
    <w:rsid w:val="00447B4F"/>
    <w:rsid w:val="00447DB6"/>
    <w:rsid w:val="00450300"/>
    <w:rsid w:val="004504E1"/>
    <w:rsid w:val="00450BA3"/>
    <w:rsid w:val="00450D75"/>
    <w:rsid w:val="0045105C"/>
    <w:rsid w:val="00451080"/>
    <w:rsid w:val="00451235"/>
    <w:rsid w:val="004514E7"/>
    <w:rsid w:val="00451624"/>
    <w:rsid w:val="004516B0"/>
    <w:rsid w:val="00451898"/>
    <w:rsid w:val="004518D6"/>
    <w:rsid w:val="00451990"/>
    <w:rsid w:val="00451BD9"/>
    <w:rsid w:val="00451F71"/>
    <w:rsid w:val="004525A4"/>
    <w:rsid w:val="0045262D"/>
    <w:rsid w:val="00452C1A"/>
    <w:rsid w:val="00452F62"/>
    <w:rsid w:val="004532CA"/>
    <w:rsid w:val="00453300"/>
    <w:rsid w:val="004534E7"/>
    <w:rsid w:val="0045400D"/>
    <w:rsid w:val="0045470A"/>
    <w:rsid w:val="00454836"/>
    <w:rsid w:val="00454ED8"/>
    <w:rsid w:val="004551C2"/>
    <w:rsid w:val="004558F9"/>
    <w:rsid w:val="00455CA1"/>
    <w:rsid w:val="00456511"/>
    <w:rsid w:val="004566E5"/>
    <w:rsid w:val="00456A68"/>
    <w:rsid w:val="00456C41"/>
    <w:rsid w:val="00456D28"/>
    <w:rsid w:val="00456D53"/>
    <w:rsid w:val="0045723B"/>
    <w:rsid w:val="00457404"/>
    <w:rsid w:val="004575F8"/>
    <w:rsid w:val="00457B82"/>
    <w:rsid w:val="00457BB7"/>
    <w:rsid w:val="00457C9D"/>
    <w:rsid w:val="00457D2C"/>
    <w:rsid w:val="00457E57"/>
    <w:rsid w:val="00457ED3"/>
    <w:rsid w:val="004601A5"/>
    <w:rsid w:val="004605B9"/>
    <w:rsid w:val="0046091A"/>
    <w:rsid w:val="00460C84"/>
    <w:rsid w:val="00460E17"/>
    <w:rsid w:val="004610CC"/>
    <w:rsid w:val="00461817"/>
    <w:rsid w:val="00461B0D"/>
    <w:rsid w:val="00462247"/>
    <w:rsid w:val="004623E3"/>
    <w:rsid w:val="004625B9"/>
    <w:rsid w:val="004626AF"/>
    <w:rsid w:val="00462727"/>
    <w:rsid w:val="00462730"/>
    <w:rsid w:val="00462776"/>
    <w:rsid w:val="004630E7"/>
    <w:rsid w:val="004633A0"/>
    <w:rsid w:val="004636C1"/>
    <w:rsid w:val="00463ADD"/>
    <w:rsid w:val="00463BF7"/>
    <w:rsid w:val="00463E1E"/>
    <w:rsid w:val="004649FB"/>
    <w:rsid w:val="00464EA9"/>
    <w:rsid w:val="00464EF6"/>
    <w:rsid w:val="004659B1"/>
    <w:rsid w:val="004659FF"/>
    <w:rsid w:val="00465F8C"/>
    <w:rsid w:val="0046626C"/>
    <w:rsid w:val="004668BE"/>
    <w:rsid w:val="00466928"/>
    <w:rsid w:val="00466A4C"/>
    <w:rsid w:val="00466C70"/>
    <w:rsid w:val="00466DBF"/>
    <w:rsid w:val="00467A4B"/>
    <w:rsid w:val="004700F5"/>
    <w:rsid w:val="004704D0"/>
    <w:rsid w:val="00470C25"/>
    <w:rsid w:val="00470C91"/>
    <w:rsid w:val="00471222"/>
    <w:rsid w:val="00471BF5"/>
    <w:rsid w:val="00471C99"/>
    <w:rsid w:val="00471E28"/>
    <w:rsid w:val="00471FA5"/>
    <w:rsid w:val="00472564"/>
    <w:rsid w:val="0047274F"/>
    <w:rsid w:val="004727E0"/>
    <w:rsid w:val="00472945"/>
    <w:rsid w:val="00472951"/>
    <w:rsid w:val="00472AF3"/>
    <w:rsid w:val="00472D0D"/>
    <w:rsid w:val="00472D80"/>
    <w:rsid w:val="00472D9C"/>
    <w:rsid w:val="00472DFF"/>
    <w:rsid w:val="0047308D"/>
    <w:rsid w:val="004731FA"/>
    <w:rsid w:val="00473239"/>
    <w:rsid w:val="004735EB"/>
    <w:rsid w:val="00473AB5"/>
    <w:rsid w:val="00473BF3"/>
    <w:rsid w:val="0047409F"/>
    <w:rsid w:val="004741D0"/>
    <w:rsid w:val="00474A1A"/>
    <w:rsid w:val="00474ABC"/>
    <w:rsid w:val="00474EC9"/>
    <w:rsid w:val="0047516D"/>
    <w:rsid w:val="004756AD"/>
    <w:rsid w:val="00475A5F"/>
    <w:rsid w:val="00475E6A"/>
    <w:rsid w:val="0047670C"/>
    <w:rsid w:val="00476741"/>
    <w:rsid w:val="00476D8B"/>
    <w:rsid w:val="00476DE7"/>
    <w:rsid w:val="00476FB4"/>
    <w:rsid w:val="004770FE"/>
    <w:rsid w:val="00477206"/>
    <w:rsid w:val="00477279"/>
    <w:rsid w:val="0047728F"/>
    <w:rsid w:val="0047735A"/>
    <w:rsid w:val="0047737F"/>
    <w:rsid w:val="00477DB2"/>
    <w:rsid w:val="004800A5"/>
    <w:rsid w:val="00480692"/>
    <w:rsid w:val="0048069D"/>
    <w:rsid w:val="0048097F"/>
    <w:rsid w:val="00480F7A"/>
    <w:rsid w:val="00481282"/>
    <w:rsid w:val="00481792"/>
    <w:rsid w:val="0048190C"/>
    <w:rsid w:val="00481D38"/>
    <w:rsid w:val="00481E08"/>
    <w:rsid w:val="00481E79"/>
    <w:rsid w:val="004825E8"/>
    <w:rsid w:val="0048260F"/>
    <w:rsid w:val="00482EF4"/>
    <w:rsid w:val="00483354"/>
    <w:rsid w:val="004834E8"/>
    <w:rsid w:val="00483517"/>
    <w:rsid w:val="00483603"/>
    <w:rsid w:val="00483B26"/>
    <w:rsid w:val="00483C39"/>
    <w:rsid w:val="0048470F"/>
    <w:rsid w:val="00484D92"/>
    <w:rsid w:val="00484F54"/>
    <w:rsid w:val="00484F5D"/>
    <w:rsid w:val="0048555D"/>
    <w:rsid w:val="004858B2"/>
    <w:rsid w:val="004859D4"/>
    <w:rsid w:val="00485C86"/>
    <w:rsid w:val="004866CD"/>
    <w:rsid w:val="00486711"/>
    <w:rsid w:val="004868EB"/>
    <w:rsid w:val="00486B6A"/>
    <w:rsid w:val="00486EF9"/>
    <w:rsid w:val="00487479"/>
    <w:rsid w:val="00487696"/>
    <w:rsid w:val="00487941"/>
    <w:rsid w:val="00487962"/>
    <w:rsid w:val="00487AB1"/>
    <w:rsid w:val="00487D11"/>
    <w:rsid w:val="00487D2E"/>
    <w:rsid w:val="00487EE1"/>
    <w:rsid w:val="004907C8"/>
    <w:rsid w:val="004907D3"/>
    <w:rsid w:val="004908C1"/>
    <w:rsid w:val="00490A94"/>
    <w:rsid w:val="00490ABA"/>
    <w:rsid w:val="00490CE6"/>
    <w:rsid w:val="00490F0D"/>
    <w:rsid w:val="00491310"/>
    <w:rsid w:val="004914D7"/>
    <w:rsid w:val="0049169E"/>
    <w:rsid w:val="0049171E"/>
    <w:rsid w:val="004919C7"/>
    <w:rsid w:val="00491BF7"/>
    <w:rsid w:val="00491C3E"/>
    <w:rsid w:val="00491D0D"/>
    <w:rsid w:val="00492195"/>
    <w:rsid w:val="004927A2"/>
    <w:rsid w:val="004927EB"/>
    <w:rsid w:val="00492B0A"/>
    <w:rsid w:val="00492F4C"/>
    <w:rsid w:val="00492FDC"/>
    <w:rsid w:val="00493125"/>
    <w:rsid w:val="00493357"/>
    <w:rsid w:val="00493785"/>
    <w:rsid w:val="0049392B"/>
    <w:rsid w:val="00493AD2"/>
    <w:rsid w:val="00493B44"/>
    <w:rsid w:val="00493CBF"/>
    <w:rsid w:val="00493E38"/>
    <w:rsid w:val="00493EA6"/>
    <w:rsid w:val="00493FAC"/>
    <w:rsid w:val="0049409F"/>
    <w:rsid w:val="0049411E"/>
    <w:rsid w:val="00494878"/>
    <w:rsid w:val="004949A2"/>
    <w:rsid w:val="00494C50"/>
    <w:rsid w:val="00494F0C"/>
    <w:rsid w:val="00494F34"/>
    <w:rsid w:val="00495245"/>
    <w:rsid w:val="0049531D"/>
    <w:rsid w:val="0049551D"/>
    <w:rsid w:val="00495C12"/>
    <w:rsid w:val="00495E17"/>
    <w:rsid w:val="004962E5"/>
    <w:rsid w:val="00496503"/>
    <w:rsid w:val="00496753"/>
    <w:rsid w:val="00496D96"/>
    <w:rsid w:val="00496DF8"/>
    <w:rsid w:val="00497A82"/>
    <w:rsid w:val="00497D1D"/>
    <w:rsid w:val="00497F0E"/>
    <w:rsid w:val="004A02E0"/>
    <w:rsid w:val="004A0484"/>
    <w:rsid w:val="004A05D0"/>
    <w:rsid w:val="004A0BC4"/>
    <w:rsid w:val="004A0CE9"/>
    <w:rsid w:val="004A0DE8"/>
    <w:rsid w:val="004A104B"/>
    <w:rsid w:val="004A10BA"/>
    <w:rsid w:val="004A1586"/>
    <w:rsid w:val="004A1758"/>
    <w:rsid w:val="004A213D"/>
    <w:rsid w:val="004A23FE"/>
    <w:rsid w:val="004A25E1"/>
    <w:rsid w:val="004A2808"/>
    <w:rsid w:val="004A2F56"/>
    <w:rsid w:val="004A2F90"/>
    <w:rsid w:val="004A30C3"/>
    <w:rsid w:val="004A3591"/>
    <w:rsid w:val="004A3651"/>
    <w:rsid w:val="004A36C1"/>
    <w:rsid w:val="004A36C2"/>
    <w:rsid w:val="004A3717"/>
    <w:rsid w:val="004A383E"/>
    <w:rsid w:val="004A3DDC"/>
    <w:rsid w:val="004A4097"/>
    <w:rsid w:val="004A455F"/>
    <w:rsid w:val="004A4C21"/>
    <w:rsid w:val="004A51C3"/>
    <w:rsid w:val="004A54C8"/>
    <w:rsid w:val="004A58E0"/>
    <w:rsid w:val="004A637E"/>
    <w:rsid w:val="004A6543"/>
    <w:rsid w:val="004A683D"/>
    <w:rsid w:val="004A6B13"/>
    <w:rsid w:val="004A6B82"/>
    <w:rsid w:val="004A6BDD"/>
    <w:rsid w:val="004A6D0B"/>
    <w:rsid w:val="004A6D4A"/>
    <w:rsid w:val="004A6EA5"/>
    <w:rsid w:val="004A7DE8"/>
    <w:rsid w:val="004B0703"/>
    <w:rsid w:val="004B088A"/>
    <w:rsid w:val="004B09B5"/>
    <w:rsid w:val="004B0C10"/>
    <w:rsid w:val="004B10C7"/>
    <w:rsid w:val="004B14F1"/>
    <w:rsid w:val="004B171A"/>
    <w:rsid w:val="004B1D47"/>
    <w:rsid w:val="004B1E8E"/>
    <w:rsid w:val="004B23DA"/>
    <w:rsid w:val="004B24B1"/>
    <w:rsid w:val="004B2725"/>
    <w:rsid w:val="004B2A6E"/>
    <w:rsid w:val="004B2C80"/>
    <w:rsid w:val="004B32AC"/>
    <w:rsid w:val="004B32F2"/>
    <w:rsid w:val="004B3368"/>
    <w:rsid w:val="004B3457"/>
    <w:rsid w:val="004B3710"/>
    <w:rsid w:val="004B3799"/>
    <w:rsid w:val="004B3D66"/>
    <w:rsid w:val="004B4206"/>
    <w:rsid w:val="004B429F"/>
    <w:rsid w:val="004B4525"/>
    <w:rsid w:val="004B4749"/>
    <w:rsid w:val="004B48EF"/>
    <w:rsid w:val="004B4BE8"/>
    <w:rsid w:val="004B51B6"/>
    <w:rsid w:val="004B5596"/>
    <w:rsid w:val="004B6A36"/>
    <w:rsid w:val="004B6E77"/>
    <w:rsid w:val="004B7410"/>
    <w:rsid w:val="004B79C5"/>
    <w:rsid w:val="004C0C58"/>
    <w:rsid w:val="004C0FE5"/>
    <w:rsid w:val="004C1108"/>
    <w:rsid w:val="004C1559"/>
    <w:rsid w:val="004C15B2"/>
    <w:rsid w:val="004C1732"/>
    <w:rsid w:val="004C1956"/>
    <w:rsid w:val="004C1A0E"/>
    <w:rsid w:val="004C1A27"/>
    <w:rsid w:val="004C1EC7"/>
    <w:rsid w:val="004C1FCF"/>
    <w:rsid w:val="004C20C2"/>
    <w:rsid w:val="004C2A81"/>
    <w:rsid w:val="004C2C79"/>
    <w:rsid w:val="004C2CE5"/>
    <w:rsid w:val="004C2D2D"/>
    <w:rsid w:val="004C2E84"/>
    <w:rsid w:val="004C2FC0"/>
    <w:rsid w:val="004C3055"/>
    <w:rsid w:val="004C314F"/>
    <w:rsid w:val="004C32C1"/>
    <w:rsid w:val="004C3CE2"/>
    <w:rsid w:val="004C4162"/>
    <w:rsid w:val="004C4664"/>
    <w:rsid w:val="004C49A3"/>
    <w:rsid w:val="004C4A3D"/>
    <w:rsid w:val="004C4BBB"/>
    <w:rsid w:val="004C5148"/>
    <w:rsid w:val="004C5181"/>
    <w:rsid w:val="004C5281"/>
    <w:rsid w:val="004C53E5"/>
    <w:rsid w:val="004C58AB"/>
    <w:rsid w:val="004C5BA7"/>
    <w:rsid w:val="004C69FC"/>
    <w:rsid w:val="004C6CA2"/>
    <w:rsid w:val="004C6EBE"/>
    <w:rsid w:val="004C6EF4"/>
    <w:rsid w:val="004C75B8"/>
    <w:rsid w:val="004C77BE"/>
    <w:rsid w:val="004C78C6"/>
    <w:rsid w:val="004C7DB8"/>
    <w:rsid w:val="004C7F57"/>
    <w:rsid w:val="004D01E1"/>
    <w:rsid w:val="004D036E"/>
    <w:rsid w:val="004D0477"/>
    <w:rsid w:val="004D0497"/>
    <w:rsid w:val="004D08D1"/>
    <w:rsid w:val="004D0D82"/>
    <w:rsid w:val="004D148B"/>
    <w:rsid w:val="004D181D"/>
    <w:rsid w:val="004D1BE1"/>
    <w:rsid w:val="004D1C46"/>
    <w:rsid w:val="004D1F6A"/>
    <w:rsid w:val="004D20A7"/>
    <w:rsid w:val="004D20C2"/>
    <w:rsid w:val="004D23CC"/>
    <w:rsid w:val="004D271D"/>
    <w:rsid w:val="004D29CC"/>
    <w:rsid w:val="004D29D9"/>
    <w:rsid w:val="004D340B"/>
    <w:rsid w:val="004D35F7"/>
    <w:rsid w:val="004D3634"/>
    <w:rsid w:val="004D3A26"/>
    <w:rsid w:val="004D3BF0"/>
    <w:rsid w:val="004D3FBB"/>
    <w:rsid w:val="004D44CA"/>
    <w:rsid w:val="004D4672"/>
    <w:rsid w:val="004D4CA1"/>
    <w:rsid w:val="004D5408"/>
    <w:rsid w:val="004D5683"/>
    <w:rsid w:val="004D594A"/>
    <w:rsid w:val="004D6149"/>
    <w:rsid w:val="004D6AA3"/>
    <w:rsid w:val="004D711A"/>
    <w:rsid w:val="004D7303"/>
    <w:rsid w:val="004D7706"/>
    <w:rsid w:val="004D7765"/>
    <w:rsid w:val="004D79AF"/>
    <w:rsid w:val="004D7A78"/>
    <w:rsid w:val="004D7F60"/>
    <w:rsid w:val="004E06DE"/>
    <w:rsid w:val="004E07A4"/>
    <w:rsid w:val="004E07D0"/>
    <w:rsid w:val="004E0817"/>
    <w:rsid w:val="004E11D8"/>
    <w:rsid w:val="004E14CF"/>
    <w:rsid w:val="004E1AC0"/>
    <w:rsid w:val="004E2160"/>
    <w:rsid w:val="004E2672"/>
    <w:rsid w:val="004E2985"/>
    <w:rsid w:val="004E2FF3"/>
    <w:rsid w:val="004E3133"/>
    <w:rsid w:val="004E3237"/>
    <w:rsid w:val="004E3813"/>
    <w:rsid w:val="004E3C61"/>
    <w:rsid w:val="004E3DB3"/>
    <w:rsid w:val="004E3EDC"/>
    <w:rsid w:val="004E3F43"/>
    <w:rsid w:val="004E41C7"/>
    <w:rsid w:val="004E4599"/>
    <w:rsid w:val="004E4C3F"/>
    <w:rsid w:val="004E5223"/>
    <w:rsid w:val="004E541E"/>
    <w:rsid w:val="004E54DD"/>
    <w:rsid w:val="004E58C6"/>
    <w:rsid w:val="004E5CD6"/>
    <w:rsid w:val="004E5E5E"/>
    <w:rsid w:val="004E6815"/>
    <w:rsid w:val="004E6822"/>
    <w:rsid w:val="004E6AF3"/>
    <w:rsid w:val="004E70CD"/>
    <w:rsid w:val="004E7860"/>
    <w:rsid w:val="004E7A8D"/>
    <w:rsid w:val="004F0057"/>
    <w:rsid w:val="004F00C2"/>
    <w:rsid w:val="004F01F7"/>
    <w:rsid w:val="004F07C8"/>
    <w:rsid w:val="004F0DB2"/>
    <w:rsid w:val="004F1095"/>
    <w:rsid w:val="004F1189"/>
    <w:rsid w:val="004F16D7"/>
    <w:rsid w:val="004F17F8"/>
    <w:rsid w:val="004F1C2A"/>
    <w:rsid w:val="004F1FD9"/>
    <w:rsid w:val="004F1FF4"/>
    <w:rsid w:val="004F21AA"/>
    <w:rsid w:val="004F243F"/>
    <w:rsid w:val="004F2522"/>
    <w:rsid w:val="004F26B1"/>
    <w:rsid w:val="004F2DB8"/>
    <w:rsid w:val="004F2FD6"/>
    <w:rsid w:val="004F3169"/>
    <w:rsid w:val="004F3178"/>
    <w:rsid w:val="004F319D"/>
    <w:rsid w:val="004F39FF"/>
    <w:rsid w:val="004F3C36"/>
    <w:rsid w:val="004F4014"/>
    <w:rsid w:val="004F4A0E"/>
    <w:rsid w:val="004F4A76"/>
    <w:rsid w:val="004F51C4"/>
    <w:rsid w:val="004F59B4"/>
    <w:rsid w:val="004F65CB"/>
    <w:rsid w:val="004F6870"/>
    <w:rsid w:val="004F6E32"/>
    <w:rsid w:val="004F7CD6"/>
    <w:rsid w:val="004F7F70"/>
    <w:rsid w:val="0050015D"/>
    <w:rsid w:val="005002D3"/>
    <w:rsid w:val="005007C5"/>
    <w:rsid w:val="0050094B"/>
    <w:rsid w:val="00500AA0"/>
    <w:rsid w:val="00500BFB"/>
    <w:rsid w:val="00500D5E"/>
    <w:rsid w:val="00500F0B"/>
    <w:rsid w:val="00500F24"/>
    <w:rsid w:val="005010DA"/>
    <w:rsid w:val="00501164"/>
    <w:rsid w:val="00501422"/>
    <w:rsid w:val="005014E4"/>
    <w:rsid w:val="0050168C"/>
    <w:rsid w:val="0050193F"/>
    <w:rsid w:val="00501A68"/>
    <w:rsid w:val="00501BFD"/>
    <w:rsid w:val="00501C78"/>
    <w:rsid w:val="00501D7B"/>
    <w:rsid w:val="005021A8"/>
    <w:rsid w:val="00502329"/>
    <w:rsid w:val="00502721"/>
    <w:rsid w:val="00502770"/>
    <w:rsid w:val="00502809"/>
    <w:rsid w:val="00502E64"/>
    <w:rsid w:val="00503604"/>
    <w:rsid w:val="0050393C"/>
    <w:rsid w:val="0050399C"/>
    <w:rsid w:val="00503F0C"/>
    <w:rsid w:val="00504145"/>
    <w:rsid w:val="005046CE"/>
    <w:rsid w:val="00504853"/>
    <w:rsid w:val="005049AA"/>
    <w:rsid w:val="00504C3E"/>
    <w:rsid w:val="00504F34"/>
    <w:rsid w:val="00505877"/>
    <w:rsid w:val="00505BB1"/>
    <w:rsid w:val="00505C23"/>
    <w:rsid w:val="00505DC2"/>
    <w:rsid w:val="005064AC"/>
    <w:rsid w:val="00506BAB"/>
    <w:rsid w:val="00507F02"/>
    <w:rsid w:val="00510393"/>
    <w:rsid w:val="00510411"/>
    <w:rsid w:val="00510A9C"/>
    <w:rsid w:val="00510B93"/>
    <w:rsid w:val="0051145D"/>
    <w:rsid w:val="00511808"/>
    <w:rsid w:val="0051181A"/>
    <w:rsid w:val="00511920"/>
    <w:rsid w:val="0051195F"/>
    <w:rsid w:val="00511B2A"/>
    <w:rsid w:val="00511DC5"/>
    <w:rsid w:val="00512FE0"/>
    <w:rsid w:val="005130E1"/>
    <w:rsid w:val="00513F21"/>
    <w:rsid w:val="00513FC2"/>
    <w:rsid w:val="00514290"/>
    <w:rsid w:val="0051474C"/>
    <w:rsid w:val="005148C6"/>
    <w:rsid w:val="00514AFA"/>
    <w:rsid w:val="00514B1B"/>
    <w:rsid w:val="00514B3C"/>
    <w:rsid w:val="005151EC"/>
    <w:rsid w:val="0051561C"/>
    <w:rsid w:val="0051581F"/>
    <w:rsid w:val="00515856"/>
    <w:rsid w:val="0051592D"/>
    <w:rsid w:val="00515B24"/>
    <w:rsid w:val="00516126"/>
    <w:rsid w:val="005161B8"/>
    <w:rsid w:val="005167BE"/>
    <w:rsid w:val="00517309"/>
    <w:rsid w:val="005179D1"/>
    <w:rsid w:val="005205E0"/>
    <w:rsid w:val="00520638"/>
    <w:rsid w:val="005207C8"/>
    <w:rsid w:val="00520993"/>
    <w:rsid w:val="00521129"/>
    <w:rsid w:val="005212FA"/>
    <w:rsid w:val="00521688"/>
    <w:rsid w:val="00521E09"/>
    <w:rsid w:val="005224DA"/>
    <w:rsid w:val="00522A7F"/>
    <w:rsid w:val="00523707"/>
    <w:rsid w:val="00524142"/>
    <w:rsid w:val="005242EB"/>
    <w:rsid w:val="005243DC"/>
    <w:rsid w:val="00524475"/>
    <w:rsid w:val="00524687"/>
    <w:rsid w:val="00524859"/>
    <w:rsid w:val="00524991"/>
    <w:rsid w:val="00524DC3"/>
    <w:rsid w:val="00524EBC"/>
    <w:rsid w:val="00525284"/>
    <w:rsid w:val="005259EA"/>
    <w:rsid w:val="00525DFA"/>
    <w:rsid w:val="00525F86"/>
    <w:rsid w:val="00526045"/>
    <w:rsid w:val="00526875"/>
    <w:rsid w:val="00526905"/>
    <w:rsid w:val="005269F2"/>
    <w:rsid w:val="0052750B"/>
    <w:rsid w:val="005276CF"/>
    <w:rsid w:val="00527731"/>
    <w:rsid w:val="00527ED5"/>
    <w:rsid w:val="005305BB"/>
    <w:rsid w:val="00530A7F"/>
    <w:rsid w:val="00530ED4"/>
    <w:rsid w:val="0053100B"/>
    <w:rsid w:val="0053114E"/>
    <w:rsid w:val="00531AAB"/>
    <w:rsid w:val="00531BBB"/>
    <w:rsid w:val="00531C44"/>
    <w:rsid w:val="00532404"/>
    <w:rsid w:val="0053257A"/>
    <w:rsid w:val="00532689"/>
    <w:rsid w:val="00532767"/>
    <w:rsid w:val="005329F0"/>
    <w:rsid w:val="00532E6C"/>
    <w:rsid w:val="00532FE8"/>
    <w:rsid w:val="005338D1"/>
    <w:rsid w:val="005338E0"/>
    <w:rsid w:val="00533A4C"/>
    <w:rsid w:val="00533BBA"/>
    <w:rsid w:val="00533D53"/>
    <w:rsid w:val="00533DE5"/>
    <w:rsid w:val="00533F1C"/>
    <w:rsid w:val="0053416E"/>
    <w:rsid w:val="005346AA"/>
    <w:rsid w:val="00534E21"/>
    <w:rsid w:val="005351F5"/>
    <w:rsid w:val="00535632"/>
    <w:rsid w:val="005357F1"/>
    <w:rsid w:val="00535C86"/>
    <w:rsid w:val="00536388"/>
    <w:rsid w:val="00536CD8"/>
    <w:rsid w:val="005376C3"/>
    <w:rsid w:val="005377EE"/>
    <w:rsid w:val="005378CA"/>
    <w:rsid w:val="00537B45"/>
    <w:rsid w:val="00537C8A"/>
    <w:rsid w:val="00537F25"/>
    <w:rsid w:val="005400DA"/>
    <w:rsid w:val="005404A6"/>
    <w:rsid w:val="005413EB"/>
    <w:rsid w:val="0054152E"/>
    <w:rsid w:val="00541711"/>
    <w:rsid w:val="0054184F"/>
    <w:rsid w:val="005420B8"/>
    <w:rsid w:val="00542152"/>
    <w:rsid w:val="0054218C"/>
    <w:rsid w:val="00542235"/>
    <w:rsid w:val="0054240F"/>
    <w:rsid w:val="005424EC"/>
    <w:rsid w:val="00542794"/>
    <w:rsid w:val="0054295B"/>
    <w:rsid w:val="00542C89"/>
    <w:rsid w:val="00542D8A"/>
    <w:rsid w:val="0054323A"/>
    <w:rsid w:val="00543349"/>
    <w:rsid w:val="005434D4"/>
    <w:rsid w:val="005437E2"/>
    <w:rsid w:val="00543E40"/>
    <w:rsid w:val="0054410E"/>
    <w:rsid w:val="00544BE3"/>
    <w:rsid w:val="00544D15"/>
    <w:rsid w:val="00544DBC"/>
    <w:rsid w:val="00544EBE"/>
    <w:rsid w:val="0054547C"/>
    <w:rsid w:val="005454D0"/>
    <w:rsid w:val="005455DB"/>
    <w:rsid w:val="0054588D"/>
    <w:rsid w:val="0054605D"/>
    <w:rsid w:val="005465CE"/>
    <w:rsid w:val="00546955"/>
    <w:rsid w:val="00546C6E"/>
    <w:rsid w:val="005473EA"/>
    <w:rsid w:val="0054755D"/>
    <w:rsid w:val="00547605"/>
    <w:rsid w:val="00547615"/>
    <w:rsid w:val="00547F07"/>
    <w:rsid w:val="00547FD6"/>
    <w:rsid w:val="00550028"/>
    <w:rsid w:val="005502FE"/>
    <w:rsid w:val="00550656"/>
    <w:rsid w:val="00550750"/>
    <w:rsid w:val="00550D6E"/>
    <w:rsid w:val="005512A9"/>
    <w:rsid w:val="005513C6"/>
    <w:rsid w:val="00551427"/>
    <w:rsid w:val="005515A3"/>
    <w:rsid w:val="00551979"/>
    <w:rsid w:val="00551A24"/>
    <w:rsid w:val="00551BD7"/>
    <w:rsid w:val="005520CD"/>
    <w:rsid w:val="005522D2"/>
    <w:rsid w:val="00552339"/>
    <w:rsid w:val="005526AF"/>
    <w:rsid w:val="0055271B"/>
    <w:rsid w:val="00552926"/>
    <w:rsid w:val="005530FA"/>
    <w:rsid w:val="0055396D"/>
    <w:rsid w:val="0055396F"/>
    <w:rsid w:val="00553DDB"/>
    <w:rsid w:val="00554B96"/>
    <w:rsid w:val="00554BEE"/>
    <w:rsid w:val="00554CC8"/>
    <w:rsid w:val="00554CD3"/>
    <w:rsid w:val="00555B82"/>
    <w:rsid w:val="005567C9"/>
    <w:rsid w:val="005569B8"/>
    <w:rsid w:val="0055717A"/>
    <w:rsid w:val="005574A1"/>
    <w:rsid w:val="0055779A"/>
    <w:rsid w:val="00557F02"/>
    <w:rsid w:val="00560156"/>
    <w:rsid w:val="005603B9"/>
    <w:rsid w:val="00560A62"/>
    <w:rsid w:val="00560DBC"/>
    <w:rsid w:val="00560DC0"/>
    <w:rsid w:val="005614F4"/>
    <w:rsid w:val="00561623"/>
    <w:rsid w:val="0056198F"/>
    <w:rsid w:val="00561A6C"/>
    <w:rsid w:val="0056214B"/>
    <w:rsid w:val="00562482"/>
    <w:rsid w:val="00562857"/>
    <w:rsid w:val="0056299D"/>
    <w:rsid w:val="00562ABE"/>
    <w:rsid w:val="00562C67"/>
    <w:rsid w:val="00562FF0"/>
    <w:rsid w:val="0056355A"/>
    <w:rsid w:val="005645DD"/>
    <w:rsid w:val="00564780"/>
    <w:rsid w:val="005647B8"/>
    <w:rsid w:val="00564975"/>
    <w:rsid w:val="00564F7B"/>
    <w:rsid w:val="00565641"/>
    <w:rsid w:val="00565731"/>
    <w:rsid w:val="00565836"/>
    <w:rsid w:val="00566156"/>
    <w:rsid w:val="00566625"/>
    <w:rsid w:val="005669B8"/>
    <w:rsid w:val="00566A8C"/>
    <w:rsid w:val="00566DE1"/>
    <w:rsid w:val="00566E74"/>
    <w:rsid w:val="00567217"/>
    <w:rsid w:val="005673E2"/>
    <w:rsid w:val="00567504"/>
    <w:rsid w:val="00567823"/>
    <w:rsid w:val="0057035D"/>
    <w:rsid w:val="00570360"/>
    <w:rsid w:val="00570775"/>
    <w:rsid w:val="0057088C"/>
    <w:rsid w:val="005708E6"/>
    <w:rsid w:val="005709AB"/>
    <w:rsid w:val="00570B06"/>
    <w:rsid w:val="00570C68"/>
    <w:rsid w:val="00570FB7"/>
    <w:rsid w:val="00571A69"/>
    <w:rsid w:val="00572258"/>
    <w:rsid w:val="00572430"/>
    <w:rsid w:val="00572455"/>
    <w:rsid w:val="005726DF"/>
    <w:rsid w:val="00572C03"/>
    <w:rsid w:val="00572C18"/>
    <w:rsid w:val="00572DDF"/>
    <w:rsid w:val="00573C6F"/>
    <w:rsid w:val="0057416A"/>
    <w:rsid w:val="005742D7"/>
    <w:rsid w:val="00574504"/>
    <w:rsid w:val="00574596"/>
    <w:rsid w:val="005746D7"/>
    <w:rsid w:val="0057476D"/>
    <w:rsid w:val="0057477E"/>
    <w:rsid w:val="00574CA3"/>
    <w:rsid w:val="005759AA"/>
    <w:rsid w:val="00575EDC"/>
    <w:rsid w:val="00576164"/>
    <w:rsid w:val="0057654D"/>
    <w:rsid w:val="0057677F"/>
    <w:rsid w:val="00576B30"/>
    <w:rsid w:val="00576D20"/>
    <w:rsid w:val="00576D5F"/>
    <w:rsid w:val="0057704D"/>
    <w:rsid w:val="005771D0"/>
    <w:rsid w:val="00577243"/>
    <w:rsid w:val="0057763C"/>
    <w:rsid w:val="005777B0"/>
    <w:rsid w:val="0057788D"/>
    <w:rsid w:val="00577A4B"/>
    <w:rsid w:val="0058074B"/>
    <w:rsid w:val="00580882"/>
    <w:rsid w:val="00580CBC"/>
    <w:rsid w:val="00581015"/>
    <w:rsid w:val="005813E1"/>
    <w:rsid w:val="00581505"/>
    <w:rsid w:val="0058157D"/>
    <w:rsid w:val="0058174B"/>
    <w:rsid w:val="005817AA"/>
    <w:rsid w:val="00581ACA"/>
    <w:rsid w:val="00581B26"/>
    <w:rsid w:val="00581E9C"/>
    <w:rsid w:val="0058206D"/>
    <w:rsid w:val="005828D7"/>
    <w:rsid w:val="00582E6A"/>
    <w:rsid w:val="005836B2"/>
    <w:rsid w:val="00583704"/>
    <w:rsid w:val="00583BE7"/>
    <w:rsid w:val="00584BC7"/>
    <w:rsid w:val="00584CC0"/>
    <w:rsid w:val="00584D42"/>
    <w:rsid w:val="00584D61"/>
    <w:rsid w:val="00584DD5"/>
    <w:rsid w:val="005852CB"/>
    <w:rsid w:val="0058597A"/>
    <w:rsid w:val="00585B05"/>
    <w:rsid w:val="00585B51"/>
    <w:rsid w:val="00585FC6"/>
    <w:rsid w:val="005860F2"/>
    <w:rsid w:val="005867BF"/>
    <w:rsid w:val="00586ABE"/>
    <w:rsid w:val="00587166"/>
    <w:rsid w:val="0058730C"/>
    <w:rsid w:val="005874B2"/>
    <w:rsid w:val="005876CB"/>
    <w:rsid w:val="00587AA3"/>
    <w:rsid w:val="00587BD1"/>
    <w:rsid w:val="005900D1"/>
    <w:rsid w:val="0059041E"/>
    <w:rsid w:val="00590E07"/>
    <w:rsid w:val="00590E77"/>
    <w:rsid w:val="0059151A"/>
    <w:rsid w:val="00591B77"/>
    <w:rsid w:val="00592065"/>
    <w:rsid w:val="00592A0C"/>
    <w:rsid w:val="00592CDD"/>
    <w:rsid w:val="005933A7"/>
    <w:rsid w:val="00593958"/>
    <w:rsid w:val="00593F04"/>
    <w:rsid w:val="00594158"/>
    <w:rsid w:val="0059421E"/>
    <w:rsid w:val="00594435"/>
    <w:rsid w:val="00594B99"/>
    <w:rsid w:val="00594C17"/>
    <w:rsid w:val="00594E9D"/>
    <w:rsid w:val="00595A54"/>
    <w:rsid w:val="00595B5D"/>
    <w:rsid w:val="00595BAF"/>
    <w:rsid w:val="00595DE7"/>
    <w:rsid w:val="00595DF3"/>
    <w:rsid w:val="0059613D"/>
    <w:rsid w:val="00596A0B"/>
    <w:rsid w:val="005970FD"/>
    <w:rsid w:val="005973B7"/>
    <w:rsid w:val="005A043A"/>
    <w:rsid w:val="005A05CD"/>
    <w:rsid w:val="005A0F5F"/>
    <w:rsid w:val="005A13CC"/>
    <w:rsid w:val="005A1C15"/>
    <w:rsid w:val="005A1CB4"/>
    <w:rsid w:val="005A20F8"/>
    <w:rsid w:val="005A28C5"/>
    <w:rsid w:val="005A2BB4"/>
    <w:rsid w:val="005A2C51"/>
    <w:rsid w:val="005A2F92"/>
    <w:rsid w:val="005A3030"/>
    <w:rsid w:val="005A3709"/>
    <w:rsid w:val="005A38D9"/>
    <w:rsid w:val="005A3C36"/>
    <w:rsid w:val="005A43BE"/>
    <w:rsid w:val="005A4CF8"/>
    <w:rsid w:val="005A4D1E"/>
    <w:rsid w:val="005A4DF7"/>
    <w:rsid w:val="005A596B"/>
    <w:rsid w:val="005A654C"/>
    <w:rsid w:val="005A6843"/>
    <w:rsid w:val="005A7148"/>
    <w:rsid w:val="005A73F7"/>
    <w:rsid w:val="005A7AC7"/>
    <w:rsid w:val="005A7DED"/>
    <w:rsid w:val="005B029A"/>
    <w:rsid w:val="005B05AB"/>
    <w:rsid w:val="005B0D61"/>
    <w:rsid w:val="005B0FED"/>
    <w:rsid w:val="005B12AC"/>
    <w:rsid w:val="005B139F"/>
    <w:rsid w:val="005B1952"/>
    <w:rsid w:val="005B1C98"/>
    <w:rsid w:val="005B1E9B"/>
    <w:rsid w:val="005B25B8"/>
    <w:rsid w:val="005B278C"/>
    <w:rsid w:val="005B2854"/>
    <w:rsid w:val="005B2D0C"/>
    <w:rsid w:val="005B2DBF"/>
    <w:rsid w:val="005B2E20"/>
    <w:rsid w:val="005B38DF"/>
    <w:rsid w:val="005B3A9E"/>
    <w:rsid w:val="005B3B15"/>
    <w:rsid w:val="005B3DC7"/>
    <w:rsid w:val="005B3E04"/>
    <w:rsid w:val="005B3F5B"/>
    <w:rsid w:val="005B41E9"/>
    <w:rsid w:val="005B44A7"/>
    <w:rsid w:val="005B4C9C"/>
    <w:rsid w:val="005B5183"/>
    <w:rsid w:val="005B5419"/>
    <w:rsid w:val="005B5A64"/>
    <w:rsid w:val="005B5BD9"/>
    <w:rsid w:val="005B5D91"/>
    <w:rsid w:val="005B6565"/>
    <w:rsid w:val="005B6BB0"/>
    <w:rsid w:val="005B7398"/>
    <w:rsid w:val="005B7533"/>
    <w:rsid w:val="005B75AE"/>
    <w:rsid w:val="005B7900"/>
    <w:rsid w:val="005B7EDC"/>
    <w:rsid w:val="005C023E"/>
    <w:rsid w:val="005C0337"/>
    <w:rsid w:val="005C0550"/>
    <w:rsid w:val="005C0815"/>
    <w:rsid w:val="005C0C76"/>
    <w:rsid w:val="005C0F46"/>
    <w:rsid w:val="005C19F7"/>
    <w:rsid w:val="005C1DE4"/>
    <w:rsid w:val="005C1E9E"/>
    <w:rsid w:val="005C1F14"/>
    <w:rsid w:val="005C1F90"/>
    <w:rsid w:val="005C2762"/>
    <w:rsid w:val="005C27B6"/>
    <w:rsid w:val="005C294E"/>
    <w:rsid w:val="005C2C9C"/>
    <w:rsid w:val="005C2D39"/>
    <w:rsid w:val="005C2E44"/>
    <w:rsid w:val="005C32E8"/>
    <w:rsid w:val="005C34E9"/>
    <w:rsid w:val="005C35CE"/>
    <w:rsid w:val="005C35D8"/>
    <w:rsid w:val="005C3AF8"/>
    <w:rsid w:val="005C3D15"/>
    <w:rsid w:val="005C47CD"/>
    <w:rsid w:val="005C4B47"/>
    <w:rsid w:val="005C4D8C"/>
    <w:rsid w:val="005C4E9C"/>
    <w:rsid w:val="005C509F"/>
    <w:rsid w:val="005C5186"/>
    <w:rsid w:val="005C53ED"/>
    <w:rsid w:val="005C5744"/>
    <w:rsid w:val="005C57BD"/>
    <w:rsid w:val="005C6043"/>
    <w:rsid w:val="005C6074"/>
    <w:rsid w:val="005C67E3"/>
    <w:rsid w:val="005C6A15"/>
    <w:rsid w:val="005C6D98"/>
    <w:rsid w:val="005C72DA"/>
    <w:rsid w:val="005C77D8"/>
    <w:rsid w:val="005C78FA"/>
    <w:rsid w:val="005C7AAB"/>
    <w:rsid w:val="005C7B40"/>
    <w:rsid w:val="005D03C4"/>
    <w:rsid w:val="005D0A24"/>
    <w:rsid w:val="005D0B5D"/>
    <w:rsid w:val="005D0E46"/>
    <w:rsid w:val="005D0FE6"/>
    <w:rsid w:val="005D1323"/>
    <w:rsid w:val="005D1428"/>
    <w:rsid w:val="005D17AE"/>
    <w:rsid w:val="005D1B0F"/>
    <w:rsid w:val="005D1B99"/>
    <w:rsid w:val="005D1C9F"/>
    <w:rsid w:val="005D2207"/>
    <w:rsid w:val="005D2212"/>
    <w:rsid w:val="005D2841"/>
    <w:rsid w:val="005D2951"/>
    <w:rsid w:val="005D2A25"/>
    <w:rsid w:val="005D2C3A"/>
    <w:rsid w:val="005D349B"/>
    <w:rsid w:val="005D34AD"/>
    <w:rsid w:val="005D35CD"/>
    <w:rsid w:val="005D3F1F"/>
    <w:rsid w:val="005D44BB"/>
    <w:rsid w:val="005D49C0"/>
    <w:rsid w:val="005D5A23"/>
    <w:rsid w:val="005D60A0"/>
    <w:rsid w:val="005D6312"/>
    <w:rsid w:val="005D6496"/>
    <w:rsid w:val="005D6826"/>
    <w:rsid w:val="005D690E"/>
    <w:rsid w:val="005D6B9E"/>
    <w:rsid w:val="005D6D2B"/>
    <w:rsid w:val="005D6E48"/>
    <w:rsid w:val="005D7093"/>
    <w:rsid w:val="005D7178"/>
    <w:rsid w:val="005D74F6"/>
    <w:rsid w:val="005D7A65"/>
    <w:rsid w:val="005E0417"/>
    <w:rsid w:val="005E0C1E"/>
    <w:rsid w:val="005E0FA6"/>
    <w:rsid w:val="005E0FDF"/>
    <w:rsid w:val="005E176D"/>
    <w:rsid w:val="005E1E14"/>
    <w:rsid w:val="005E239D"/>
    <w:rsid w:val="005E278B"/>
    <w:rsid w:val="005E298F"/>
    <w:rsid w:val="005E29F1"/>
    <w:rsid w:val="005E2A4F"/>
    <w:rsid w:val="005E2CCC"/>
    <w:rsid w:val="005E37FA"/>
    <w:rsid w:val="005E3A63"/>
    <w:rsid w:val="005E3E56"/>
    <w:rsid w:val="005E4289"/>
    <w:rsid w:val="005E4503"/>
    <w:rsid w:val="005E4D7D"/>
    <w:rsid w:val="005E5584"/>
    <w:rsid w:val="005E58E0"/>
    <w:rsid w:val="005E5F8B"/>
    <w:rsid w:val="005E5FAE"/>
    <w:rsid w:val="005E6FB6"/>
    <w:rsid w:val="005E7471"/>
    <w:rsid w:val="005E7A87"/>
    <w:rsid w:val="005E7CA5"/>
    <w:rsid w:val="005F0469"/>
    <w:rsid w:val="005F06D8"/>
    <w:rsid w:val="005F078C"/>
    <w:rsid w:val="005F0820"/>
    <w:rsid w:val="005F0BBA"/>
    <w:rsid w:val="005F129B"/>
    <w:rsid w:val="005F13A3"/>
    <w:rsid w:val="005F1522"/>
    <w:rsid w:val="005F1C0D"/>
    <w:rsid w:val="005F1C6F"/>
    <w:rsid w:val="005F1FB3"/>
    <w:rsid w:val="005F21B2"/>
    <w:rsid w:val="005F2E53"/>
    <w:rsid w:val="005F2F56"/>
    <w:rsid w:val="005F321A"/>
    <w:rsid w:val="005F4074"/>
    <w:rsid w:val="005F4252"/>
    <w:rsid w:val="005F45FC"/>
    <w:rsid w:val="005F49C8"/>
    <w:rsid w:val="005F4BEF"/>
    <w:rsid w:val="005F4E0F"/>
    <w:rsid w:val="005F529B"/>
    <w:rsid w:val="005F5A37"/>
    <w:rsid w:val="005F6066"/>
    <w:rsid w:val="005F6246"/>
    <w:rsid w:val="005F670A"/>
    <w:rsid w:val="005F6943"/>
    <w:rsid w:val="005F6B41"/>
    <w:rsid w:val="005F6DC0"/>
    <w:rsid w:val="005F6F15"/>
    <w:rsid w:val="005F6FDC"/>
    <w:rsid w:val="005F7F4A"/>
    <w:rsid w:val="006001C3"/>
    <w:rsid w:val="00600FF4"/>
    <w:rsid w:val="006017D0"/>
    <w:rsid w:val="00601CEB"/>
    <w:rsid w:val="00602717"/>
    <w:rsid w:val="006029A0"/>
    <w:rsid w:val="006029AB"/>
    <w:rsid w:val="00602EEC"/>
    <w:rsid w:val="0060312D"/>
    <w:rsid w:val="006031F8"/>
    <w:rsid w:val="006035A1"/>
    <w:rsid w:val="00603A69"/>
    <w:rsid w:val="00603CC3"/>
    <w:rsid w:val="00603E34"/>
    <w:rsid w:val="00604497"/>
    <w:rsid w:val="006044F0"/>
    <w:rsid w:val="00604738"/>
    <w:rsid w:val="0060494F"/>
    <w:rsid w:val="00604A66"/>
    <w:rsid w:val="00604B0F"/>
    <w:rsid w:val="00604BB2"/>
    <w:rsid w:val="00604DB5"/>
    <w:rsid w:val="00605440"/>
    <w:rsid w:val="0060603B"/>
    <w:rsid w:val="006061F9"/>
    <w:rsid w:val="006065A6"/>
    <w:rsid w:val="00606700"/>
    <w:rsid w:val="0060738D"/>
    <w:rsid w:val="0060742C"/>
    <w:rsid w:val="0060746F"/>
    <w:rsid w:val="00607BBC"/>
    <w:rsid w:val="00607EF6"/>
    <w:rsid w:val="00610BBD"/>
    <w:rsid w:val="0061128F"/>
    <w:rsid w:val="00611389"/>
    <w:rsid w:val="00611660"/>
    <w:rsid w:val="00611822"/>
    <w:rsid w:val="006119F2"/>
    <w:rsid w:val="00611ECC"/>
    <w:rsid w:val="0061272E"/>
    <w:rsid w:val="006127AB"/>
    <w:rsid w:val="006129E3"/>
    <w:rsid w:val="00612B3D"/>
    <w:rsid w:val="00612BE7"/>
    <w:rsid w:val="00612DDB"/>
    <w:rsid w:val="00612EDA"/>
    <w:rsid w:val="00612F70"/>
    <w:rsid w:val="00613045"/>
    <w:rsid w:val="006131C5"/>
    <w:rsid w:val="00613482"/>
    <w:rsid w:val="00613741"/>
    <w:rsid w:val="00613E66"/>
    <w:rsid w:val="00613EEE"/>
    <w:rsid w:val="00614117"/>
    <w:rsid w:val="00614303"/>
    <w:rsid w:val="00614580"/>
    <w:rsid w:val="0061464F"/>
    <w:rsid w:val="0061510F"/>
    <w:rsid w:val="006151D9"/>
    <w:rsid w:val="00615392"/>
    <w:rsid w:val="00615A28"/>
    <w:rsid w:val="00615BB8"/>
    <w:rsid w:val="00616237"/>
    <w:rsid w:val="00616F92"/>
    <w:rsid w:val="00617580"/>
    <w:rsid w:val="00617812"/>
    <w:rsid w:val="006206B1"/>
    <w:rsid w:val="0062084C"/>
    <w:rsid w:val="00620871"/>
    <w:rsid w:val="006212B0"/>
    <w:rsid w:val="00621AB8"/>
    <w:rsid w:val="00621E70"/>
    <w:rsid w:val="00621F7F"/>
    <w:rsid w:val="00622850"/>
    <w:rsid w:val="00622939"/>
    <w:rsid w:val="0062345A"/>
    <w:rsid w:val="006234F6"/>
    <w:rsid w:val="00623A75"/>
    <w:rsid w:val="00623ED2"/>
    <w:rsid w:val="006246F4"/>
    <w:rsid w:val="00624753"/>
    <w:rsid w:val="006252A6"/>
    <w:rsid w:val="00625419"/>
    <w:rsid w:val="00625546"/>
    <w:rsid w:val="00625733"/>
    <w:rsid w:val="006259D6"/>
    <w:rsid w:val="00625ECE"/>
    <w:rsid w:val="006260F4"/>
    <w:rsid w:val="00626273"/>
    <w:rsid w:val="006264B7"/>
    <w:rsid w:val="006264FD"/>
    <w:rsid w:val="00626AE8"/>
    <w:rsid w:val="00626DDB"/>
    <w:rsid w:val="00626F3F"/>
    <w:rsid w:val="00626F93"/>
    <w:rsid w:val="0062725E"/>
    <w:rsid w:val="0062747A"/>
    <w:rsid w:val="0062754D"/>
    <w:rsid w:val="0062781F"/>
    <w:rsid w:val="00627BC6"/>
    <w:rsid w:val="006302E1"/>
    <w:rsid w:val="0063055F"/>
    <w:rsid w:val="00630736"/>
    <w:rsid w:val="00630AA1"/>
    <w:rsid w:val="00630F59"/>
    <w:rsid w:val="00631305"/>
    <w:rsid w:val="0063130E"/>
    <w:rsid w:val="006315A8"/>
    <w:rsid w:val="006315FC"/>
    <w:rsid w:val="006316E1"/>
    <w:rsid w:val="00631BDF"/>
    <w:rsid w:val="00631FB1"/>
    <w:rsid w:val="00632097"/>
    <w:rsid w:val="00632667"/>
    <w:rsid w:val="00632681"/>
    <w:rsid w:val="006326EC"/>
    <w:rsid w:val="006327F8"/>
    <w:rsid w:val="00632A50"/>
    <w:rsid w:val="00632E3C"/>
    <w:rsid w:val="00633342"/>
    <w:rsid w:val="00634A30"/>
    <w:rsid w:val="00634F9D"/>
    <w:rsid w:val="00635339"/>
    <w:rsid w:val="006355B9"/>
    <w:rsid w:val="00635818"/>
    <w:rsid w:val="00635EFD"/>
    <w:rsid w:val="00635F87"/>
    <w:rsid w:val="0063619F"/>
    <w:rsid w:val="006361B7"/>
    <w:rsid w:val="00636684"/>
    <w:rsid w:val="00636817"/>
    <w:rsid w:val="00636E26"/>
    <w:rsid w:val="0063726C"/>
    <w:rsid w:val="006375F9"/>
    <w:rsid w:val="00640298"/>
    <w:rsid w:val="00640398"/>
    <w:rsid w:val="006405E9"/>
    <w:rsid w:val="00640ADB"/>
    <w:rsid w:val="00641034"/>
    <w:rsid w:val="0064171D"/>
    <w:rsid w:val="00641722"/>
    <w:rsid w:val="006419AE"/>
    <w:rsid w:val="006419DF"/>
    <w:rsid w:val="00641A6F"/>
    <w:rsid w:val="00641C2D"/>
    <w:rsid w:val="0064210E"/>
    <w:rsid w:val="006423BF"/>
    <w:rsid w:val="00642587"/>
    <w:rsid w:val="0064267F"/>
    <w:rsid w:val="00642AA6"/>
    <w:rsid w:val="00642EE1"/>
    <w:rsid w:val="00643100"/>
    <w:rsid w:val="00643125"/>
    <w:rsid w:val="006439B4"/>
    <w:rsid w:val="00643A17"/>
    <w:rsid w:val="00643D94"/>
    <w:rsid w:val="00643F69"/>
    <w:rsid w:val="006446B3"/>
    <w:rsid w:val="00644ECA"/>
    <w:rsid w:val="00645123"/>
    <w:rsid w:val="006453F5"/>
    <w:rsid w:val="00645AF3"/>
    <w:rsid w:val="00645F4F"/>
    <w:rsid w:val="00646086"/>
    <w:rsid w:val="00646921"/>
    <w:rsid w:val="00646A2A"/>
    <w:rsid w:val="00646D97"/>
    <w:rsid w:val="0064719A"/>
    <w:rsid w:val="006477F8"/>
    <w:rsid w:val="0064785C"/>
    <w:rsid w:val="00647E94"/>
    <w:rsid w:val="00650603"/>
    <w:rsid w:val="00650DBB"/>
    <w:rsid w:val="0065100F"/>
    <w:rsid w:val="00651157"/>
    <w:rsid w:val="00651C6C"/>
    <w:rsid w:val="00651EFE"/>
    <w:rsid w:val="0065222E"/>
    <w:rsid w:val="00652817"/>
    <w:rsid w:val="00652BF6"/>
    <w:rsid w:val="0065321F"/>
    <w:rsid w:val="0065325A"/>
    <w:rsid w:val="006533DB"/>
    <w:rsid w:val="0065350C"/>
    <w:rsid w:val="00653695"/>
    <w:rsid w:val="006536D7"/>
    <w:rsid w:val="00653FCD"/>
    <w:rsid w:val="0065407D"/>
    <w:rsid w:val="00654252"/>
    <w:rsid w:val="006545B2"/>
    <w:rsid w:val="00654873"/>
    <w:rsid w:val="00654A35"/>
    <w:rsid w:val="00654A96"/>
    <w:rsid w:val="00654C49"/>
    <w:rsid w:val="00654E3D"/>
    <w:rsid w:val="00655290"/>
    <w:rsid w:val="006554E1"/>
    <w:rsid w:val="0065570C"/>
    <w:rsid w:val="00655BB5"/>
    <w:rsid w:val="00655DA4"/>
    <w:rsid w:val="00655FFD"/>
    <w:rsid w:val="00656CE6"/>
    <w:rsid w:val="00656D86"/>
    <w:rsid w:val="00656E37"/>
    <w:rsid w:val="006573D3"/>
    <w:rsid w:val="00657A8B"/>
    <w:rsid w:val="00657A90"/>
    <w:rsid w:val="00657C40"/>
    <w:rsid w:val="00657EA3"/>
    <w:rsid w:val="00660705"/>
    <w:rsid w:val="00660CFC"/>
    <w:rsid w:val="00660D24"/>
    <w:rsid w:val="00660E27"/>
    <w:rsid w:val="0066113B"/>
    <w:rsid w:val="00661200"/>
    <w:rsid w:val="00661252"/>
    <w:rsid w:val="00661A5B"/>
    <w:rsid w:val="00661CBA"/>
    <w:rsid w:val="00661CD4"/>
    <w:rsid w:val="00661FA3"/>
    <w:rsid w:val="00662115"/>
    <w:rsid w:val="00662405"/>
    <w:rsid w:val="006624A6"/>
    <w:rsid w:val="00662651"/>
    <w:rsid w:val="00662A77"/>
    <w:rsid w:val="00662A8F"/>
    <w:rsid w:val="00662EE0"/>
    <w:rsid w:val="006630AE"/>
    <w:rsid w:val="0066351F"/>
    <w:rsid w:val="00663F5A"/>
    <w:rsid w:val="00664136"/>
    <w:rsid w:val="00664C04"/>
    <w:rsid w:val="00664E4F"/>
    <w:rsid w:val="00664E72"/>
    <w:rsid w:val="00665088"/>
    <w:rsid w:val="00665225"/>
    <w:rsid w:val="00665337"/>
    <w:rsid w:val="00665343"/>
    <w:rsid w:val="0066572F"/>
    <w:rsid w:val="00665B96"/>
    <w:rsid w:val="00665C4F"/>
    <w:rsid w:val="00665D3F"/>
    <w:rsid w:val="00665EA0"/>
    <w:rsid w:val="00666295"/>
    <w:rsid w:val="006663BD"/>
    <w:rsid w:val="00666988"/>
    <w:rsid w:val="006669DA"/>
    <w:rsid w:val="006670DC"/>
    <w:rsid w:val="00667820"/>
    <w:rsid w:val="00667D9A"/>
    <w:rsid w:val="00670259"/>
    <w:rsid w:val="006702F8"/>
    <w:rsid w:val="00670412"/>
    <w:rsid w:val="00670425"/>
    <w:rsid w:val="0067063D"/>
    <w:rsid w:val="00670823"/>
    <w:rsid w:val="006708ED"/>
    <w:rsid w:val="00670919"/>
    <w:rsid w:val="00670CD8"/>
    <w:rsid w:val="00671150"/>
    <w:rsid w:val="00671B53"/>
    <w:rsid w:val="006721FA"/>
    <w:rsid w:val="00672F04"/>
    <w:rsid w:val="0067321F"/>
    <w:rsid w:val="006732BD"/>
    <w:rsid w:val="00673429"/>
    <w:rsid w:val="006738CC"/>
    <w:rsid w:val="00673943"/>
    <w:rsid w:val="00673D94"/>
    <w:rsid w:val="00674509"/>
    <w:rsid w:val="0067450D"/>
    <w:rsid w:val="006746AD"/>
    <w:rsid w:val="0067490D"/>
    <w:rsid w:val="00674BE4"/>
    <w:rsid w:val="00674F41"/>
    <w:rsid w:val="0067515B"/>
    <w:rsid w:val="00675374"/>
    <w:rsid w:val="006753D5"/>
    <w:rsid w:val="00675626"/>
    <w:rsid w:val="0067568E"/>
    <w:rsid w:val="006759FD"/>
    <w:rsid w:val="00675AA8"/>
    <w:rsid w:val="00675B72"/>
    <w:rsid w:val="0067672E"/>
    <w:rsid w:val="00676D5A"/>
    <w:rsid w:val="00676D6F"/>
    <w:rsid w:val="00676E0B"/>
    <w:rsid w:val="00677001"/>
    <w:rsid w:val="0067715E"/>
    <w:rsid w:val="0067731C"/>
    <w:rsid w:val="00677586"/>
    <w:rsid w:val="00677669"/>
    <w:rsid w:val="00677825"/>
    <w:rsid w:val="00680353"/>
    <w:rsid w:val="006803CC"/>
    <w:rsid w:val="006804F0"/>
    <w:rsid w:val="00680538"/>
    <w:rsid w:val="006806CA"/>
    <w:rsid w:val="00680F80"/>
    <w:rsid w:val="00681597"/>
    <w:rsid w:val="0068180F"/>
    <w:rsid w:val="00681DB2"/>
    <w:rsid w:val="00682069"/>
    <w:rsid w:val="006820EB"/>
    <w:rsid w:val="00682243"/>
    <w:rsid w:val="00682909"/>
    <w:rsid w:val="00682BEE"/>
    <w:rsid w:val="00682E98"/>
    <w:rsid w:val="006830CC"/>
    <w:rsid w:val="00683268"/>
    <w:rsid w:val="00683766"/>
    <w:rsid w:val="0068382B"/>
    <w:rsid w:val="00683AC8"/>
    <w:rsid w:val="00683D8E"/>
    <w:rsid w:val="00684049"/>
    <w:rsid w:val="00684666"/>
    <w:rsid w:val="00684A58"/>
    <w:rsid w:val="00684AA5"/>
    <w:rsid w:val="00685C99"/>
    <w:rsid w:val="0068606A"/>
    <w:rsid w:val="00686162"/>
    <w:rsid w:val="0068622C"/>
    <w:rsid w:val="00686270"/>
    <w:rsid w:val="00686385"/>
    <w:rsid w:val="006863A5"/>
    <w:rsid w:val="006864CA"/>
    <w:rsid w:val="00686B22"/>
    <w:rsid w:val="0068706B"/>
    <w:rsid w:val="00687894"/>
    <w:rsid w:val="00687AB7"/>
    <w:rsid w:val="00687B74"/>
    <w:rsid w:val="00687BD0"/>
    <w:rsid w:val="00687C00"/>
    <w:rsid w:val="00687FE8"/>
    <w:rsid w:val="00690910"/>
    <w:rsid w:val="00690A44"/>
    <w:rsid w:val="00690D07"/>
    <w:rsid w:val="0069113A"/>
    <w:rsid w:val="006915AA"/>
    <w:rsid w:val="00692049"/>
    <w:rsid w:val="006921F9"/>
    <w:rsid w:val="00692539"/>
    <w:rsid w:val="006936D1"/>
    <w:rsid w:val="00693A2D"/>
    <w:rsid w:val="00693A4B"/>
    <w:rsid w:val="00693A80"/>
    <w:rsid w:val="00693CC7"/>
    <w:rsid w:val="00693DE3"/>
    <w:rsid w:val="00693EA3"/>
    <w:rsid w:val="00693EDB"/>
    <w:rsid w:val="00694042"/>
    <w:rsid w:val="006941B1"/>
    <w:rsid w:val="006942DC"/>
    <w:rsid w:val="00694836"/>
    <w:rsid w:val="00694B19"/>
    <w:rsid w:val="00694BAA"/>
    <w:rsid w:val="00694F8B"/>
    <w:rsid w:val="0069510C"/>
    <w:rsid w:val="006951FE"/>
    <w:rsid w:val="0069520F"/>
    <w:rsid w:val="0069535E"/>
    <w:rsid w:val="006959E7"/>
    <w:rsid w:val="00696045"/>
    <w:rsid w:val="00696513"/>
    <w:rsid w:val="00696AD2"/>
    <w:rsid w:val="00696B0A"/>
    <w:rsid w:val="00696F94"/>
    <w:rsid w:val="006970CE"/>
    <w:rsid w:val="0069745E"/>
    <w:rsid w:val="006978DD"/>
    <w:rsid w:val="00697D21"/>
    <w:rsid w:val="00697DA6"/>
    <w:rsid w:val="006A0498"/>
    <w:rsid w:val="006A0732"/>
    <w:rsid w:val="006A0FD2"/>
    <w:rsid w:val="006A110C"/>
    <w:rsid w:val="006A11E0"/>
    <w:rsid w:val="006A12C5"/>
    <w:rsid w:val="006A1405"/>
    <w:rsid w:val="006A17A1"/>
    <w:rsid w:val="006A19E9"/>
    <w:rsid w:val="006A2448"/>
    <w:rsid w:val="006A2A51"/>
    <w:rsid w:val="006A2BBD"/>
    <w:rsid w:val="006A31F5"/>
    <w:rsid w:val="006A31FC"/>
    <w:rsid w:val="006A3557"/>
    <w:rsid w:val="006A3B40"/>
    <w:rsid w:val="006A3D60"/>
    <w:rsid w:val="006A4281"/>
    <w:rsid w:val="006A4535"/>
    <w:rsid w:val="006A45F5"/>
    <w:rsid w:val="006A48A7"/>
    <w:rsid w:val="006A4F37"/>
    <w:rsid w:val="006A514C"/>
    <w:rsid w:val="006A567C"/>
    <w:rsid w:val="006A5EFC"/>
    <w:rsid w:val="006A601A"/>
    <w:rsid w:val="006A6429"/>
    <w:rsid w:val="006A6687"/>
    <w:rsid w:val="006A66A4"/>
    <w:rsid w:val="006A680E"/>
    <w:rsid w:val="006A6810"/>
    <w:rsid w:val="006A6835"/>
    <w:rsid w:val="006A687F"/>
    <w:rsid w:val="006A770F"/>
    <w:rsid w:val="006A7C37"/>
    <w:rsid w:val="006B00D2"/>
    <w:rsid w:val="006B01B3"/>
    <w:rsid w:val="006B02A2"/>
    <w:rsid w:val="006B0310"/>
    <w:rsid w:val="006B0940"/>
    <w:rsid w:val="006B0BD9"/>
    <w:rsid w:val="006B0C33"/>
    <w:rsid w:val="006B0CEB"/>
    <w:rsid w:val="006B0DEA"/>
    <w:rsid w:val="006B1307"/>
    <w:rsid w:val="006B1878"/>
    <w:rsid w:val="006B1AC4"/>
    <w:rsid w:val="006B1AEF"/>
    <w:rsid w:val="006B20CB"/>
    <w:rsid w:val="006B2DDB"/>
    <w:rsid w:val="006B2E61"/>
    <w:rsid w:val="006B345C"/>
    <w:rsid w:val="006B3FB1"/>
    <w:rsid w:val="006B403F"/>
    <w:rsid w:val="006B4A29"/>
    <w:rsid w:val="006B4AD5"/>
    <w:rsid w:val="006B4CD0"/>
    <w:rsid w:val="006B542E"/>
    <w:rsid w:val="006B5572"/>
    <w:rsid w:val="006B5A93"/>
    <w:rsid w:val="006B5B6C"/>
    <w:rsid w:val="006B5F72"/>
    <w:rsid w:val="006B630B"/>
    <w:rsid w:val="006B6DAD"/>
    <w:rsid w:val="006B6E5D"/>
    <w:rsid w:val="006B6E6F"/>
    <w:rsid w:val="006B70EF"/>
    <w:rsid w:val="006B714E"/>
    <w:rsid w:val="006B7442"/>
    <w:rsid w:val="006B751F"/>
    <w:rsid w:val="006B77F5"/>
    <w:rsid w:val="006B792B"/>
    <w:rsid w:val="006B7DAA"/>
    <w:rsid w:val="006C05C4"/>
    <w:rsid w:val="006C0768"/>
    <w:rsid w:val="006C0CAA"/>
    <w:rsid w:val="006C103A"/>
    <w:rsid w:val="006C1393"/>
    <w:rsid w:val="006C140F"/>
    <w:rsid w:val="006C150E"/>
    <w:rsid w:val="006C158B"/>
    <w:rsid w:val="006C17B6"/>
    <w:rsid w:val="006C1F56"/>
    <w:rsid w:val="006C2154"/>
    <w:rsid w:val="006C21E2"/>
    <w:rsid w:val="006C21FF"/>
    <w:rsid w:val="006C23B5"/>
    <w:rsid w:val="006C24FA"/>
    <w:rsid w:val="006C2568"/>
    <w:rsid w:val="006C2B0B"/>
    <w:rsid w:val="006C2CAD"/>
    <w:rsid w:val="006C2E68"/>
    <w:rsid w:val="006C2ECA"/>
    <w:rsid w:val="006C2EF2"/>
    <w:rsid w:val="006C30BA"/>
    <w:rsid w:val="006C35BF"/>
    <w:rsid w:val="006C38CC"/>
    <w:rsid w:val="006C3D69"/>
    <w:rsid w:val="006C3F2B"/>
    <w:rsid w:val="006C44D6"/>
    <w:rsid w:val="006C4732"/>
    <w:rsid w:val="006C4775"/>
    <w:rsid w:val="006C5111"/>
    <w:rsid w:val="006C56E0"/>
    <w:rsid w:val="006C5819"/>
    <w:rsid w:val="006C5B34"/>
    <w:rsid w:val="006C621A"/>
    <w:rsid w:val="006C62F3"/>
    <w:rsid w:val="006C63DD"/>
    <w:rsid w:val="006C6A99"/>
    <w:rsid w:val="006C6FB9"/>
    <w:rsid w:val="006C717B"/>
    <w:rsid w:val="006C78CB"/>
    <w:rsid w:val="006C7FF1"/>
    <w:rsid w:val="006D00CF"/>
    <w:rsid w:val="006D034E"/>
    <w:rsid w:val="006D0868"/>
    <w:rsid w:val="006D08AA"/>
    <w:rsid w:val="006D0A84"/>
    <w:rsid w:val="006D0F54"/>
    <w:rsid w:val="006D101F"/>
    <w:rsid w:val="006D10C7"/>
    <w:rsid w:val="006D187F"/>
    <w:rsid w:val="006D1B6A"/>
    <w:rsid w:val="006D1BCE"/>
    <w:rsid w:val="006D1CAD"/>
    <w:rsid w:val="006D291B"/>
    <w:rsid w:val="006D3272"/>
    <w:rsid w:val="006D3486"/>
    <w:rsid w:val="006D361E"/>
    <w:rsid w:val="006D3811"/>
    <w:rsid w:val="006D3ADD"/>
    <w:rsid w:val="006D3B67"/>
    <w:rsid w:val="006D3C1F"/>
    <w:rsid w:val="006D3D5A"/>
    <w:rsid w:val="006D3EDD"/>
    <w:rsid w:val="006D40D6"/>
    <w:rsid w:val="006D4471"/>
    <w:rsid w:val="006D4571"/>
    <w:rsid w:val="006D4634"/>
    <w:rsid w:val="006D558C"/>
    <w:rsid w:val="006D5683"/>
    <w:rsid w:val="006D5D0B"/>
    <w:rsid w:val="006D60FF"/>
    <w:rsid w:val="006D6177"/>
    <w:rsid w:val="006D6204"/>
    <w:rsid w:val="006D62ED"/>
    <w:rsid w:val="006D63C3"/>
    <w:rsid w:val="006D6770"/>
    <w:rsid w:val="006D6E39"/>
    <w:rsid w:val="006E034B"/>
    <w:rsid w:val="006E0793"/>
    <w:rsid w:val="006E0978"/>
    <w:rsid w:val="006E0C00"/>
    <w:rsid w:val="006E15B9"/>
    <w:rsid w:val="006E17E6"/>
    <w:rsid w:val="006E1B2D"/>
    <w:rsid w:val="006E1B6C"/>
    <w:rsid w:val="006E1D8A"/>
    <w:rsid w:val="006E1E9D"/>
    <w:rsid w:val="006E1EC7"/>
    <w:rsid w:val="006E1EDD"/>
    <w:rsid w:val="006E1EE9"/>
    <w:rsid w:val="006E269B"/>
    <w:rsid w:val="006E2999"/>
    <w:rsid w:val="006E2BA9"/>
    <w:rsid w:val="006E2BBE"/>
    <w:rsid w:val="006E352D"/>
    <w:rsid w:val="006E3BC5"/>
    <w:rsid w:val="006E3CE0"/>
    <w:rsid w:val="006E3FD9"/>
    <w:rsid w:val="006E4424"/>
    <w:rsid w:val="006E4594"/>
    <w:rsid w:val="006E468F"/>
    <w:rsid w:val="006E474D"/>
    <w:rsid w:val="006E4D2C"/>
    <w:rsid w:val="006E4DE9"/>
    <w:rsid w:val="006E4E10"/>
    <w:rsid w:val="006E4E42"/>
    <w:rsid w:val="006E5053"/>
    <w:rsid w:val="006E5C75"/>
    <w:rsid w:val="006E60AA"/>
    <w:rsid w:val="006E6245"/>
    <w:rsid w:val="006E6285"/>
    <w:rsid w:val="006E643D"/>
    <w:rsid w:val="006E644B"/>
    <w:rsid w:val="006E6860"/>
    <w:rsid w:val="006E6DDF"/>
    <w:rsid w:val="006E7A8B"/>
    <w:rsid w:val="006F08CC"/>
    <w:rsid w:val="006F097A"/>
    <w:rsid w:val="006F0BCE"/>
    <w:rsid w:val="006F194B"/>
    <w:rsid w:val="006F198A"/>
    <w:rsid w:val="006F1F23"/>
    <w:rsid w:val="006F229C"/>
    <w:rsid w:val="006F25AE"/>
    <w:rsid w:val="006F26EC"/>
    <w:rsid w:val="006F2A03"/>
    <w:rsid w:val="006F2EBE"/>
    <w:rsid w:val="006F317F"/>
    <w:rsid w:val="006F3480"/>
    <w:rsid w:val="006F3CFC"/>
    <w:rsid w:val="006F3F7F"/>
    <w:rsid w:val="006F417A"/>
    <w:rsid w:val="006F4402"/>
    <w:rsid w:val="006F4564"/>
    <w:rsid w:val="006F4566"/>
    <w:rsid w:val="006F45FE"/>
    <w:rsid w:val="006F488A"/>
    <w:rsid w:val="006F4C09"/>
    <w:rsid w:val="006F4F53"/>
    <w:rsid w:val="006F514C"/>
    <w:rsid w:val="006F68CE"/>
    <w:rsid w:val="006F6D4C"/>
    <w:rsid w:val="006F7121"/>
    <w:rsid w:val="006F78E5"/>
    <w:rsid w:val="006F79EA"/>
    <w:rsid w:val="006F7F0E"/>
    <w:rsid w:val="00700391"/>
    <w:rsid w:val="0070063A"/>
    <w:rsid w:val="007006E0"/>
    <w:rsid w:val="00700A98"/>
    <w:rsid w:val="00700AA9"/>
    <w:rsid w:val="00700BFE"/>
    <w:rsid w:val="00700D92"/>
    <w:rsid w:val="0070155B"/>
    <w:rsid w:val="00701777"/>
    <w:rsid w:val="00701C6B"/>
    <w:rsid w:val="00701D93"/>
    <w:rsid w:val="00701E8E"/>
    <w:rsid w:val="00701FC0"/>
    <w:rsid w:val="00702124"/>
    <w:rsid w:val="0070227F"/>
    <w:rsid w:val="00702292"/>
    <w:rsid w:val="00702563"/>
    <w:rsid w:val="007027A3"/>
    <w:rsid w:val="00702E5E"/>
    <w:rsid w:val="00702E7B"/>
    <w:rsid w:val="00702F62"/>
    <w:rsid w:val="0070312F"/>
    <w:rsid w:val="0070349C"/>
    <w:rsid w:val="007035E0"/>
    <w:rsid w:val="00703CDE"/>
    <w:rsid w:val="00703E80"/>
    <w:rsid w:val="00704C2B"/>
    <w:rsid w:val="0070504F"/>
    <w:rsid w:val="0070523E"/>
    <w:rsid w:val="0070553A"/>
    <w:rsid w:val="007056A6"/>
    <w:rsid w:val="00705986"/>
    <w:rsid w:val="00705B70"/>
    <w:rsid w:val="00705C9D"/>
    <w:rsid w:val="00705CAB"/>
    <w:rsid w:val="00706075"/>
    <w:rsid w:val="007065A0"/>
    <w:rsid w:val="0070683A"/>
    <w:rsid w:val="007069A1"/>
    <w:rsid w:val="00706E2A"/>
    <w:rsid w:val="00706E34"/>
    <w:rsid w:val="0070720D"/>
    <w:rsid w:val="007072E8"/>
    <w:rsid w:val="00707692"/>
    <w:rsid w:val="007078E9"/>
    <w:rsid w:val="007079A7"/>
    <w:rsid w:val="00707CE0"/>
    <w:rsid w:val="00707FB3"/>
    <w:rsid w:val="007100A0"/>
    <w:rsid w:val="00710550"/>
    <w:rsid w:val="007108E3"/>
    <w:rsid w:val="00710EA6"/>
    <w:rsid w:val="00711A6E"/>
    <w:rsid w:val="007121E0"/>
    <w:rsid w:val="0071229D"/>
    <w:rsid w:val="007126C1"/>
    <w:rsid w:val="00712786"/>
    <w:rsid w:val="0071350B"/>
    <w:rsid w:val="00713BA2"/>
    <w:rsid w:val="00713EC1"/>
    <w:rsid w:val="007146B4"/>
    <w:rsid w:val="007146CC"/>
    <w:rsid w:val="00714AF1"/>
    <w:rsid w:val="00714C71"/>
    <w:rsid w:val="00714E85"/>
    <w:rsid w:val="00714ED2"/>
    <w:rsid w:val="00714F3B"/>
    <w:rsid w:val="00715098"/>
    <w:rsid w:val="0071526D"/>
    <w:rsid w:val="0071566B"/>
    <w:rsid w:val="00715687"/>
    <w:rsid w:val="007156F6"/>
    <w:rsid w:val="00715D91"/>
    <w:rsid w:val="00715DC0"/>
    <w:rsid w:val="007160C4"/>
    <w:rsid w:val="0071625D"/>
    <w:rsid w:val="007164A8"/>
    <w:rsid w:val="007167FF"/>
    <w:rsid w:val="0071693F"/>
    <w:rsid w:val="00716B45"/>
    <w:rsid w:val="00716D17"/>
    <w:rsid w:val="00716FB1"/>
    <w:rsid w:val="007170C5"/>
    <w:rsid w:val="007174EE"/>
    <w:rsid w:val="007174FE"/>
    <w:rsid w:val="0071789E"/>
    <w:rsid w:val="00717ABE"/>
    <w:rsid w:val="00717CD0"/>
    <w:rsid w:val="00717F81"/>
    <w:rsid w:val="007201D9"/>
    <w:rsid w:val="0072029D"/>
    <w:rsid w:val="007207D7"/>
    <w:rsid w:val="00721453"/>
    <w:rsid w:val="007218A4"/>
    <w:rsid w:val="00721C26"/>
    <w:rsid w:val="00722584"/>
    <w:rsid w:val="00722938"/>
    <w:rsid w:val="00722975"/>
    <w:rsid w:val="00722A0E"/>
    <w:rsid w:val="00722A6E"/>
    <w:rsid w:val="00722B01"/>
    <w:rsid w:val="00722BD7"/>
    <w:rsid w:val="0072336F"/>
    <w:rsid w:val="00723894"/>
    <w:rsid w:val="007239F6"/>
    <w:rsid w:val="00723AA2"/>
    <w:rsid w:val="00723AB9"/>
    <w:rsid w:val="007244ED"/>
    <w:rsid w:val="007245E8"/>
    <w:rsid w:val="0072477D"/>
    <w:rsid w:val="0072480E"/>
    <w:rsid w:val="00724C32"/>
    <w:rsid w:val="0072575F"/>
    <w:rsid w:val="0072626D"/>
    <w:rsid w:val="00726FA5"/>
    <w:rsid w:val="007275AA"/>
    <w:rsid w:val="00727B59"/>
    <w:rsid w:val="00727CC8"/>
    <w:rsid w:val="00727DC2"/>
    <w:rsid w:val="00727F4E"/>
    <w:rsid w:val="00730601"/>
    <w:rsid w:val="007309CE"/>
    <w:rsid w:val="00730B28"/>
    <w:rsid w:val="00730D82"/>
    <w:rsid w:val="0073123C"/>
    <w:rsid w:val="007313BE"/>
    <w:rsid w:val="00731785"/>
    <w:rsid w:val="00731E69"/>
    <w:rsid w:val="00731F34"/>
    <w:rsid w:val="007322E1"/>
    <w:rsid w:val="00732E91"/>
    <w:rsid w:val="00732EC4"/>
    <w:rsid w:val="00733384"/>
    <w:rsid w:val="007336B9"/>
    <w:rsid w:val="00733CAB"/>
    <w:rsid w:val="00733DD1"/>
    <w:rsid w:val="00733F28"/>
    <w:rsid w:val="007340CC"/>
    <w:rsid w:val="007341AB"/>
    <w:rsid w:val="007343F9"/>
    <w:rsid w:val="007344C2"/>
    <w:rsid w:val="00734596"/>
    <w:rsid w:val="007348C1"/>
    <w:rsid w:val="00734A49"/>
    <w:rsid w:val="00734C61"/>
    <w:rsid w:val="00735055"/>
    <w:rsid w:val="0073516F"/>
    <w:rsid w:val="007354D1"/>
    <w:rsid w:val="00735C9D"/>
    <w:rsid w:val="00735F78"/>
    <w:rsid w:val="0073667A"/>
    <w:rsid w:val="007366D3"/>
    <w:rsid w:val="00736CA7"/>
    <w:rsid w:val="00737198"/>
    <w:rsid w:val="0073727D"/>
    <w:rsid w:val="00737ABD"/>
    <w:rsid w:val="0074021B"/>
    <w:rsid w:val="007405EA"/>
    <w:rsid w:val="0074076D"/>
    <w:rsid w:val="00740F3C"/>
    <w:rsid w:val="0074100B"/>
    <w:rsid w:val="007410F6"/>
    <w:rsid w:val="00741795"/>
    <w:rsid w:val="00741B2B"/>
    <w:rsid w:val="00741D4C"/>
    <w:rsid w:val="00741DAB"/>
    <w:rsid w:val="00741E56"/>
    <w:rsid w:val="0074240C"/>
    <w:rsid w:val="007424CA"/>
    <w:rsid w:val="00742B1F"/>
    <w:rsid w:val="00743043"/>
    <w:rsid w:val="007432EC"/>
    <w:rsid w:val="00743B2D"/>
    <w:rsid w:val="00743FCC"/>
    <w:rsid w:val="007444BF"/>
    <w:rsid w:val="00744829"/>
    <w:rsid w:val="00744A7C"/>
    <w:rsid w:val="00744B1B"/>
    <w:rsid w:val="00744BA0"/>
    <w:rsid w:val="00744EBF"/>
    <w:rsid w:val="00745196"/>
    <w:rsid w:val="00745520"/>
    <w:rsid w:val="007457AC"/>
    <w:rsid w:val="00745E06"/>
    <w:rsid w:val="00745F5B"/>
    <w:rsid w:val="007462C5"/>
    <w:rsid w:val="00746688"/>
    <w:rsid w:val="007466F0"/>
    <w:rsid w:val="00746DF4"/>
    <w:rsid w:val="00747808"/>
    <w:rsid w:val="0074797E"/>
    <w:rsid w:val="00747D75"/>
    <w:rsid w:val="00747FE4"/>
    <w:rsid w:val="0075001E"/>
    <w:rsid w:val="00750164"/>
    <w:rsid w:val="007503B6"/>
    <w:rsid w:val="007512FE"/>
    <w:rsid w:val="00751481"/>
    <w:rsid w:val="00751602"/>
    <w:rsid w:val="00752222"/>
    <w:rsid w:val="00752D42"/>
    <w:rsid w:val="0075350E"/>
    <w:rsid w:val="007536AF"/>
    <w:rsid w:val="0075383C"/>
    <w:rsid w:val="00753B11"/>
    <w:rsid w:val="00753B17"/>
    <w:rsid w:val="00753FF0"/>
    <w:rsid w:val="007544BD"/>
    <w:rsid w:val="00754789"/>
    <w:rsid w:val="00754827"/>
    <w:rsid w:val="007549D9"/>
    <w:rsid w:val="00754AC2"/>
    <w:rsid w:val="00754C9B"/>
    <w:rsid w:val="00754DBE"/>
    <w:rsid w:val="00754E83"/>
    <w:rsid w:val="007558FB"/>
    <w:rsid w:val="00755A3E"/>
    <w:rsid w:val="00755A48"/>
    <w:rsid w:val="00755A75"/>
    <w:rsid w:val="00755BAD"/>
    <w:rsid w:val="00756DAA"/>
    <w:rsid w:val="00756DC1"/>
    <w:rsid w:val="00756F80"/>
    <w:rsid w:val="00757108"/>
    <w:rsid w:val="0075736B"/>
    <w:rsid w:val="007573D8"/>
    <w:rsid w:val="00757437"/>
    <w:rsid w:val="007579C9"/>
    <w:rsid w:val="00757A30"/>
    <w:rsid w:val="00757C25"/>
    <w:rsid w:val="00757C6D"/>
    <w:rsid w:val="00757DCA"/>
    <w:rsid w:val="007603F6"/>
    <w:rsid w:val="00760939"/>
    <w:rsid w:val="00760BC8"/>
    <w:rsid w:val="00760BF0"/>
    <w:rsid w:val="0076151F"/>
    <w:rsid w:val="00761A7D"/>
    <w:rsid w:val="00761B8B"/>
    <w:rsid w:val="00761BE8"/>
    <w:rsid w:val="007621DD"/>
    <w:rsid w:val="00762383"/>
    <w:rsid w:val="0076250D"/>
    <w:rsid w:val="0076294A"/>
    <w:rsid w:val="00763240"/>
    <w:rsid w:val="007633B2"/>
    <w:rsid w:val="0076341A"/>
    <w:rsid w:val="007634C6"/>
    <w:rsid w:val="00764248"/>
    <w:rsid w:val="00764996"/>
    <w:rsid w:val="00764BEA"/>
    <w:rsid w:val="00764CAC"/>
    <w:rsid w:val="00764D10"/>
    <w:rsid w:val="00764D91"/>
    <w:rsid w:val="007657B2"/>
    <w:rsid w:val="00766063"/>
    <w:rsid w:val="00766285"/>
    <w:rsid w:val="0076632A"/>
    <w:rsid w:val="00766A70"/>
    <w:rsid w:val="00766DCF"/>
    <w:rsid w:val="00766E04"/>
    <w:rsid w:val="00766F0C"/>
    <w:rsid w:val="0076763C"/>
    <w:rsid w:val="00767A46"/>
    <w:rsid w:val="00767BE0"/>
    <w:rsid w:val="0077030F"/>
    <w:rsid w:val="007703BA"/>
    <w:rsid w:val="007713A1"/>
    <w:rsid w:val="007733A6"/>
    <w:rsid w:val="00773694"/>
    <w:rsid w:val="00773BA4"/>
    <w:rsid w:val="00773D96"/>
    <w:rsid w:val="00773DDC"/>
    <w:rsid w:val="00774053"/>
    <w:rsid w:val="007744C8"/>
    <w:rsid w:val="00774669"/>
    <w:rsid w:val="00774AF1"/>
    <w:rsid w:val="00774BDF"/>
    <w:rsid w:val="00774E66"/>
    <w:rsid w:val="0077510D"/>
    <w:rsid w:val="007753AE"/>
    <w:rsid w:val="007756B8"/>
    <w:rsid w:val="00775E45"/>
    <w:rsid w:val="00775E68"/>
    <w:rsid w:val="00776581"/>
    <w:rsid w:val="00776A01"/>
    <w:rsid w:val="00776DD4"/>
    <w:rsid w:val="007770CB"/>
    <w:rsid w:val="00777341"/>
    <w:rsid w:val="0077773E"/>
    <w:rsid w:val="00777789"/>
    <w:rsid w:val="00777817"/>
    <w:rsid w:val="0077794C"/>
    <w:rsid w:val="00777D2D"/>
    <w:rsid w:val="00777E0E"/>
    <w:rsid w:val="0078040F"/>
    <w:rsid w:val="007806F6"/>
    <w:rsid w:val="00780B4C"/>
    <w:rsid w:val="0078136F"/>
    <w:rsid w:val="0078174C"/>
    <w:rsid w:val="00781A7F"/>
    <w:rsid w:val="0078223B"/>
    <w:rsid w:val="0078227B"/>
    <w:rsid w:val="0078265E"/>
    <w:rsid w:val="007827E9"/>
    <w:rsid w:val="007829CB"/>
    <w:rsid w:val="00782A40"/>
    <w:rsid w:val="00782B97"/>
    <w:rsid w:val="00782CA2"/>
    <w:rsid w:val="00782CE5"/>
    <w:rsid w:val="00782E13"/>
    <w:rsid w:val="00782E4B"/>
    <w:rsid w:val="00782E85"/>
    <w:rsid w:val="0078300B"/>
    <w:rsid w:val="007833C3"/>
    <w:rsid w:val="007834B1"/>
    <w:rsid w:val="007836F5"/>
    <w:rsid w:val="0078384F"/>
    <w:rsid w:val="00783CBD"/>
    <w:rsid w:val="00784702"/>
    <w:rsid w:val="00784C94"/>
    <w:rsid w:val="00784EB0"/>
    <w:rsid w:val="00785076"/>
    <w:rsid w:val="007850FE"/>
    <w:rsid w:val="0078542D"/>
    <w:rsid w:val="0078592E"/>
    <w:rsid w:val="0078594D"/>
    <w:rsid w:val="007859BB"/>
    <w:rsid w:val="00785A6E"/>
    <w:rsid w:val="0078618C"/>
    <w:rsid w:val="00786D66"/>
    <w:rsid w:val="00786D7F"/>
    <w:rsid w:val="0078710B"/>
    <w:rsid w:val="0078778F"/>
    <w:rsid w:val="00787EE0"/>
    <w:rsid w:val="00787F41"/>
    <w:rsid w:val="00790065"/>
    <w:rsid w:val="007900CB"/>
    <w:rsid w:val="00790409"/>
    <w:rsid w:val="0079056F"/>
    <w:rsid w:val="007907C6"/>
    <w:rsid w:val="007909CF"/>
    <w:rsid w:val="00790ED7"/>
    <w:rsid w:val="00791866"/>
    <w:rsid w:val="0079194E"/>
    <w:rsid w:val="00791E3A"/>
    <w:rsid w:val="00791FBA"/>
    <w:rsid w:val="00792025"/>
    <w:rsid w:val="007922BD"/>
    <w:rsid w:val="00792E78"/>
    <w:rsid w:val="0079316B"/>
    <w:rsid w:val="00793822"/>
    <w:rsid w:val="00793DE5"/>
    <w:rsid w:val="0079425F"/>
    <w:rsid w:val="007943DF"/>
    <w:rsid w:val="00794974"/>
    <w:rsid w:val="00794F5A"/>
    <w:rsid w:val="00795228"/>
    <w:rsid w:val="007954F1"/>
    <w:rsid w:val="00795A12"/>
    <w:rsid w:val="00795B45"/>
    <w:rsid w:val="00795F51"/>
    <w:rsid w:val="00795FBE"/>
    <w:rsid w:val="00796B2A"/>
    <w:rsid w:val="00796B85"/>
    <w:rsid w:val="00796CC4"/>
    <w:rsid w:val="00797100"/>
    <w:rsid w:val="007A0CD9"/>
    <w:rsid w:val="007A0CDC"/>
    <w:rsid w:val="007A0DF7"/>
    <w:rsid w:val="007A135B"/>
    <w:rsid w:val="007A1396"/>
    <w:rsid w:val="007A18C0"/>
    <w:rsid w:val="007A1AEB"/>
    <w:rsid w:val="007A1C4F"/>
    <w:rsid w:val="007A1DDF"/>
    <w:rsid w:val="007A1ECC"/>
    <w:rsid w:val="007A2357"/>
    <w:rsid w:val="007A2BBF"/>
    <w:rsid w:val="007A3144"/>
    <w:rsid w:val="007A364E"/>
    <w:rsid w:val="007A38A9"/>
    <w:rsid w:val="007A3D67"/>
    <w:rsid w:val="007A4E25"/>
    <w:rsid w:val="007A4E4C"/>
    <w:rsid w:val="007A52D0"/>
    <w:rsid w:val="007A621C"/>
    <w:rsid w:val="007A63D9"/>
    <w:rsid w:val="007A67CC"/>
    <w:rsid w:val="007A6FF5"/>
    <w:rsid w:val="007A73FE"/>
    <w:rsid w:val="007A7463"/>
    <w:rsid w:val="007A76C9"/>
    <w:rsid w:val="007A7B08"/>
    <w:rsid w:val="007A7F87"/>
    <w:rsid w:val="007B0372"/>
    <w:rsid w:val="007B0462"/>
    <w:rsid w:val="007B0655"/>
    <w:rsid w:val="007B06FE"/>
    <w:rsid w:val="007B077F"/>
    <w:rsid w:val="007B0A3C"/>
    <w:rsid w:val="007B0A43"/>
    <w:rsid w:val="007B0AEE"/>
    <w:rsid w:val="007B0D43"/>
    <w:rsid w:val="007B0DC6"/>
    <w:rsid w:val="007B1A94"/>
    <w:rsid w:val="007B1FC8"/>
    <w:rsid w:val="007B20AD"/>
    <w:rsid w:val="007B26CD"/>
    <w:rsid w:val="007B2FA8"/>
    <w:rsid w:val="007B3412"/>
    <w:rsid w:val="007B3496"/>
    <w:rsid w:val="007B36E8"/>
    <w:rsid w:val="007B3743"/>
    <w:rsid w:val="007B38FB"/>
    <w:rsid w:val="007B3B07"/>
    <w:rsid w:val="007B3D6A"/>
    <w:rsid w:val="007B3E57"/>
    <w:rsid w:val="007B40CB"/>
    <w:rsid w:val="007B448F"/>
    <w:rsid w:val="007B4823"/>
    <w:rsid w:val="007B4C11"/>
    <w:rsid w:val="007B506F"/>
    <w:rsid w:val="007B5838"/>
    <w:rsid w:val="007B58A5"/>
    <w:rsid w:val="007B59C5"/>
    <w:rsid w:val="007B5CC1"/>
    <w:rsid w:val="007B5E6B"/>
    <w:rsid w:val="007B5EB9"/>
    <w:rsid w:val="007B5F2A"/>
    <w:rsid w:val="007B680E"/>
    <w:rsid w:val="007B6A49"/>
    <w:rsid w:val="007B6B10"/>
    <w:rsid w:val="007B6C40"/>
    <w:rsid w:val="007B6CDB"/>
    <w:rsid w:val="007B6E7E"/>
    <w:rsid w:val="007B6F4B"/>
    <w:rsid w:val="007B7967"/>
    <w:rsid w:val="007C01E5"/>
    <w:rsid w:val="007C070F"/>
    <w:rsid w:val="007C079E"/>
    <w:rsid w:val="007C07A3"/>
    <w:rsid w:val="007C0E74"/>
    <w:rsid w:val="007C12E0"/>
    <w:rsid w:val="007C14FC"/>
    <w:rsid w:val="007C1A36"/>
    <w:rsid w:val="007C1E00"/>
    <w:rsid w:val="007C1FD6"/>
    <w:rsid w:val="007C1FFE"/>
    <w:rsid w:val="007C232B"/>
    <w:rsid w:val="007C27D8"/>
    <w:rsid w:val="007C3597"/>
    <w:rsid w:val="007C3979"/>
    <w:rsid w:val="007C3BEB"/>
    <w:rsid w:val="007C3C21"/>
    <w:rsid w:val="007C3D78"/>
    <w:rsid w:val="007C43D2"/>
    <w:rsid w:val="007C45C2"/>
    <w:rsid w:val="007C4C8B"/>
    <w:rsid w:val="007C557C"/>
    <w:rsid w:val="007C5B89"/>
    <w:rsid w:val="007C5BE5"/>
    <w:rsid w:val="007C5CC3"/>
    <w:rsid w:val="007C5DF8"/>
    <w:rsid w:val="007C5E11"/>
    <w:rsid w:val="007C5F3F"/>
    <w:rsid w:val="007C60D0"/>
    <w:rsid w:val="007C65D7"/>
    <w:rsid w:val="007C6B05"/>
    <w:rsid w:val="007C6EDA"/>
    <w:rsid w:val="007C70BC"/>
    <w:rsid w:val="007C7164"/>
    <w:rsid w:val="007C7635"/>
    <w:rsid w:val="007C768B"/>
    <w:rsid w:val="007C7D35"/>
    <w:rsid w:val="007C7D43"/>
    <w:rsid w:val="007C7FD7"/>
    <w:rsid w:val="007D005E"/>
    <w:rsid w:val="007D06DE"/>
    <w:rsid w:val="007D0967"/>
    <w:rsid w:val="007D0A16"/>
    <w:rsid w:val="007D10A1"/>
    <w:rsid w:val="007D1260"/>
    <w:rsid w:val="007D150C"/>
    <w:rsid w:val="007D1B12"/>
    <w:rsid w:val="007D1CA7"/>
    <w:rsid w:val="007D1CEF"/>
    <w:rsid w:val="007D205D"/>
    <w:rsid w:val="007D227A"/>
    <w:rsid w:val="007D276D"/>
    <w:rsid w:val="007D2897"/>
    <w:rsid w:val="007D2A8C"/>
    <w:rsid w:val="007D2BC4"/>
    <w:rsid w:val="007D2D54"/>
    <w:rsid w:val="007D2E15"/>
    <w:rsid w:val="007D2FAB"/>
    <w:rsid w:val="007D32A2"/>
    <w:rsid w:val="007D37B1"/>
    <w:rsid w:val="007D3B2C"/>
    <w:rsid w:val="007D3C07"/>
    <w:rsid w:val="007D3CCD"/>
    <w:rsid w:val="007D4475"/>
    <w:rsid w:val="007D4F37"/>
    <w:rsid w:val="007D50EA"/>
    <w:rsid w:val="007D5326"/>
    <w:rsid w:val="007D532C"/>
    <w:rsid w:val="007D53AF"/>
    <w:rsid w:val="007D5EDA"/>
    <w:rsid w:val="007D6036"/>
    <w:rsid w:val="007D64AD"/>
    <w:rsid w:val="007D64BC"/>
    <w:rsid w:val="007D66FB"/>
    <w:rsid w:val="007D67CC"/>
    <w:rsid w:val="007D6E83"/>
    <w:rsid w:val="007D6E91"/>
    <w:rsid w:val="007D6EF0"/>
    <w:rsid w:val="007D76D4"/>
    <w:rsid w:val="007D7840"/>
    <w:rsid w:val="007D78A6"/>
    <w:rsid w:val="007E0332"/>
    <w:rsid w:val="007E05A6"/>
    <w:rsid w:val="007E05B4"/>
    <w:rsid w:val="007E08FE"/>
    <w:rsid w:val="007E0A2F"/>
    <w:rsid w:val="007E12A8"/>
    <w:rsid w:val="007E1698"/>
    <w:rsid w:val="007E196E"/>
    <w:rsid w:val="007E1DBB"/>
    <w:rsid w:val="007E23BE"/>
    <w:rsid w:val="007E246C"/>
    <w:rsid w:val="007E25E5"/>
    <w:rsid w:val="007E2688"/>
    <w:rsid w:val="007E2C61"/>
    <w:rsid w:val="007E2C84"/>
    <w:rsid w:val="007E2D34"/>
    <w:rsid w:val="007E3206"/>
    <w:rsid w:val="007E32E6"/>
    <w:rsid w:val="007E3711"/>
    <w:rsid w:val="007E3CB3"/>
    <w:rsid w:val="007E3CB9"/>
    <w:rsid w:val="007E41FE"/>
    <w:rsid w:val="007E430B"/>
    <w:rsid w:val="007E47A5"/>
    <w:rsid w:val="007E4E88"/>
    <w:rsid w:val="007E5353"/>
    <w:rsid w:val="007E5A90"/>
    <w:rsid w:val="007E5D21"/>
    <w:rsid w:val="007E619E"/>
    <w:rsid w:val="007E668D"/>
    <w:rsid w:val="007E6698"/>
    <w:rsid w:val="007E67C9"/>
    <w:rsid w:val="007E6A61"/>
    <w:rsid w:val="007E7460"/>
    <w:rsid w:val="007E7868"/>
    <w:rsid w:val="007E792C"/>
    <w:rsid w:val="007E7C32"/>
    <w:rsid w:val="007E7D08"/>
    <w:rsid w:val="007E7F46"/>
    <w:rsid w:val="007F00F4"/>
    <w:rsid w:val="007F0229"/>
    <w:rsid w:val="007F0342"/>
    <w:rsid w:val="007F0844"/>
    <w:rsid w:val="007F08A4"/>
    <w:rsid w:val="007F0CF1"/>
    <w:rsid w:val="007F0F1F"/>
    <w:rsid w:val="007F101B"/>
    <w:rsid w:val="007F11D1"/>
    <w:rsid w:val="007F13A1"/>
    <w:rsid w:val="007F14A8"/>
    <w:rsid w:val="007F1B48"/>
    <w:rsid w:val="007F1FA8"/>
    <w:rsid w:val="007F2655"/>
    <w:rsid w:val="007F269B"/>
    <w:rsid w:val="007F2A37"/>
    <w:rsid w:val="007F2F2B"/>
    <w:rsid w:val="007F2F74"/>
    <w:rsid w:val="007F3841"/>
    <w:rsid w:val="007F39DA"/>
    <w:rsid w:val="007F3BD3"/>
    <w:rsid w:val="007F3ED7"/>
    <w:rsid w:val="007F436A"/>
    <w:rsid w:val="007F438C"/>
    <w:rsid w:val="007F525C"/>
    <w:rsid w:val="007F53D1"/>
    <w:rsid w:val="007F57F7"/>
    <w:rsid w:val="007F5C99"/>
    <w:rsid w:val="007F5DC0"/>
    <w:rsid w:val="007F5E1A"/>
    <w:rsid w:val="007F5EC1"/>
    <w:rsid w:val="007F6011"/>
    <w:rsid w:val="007F6167"/>
    <w:rsid w:val="007F62AB"/>
    <w:rsid w:val="007F6BDF"/>
    <w:rsid w:val="007F7292"/>
    <w:rsid w:val="007F7421"/>
    <w:rsid w:val="007F7D02"/>
    <w:rsid w:val="007F7E06"/>
    <w:rsid w:val="007F7EBD"/>
    <w:rsid w:val="00800071"/>
    <w:rsid w:val="008009A0"/>
    <w:rsid w:val="00800F19"/>
    <w:rsid w:val="00801849"/>
    <w:rsid w:val="00801B87"/>
    <w:rsid w:val="008025BA"/>
    <w:rsid w:val="008025C6"/>
    <w:rsid w:val="00802DE8"/>
    <w:rsid w:val="008038B3"/>
    <w:rsid w:val="0080390A"/>
    <w:rsid w:val="00803BA7"/>
    <w:rsid w:val="00803E5D"/>
    <w:rsid w:val="0080457E"/>
    <w:rsid w:val="00804A69"/>
    <w:rsid w:val="00804CCC"/>
    <w:rsid w:val="00804DA6"/>
    <w:rsid w:val="00804E1A"/>
    <w:rsid w:val="0080517B"/>
    <w:rsid w:val="0080541D"/>
    <w:rsid w:val="00805B8E"/>
    <w:rsid w:val="00805E06"/>
    <w:rsid w:val="00805FE9"/>
    <w:rsid w:val="008063C7"/>
    <w:rsid w:val="008063E4"/>
    <w:rsid w:val="008067F3"/>
    <w:rsid w:val="00806EF8"/>
    <w:rsid w:val="008070B7"/>
    <w:rsid w:val="00807229"/>
    <w:rsid w:val="008072DB"/>
    <w:rsid w:val="00807501"/>
    <w:rsid w:val="008078FF"/>
    <w:rsid w:val="00807901"/>
    <w:rsid w:val="00807D7B"/>
    <w:rsid w:val="00807DA5"/>
    <w:rsid w:val="0081034D"/>
    <w:rsid w:val="008106CC"/>
    <w:rsid w:val="00810CF7"/>
    <w:rsid w:val="008110C9"/>
    <w:rsid w:val="008111AE"/>
    <w:rsid w:val="008115EC"/>
    <w:rsid w:val="00811778"/>
    <w:rsid w:val="00811A7E"/>
    <w:rsid w:val="00812391"/>
    <w:rsid w:val="00812C68"/>
    <w:rsid w:val="00812D63"/>
    <w:rsid w:val="00812E0A"/>
    <w:rsid w:val="00812F13"/>
    <w:rsid w:val="0081319A"/>
    <w:rsid w:val="00813451"/>
    <w:rsid w:val="008138CA"/>
    <w:rsid w:val="008139A6"/>
    <w:rsid w:val="00813E27"/>
    <w:rsid w:val="0081402A"/>
    <w:rsid w:val="0081419C"/>
    <w:rsid w:val="00814294"/>
    <w:rsid w:val="008142AC"/>
    <w:rsid w:val="00814825"/>
    <w:rsid w:val="008149AF"/>
    <w:rsid w:val="00814BC2"/>
    <w:rsid w:val="00814C77"/>
    <w:rsid w:val="00814D6E"/>
    <w:rsid w:val="00815798"/>
    <w:rsid w:val="0081585D"/>
    <w:rsid w:val="00815E9A"/>
    <w:rsid w:val="00815FD5"/>
    <w:rsid w:val="008161A5"/>
    <w:rsid w:val="00816670"/>
    <w:rsid w:val="0081680A"/>
    <w:rsid w:val="00817084"/>
    <w:rsid w:val="008179AA"/>
    <w:rsid w:val="00817D63"/>
    <w:rsid w:val="00820089"/>
    <w:rsid w:val="008203A1"/>
    <w:rsid w:val="00820449"/>
    <w:rsid w:val="00820592"/>
    <w:rsid w:val="00820698"/>
    <w:rsid w:val="00820B35"/>
    <w:rsid w:val="00820B8A"/>
    <w:rsid w:val="0082101E"/>
    <w:rsid w:val="00821541"/>
    <w:rsid w:val="008219BF"/>
    <w:rsid w:val="00821ACE"/>
    <w:rsid w:val="00821EC8"/>
    <w:rsid w:val="00822230"/>
    <w:rsid w:val="00822AD0"/>
    <w:rsid w:val="00823F05"/>
    <w:rsid w:val="008244C5"/>
    <w:rsid w:val="00824766"/>
    <w:rsid w:val="008247B8"/>
    <w:rsid w:val="00824A48"/>
    <w:rsid w:val="00824AE5"/>
    <w:rsid w:val="00824DD8"/>
    <w:rsid w:val="008254D3"/>
    <w:rsid w:val="0082566C"/>
    <w:rsid w:val="00825F7A"/>
    <w:rsid w:val="00826EE3"/>
    <w:rsid w:val="00827424"/>
    <w:rsid w:val="00827606"/>
    <w:rsid w:val="00827731"/>
    <w:rsid w:val="00827773"/>
    <w:rsid w:val="00827948"/>
    <w:rsid w:val="00830BAF"/>
    <w:rsid w:val="00830DB1"/>
    <w:rsid w:val="00830F9F"/>
    <w:rsid w:val="00830FE4"/>
    <w:rsid w:val="008314BA"/>
    <w:rsid w:val="008315B0"/>
    <w:rsid w:val="00831721"/>
    <w:rsid w:val="008319A5"/>
    <w:rsid w:val="00831A0C"/>
    <w:rsid w:val="00831BD2"/>
    <w:rsid w:val="00831C0F"/>
    <w:rsid w:val="00831CE5"/>
    <w:rsid w:val="00832916"/>
    <w:rsid w:val="0083298C"/>
    <w:rsid w:val="00832C8A"/>
    <w:rsid w:val="00833041"/>
    <w:rsid w:val="00833726"/>
    <w:rsid w:val="008338B8"/>
    <w:rsid w:val="008339C0"/>
    <w:rsid w:val="00833F8B"/>
    <w:rsid w:val="00834052"/>
    <w:rsid w:val="008341C1"/>
    <w:rsid w:val="008345B8"/>
    <w:rsid w:val="008347A0"/>
    <w:rsid w:val="008347CA"/>
    <w:rsid w:val="00834846"/>
    <w:rsid w:val="00834A82"/>
    <w:rsid w:val="00834ACC"/>
    <w:rsid w:val="00834BCD"/>
    <w:rsid w:val="00834C82"/>
    <w:rsid w:val="00834EF8"/>
    <w:rsid w:val="00834F61"/>
    <w:rsid w:val="008350B1"/>
    <w:rsid w:val="00835592"/>
    <w:rsid w:val="0083559B"/>
    <w:rsid w:val="00835CF0"/>
    <w:rsid w:val="00836EAE"/>
    <w:rsid w:val="008370C3"/>
    <w:rsid w:val="00837249"/>
    <w:rsid w:val="00837482"/>
    <w:rsid w:val="008377A7"/>
    <w:rsid w:val="00837D57"/>
    <w:rsid w:val="0084004E"/>
    <w:rsid w:val="008402E6"/>
    <w:rsid w:val="00840A4D"/>
    <w:rsid w:val="00840C58"/>
    <w:rsid w:val="00840D7D"/>
    <w:rsid w:val="00840FC6"/>
    <w:rsid w:val="008411BB"/>
    <w:rsid w:val="00841359"/>
    <w:rsid w:val="00842189"/>
    <w:rsid w:val="008426C4"/>
    <w:rsid w:val="0084322E"/>
    <w:rsid w:val="00843367"/>
    <w:rsid w:val="00843713"/>
    <w:rsid w:val="00843769"/>
    <w:rsid w:val="00843A0B"/>
    <w:rsid w:val="00843FD0"/>
    <w:rsid w:val="00843FEB"/>
    <w:rsid w:val="008443D0"/>
    <w:rsid w:val="00844476"/>
    <w:rsid w:val="008445B3"/>
    <w:rsid w:val="00844602"/>
    <w:rsid w:val="00844B5E"/>
    <w:rsid w:val="0084509D"/>
    <w:rsid w:val="00845B6C"/>
    <w:rsid w:val="00845B78"/>
    <w:rsid w:val="0084611B"/>
    <w:rsid w:val="00846505"/>
    <w:rsid w:val="0084669F"/>
    <w:rsid w:val="008467FA"/>
    <w:rsid w:val="00846848"/>
    <w:rsid w:val="008469DC"/>
    <w:rsid w:val="00846B5F"/>
    <w:rsid w:val="00846FDA"/>
    <w:rsid w:val="008470BE"/>
    <w:rsid w:val="00847320"/>
    <w:rsid w:val="008473B2"/>
    <w:rsid w:val="008473D4"/>
    <w:rsid w:val="0084753A"/>
    <w:rsid w:val="00847727"/>
    <w:rsid w:val="00847BD7"/>
    <w:rsid w:val="008500D8"/>
    <w:rsid w:val="008509B4"/>
    <w:rsid w:val="00851594"/>
    <w:rsid w:val="00851971"/>
    <w:rsid w:val="00851AB9"/>
    <w:rsid w:val="00851B94"/>
    <w:rsid w:val="00851F43"/>
    <w:rsid w:val="00852766"/>
    <w:rsid w:val="008529CA"/>
    <w:rsid w:val="00852D27"/>
    <w:rsid w:val="00852E4C"/>
    <w:rsid w:val="00852E6D"/>
    <w:rsid w:val="00852E88"/>
    <w:rsid w:val="008530AC"/>
    <w:rsid w:val="008533A6"/>
    <w:rsid w:val="00853557"/>
    <w:rsid w:val="00853A63"/>
    <w:rsid w:val="00854487"/>
    <w:rsid w:val="00854613"/>
    <w:rsid w:val="00854695"/>
    <w:rsid w:val="00854774"/>
    <w:rsid w:val="008549C3"/>
    <w:rsid w:val="00854AFD"/>
    <w:rsid w:val="00854B8E"/>
    <w:rsid w:val="00854C31"/>
    <w:rsid w:val="00854F79"/>
    <w:rsid w:val="008550C4"/>
    <w:rsid w:val="008551A2"/>
    <w:rsid w:val="00855498"/>
    <w:rsid w:val="008566BA"/>
    <w:rsid w:val="00856751"/>
    <w:rsid w:val="0085709D"/>
    <w:rsid w:val="008573FC"/>
    <w:rsid w:val="00857665"/>
    <w:rsid w:val="0085783D"/>
    <w:rsid w:val="00857D3D"/>
    <w:rsid w:val="00857D87"/>
    <w:rsid w:val="00857F8F"/>
    <w:rsid w:val="008603B9"/>
    <w:rsid w:val="00860623"/>
    <w:rsid w:val="008608A8"/>
    <w:rsid w:val="00860B7F"/>
    <w:rsid w:val="008610B9"/>
    <w:rsid w:val="00861309"/>
    <w:rsid w:val="00861D64"/>
    <w:rsid w:val="00862189"/>
    <w:rsid w:val="00862197"/>
    <w:rsid w:val="0086223E"/>
    <w:rsid w:val="008624E0"/>
    <w:rsid w:val="00862694"/>
    <w:rsid w:val="008627C8"/>
    <w:rsid w:val="008628CD"/>
    <w:rsid w:val="00862905"/>
    <w:rsid w:val="00862F6F"/>
    <w:rsid w:val="008632ED"/>
    <w:rsid w:val="008633E3"/>
    <w:rsid w:val="008637AE"/>
    <w:rsid w:val="00863A44"/>
    <w:rsid w:val="00863F2E"/>
    <w:rsid w:val="008649B6"/>
    <w:rsid w:val="00864E60"/>
    <w:rsid w:val="00865434"/>
    <w:rsid w:val="008655A2"/>
    <w:rsid w:val="008657D3"/>
    <w:rsid w:val="008658CB"/>
    <w:rsid w:val="008659BB"/>
    <w:rsid w:val="00865E12"/>
    <w:rsid w:val="00865F37"/>
    <w:rsid w:val="0086602B"/>
    <w:rsid w:val="008661CE"/>
    <w:rsid w:val="00866344"/>
    <w:rsid w:val="0086635E"/>
    <w:rsid w:val="008663B1"/>
    <w:rsid w:val="00866BE5"/>
    <w:rsid w:val="00866E79"/>
    <w:rsid w:val="00866E8A"/>
    <w:rsid w:val="008670A2"/>
    <w:rsid w:val="00867564"/>
    <w:rsid w:val="008675B5"/>
    <w:rsid w:val="0086777B"/>
    <w:rsid w:val="008678AE"/>
    <w:rsid w:val="00870169"/>
    <w:rsid w:val="008703B5"/>
    <w:rsid w:val="008707EB"/>
    <w:rsid w:val="00870845"/>
    <w:rsid w:val="00870B62"/>
    <w:rsid w:val="00870E19"/>
    <w:rsid w:val="00871066"/>
    <w:rsid w:val="008711E6"/>
    <w:rsid w:val="008715FB"/>
    <w:rsid w:val="00871D75"/>
    <w:rsid w:val="008723E2"/>
    <w:rsid w:val="0087259D"/>
    <w:rsid w:val="008727C1"/>
    <w:rsid w:val="00872A6F"/>
    <w:rsid w:val="00872AB2"/>
    <w:rsid w:val="00872C12"/>
    <w:rsid w:val="00872D44"/>
    <w:rsid w:val="00872DA4"/>
    <w:rsid w:val="00873021"/>
    <w:rsid w:val="008730B1"/>
    <w:rsid w:val="008733C2"/>
    <w:rsid w:val="0087348E"/>
    <w:rsid w:val="00873D30"/>
    <w:rsid w:val="00873DE0"/>
    <w:rsid w:val="008741D0"/>
    <w:rsid w:val="008742B5"/>
    <w:rsid w:val="008744A1"/>
    <w:rsid w:val="008744DE"/>
    <w:rsid w:val="00874572"/>
    <w:rsid w:val="0087486C"/>
    <w:rsid w:val="00874AB2"/>
    <w:rsid w:val="00874C8D"/>
    <w:rsid w:val="00874D2C"/>
    <w:rsid w:val="00874FEB"/>
    <w:rsid w:val="00875007"/>
    <w:rsid w:val="00875162"/>
    <w:rsid w:val="00875272"/>
    <w:rsid w:val="008755A5"/>
    <w:rsid w:val="008755BF"/>
    <w:rsid w:val="0087581A"/>
    <w:rsid w:val="00875B9C"/>
    <w:rsid w:val="00875C21"/>
    <w:rsid w:val="00875ECF"/>
    <w:rsid w:val="0087619A"/>
    <w:rsid w:val="00876280"/>
    <w:rsid w:val="00876EFF"/>
    <w:rsid w:val="00877706"/>
    <w:rsid w:val="00877804"/>
    <w:rsid w:val="008807DC"/>
    <w:rsid w:val="00880889"/>
    <w:rsid w:val="008811D6"/>
    <w:rsid w:val="00881422"/>
    <w:rsid w:val="00882126"/>
    <w:rsid w:val="00882164"/>
    <w:rsid w:val="00882986"/>
    <w:rsid w:val="00883184"/>
    <w:rsid w:val="00883472"/>
    <w:rsid w:val="00883D81"/>
    <w:rsid w:val="0088462B"/>
    <w:rsid w:val="008847CB"/>
    <w:rsid w:val="008849F5"/>
    <w:rsid w:val="00884BF3"/>
    <w:rsid w:val="0088592F"/>
    <w:rsid w:val="00885BCF"/>
    <w:rsid w:val="00885BEB"/>
    <w:rsid w:val="00886665"/>
    <w:rsid w:val="008870F5"/>
    <w:rsid w:val="00887B5F"/>
    <w:rsid w:val="00887C60"/>
    <w:rsid w:val="00890064"/>
    <w:rsid w:val="00890258"/>
    <w:rsid w:val="0089035D"/>
    <w:rsid w:val="008903D7"/>
    <w:rsid w:val="00890544"/>
    <w:rsid w:val="00890567"/>
    <w:rsid w:val="00890687"/>
    <w:rsid w:val="008909B0"/>
    <w:rsid w:val="00890AFC"/>
    <w:rsid w:val="00890BFB"/>
    <w:rsid w:val="00890C06"/>
    <w:rsid w:val="00890C78"/>
    <w:rsid w:val="00890F25"/>
    <w:rsid w:val="00891201"/>
    <w:rsid w:val="00891314"/>
    <w:rsid w:val="00891B6D"/>
    <w:rsid w:val="00891BC8"/>
    <w:rsid w:val="00891D7F"/>
    <w:rsid w:val="00892800"/>
    <w:rsid w:val="00893234"/>
    <w:rsid w:val="00893368"/>
    <w:rsid w:val="00893E37"/>
    <w:rsid w:val="00893E3A"/>
    <w:rsid w:val="0089451F"/>
    <w:rsid w:val="00894CF5"/>
    <w:rsid w:val="0089502F"/>
    <w:rsid w:val="00895841"/>
    <w:rsid w:val="00895E06"/>
    <w:rsid w:val="00895F45"/>
    <w:rsid w:val="00895FA8"/>
    <w:rsid w:val="008962FC"/>
    <w:rsid w:val="00896433"/>
    <w:rsid w:val="008965EC"/>
    <w:rsid w:val="00896A67"/>
    <w:rsid w:val="00896C73"/>
    <w:rsid w:val="00896D61"/>
    <w:rsid w:val="00897427"/>
    <w:rsid w:val="008975E1"/>
    <w:rsid w:val="008976C5"/>
    <w:rsid w:val="008976D8"/>
    <w:rsid w:val="00897860"/>
    <w:rsid w:val="008978E1"/>
    <w:rsid w:val="008A0726"/>
    <w:rsid w:val="008A08D0"/>
    <w:rsid w:val="008A0B6C"/>
    <w:rsid w:val="008A12FE"/>
    <w:rsid w:val="008A20DC"/>
    <w:rsid w:val="008A2860"/>
    <w:rsid w:val="008A28B0"/>
    <w:rsid w:val="008A29A3"/>
    <w:rsid w:val="008A2E0C"/>
    <w:rsid w:val="008A2ED1"/>
    <w:rsid w:val="008A33F0"/>
    <w:rsid w:val="008A3568"/>
    <w:rsid w:val="008A3AE8"/>
    <w:rsid w:val="008A3DA8"/>
    <w:rsid w:val="008A4209"/>
    <w:rsid w:val="008A44C2"/>
    <w:rsid w:val="008A4A32"/>
    <w:rsid w:val="008A4A53"/>
    <w:rsid w:val="008A5360"/>
    <w:rsid w:val="008A5698"/>
    <w:rsid w:val="008A58CB"/>
    <w:rsid w:val="008A5992"/>
    <w:rsid w:val="008A5BAE"/>
    <w:rsid w:val="008A5BD6"/>
    <w:rsid w:val="008A5BF7"/>
    <w:rsid w:val="008A6505"/>
    <w:rsid w:val="008A667F"/>
    <w:rsid w:val="008A675E"/>
    <w:rsid w:val="008A772B"/>
    <w:rsid w:val="008A7CE8"/>
    <w:rsid w:val="008A7EC8"/>
    <w:rsid w:val="008A7EDB"/>
    <w:rsid w:val="008B00DF"/>
    <w:rsid w:val="008B0577"/>
    <w:rsid w:val="008B0585"/>
    <w:rsid w:val="008B067D"/>
    <w:rsid w:val="008B0B18"/>
    <w:rsid w:val="008B0E44"/>
    <w:rsid w:val="008B112D"/>
    <w:rsid w:val="008B1475"/>
    <w:rsid w:val="008B1792"/>
    <w:rsid w:val="008B1FD4"/>
    <w:rsid w:val="008B219A"/>
    <w:rsid w:val="008B234D"/>
    <w:rsid w:val="008B2EB3"/>
    <w:rsid w:val="008B369B"/>
    <w:rsid w:val="008B36D1"/>
    <w:rsid w:val="008B3900"/>
    <w:rsid w:val="008B3D79"/>
    <w:rsid w:val="008B3DB3"/>
    <w:rsid w:val="008B3F84"/>
    <w:rsid w:val="008B3F9E"/>
    <w:rsid w:val="008B487B"/>
    <w:rsid w:val="008B4B09"/>
    <w:rsid w:val="008B4CA9"/>
    <w:rsid w:val="008B4F61"/>
    <w:rsid w:val="008B54F4"/>
    <w:rsid w:val="008B5710"/>
    <w:rsid w:val="008B5737"/>
    <w:rsid w:val="008B5E81"/>
    <w:rsid w:val="008B625C"/>
    <w:rsid w:val="008B6E39"/>
    <w:rsid w:val="008B71FA"/>
    <w:rsid w:val="008B7542"/>
    <w:rsid w:val="008B75F5"/>
    <w:rsid w:val="008C03C3"/>
    <w:rsid w:val="008C0656"/>
    <w:rsid w:val="008C0C0B"/>
    <w:rsid w:val="008C138C"/>
    <w:rsid w:val="008C1AEB"/>
    <w:rsid w:val="008C1B9B"/>
    <w:rsid w:val="008C1C65"/>
    <w:rsid w:val="008C2023"/>
    <w:rsid w:val="008C2238"/>
    <w:rsid w:val="008C2381"/>
    <w:rsid w:val="008C2425"/>
    <w:rsid w:val="008C2BAE"/>
    <w:rsid w:val="008C2C1B"/>
    <w:rsid w:val="008C334C"/>
    <w:rsid w:val="008C36D6"/>
    <w:rsid w:val="008C3B2B"/>
    <w:rsid w:val="008C3F58"/>
    <w:rsid w:val="008C406A"/>
    <w:rsid w:val="008C4143"/>
    <w:rsid w:val="008C4459"/>
    <w:rsid w:val="008C4495"/>
    <w:rsid w:val="008C452D"/>
    <w:rsid w:val="008C463A"/>
    <w:rsid w:val="008C46E4"/>
    <w:rsid w:val="008C4FBB"/>
    <w:rsid w:val="008C5397"/>
    <w:rsid w:val="008C546C"/>
    <w:rsid w:val="008C5622"/>
    <w:rsid w:val="008C5765"/>
    <w:rsid w:val="008C598F"/>
    <w:rsid w:val="008C5B10"/>
    <w:rsid w:val="008C5DE6"/>
    <w:rsid w:val="008C6526"/>
    <w:rsid w:val="008C6A2B"/>
    <w:rsid w:val="008C6F9C"/>
    <w:rsid w:val="008C70B4"/>
    <w:rsid w:val="008C7598"/>
    <w:rsid w:val="008C77D2"/>
    <w:rsid w:val="008C7AF9"/>
    <w:rsid w:val="008C7B80"/>
    <w:rsid w:val="008D0061"/>
    <w:rsid w:val="008D06A5"/>
    <w:rsid w:val="008D1120"/>
    <w:rsid w:val="008D1A64"/>
    <w:rsid w:val="008D1A9F"/>
    <w:rsid w:val="008D1F84"/>
    <w:rsid w:val="008D24F7"/>
    <w:rsid w:val="008D294B"/>
    <w:rsid w:val="008D2D62"/>
    <w:rsid w:val="008D34C1"/>
    <w:rsid w:val="008D3DB9"/>
    <w:rsid w:val="008D4BD8"/>
    <w:rsid w:val="008D4C1E"/>
    <w:rsid w:val="008D53B7"/>
    <w:rsid w:val="008D5712"/>
    <w:rsid w:val="008D5BFA"/>
    <w:rsid w:val="008D5C9E"/>
    <w:rsid w:val="008D6416"/>
    <w:rsid w:val="008D6625"/>
    <w:rsid w:val="008D66B2"/>
    <w:rsid w:val="008D69EC"/>
    <w:rsid w:val="008D6BED"/>
    <w:rsid w:val="008D6BFB"/>
    <w:rsid w:val="008D6E08"/>
    <w:rsid w:val="008D6ED6"/>
    <w:rsid w:val="008D729E"/>
    <w:rsid w:val="008D76F9"/>
    <w:rsid w:val="008D7792"/>
    <w:rsid w:val="008E06EA"/>
    <w:rsid w:val="008E0829"/>
    <w:rsid w:val="008E0D81"/>
    <w:rsid w:val="008E0FBC"/>
    <w:rsid w:val="008E1059"/>
    <w:rsid w:val="008E1A81"/>
    <w:rsid w:val="008E1B6E"/>
    <w:rsid w:val="008E32E3"/>
    <w:rsid w:val="008E3947"/>
    <w:rsid w:val="008E39BB"/>
    <w:rsid w:val="008E44B8"/>
    <w:rsid w:val="008E46D5"/>
    <w:rsid w:val="008E48DC"/>
    <w:rsid w:val="008E4F97"/>
    <w:rsid w:val="008E50B4"/>
    <w:rsid w:val="008E5976"/>
    <w:rsid w:val="008E5E7F"/>
    <w:rsid w:val="008E6286"/>
    <w:rsid w:val="008E66BA"/>
    <w:rsid w:val="008E6778"/>
    <w:rsid w:val="008E6D44"/>
    <w:rsid w:val="008E72D0"/>
    <w:rsid w:val="008E74DD"/>
    <w:rsid w:val="008E753C"/>
    <w:rsid w:val="008E7D05"/>
    <w:rsid w:val="008F03A3"/>
    <w:rsid w:val="008F1406"/>
    <w:rsid w:val="008F1956"/>
    <w:rsid w:val="008F1D57"/>
    <w:rsid w:val="008F1DAF"/>
    <w:rsid w:val="008F1E69"/>
    <w:rsid w:val="008F21F7"/>
    <w:rsid w:val="008F2470"/>
    <w:rsid w:val="008F27B0"/>
    <w:rsid w:val="008F27FF"/>
    <w:rsid w:val="008F292B"/>
    <w:rsid w:val="008F2C55"/>
    <w:rsid w:val="008F3170"/>
    <w:rsid w:val="008F332B"/>
    <w:rsid w:val="008F39E1"/>
    <w:rsid w:val="008F39ED"/>
    <w:rsid w:val="008F3C3F"/>
    <w:rsid w:val="008F438B"/>
    <w:rsid w:val="008F4B07"/>
    <w:rsid w:val="008F4BE7"/>
    <w:rsid w:val="008F4D60"/>
    <w:rsid w:val="008F4FFD"/>
    <w:rsid w:val="008F54F9"/>
    <w:rsid w:val="008F55B0"/>
    <w:rsid w:val="008F57D5"/>
    <w:rsid w:val="008F58C0"/>
    <w:rsid w:val="008F5AB8"/>
    <w:rsid w:val="008F6267"/>
    <w:rsid w:val="008F68FA"/>
    <w:rsid w:val="008F76BC"/>
    <w:rsid w:val="008F77D3"/>
    <w:rsid w:val="008F7C7C"/>
    <w:rsid w:val="0090042A"/>
    <w:rsid w:val="00900843"/>
    <w:rsid w:val="00900CFA"/>
    <w:rsid w:val="00900E05"/>
    <w:rsid w:val="00900F8C"/>
    <w:rsid w:val="009012EC"/>
    <w:rsid w:val="009013B6"/>
    <w:rsid w:val="00901463"/>
    <w:rsid w:val="0090159A"/>
    <w:rsid w:val="009019FC"/>
    <w:rsid w:val="00901E6C"/>
    <w:rsid w:val="0090231E"/>
    <w:rsid w:val="0090260D"/>
    <w:rsid w:val="00902B2F"/>
    <w:rsid w:val="00902D12"/>
    <w:rsid w:val="00902D39"/>
    <w:rsid w:val="009032A5"/>
    <w:rsid w:val="0090393F"/>
    <w:rsid w:val="00903D78"/>
    <w:rsid w:val="009041B4"/>
    <w:rsid w:val="00904DCD"/>
    <w:rsid w:val="00904E08"/>
    <w:rsid w:val="00904FC4"/>
    <w:rsid w:val="009050B6"/>
    <w:rsid w:val="00905357"/>
    <w:rsid w:val="00905399"/>
    <w:rsid w:val="009055A2"/>
    <w:rsid w:val="00905941"/>
    <w:rsid w:val="00905A5A"/>
    <w:rsid w:val="00905C5F"/>
    <w:rsid w:val="00905EAE"/>
    <w:rsid w:val="00905F00"/>
    <w:rsid w:val="00906368"/>
    <w:rsid w:val="00906BD3"/>
    <w:rsid w:val="00906CAB"/>
    <w:rsid w:val="00907B37"/>
    <w:rsid w:val="009101ED"/>
    <w:rsid w:val="009105B2"/>
    <w:rsid w:val="009105C5"/>
    <w:rsid w:val="00910B13"/>
    <w:rsid w:val="00910C9B"/>
    <w:rsid w:val="00910D94"/>
    <w:rsid w:val="00910DAF"/>
    <w:rsid w:val="009110D3"/>
    <w:rsid w:val="0091138A"/>
    <w:rsid w:val="00911870"/>
    <w:rsid w:val="00912472"/>
    <w:rsid w:val="0091273C"/>
    <w:rsid w:val="00912AFD"/>
    <w:rsid w:val="00912CBF"/>
    <w:rsid w:val="00912ECA"/>
    <w:rsid w:val="00912FF4"/>
    <w:rsid w:val="009131DF"/>
    <w:rsid w:val="00913D8B"/>
    <w:rsid w:val="00913F2F"/>
    <w:rsid w:val="00914A69"/>
    <w:rsid w:val="00914BB3"/>
    <w:rsid w:val="00914C11"/>
    <w:rsid w:val="00914E46"/>
    <w:rsid w:val="00914FF0"/>
    <w:rsid w:val="0091505D"/>
    <w:rsid w:val="00915065"/>
    <w:rsid w:val="00915180"/>
    <w:rsid w:val="009151FA"/>
    <w:rsid w:val="00915530"/>
    <w:rsid w:val="00915A68"/>
    <w:rsid w:val="00915CBF"/>
    <w:rsid w:val="00916068"/>
    <w:rsid w:val="009160F7"/>
    <w:rsid w:val="009165B1"/>
    <w:rsid w:val="00917244"/>
    <w:rsid w:val="009172E3"/>
    <w:rsid w:val="00917322"/>
    <w:rsid w:val="00917341"/>
    <w:rsid w:val="009178F2"/>
    <w:rsid w:val="009179B0"/>
    <w:rsid w:val="00917AEE"/>
    <w:rsid w:val="009206C5"/>
    <w:rsid w:val="00920710"/>
    <w:rsid w:val="00920806"/>
    <w:rsid w:val="00920E7B"/>
    <w:rsid w:val="009216CC"/>
    <w:rsid w:val="00921733"/>
    <w:rsid w:val="00922051"/>
    <w:rsid w:val="0092233F"/>
    <w:rsid w:val="0092254A"/>
    <w:rsid w:val="00922DA9"/>
    <w:rsid w:val="00922E11"/>
    <w:rsid w:val="00922F30"/>
    <w:rsid w:val="00923692"/>
    <w:rsid w:val="00923BEB"/>
    <w:rsid w:val="00924071"/>
    <w:rsid w:val="00924122"/>
    <w:rsid w:val="0092443F"/>
    <w:rsid w:val="00924CDB"/>
    <w:rsid w:val="00924E79"/>
    <w:rsid w:val="00925121"/>
    <w:rsid w:val="00925181"/>
    <w:rsid w:val="00925326"/>
    <w:rsid w:val="0092542A"/>
    <w:rsid w:val="00925E35"/>
    <w:rsid w:val="00925E7F"/>
    <w:rsid w:val="00925EED"/>
    <w:rsid w:val="009264EA"/>
    <w:rsid w:val="00926724"/>
    <w:rsid w:val="0092674B"/>
    <w:rsid w:val="00926960"/>
    <w:rsid w:val="00926A2C"/>
    <w:rsid w:val="0092701E"/>
    <w:rsid w:val="009273E9"/>
    <w:rsid w:val="0092772B"/>
    <w:rsid w:val="009277B4"/>
    <w:rsid w:val="00927C26"/>
    <w:rsid w:val="00927DD4"/>
    <w:rsid w:val="009300A9"/>
    <w:rsid w:val="009302A9"/>
    <w:rsid w:val="009303E4"/>
    <w:rsid w:val="00930AF8"/>
    <w:rsid w:val="00930B7C"/>
    <w:rsid w:val="00931432"/>
    <w:rsid w:val="00931628"/>
    <w:rsid w:val="00931D5E"/>
    <w:rsid w:val="009320E6"/>
    <w:rsid w:val="009323A6"/>
    <w:rsid w:val="00932451"/>
    <w:rsid w:val="00932B37"/>
    <w:rsid w:val="00932BAD"/>
    <w:rsid w:val="00932D61"/>
    <w:rsid w:val="00933428"/>
    <w:rsid w:val="00933582"/>
    <w:rsid w:val="00933706"/>
    <w:rsid w:val="00933878"/>
    <w:rsid w:val="00933C6E"/>
    <w:rsid w:val="00933E3D"/>
    <w:rsid w:val="00933F3F"/>
    <w:rsid w:val="009343FA"/>
    <w:rsid w:val="009346E0"/>
    <w:rsid w:val="0093477B"/>
    <w:rsid w:val="00934969"/>
    <w:rsid w:val="00934A8C"/>
    <w:rsid w:val="00934C2C"/>
    <w:rsid w:val="00934D34"/>
    <w:rsid w:val="00934DC4"/>
    <w:rsid w:val="00934DEB"/>
    <w:rsid w:val="00934EDF"/>
    <w:rsid w:val="00934F8C"/>
    <w:rsid w:val="00935446"/>
    <w:rsid w:val="009354D6"/>
    <w:rsid w:val="0093593C"/>
    <w:rsid w:val="009360A7"/>
    <w:rsid w:val="009360C3"/>
    <w:rsid w:val="009365E3"/>
    <w:rsid w:val="00936A30"/>
    <w:rsid w:val="00937121"/>
    <w:rsid w:val="0093772B"/>
    <w:rsid w:val="00937ABE"/>
    <w:rsid w:val="00937CB6"/>
    <w:rsid w:val="00937D2B"/>
    <w:rsid w:val="00937D72"/>
    <w:rsid w:val="00937EB2"/>
    <w:rsid w:val="00940013"/>
    <w:rsid w:val="009409ED"/>
    <w:rsid w:val="00940D50"/>
    <w:rsid w:val="00941BDB"/>
    <w:rsid w:val="00941DD5"/>
    <w:rsid w:val="00942332"/>
    <w:rsid w:val="009423A0"/>
    <w:rsid w:val="00942EAD"/>
    <w:rsid w:val="00943624"/>
    <w:rsid w:val="00943824"/>
    <w:rsid w:val="00943B73"/>
    <w:rsid w:val="00943B7A"/>
    <w:rsid w:val="00943BC4"/>
    <w:rsid w:val="00943E2B"/>
    <w:rsid w:val="00943E7E"/>
    <w:rsid w:val="00944103"/>
    <w:rsid w:val="0094422C"/>
    <w:rsid w:val="009442CC"/>
    <w:rsid w:val="00944354"/>
    <w:rsid w:val="00944A97"/>
    <w:rsid w:val="00944DBD"/>
    <w:rsid w:val="00945280"/>
    <w:rsid w:val="00945359"/>
    <w:rsid w:val="00945551"/>
    <w:rsid w:val="0094564C"/>
    <w:rsid w:val="009458C1"/>
    <w:rsid w:val="00945B02"/>
    <w:rsid w:val="00946775"/>
    <w:rsid w:val="00946840"/>
    <w:rsid w:val="00947216"/>
    <w:rsid w:val="0094748B"/>
    <w:rsid w:val="009476AE"/>
    <w:rsid w:val="00947AB9"/>
    <w:rsid w:val="00947E3A"/>
    <w:rsid w:val="009500DF"/>
    <w:rsid w:val="009504B9"/>
    <w:rsid w:val="009507DD"/>
    <w:rsid w:val="009508EB"/>
    <w:rsid w:val="00950AB4"/>
    <w:rsid w:val="00950CA7"/>
    <w:rsid w:val="00950CB9"/>
    <w:rsid w:val="00950E10"/>
    <w:rsid w:val="00950F15"/>
    <w:rsid w:val="00950FA0"/>
    <w:rsid w:val="009511C3"/>
    <w:rsid w:val="00951612"/>
    <w:rsid w:val="009516A3"/>
    <w:rsid w:val="00951CE8"/>
    <w:rsid w:val="009520BE"/>
    <w:rsid w:val="009520C6"/>
    <w:rsid w:val="009525A3"/>
    <w:rsid w:val="009527CF"/>
    <w:rsid w:val="00952A29"/>
    <w:rsid w:val="00952E8A"/>
    <w:rsid w:val="009530B8"/>
    <w:rsid w:val="009532C2"/>
    <w:rsid w:val="00953779"/>
    <w:rsid w:val="00953C6C"/>
    <w:rsid w:val="00954563"/>
    <w:rsid w:val="009546CD"/>
    <w:rsid w:val="009547F7"/>
    <w:rsid w:val="009548D2"/>
    <w:rsid w:val="00954CF1"/>
    <w:rsid w:val="00954FBD"/>
    <w:rsid w:val="009552CD"/>
    <w:rsid w:val="0095549A"/>
    <w:rsid w:val="009557AF"/>
    <w:rsid w:val="00955FC1"/>
    <w:rsid w:val="00956041"/>
    <w:rsid w:val="0095620A"/>
    <w:rsid w:val="0095636B"/>
    <w:rsid w:val="00956926"/>
    <w:rsid w:val="00956C23"/>
    <w:rsid w:val="00956C37"/>
    <w:rsid w:val="00956CF8"/>
    <w:rsid w:val="009572AA"/>
    <w:rsid w:val="009579C4"/>
    <w:rsid w:val="00957D25"/>
    <w:rsid w:val="00960192"/>
    <w:rsid w:val="009604BE"/>
    <w:rsid w:val="009609B0"/>
    <w:rsid w:val="0096104C"/>
    <w:rsid w:val="00961B4F"/>
    <w:rsid w:val="00961D92"/>
    <w:rsid w:val="009621D7"/>
    <w:rsid w:val="00962406"/>
    <w:rsid w:val="00962619"/>
    <w:rsid w:val="00962C89"/>
    <w:rsid w:val="00962CB0"/>
    <w:rsid w:val="009630B3"/>
    <w:rsid w:val="00963377"/>
    <w:rsid w:val="00964B34"/>
    <w:rsid w:val="00964BAC"/>
    <w:rsid w:val="00964BB5"/>
    <w:rsid w:val="00965589"/>
    <w:rsid w:val="009658E1"/>
    <w:rsid w:val="009659A3"/>
    <w:rsid w:val="00965C87"/>
    <w:rsid w:val="00965C9D"/>
    <w:rsid w:val="00965D8E"/>
    <w:rsid w:val="00965E0E"/>
    <w:rsid w:val="00965F5C"/>
    <w:rsid w:val="0096659C"/>
    <w:rsid w:val="00966A9A"/>
    <w:rsid w:val="00966B60"/>
    <w:rsid w:val="00966BA6"/>
    <w:rsid w:val="0096757B"/>
    <w:rsid w:val="009677D5"/>
    <w:rsid w:val="00967E05"/>
    <w:rsid w:val="00967EA9"/>
    <w:rsid w:val="009708C4"/>
    <w:rsid w:val="00970956"/>
    <w:rsid w:val="009713D6"/>
    <w:rsid w:val="009716FA"/>
    <w:rsid w:val="00971811"/>
    <w:rsid w:val="00971858"/>
    <w:rsid w:val="00971A4B"/>
    <w:rsid w:val="00971BBB"/>
    <w:rsid w:val="00971ED6"/>
    <w:rsid w:val="0097228C"/>
    <w:rsid w:val="0097245D"/>
    <w:rsid w:val="00972469"/>
    <w:rsid w:val="00972931"/>
    <w:rsid w:val="00972D31"/>
    <w:rsid w:val="00973154"/>
    <w:rsid w:val="009732F1"/>
    <w:rsid w:val="00973596"/>
    <w:rsid w:val="009737A8"/>
    <w:rsid w:val="00973A3F"/>
    <w:rsid w:val="00973BA6"/>
    <w:rsid w:val="00973C40"/>
    <w:rsid w:val="00974040"/>
    <w:rsid w:val="009741C7"/>
    <w:rsid w:val="00974266"/>
    <w:rsid w:val="00974D27"/>
    <w:rsid w:val="00974F4F"/>
    <w:rsid w:val="00975125"/>
    <w:rsid w:val="009753FE"/>
    <w:rsid w:val="009755DD"/>
    <w:rsid w:val="009755F2"/>
    <w:rsid w:val="00975646"/>
    <w:rsid w:val="00975650"/>
    <w:rsid w:val="00975676"/>
    <w:rsid w:val="00975AAA"/>
    <w:rsid w:val="00976068"/>
    <w:rsid w:val="00976100"/>
    <w:rsid w:val="0097679A"/>
    <w:rsid w:val="009770B8"/>
    <w:rsid w:val="00977563"/>
    <w:rsid w:val="009778C2"/>
    <w:rsid w:val="0098021D"/>
    <w:rsid w:val="00980670"/>
    <w:rsid w:val="00980800"/>
    <w:rsid w:val="00980A2B"/>
    <w:rsid w:val="00980A6F"/>
    <w:rsid w:val="00980D20"/>
    <w:rsid w:val="00980F39"/>
    <w:rsid w:val="0098103E"/>
    <w:rsid w:val="009810A1"/>
    <w:rsid w:val="00981214"/>
    <w:rsid w:val="00981643"/>
    <w:rsid w:val="009819BB"/>
    <w:rsid w:val="00982292"/>
    <w:rsid w:val="0098235E"/>
    <w:rsid w:val="00982360"/>
    <w:rsid w:val="00982AAC"/>
    <w:rsid w:val="00982D5B"/>
    <w:rsid w:val="0098319D"/>
    <w:rsid w:val="009837E6"/>
    <w:rsid w:val="00983C85"/>
    <w:rsid w:val="009840F8"/>
    <w:rsid w:val="00984192"/>
    <w:rsid w:val="00984598"/>
    <w:rsid w:val="00984897"/>
    <w:rsid w:val="009848CF"/>
    <w:rsid w:val="00984A2A"/>
    <w:rsid w:val="00985078"/>
    <w:rsid w:val="00985525"/>
    <w:rsid w:val="00985542"/>
    <w:rsid w:val="00985D9B"/>
    <w:rsid w:val="00986158"/>
    <w:rsid w:val="009863C7"/>
    <w:rsid w:val="0098649F"/>
    <w:rsid w:val="0098666F"/>
    <w:rsid w:val="0098676C"/>
    <w:rsid w:val="00987CCD"/>
    <w:rsid w:val="00990230"/>
    <w:rsid w:val="009906D5"/>
    <w:rsid w:val="00990F00"/>
    <w:rsid w:val="00991237"/>
    <w:rsid w:val="009913DA"/>
    <w:rsid w:val="0099199E"/>
    <w:rsid w:val="00991D9F"/>
    <w:rsid w:val="00991E99"/>
    <w:rsid w:val="00991F20"/>
    <w:rsid w:val="00992231"/>
    <w:rsid w:val="00992352"/>
    <w:rsid w:val="009924A0"/>
    <w:rsid w:val="009925B9"/>
    <w:rsid w:val="00992802"/>
    <w:rsid w:val="00992875"/>
    <w:rsid w:val="009928A2"/>
    <w:rsid w:val="00992A8B"/>
    <w:rsid w:val="00992DE6"/>
    <w:rsid w:val="00993042"/>
    <w:rsid w:val="0099326F"/>
    <w:rsid w:val="009933D1"/>
    <w:rsid w:val="009936DE"/>
    <w:rsid w:val="00993731"/>
    <w:rsid w:val="00993CA1"/>
    <w:rsid w:val="0099483D"/>
    <w:rsid w:val="00994879"/>
    <w:rsid w:val="00994B6E"/>
    <w:rsid w:val="00994B7C"/>
    <w:rsid w:val="00994EAB"/>
    <w:rsid w:val="009957F9"/>
    <w:rsid w:val="00996215"/>
    <w:rsid w:val="009965F4"/>
    <w:rsid w:val="00996636"/>
    <w:rsid w:val="009968DC"/>
    <w:rsid w:val="009973F8"/>
    <w:rsid w:val="00997A23"/>
    <w:rsid w:val="00997CB7"/>
    <w:rsid w:val="009A030F"/>
    <w:rsid w:val="009A0434"/>
    <w:rsid w:val="009A04E0"/>
    <w:rsid w:val="009A07B7"/>
    <w:rsid w:val="009A08A9"/>
    <w:rsid w:val="009A0E39"/>
    <w:rsid w:val="009A109A"/>
    <w:rsid w:val="009A206E"/>
    <w:rsid w:val="009A222D"/>
    <w:rsid w:val="009A2CA7"/>
    <w:rsid w:val="009A2EEA"/>
    <w:rsid w:val="009A3484"/>
    <w:rsid w:val="009A38A3"/>
    <w:rsid w:val="009A3A10"/>
    <w:rsid w:val="009A3B15"/>
    <w:rsid w:val="009A3B4D"/>
    <w:rsid w:val="009A3D4D"/>
    <w:rsid w:val="009A430A"/>
    <w:rsid w:val="009A4E9F"/>
    <w:rsid w:val="009A4EFF"/>
    <w:rsid w:val="009A5164"/>
    <w:rsid w:val="009A51D4"/>
    <w:rsid w:val="009A5233"/>
    <w:rsid w:val="009A553B"/>
    <w:rsid w:val="009A5573"/>
    <w:rsid w:val="009A55BB"/>
    <w:rsid w:val="009A55F9"/>
    <w:rsid w:val="009A57DB"/>
    <w:rsid w:val="009A5B0A"/>
    <w:rsid w:val="009A5DA2"/>
    <w:rsid w:val="009A69B4"/>
    <w:rsid w:val="009A6C70"/>
    <w:rsid w:val="009A70C4"/>
    <w:rsid w:val="009A733D"/>
    <w:rsid w:val="009A7BF5"/>
    <w:rsid w:val="009B0803"/>
    <w:rsid w:val="009B0EA9"/>
    <w:rsid w:val="009B10ED"/>
    <w:rsid w:val="009B11E0"/>
    <w:rsid w:val="009B1311"/>
    <w:rsid w:val="009B172E"/>
    <w:rsid w:val="009B1F50"/>
    <w:rsid w:val="009B20CF"/>
    <w:rsid w:val="009B2367"/>
    <w:rsid w:val="009B24C7"/>
    <w:rsid w:val="009B24DB"/>
    <w:rsid w:val="009B29B9"/>
    <w:rsid w:val="009B2CFE"/>
    <w:rsid w:val="009B2FBA"/>
    <w:rsid w:val="009B37F7"/>
    <w:rsid w:val="009B3843"/>
    <w:rsid w:val="009B3D03"/>
    <w:rsid w:val="009B487E"/>
    <w:rsid w:val="009B4CFB"/>
    <w:rsid w:val="009B4ED3"/>
    <w:rsid w:val="009B56AB"/>
    <w:rsid w:val="009B59B2"/>
    <w:rsid w:val="009B5CEE"/>
    <w:rsid w:val="009B5D58"/>
    <w:rsid w:val="009B6722"/>
    <w:rsid w:val="009B6782"/>
    <w:rsid w:val="009B6B45"/>
    <w:rsid w:val="009B7052"/>
    <w:rsid w:val="009B7118"/>
    <w:rsid w:val="009B78D4"/>
    <w:rsid w:val="009B7A65"/>
    <w:rsid w:val="009B7BD2"/>
    <w:rsid w:val="009B7EA0"/>
    <w:rsid w:val="009C057B"/>
    <w:rsid w:val="009C1646"/>
    <w:rsid w:val="009C16AE"/>
    <w:rsid w:val="009C17FC"/>
    <w:rsid w:val="009C22C5"/>
    <w:rsid w:val="009C2382"/>
    <w:rsid w:val="009C2D6F"/>
    <w:rsid w:val="009C2DA7"/>
    <w:rsid w:val="009C2E68"/>
    <w:rsid w:val="009C3204"/>
    <w:rsid w:val="009C346C"/>
    <w:rsid w:val="009C3551"/>
    <w:rsid w:val="009C3878"/>
    <w:rsid w:val="009C3A47"/>
    <w:rsid w:val="009C47E0"/>
    <w:rsid w:val="009C481A"/>
    <w:rsid w:val="009C4840"/>
    <w:rsid w:val="009C4FF6"/>
    <w:rsid w:val="009C58B9"/>
    <w:rsid w:val="009C5D73"/>
    <w:rsid w:val="009C5DB0"/>
    <w:rsid w:val="009C5DD9"/>
    <w:rsid w:val="009C61BB"/>
    <w:rsid w:val="009C645C"/>
    <w:rsid w:val="009C64D9"/>
    <w:rsid w:val="009C7134"/>
    <w:rsid w:val="009C7762"/>
    <w:rsid w:val="009C77A9"/>
    <w:rsid w:val="009C78D5"/>
    <w:rsid w:val="009C7E03"/>
    <w:rsid w:val="009D047E"/>
    <w:rsid w:val="009D05C9"/>
    <w:rsid w:val="009D07B2"/>
    <w:rsid w:val="009D11A1"/>
    <w:rsid w:val="009D161A"/>
    <w:rsid w:val="009D1AB4"/>
    <w:rsid w:val="009D1E35"/>
    <w:rsid w:val="009D2030"/>
    <w:rsid w:val="009D2067"/>
    <w:rsid w:val="009D214D"/>
    <w:rsid w:val="009D2150"/>
    <w:rsid w:val="009D22CF"/>
    <w:rsid w:val="009D3174"/>
    <w:rsid w:val="009D31D1"/>
    <w:rsid w:val="009D32D3"/>
    <w:rsid w:val="009D3379"/>
    <w:rsid w:val="009D379E"/>
    <w:rsid w:val="009D37A0"/>
    <w:rsid w:val="009D3944"/>
    <w:rsid w:val="009D3A38"/>
    <w:rsid w:val="009D3ADB"/>
    <w:rsid w:val="009D4345"/>
    <w:rsid w:val="009D44FC"/>
    <w:rsid w:val="009D4612"/>
    <w:rsid w:val="009D47C6"/>
    <w:rsid w:val="009D4925"/>
    <w:rsid w:val="009D4D76"/>
    <w:rsid w:val="009D4E40"/>
    <w:rsid w:val="009D4EAB"/>
    <w:rsid w:val="009D5078"/>
    <w:rsid w:val="009D5392"/>
    <w:rsid w:val="009D57D2"/>
    <w:rsid w:val="009D62A3"/>
    <w:rsid w:val="009D71C4"/>
    <w:rsid w:val="009D721B"/>
    <w:rsid w:val="009D79FA"/>
    <w:rsid w:val="009D7F86"/>
    <w:rsid w:val="009E00E4"/>
    <w:rsid w:val="009E03F9"/>
    <w:rsid w:val="009E04F6"/>
    <w:rsid w:val="009E0509"/>
    <w:rsid w:val="009E0A67"/>
    <w:rsid w:val="009E1092"/>
    <w:rsid w:val="009E115B"/>
    <w:rsid w:val="009E2663"/>
    <w:rsid w:val="009E2714"/>
    <w:rsid w:val="009E279C"/>
    <w:rsid w:val="009E287A"/>
    <w:rsid w:val="009E29E0"/>
    <w:rsid w:val="009E2C1B"/>
    <w:rsid w:val="009E2FBB"/>
    <w:rsid w:val="009E33A8"/>
    <w:rsid w:val="009E367F"/>
    <w:rsid w:val="009E3A70"/>
    <w:rsid w:val="009E3E62"/>
    <w:rsid w:val="009E40CF"/>
    <w:rsid w:val="009E4225"/>
    <w:rsid w:val="009E45FD"/>
    <w:rsid w:val="009E4674"/>
    <w:rsid w:val="009E4BAE"/>
    <w:rsid w:val="009E52CA"/>
    <w:rsid w:val="009E53BA"/>
    <w:rsid w:val="009E5E88"/>
    <w:rsid w:val="009E5F3D"/>
    <w:rsid w:val="009E61BC"/>
    <w:rsid w:val="009E6C58"/>
    <w:rsid w:val="009E6CEC"/>
    <w:rsid w:val="009E7234"/>
    <w:rsid w:val="009E72A4"/>
    <w:rsid w:val="009E7AC0"/>
    <w:rsid w:val="009E7C02"/>
    <w:rsid w:val="009E7F9D"/>
    <w:rsid w:val="009F0046"/>
    <w:rsid w:val="009F053D"/>
    <w:rsid w:val="009F0587"/>
    <w:rsid w:val="009F0696"/>
    <w:rsid w:val="009F06CC"/>
    <w:rsid w:val="009F0780"/>
    <w:rsid w:val="009F0E74"/>
    <w:rsid w:val="009F139E"/>
    <w:rsid w:val="009F14F0"/>
    <w:rsid w:val="009F14F3"/>
    <w:rsid w:val="009F164A"/>
    <w:rsid w:val="009F178C"/>
    <w:rsid w:val="009F1E2D"/>
    <w:rsid w:val="009F1E64"/>
    <w:rsid w:val="009F1F1D"/>
    <w:rsid w:val="009F2088"/>
    <w:rsid w:val="009F2234"/>
    <w:rsid w:val="009F251A"/>
    <w:rsid w:val="009F29B2"/>
    <w:rsid w:val="009F2B2F"/>
    <w:rsid w:val="009F33CC"/>
    <w:rsid w:val="009F34B9"/>
    <w:rsid w:val="009F3740"/>
    <w:rsid w:val="009F38C3"/>
    <w:rsid w:val="009F3AE4"/>
    <w:rsid w:val="009F3E3C"/>
    <w:rsid w:val="009F4448"/>
    <w:rsid w:val="009F47F5"/>
    <w:rsid w:val="009F499C"/>
    <w:rsid w:val="009F49E8"/>
    <w:rsid w:val="009F4F61"/>
    <w:rsid w:val="009F54E2"/>
    <w:rsid w:val="009F577B"/>
    <w:rsid w:val="009F5FA4"/>
    <w:rsid w:val="009F624A"/>
    <w:rsid w:val="009F6B7D"/>
    <w:rsid w:val="009F6CAC"/>
    <w:rsid w:val="009F7081"/>
    <w:rsid w:val="009F7255"/>
    <w:rsid w:val="009F741B"/>
    <w:rsid w:val="009F75FB"/>
    <w:rsid w:val="009F7AF2"/>
    <w:rsid w:val="009F7E40"/>
    <w:rsid w:val="00A003D1"/>
    <w:rsid w:val="00A00A64"/>
    <w:rsid w:val="00A00B9C"/>
    <w:rsid w:val="00A00C42"/>
    <w:rsid w:val="00A00D0C"/>
    <w:rsid w:val="00A00E31"/>
    <w:rsid w:val="00A00E92"/>
    <w:rsid w:val="00A00F80"/>
    <w:rsid w:val="00A015D5"/>
    <w:rsid w:val="00A01887"/>
    <w:rsid w:val="00A01D68"/>
    <w:rsid w:val="00A01DE5"/>
    <w:rsid w:val="00A021ED"/>
    <w:rsid w:val="00A02462"/>
    <w:rsid w:val="00A02BAD"/>
    <w:rsid w:val="00A02D4C"/>
    <w:rsid w:val="00A03A8A"/>
    <w:rsid w:val="00A03CD6"/>
    <w:rsid w:val="00A03DF4"/>
    <w:rsid w:val="00A03E1A"/>
    <w:rsid w:val="00A047A4"/>
    <w:rsid w:val="00A04A0B"/>
    <w:rsid w:val="00A04DE6"/>
    <w:rsid w:val="00A04FEB"/>
    <w:rsid w:val="00A0535B"/>
    <w:rsid w:val="00A059F4"/>
    <w:rsid w:val="00A05B69"/>
    <w:rsid w:val="00A0624A"/>
    <w:rsid w:val="00A06285"/>
    <w:rsid w:val="00A06511"/>
    <w:rsid w:val="00A06931"/>
    <w:rsid w:val="00A0727F"/>
    <w:rsid w:val="00A073B8"/>
    <w:rsid w:val="00A07444"/>
    <w:rsid w:val="00A075C5"/>
    <w:rsid w:val="00A079FD"/>
    <w:rsid w:val="00A07C69"/>
    <w:rsid w:val="00A07C8C"/>
    <w:rsid w:val="00A1020D"/>
    <w:rsid w:val="00A1024A"/>
    <w:rsid w:val="00A1071A"/>
    <w:rsid w:val="00A10C99"/>
    <w:rsid w:val="00A10D68"/>
    <w:rsid w:val="00A10DF4"/>
    <w:rsid w:val="00A10E7B"/>
    <w:rsid w:val="00A110AA"/>
    <w:rsid w:val="00A111F0"/>
    <w:rsid w:val="00A119A2"/>
    <w:rsid w:val="00A11C81"/>
    <w:rsid w:val="00A11EEB"/>
    <w:rsid w:val="00A11F2B"/>
    <w:rsid w:val="00A120A8"/>
    <w:rsid w:val="00A1244B"/>
    <w:rsid w:val="00A1246B"/>
    <w:rsid w:val="00A127FC"/>
    <w:rsid w:val="00A128A3"/>
    <w:rsid w:val="00A12B12"/>
    <w:rsid w:val="00A12E30"/>
    <w:rsid w:val="00A12E60"/>
    <w:rsid w:val="00A131E8"/>
    <w:rsid w:val="00A13415"/>
    <w:rsid w:val="00A13807"/>
    <w:rsid w:val="00A13DB5"/>
    <w:rsid w:val="00A14046"/>
    <w:rsid w:val="00A14771"/>
    <w:rsid w:val="00A14782"/>
    <w:rsid w:val="00A148E7"/>
    <w:rsid w:val="00A14A58"/>
    <w:rsid w:val="00A14A8F"/>
    <w:rsid w:val="00A14F48"/>
    <w:rsid w:val="00A15320"/>
    <w:rsid w:val="00A157E5"/>
    <w:rsid w:val="00A15C23"/>
    <w:rsid w:val="00A160E2"/>
    <w:rsid w:val="00A16583"/>
    <w:rsid w:val="00A16A60"/>
    <w:rsid w:val="00A16AD2"/>
    <w:rsid w:val="00A16E73"/>
    <w:rsid w:val="00A16F3F"/>
    <w:rsid w:val="00A1723D"/>
    <w:rsid w:val="00A1737C"/>
    <w:rsid w:val="00A1771F"/>
    <w:rsid w:val="00A1791E"/>
    <w:rsid w:val="00A17976"/>
    <w:rsid w:val="00A2039A"/>
    <w:rsid w:val="00A20977"/>
    <w:rsid w:val="00A20A33"/>
    <w:rsid w:val="00A20FBC"/>
    <w:rsid w:val="00A210AE"/>
    <w:rsid w:val="00A21149"/>
    <w:rsid w:val="00A21B68"/>
    <w:rsid w:val="00A21D72"/>
    <w:rsid w:val="00A21EBD"/>
    <w:rsid w:val="00A22057"/>
    <w:rsid w:val="00A220E4"/>
    <w:rsid w:val="00A22273"/>
    <w:rsid w:val="00A22407"/>
    <w:rsid w:val="00A22523"/>
    <w:rsid w:val="00A22C64"/>
    <w:rsid w:val="00A22ECF"/>
    <w:rsid w:val="00A22FB9"/>
    <w:rsid w:val="00A232F6"/>
    <w:rsid w:val="00A233C0"/>
    <w:rsid w:val="00A233E9"/>
    <w:rsid w:val="00A234CE"/>
    <w:rsid w:val="00A23ADC"/>
    <w:rsid w:val="00A24051"/>
    <w:rsid w:val="00A24398"/>
    <w:rsid w:val="00A24475"/>
    <w:rsid w:val="00A2468D"/>
    <w:rsid w:val="00A247C3"/>
    <w:rsid w:val="00A24D90"/>
    <w:rsid w:val="00A24E2F"/>
    <w:rsid w:val="00A24E5A"/>
    <w:rsid w:val="00A25229"/>
    <w:rsid w:val="00A253AA"/>
    <w:rsid w:val="00A25737"/>
    <w:rsid w:val="00A25966"/>
    <w:rsid w:val="00A25A73"/>
    <w:rsid w:val="00A25B06"/>
    <w:rsid w:val="00A25DA9"/>
    <w:rsid w:val="00A25ED8"/>
    <w:rsid w:val="00A26140"/>
    <w:rsid w:val="00A262CB"/>
    <w:rsid w:val="00A2633E"/>
    <w:rsid w:val="00A266D2"/>
    <w:rsid w:val="00A269FC"/>
    <w:rsid w:val="00A26A8F"/>
    <w:rsid w:val="00A26C08"/>
    <w:rsid w:val="00A27598"/>
    <w:rsid w:val="00A27691"/>
    <w:rsid w:val="00A2785B"/>
    <w:rsid w:val="00A30061"/>
    <w:rsid w:val="00A3056E"/>
    <w:rsid w:val="00A30578"/>
    <w:rsid w:val="00A30802"/>
    <w:rsid w:val="00A30EAD"/>
    <w:rsid w:val="00A30F63"/>
    <w:rsid w:val="00A31359"/>
    <w:rsid w:val="00A3137B"/>
    <w:rsid w:val="00A31434"/>
    <w:rsid w:val="00A31790"/>
    <w:rsid w:val="00A3241B"/>
    <w:rsid w:val="00A32645"/>
    <w:rsid w:val="00A32A00"/>
    <w:rsid w:val="00A32BCF"/>
    <w:rsid w:val="00A32BF1"/>
    <w:rsid w:val="00A335BE"/>
    <w:rsid w:val="00A3384E"/>
    <w:rsid w:val="00A33F4B"/>
    <w:rsid w:val="00A3476C"/>
    <w:rsid w:val="00A34BDC"/>
    <w:rsid w:val="00A34C52"/>
    <w:rsid w:val="00A3517E"/>
    <w:rsid w:val="00A35838"/>
    <w:rsid w:val="00A35C25"/>
    <w:rsid w:val="00A360A8"/>
    <w:rsid w:val="00A365FA"/>
    <w:rsid w:val="00A368BA"/>
    <w:rsid w:val="00A36B66"/>
    <w:rsid w:val="00A36E2F"/>
    <w:rsid w:val="00A373DE"/>
    <w:rsid w:val="00A3749C"/>
    <w:rsid w:val="00A37A35"/>
    <w:rsid w:val="00A37DD3"/>
    <w:rsid w:val="00A4051F"/>
    <w:rsid w:val="00A407FA"/>
    <w:rsid w:val="00A40F50"/>
    <w:rsid w:val="00A41A4B"/>
    <w:rsid w:val="00A41DCB"/>
    <w:rsid w:val="00A4213C"/>
    <w:rsid w:val="00A42479"/>
    <w:rsid w:val="00A427BF"/>
    <w:rsid w:val="00A42A87"/>
    <w:rsid w:val="00A42B6F"/>
    <w:rsid w:val="00A43386"/>
    <w:rsid w:val="00A433B8"/>
    <w:rsid w:val="00A4355E"/>
    <w:rsid w:val="00A4371F"/>
    <w:rsid w:val="00A437B1"/>
    <w:rsid w:val="00A438A6"/>
    <w:rsid w:val="00A43A04"/>
    <w:rsid w:val="00A44177"/>
    <w:rsid w:val="00A4423F"/>
    <w:rsid w:val="00A44A70"/>
    <w:rsid w:val="00A44B03"/>
    <w:rsid w:val="00A44E4D"/>
    <w:rsid w:val="00A45456"/>
    <w:rsid w:val="00A45FB5"/>
    <w:rsid w:val="00A4664A"/>
    <w:rsid w:val="00A466F0"/>
    <w:rsid w:val="00A46A27"/>
    <w:rsid w:val="00A471C2"/>
    <w:rsid w:val="00A47472"/>
    <w:rsid w:val="00A50579"/>
    <w:rsid w:val="00A50639"/>
    <w:rsid w:val="00A50A0A"/>
    <w:rsid w:val="00A50C07"/>
    <w:rsid w:val="00A50D6E"/>
    <w:rsid w:val="00A513B4"/>
    <w:rsid w:val="00A51509"/>
    <w:rsid w:val="00A515DB"/>
    <w:rsid w:val="00A522C7"/>
    <w:rsid w:val="00A52433"/>
    <w:rsid w:val="00A52B10"/>
    <w:rsid w:val="00A52B9A"/>
    <w:rsid w:val="00A5344E"/>
    <w:rsid w:val="00A53516"/>
    <w:rsid w:val="00A53BB3"/>
    <w:rsid w:val="00A53ED9"/>
    <w:rsid w:val="00A54628"/>
    <w:rsid w:val="00A5474A"/>
    <w:rsid w:val="00A55073"/>
    <w:rsid w:val="00A55421"/>
    <w:rsid w:val="00A560D3"/>
    <w:rsid w:val="00A56125"/>
    <w:rsid w:val="00A56130"/>
    <w:rsid w:val="00A569C1"/>
    <w:rsid w:val="00A56B9D"/>
    <w:rsid w:val="00A56E70"/>
    <w:rsid w:val="00A5711C"/>
    <w:rsid w:val="00A574F7"/>
    <w:rsid w:val="00A5753E"/>
    <w:rsid w:val="00A57D53"/>
    <w:rsid w:val="00A60044"/>
    <w:rsid w:val="00A60188"/>
    <w:rsid w:val="00A60532"/>
    <w:rsid w:val="00A60672"/>
    <w:rsid w:val="00A60AAA"/>
    <w:rsid w:val="00A61134"/>
    <w:rsid w:val="00A617F0"/>
    <w:rsid w:val="00A61860"/>
    <w:rsid w:val="00A61863"/>
    <w:rsid w:val="00A61B32"/>
    <w:rsid w:val="00A61D1E"/>
    <w:rsid w:val="00A61E7E"/>
    <w:rsid w:val="00A6251E"/>
    <w:rsid w:val="00A625C5"/>
    <w:rsid w:val="00A626EF"/>
    <w:rsid w:val="00A62BB7"/>
    <w:rsid w:val="00A62BC5"/>
    <w:rsid w:val="00A62EC7"/>
    <w:rsid w:val="00A63D81"/>
    <w:rsid w:val="00A65404"/>
    <w:rsid w:val="00A65899"/>
    <w:rsid w:val="00A6591E"/>
    <w:rsid w:val="00A65B9D"/>
    <w:rsid w:val="00A65F3F"/>
    <w:rsid w:val="00A660AC"/>
    <w:rsid w:val="00A66AB2"/>
    <w:rsid w:val="00A66AF7"/>
    <w:rsid w:val="00A66D1E"/>
    <w:rsid w:val="00A66D21"/>
    <w:rsid w:val="00A6725F"/>
    <w:rsid w:val="00A67612"/>
    <w:rsid w:val="00A6783E"/>
    <w:rsid w:val="00A67A7D"/>
    <w:rsid w:val="00A67E4E"/>
    <w:rsid w:val="00A67E61"/>
    <w:rsid w:val="00A67E9C"/>
    <w:rsid w:val="00A67EBF"/>
    <w:rsid w:val="00A70C38"/>
    <w:rsid w:val="00A710B1"/>
    <w:rsid w:val="00A712DA"/>
    <w:rsid w:val="00A7142D"/>
    <w:rsid w:val="00A714C4"/>
    <w:rsid w:val="00A714FF"/>
    <w:rsid w:val="00A7175C"/>
    <w:rsid w:val="00A71D1A"/>
    <w:rsid w:val="00A71F78"/>
    <w:rsid w:val="00A721F7"/>
    <w:rsid w:val="00A7232D"/>
    <w:rsid w:val="00A723AA"/>
    <w:rsid w:val="00A7268D"/>
    <w:rsid w:val="00A7272E"/>
    <w:rsid w:val="00A727AE"/>
    <w:rsid w:val="00A729B6"/>
    <w:rsid w:val="00A72A2A"/>
    <w:rsid w:val="00A72C88"/>
    <w:rsid w:val="00A72D87"/>
    <w:rsid w:val="00A730AB"/>
    <w:rsid w:val="00A73829"/>
    <w:rsid w:val="00A7393A"/>
    <w:rsid w:val="00A7398C"/>
    <w:rsid w:val="00A73A65"/>
    <w:rsid w:val="00A73D86"/>
    <w:rsid w:val="00A73F29"/>
    <w:rsid w:val="00A7432D"/>
    <w:rsid w:val="00A746A2"/>
    <w:rsid w:val="00A74B3A"/>
    <w:rsid w:val="00A74B60"/>
    <w:rsid w:val="00A74ED9"/>
    <w:rsid w:val="00A7510D"/>
    <w:rsid w:val="00A7523F"/>
    <w:rsid w:val="00A75B95"/>
    <w:rsid w:val="00A75CCB"/>
    <w:rsid w:val="00A7607B"/>
    <w:rsid w:val="00A7664D"/>
    <w:rsid w:val="00A7694A"/>
    <w:rsid w:val="00A76981"/>
    <w:rsid w:val="00A76CF1"/>
    <w:rsid w:val="00A76DD2"/>
    <w:rsid w:val="00A774F9"/>
    <w:rsid w:val="00A7777A"/>
    <w:rsid w:val="00A77E1A"/>
    <w:rsid w:val="00A80070"/>
    <w:rsid w:val="00A80330"/>
    <w:rsid w:val="00A80496"/>
    <w:rsid w:val="00A80948"/>
    <w:rsid w:val="00A80A93"/>
    <w:rsid w:val="00A80B16"/>
    <w:rsid w:val="00A81395"/>
    <w:rsid w:val="00A81CF1"/>
    <w:rsid w:val="00A81D90"/>
    <w:rsid w:val="00A81FA9"/>
    <w:rsid w:val="00A828BD"/>
    <w:rsid w:val="00A82FAF"/>
    <w:rsid w:val="00A838C4"/>
    <w:rsid w:val="00A83B50"/>
    <w:rsid w:val="00A83E20"/>
    <w:rsid w:val="00A840FF"/>
    <w:rsid w:val="00A84782"/>
    <w:rsid w:val="00A84959"/>
    <w:rsid w:val="00A84F60"/>
    <w:rsid w:val="00A85648"/>
    <w:rsid w:val="00A856B6"/>
    <w:rsid w:val="00A859F0"/>
    <w:rsid w:val="00A85B2B"/>
    <w:rsid w:val="00A85E14"/>
    <w:rsid w:val="00A86156"/>
    <w:rsid w:val="00A86214"/>
    <w:rsid w:val="00A8668C"/>
    <w:rsid w:val="00A8678A"/>
    <w:rsid w:val="00A867DD"/>
    <w:rsid w:val="00A87101"/>
    <w:rsid w:val="00A87589"/>
    <w:rsid w:val="00A87707"/>
    <w:rsid w:val="00A87856"/>
    <w:rsid w:val="00A87C9C"/>
    <w:rsid w:val="00A87DC8"/>
    <w:rsid w:val="00A90260"/>
    <w:rsid w:val="00A9074E"/>
    <w:rsid w:val="00A90A22"/>
    <w:rsid w:val="00A90D7B"/>
    <w:rsid w:val="00A90DEC"/>
    <w:rsid w:val="00A91038"/>
    <w:rsid w:val="00A917C3"/>
    <w:rsid w:val="00A919E3"/>
    <w:rsid w:val="00A91BB8"/>
    <w:rsid w:val="00A91BD8"/>
    <w:rsid w:val="00A91D9F"/>
    <w:rsid w:val="00A927F7"/>
    <w:rsid w:val="00A93343"/>
    <w:rsid w:val="00A934DF"/>
    <w:rsid w:val="00A93A72"/>
    <w:rsid w:val="00A942FF"/>
    <w:rsid w:val="00A94487"/>
    <w:rsid w:val="00A9461D"/>
    <w:rsid w:val="00A94750"/>
    <w:rsid w:val="00A94E32"/>
    <w:rsid w:val="00A94FE5"/>
    <w:rsid w:val="00A94FF6"/>
    <w:rsid w:val="00A951CC"/>
    <w:rsid w:val="00A955BE"/>
    <w:rsid w:val="00A95D96"/>
    <w:rsid w:val="00A95F86"/>
    <w:rsid w:val="00A9638C"/>
    <w:rsid w:val="00A96474"/>
    <w:rsid w:val="00A96505"/>
    <w:rsid w:val="00A966F4"/>
    <w:rsid w:val="00A96B1A"/>
    <w:rsid w:val="00A97576"/>
    <w:rsid w:val="00A9796C"/>
    <w:rsid w:val="00A97DAD"/>
    <w:rsid w:val="00AA016C"/>
    <w:rsid w:val="00AA027E"/>
    <w:rsid w:val="00AA07A3"/>
    <w:rsid w:val="00AA0D12"/>
    <w:rsid w:val="00AA0D88"/>
    <w:rsid w:val="00AA0F95"/>
    <w:rsid w:val="00AA149F"/>
    <w:rsid w:val="00AA27B9"/>
    <w:rsid w:val="00AA2980"/>
    <w:rsid w:val="00AA2D2B"/>
    <w:rsid w:val="00AA2E93"/>
    <w:rsid w:val="00AA3372"/>
    <w:rsid w:val="00AA35DA"/>
    <w:rsid w:val="00AA3E6D"/>
    <w:rsid w:val="00AA40B8"/>
    <w:rsid w:val="00AA43E0"/>
    <w:rsid w:val="00AA44D2"/>
    <w:rsid w:val="00AA44F4"/>
    <w:rsid w:val="00AA45B4"/>
    <w:rsid w:val="00AA496F"/>
    <w:rsid w:val="00AA4DE1"/>
    <w:rsid w:val="00AA4DE7"/>
    <w:rsid w:val="00AA4E41"/>
    <w:rsid w:val="00AA506E"/>
    <w:rsid w:val="00AA573A"/>
    <w:rsid w:val="00AA5AB0"/>
    <w:rsid w:val="00AA6101"/>
    <w:rsid w:val="00AA6146"/>
    <w:rsid w:val="00AA65EA"/>
    <w:rsid w:val="00AA69DB"/>
    <w:rsid w:val="00AA6C11"/>
    <w:rsid w:val="00AA72BF"/>
    <w:rsid w:val="00AA7470"/>
    <w:rsid w:val="00AA76C7"/>
    <w:rsid w:val="00AA76D1"/>
    <w:rsid w:val="00AA7837"/>
    <w:rsid w:val="00AA7913"/>
    <w:rsid w:val="00AA7A74"/>
    <w:rsid w:val="00AA7AE4"/>
    <w:rsid w:val="00AA7BA5"/>
    <w:rsid w:val="00AA7D85"/>
    <w:rsid w:val="00AB01BA"/>
    <w:rsid w:val="00AB0396"/>
    <w:rsid w:val="00AB0471"/>
    <w:rsid w:val="00AB06D3"/>
    <w:rsid w:val="00AB082C"/>
    <w:rsid w:val="00AB0C3A"/>
    <w:rsid w:val="00AB0E4D"/>
    <w:rsid w:val="00AB0ECB"/>
    <w:rsid w:val="00AB0F01"/>
    <w:rsid w:val="00AB10F5"/>
    <w:rsid w:val="00AB15E0"/>
    <w:rsid w:val="00AB1A37"/>
    <w:rsid w:val="00AB2553"/>
    <w:rsid w:val="00AB2A2C"/>
    <w:rsid w:val="00AB300B"/>
    <w:rsid w:val="00AB3271"/>
    <w:rsid w:val="00AB34BF"/>
    <w:rsid w:val="00AB34F6"/>
    <w:rsid w:val="00AB35F6"/>
    <w:rsid w:val="00AB37BB"/>
    <w:rsid w:val="00AB3954"/>
    <w:rsid w:val="00AB3A8C"/>
    <w:rsid w:val="00AB3BD6"/>
    <w:rsid w:val="00AB3DFB"/>
    <w:rsid w:val="00AB40EE"/>
    <w:rsid w:val="00AB4123"/>
    <w:rsid w:val="00AB418A"/>
    <w:rsid w:val="00AB46B0"/>
    <w:rsid w:val="00AB477E"/>
    <w:rsid w:val="00AB478B"/>
    <w:rsid w:val="00AB4B90"/>
    <w:rsid w:val="00AB5294"/>
    <w:rsid w:val="00AB52A3"/>
    <w:rsid w:val="00AB550C"/>
    <w:rsid w:val="00AB5AF7"/>
    <w:rsid w:val="00AB60E3"/>
    <w:rsid w:val="00AB70DD"/>
    <w:rsid w:val="00AB71F9"/>
    <w:rsid w:val="00AB7821"/>
    <w:rsid w:val="00AB7E40"/>
    <w:rsid w:val="00AB7EB1"/>
    <w:rsid w:val="00AC0B41"/>
    <w:rsid w:val="00AC0B68"/>
    <w:rsid w:val="00AC0F7E"/>
    <w:rsid w:val="00AC13E3"/>
    <w:rsid w:val="00AC1580"/>
    <w:rsid w:val="00AC18A6"/>
    <w:rsid w:val="00AC1C0D"/>
    <w:rsid w:val="00AC1D01"/>
    <w:rsid w:val="00AC20DF"/>
    <w:rsid w:val="00AC2465"/>
    <w:rsid w:val="00AC254F"/>
    <w:rsid w:val="00AC287F"/>
    <w:rsid w:val="00AC3370"/>
    <w:rsid w:val="00AC341C"/>
    <w:rsid w:val="00AC3B65"/>
    <w:rsid w:val="00AC410B"/>
    <w:rsid w:val="00AC450E"/>
    <w:rsid w:val="00AC4BD4"/>
    <w:rsid w:val="00AC4D97"/>
    <w:rsid w:val="00AC5335"/>
    <w:rsid w:val="00AC5367"/>
    <w:rsid w:val="00AC623F"/>
    <w:rsid w:val="00AC62BD"/>
    <w:rsid w:val="00AC6541"/>
    <w:rsid w:val="00AC6E07"/>
    <w:rsid w:val="00AC7237"/>
    <w:rsid w:val="00AC79D2"/>
    <w:rsid w:val="00AC7D13"/>
    <w:rsid w:val="00AD01D4"/>
    <w:rsid w:val="00AD0443"/>
    <w:rsid w:val="00AD0582"/>
    <w:rsid w:val="00AD0928"/>
    <w:rsid w:val="00AD0DEA"/>
    <w:rsid w:val="00AD1138"/>
    <w:rsid w:val="00AD1977"/>
    <w:rsid w:val="00AD19E6"/>
    <w:rsid w:val="00AD1D6F"/>
    <w:rsid w:val="00AD1DCD"/>
    <w:rsid w:val="00AD1EF6"/>
    <w:rsid w:val="00AD1F22"/>
    <w:rsid w:val="00AD241A"/>
    <w:rsid w:val="00AD292F"/>
    <w:rsid w:val="00AD29C3"/>
    <w:rsid w:val="00AD3173"/>
    <w:rsid w:val="00AD383C"/>
    <w:rsid w:val="00AD3995"/>
    <w:rsid w:val="00AD4352"/>
    <w:rsid w:val="00AD4463"/>
    <w:rsid w:val="00AD4872"/>
    <w:rsid w:val="00AD4BC4"/>
    <w:rsid w:val="00AD4CD2"/>
    <w:rsid w:val="00AD53A4"/>
    <w:rsid w:val="00AD5416"/>
    <w:rsid w:val="00AD5A3A"/>
    <w:rsid w:val="00AD5CE6"/>
    <w:rsid w:val="00AD63A5"/>
    <w:rsid w:val="00AD6BE9"/>
    <w:rsid w:val="00AD6D19"/>
    <w:rsid w:val="00AD7383"/>
    <w:rsid w:val="00AD7431"/>
    <w:rsid w:val="00AD7439"/>
    <w:rsid w:val="00AD7AA5"/>
    <w:rsid w:val="00AD7B53"/>
    <w:rsid w:val="00AE0051"/>
    <w:rsid w:val="00AE0362"/>
    <w:rsid w:val="00AE05FD"/>
    <w:rsid w:val="00AE0BA2"/>
    <w:rsid w:val="00AE0C23"/>
    <w:rsid w:val="00AE0ED0"/>
    <w:rsid w:val="00AE1300"/>
    <w:rsid w:val="00AE1407"/>
    <w:rsid w:val="00AE1436"/>
    <w:rsid w:val="00AE1A13"/>
    <w:rsid w:val="00AE1ACA"/>
    <w:rsid w:val="00AE1BE8"/>
    <w:rsid w:val="00AE23C8"/>
    <w:rsid w:val="00AE24C0"/>
    <w:rsid w:val="00AE2A8F"/>
    <w:rsid w:val="00AE2D8D"/>
    <w:rsid w:val="00AE2F49"/>
    <w:rsid w:val="00AE326C"/>
    <w:rsid w:val="00AE3603"/>
    <w:rsid w:val="00AE38BA"/>
    <w:rsid w:val="00AE3A8B"/>
    <w:rsid w:val="00AE3DF6"/>
    <w:rsid w:val="00AE3DFC"/>
    <w:rsid w:val="00AE47F4"/>
    <w:rsid w:val="00AE4D69"/>
    <w:rsid w:val="00AE4DE9"/>
    <w:rsid w:val="00AE4EB6"/>
    <w:rsid w:val="00AE5590"/>
    <w:rsid w:val="00AE5F93"/>
    <w:rsid w:val="00AE60AE"/>
    <w:rsid w:val="00AE6E07"/>
    <w:rsid w:val="00AE6E81"/>
    <w:rsid w:val="00AE6F5D"/>
    <w:rsid w:val="00AE7329"/>
    <w:rsid w:val="00AE7448"/>
    <w:rsid w:val="00AE75FB"/>
    <w:rsid w:val="00AF01BB"/>
    <w:rsid w:val="00AF0295"/>
    <w:rsid w:val="00AF0363"/>
    <w:rsid w:val="00AF07BC"/>
    <w:rsid w:val="00AF11F1"/>
    <w:rsid w:val="00AF1CDB"/>
    <w:rsid w:val="00AF1CE7"/>
    <w:rsid w:val="00AF1D73"/>
    <w:rsid w:val="00AF1E48"/>
    <w:rsid w:val="00AF2412"/>
    <w:rsid w:val="00AF27E4"/>
    <w:rsid w:val="00AF2A3D"/>
    <w:rsid w:val="00AF3388"/>
    <w:rsid w:val="00AF3419"/>
    <w:rsid w:val="00AF3BC1"/>
    <w:rsid w:val="00AF4464"/>
    <w:rsid w:val="00AF4565"/>
    <w:rsid w:val="00AF468B"/>
    <w:rsid w:val="00AF49F2"/>
    <w:rsid w:val="00AF4F7D"/>
    <w:rsid w:val="00AF4F99"/>
    <w:rsid w:val="00AF50BD"/>
    <w:rsid w:val="00AF554C"/>
    <w:rsid w:val="00AF5919"/>
    <w:rsid w:val="00AF59A3"/>
    <w:rsid w:val="00AF5B34"/>
    <w:rsid w:val="00AF6308"/>
    <w:rsid w:val="00AF6E3A"/>
    <w:rsid w:val="00AF758B"/>
    <w:rsid w:val="00AF75AB"/>
    <w:rsid w:val="00AF7A3A"/>
    <w:rsid w:val="00AF7B56"/>
    <w:rsid w:val="00AF7CBC"/>
    <w:rsid w:val="00B0095D"/>
    <w:rsid w:val="00B00A2E"/>
    <w:rsid w:val="00B00AA5"/>
    <w:rsid w:val="00B00B4D"/>
    <w:rsid w:val="00B00BD8"/>
    <w:rsid w:val="00B00FD2"/>
    <w:rsid w:val="00B01386"/>
    <w:rsid w:val="00B01F03"/>
    <w:rsid w:val="00B028B4"/>
    <w:rsid w:val="00B028DA"/>
    <w:rsid w:val="00B029BF"/>
    <w:rsid w:val="00B02A30"/>
    <w:rsid w:val="00B02C34"/>
    <w:rsid w:val="00B02EC3"/>
    <w:rsid w:val="00B03037"/>
    <w:rsid w:val="00B031B6"/>
    <w:rsid w:val="00B032B1"/>
    <w:rsid w:val="00B03373"/>
    <w:rsid w:val="00B03680"/>
    <w:rsid w:val="00B04048"/>
    <w:rsid w:val="00B04100"/>
    <w:rsid w:val="00B04419"/>
    <w:rsid w:val="00B04513"/>
    <w:rsid w:val="00B0470E"/>
    <w:rsid w:val="00B04A30"/>
    <w:rsid w:val="00B05A3C"/>
    <w:rsid w:val="00B05A4E"/>
    <w:rsid w:val="00B05B2D"/>
    <w:rsid w:val="00B0631F"/>
    <w:rsid w:val="00B0658E"/>
    <w:rsid w:val="00B067AA"/>
    <w:rsid w:val="00B068D3"/>
    <w:rsid w:val="00B06B57"/>
    <w:rsid w:val="00B06DBA"/>
    <w:rsid w:val="00B06DFF"/>
    <w:rsid w:val="00B06E0F"/>
    <w:rsid w:val="00B06FC1"/>
    <w:rsid w:val="00B0723E"/>
    <w:rsid w:val="00B10A9C"/>
    <w:rsid w:val="00B10BD0"/>
    <w:rsid w:val="00B10FD1"/>
    <w:rsid w:val="00B110C2"/>
    <w:rsid w:val="00B11218"/>
    <w:rsid w:val="00B11401"/>
    <w:rsid w:val="00B11444"/>
    <w:rsid w:val="00B1154E"/>
    <w:rsid w:val="00B11E47"/>
    <w:rsid w:val="00B126E4"/>
    <w:rsid w:val="00B12963"/>
    <w:rsid w:val="00B12AF5"/>
    <w:rsid w:val="00B12B1E"/>
    <w:rsid w:val="00B12BD0"/>
    <w:rsid w:val="00B12F60"/>
    <w:rsid w:val="00B131C2"/>
    <w:rsid w:val="00B13591"/>
    <w:rsid w:val="00B13607"/>
    <w:rsid w:val="00B13841"/>
    <w:rsid w:val="00B13FBD"/>
    <w:rsid w:val="00B14187"/>
    <w:rsid w:val="00B145BB"/>
    <w:rsid w:val="00B14C33"/>
    <w:rsid w:val="00B14F18"/>
    <w:rsid w:val="00B1550A"/>
    <w:rsid w:val="00B1580B"/>
    <w:rsid w:val="00B15BF4"/>
    <w:rsid w:val="00B167F6"/>
    <w:rsid w:val="00B16D02"/>
    <w:rsid w:val="00B174C6"/>
    <w:rsid w:val="00B175FD"/>
    <w:rsid w:val="00B1785A"/>
    <w:rsid w:val="00B2003C"/>
    <w:rsid w:val="00B2028E"/>
    <w:rsid w:val="00B202C6"/>
    <w:rsid w:val="00B2076E"/>
    <w:rsid w:val="00B2143A"/>
    <w:rsid w:val="00B2175D"/>
    <w:rsid w:val="00B219EE"/>
    <w:rsid w:val="00B21A2B"/>
    <w:rsid w:val="00B21DAE"/>
    <w:rsid w:val="00B21EA7"/>
    <w:rsid w:val="00B22580"/>
    <w:rsid w:val="00B2274D"/>
    <w:rsid w:val="00B22DA8"/>
    <w:rsid w:val="00B22E2C"/>
    <w:rsid w:val="00B231FC"/>
    <w:rsid w:val="00B23220"/>
    <w:rsid w:val="00B2349F"/>
    <w:rsid w:val="00B23631"/>
    <w:rsid w:val="00B23B9B"/>
    <w:rsid w:val="00B23E7F"/>
    <w:rsid w:val="00B24A64"/>
    <w:rsid w:val="00B24C65"/>
    <w:rsid w:val="00B258CD"/>
    <w:rsid w:val="00B25C2A"/>
    <w:rsid w:val="00B25FFD"/>
    <w:rsid w:val="00B2614D"/>
    <w:rsid w:val="00B26450"/>
    <w:rsid w:val="00B26839"/>
    <w:rsid w:val="00B26DFB"/>
    <w:rsid w:val="00B27AA5"/>
    <w:rsid w:val="00B300B8"/>
    <w:rsid w:val="00B30167"/>
    <w:rsid w:val="00B307D6"/>
    <w:rsid w:val="00B30E66"/>
    <w:rsid w:val="00B3168E"/>
    <w:rsid w:val="00B31E40"/>
    <w:rsid w:val="00B32BEB"/>
    <w:rsid w:val="00B32D05"/>
    <w:rsid w:val="00B32EC9"/>
    <w:rsid w:val="00B32FE9"/>
    <w:rsid w:val="00B3324B"/>
    <w:rsid w:val="00B3325A"/>
    <w:rsid w:val="00B33A94"/>
    <w:rsid w:val="00B33D48"/>
    <w:rsid w:val="00B33EA5"/>
    <w:rsid w:val="00B33FAA"/>
    <w:rsid w:val="00B34171"/>
    <w:rsid w:val="00B34B08"/>
    <w:rsid w:val="00B34B74"/>
    <w:rsid w:val="00B34D9A"/>
    <w:rsid w:val="00B35443"/>
    <w:rsid w:val="00B35534"/>
    <w:rsid w:val="00B356F9"/>
    <w:rsid w:val="00B358CB"/>
    <w:rsid w:val="00B35BFD"/>
    <w:rsid w:val="00B362AE"/>
    <w:rsid w:val="00B364AF"/>
    <w:rsid w:val="00B36817"/>
    <w:rsid w:val="00B3687C"/>
    <w:rsid w:val="00B368C3"/>
    <w:rsid w:val="00B36C75"/>
    <w:rsid w:val="00B371DA"/>
    <w:rsid w:val="00B376AB"/>
    <w:rsid w:val="00B37CD5"/>
    <w:rsid w:val="00B40764"/>
    <w:rsid w:val="00B40978"/>
    <w:rsid w:val="00B40B00"/>
    <w:rsid w:val="00B40D65"/>
    <w:rsid w:val="00B4107A"/>
    <w:rsid w:val="00B41596"/>
    <w:rsid w:val="00B41686"/>
    <w:rsid w:val="00B4198E"/>
    <w:rsid w:val="00B41BBC"/>
    <w:rsid w:val="00B420B9"/>
    <w:rsid w:val="00B420F2"/>
    <w:rsid w:val="00B42281"/>
    <w:rsid w:val="00B426B2"/>
    <w:rsid w:val="00B429D8"/>
    <w:rsid w:val="00B42CA4"/>
    <w:rsid w:val="00B42CE5"/>
    <w:rsid w:val="00B42E1E"/>
    <w:rsid w:val="00B43D7B"/>
    <w:rsid w:val="00B442F2"/>
    <w:rsid w:val="00B443DC"/>
    <w:rsid w:val="00B4449F"/>
    <w:rsid w:val="00B44D0C"/>
    <w:rsid w:val="00B45420"/>
    <w:rsid w:val="00B45F35"/>
    <w:rsid w:val="00B45FB6"/>
    <w:rsid w:val="00B46819"/>
    <w:rsid w:val="00B46C5A"/>
    <w:rsid w:val="00B46E53"/>
    <w:rsid w:val="00B474FC"/>
    <w:rsid w:val="00B475F4"/>
    <w:rsid w:val="00B477F0"/>
    <w:rsid w:val="00B47802"/>
    <w:rsid w:val="00B47B04"/>
    <w:rsid w:val="00B47E27"/>
    <w:rsid w:val="00B47E51"/>
    <w:rsid w:val="00B500E2"/>
    <w:rsid w:val="00B5023F"/>
    <w:rsid w:val="00B50735"/>
    <w:rsid w:val="00B50800"/>
    <w:rsid w:val="00B50899"/>
    <w:rsid w:val="00B50BCC"/>
    <w:rsid w:val="00B510F0"/>
    <w:rsid w:val="00B514B6"/>
    <w:rsid w:val="00B517AD"/>
    <w:rsid w:val="00B51887"/>
    <w:rsid w:val="00B521F5"/>
    <w:rsid w:val="00B522E2"/>
    <w:rsid w:val="00B528C1"/>
    <w:rsid w:val="00B52D64"/>
    <w:rsid w:val="00B52FDF"/>
    <w:rsid w:val="00B5315A"/>
    <w:rsid w:val="00B5346E"/>
    <w:rsid w:val="00B534CB"/>
    <w:rsid w:val="00B53954"/>
    <w:rsid w:val="00B53C19"/>
    <w:rsid w:val="00B5400C"/>
    <w:rsid w:val="00B541DE"/>
    <w:rsid w:val="00B54457"/>
    <w:rsid w:val="00B5447C"/>
    <w:rsid w:val="00B545D6"/>
    <w:rsid w:val="00B54A52"/>
    <w:rsid w:val="00B54DBF"/>
    <w:rsid w:val="00B54F6E"/>
    <w:rsid w:val="00B54F8D"/>
    <w:rsid w:val="00B54F9A"/>
    <w:rsid w:val="00B558F3"/>
    <w:rsid w:val="00B55AEA"/>
    <w:rsid w:val="00B55BDF"/>
    <w:rsid w:val="00B560B4"/>
    <w:rsid w:val="00B56286"/>
    <w:rsid w:val="00B5631C"/>
    <w:rsid w:val="00B56AA8"/>
    <w:rsid w:val="00B571EB"/>
    <w:rsid w:val="00B578B9"/>
    <w:rsid w:val="00B60779"/>
    <w:rsid w:val="00B60963"/>
    <w:rsid w:val="00B60BA7"/>
    <w:rsid w:val="00B60E68"/>
    <w:rsid w:val="00B61079"/>
    <w:rsid w:val="00B610CD"/>
    <w:rsid w:val="00B6114C"/>
    <w:rsid w:val="00B6125A"/>
    <w:rsid w:val="00B61807"/>
    <w:rsid w:val="00B61A86"/>
    <w:rsid w:val="00B61E63"/>
    <w:rsid w:val="00B61F65"/>
    <w:rsid w:val="00B62072"/>
    <w:rsid w:val="00B6273D"/>
    <w:rsid w:val="00B6292B"/>
    <w:rsid w:val="00B62A60"/>
    <w:rsid w:val="00B62DFC"/>
    <w:rsid w:val="00B63304"/>
    <w:rsid w:val="00B63469"/>
    <w:rsid w:val="00B63524"/>
    <w:rsid w:val="00B638A5"/>
    <w:rsid w:val="00B638C3"/>
    <w:rsid w:val="00B63BEA"/>
    <w:rsid w:val="00B63E62"/>
    <w:rsid w:val="00B63F7B"/>
    <w:rsid w:val="00B64045"/>
    <w:rsid w:val="00B6438B"/>
    <w:rsid w:val="00B6451A"/>
    <w:rsid w:val="00B64C3A"/>
    <w:rsid w:val="00B651DA"/>
    <w:rsid w:val="00B65243"/>
    <w:rsid w:val="00B652A9"/>
    <w:rsid w:val="00B654ED"/>
    <w:rsid w:val="00B6568E"/>
    <w:rsid w:val="00B65A4D"/>
    <w:rsid w:val="00B66022"/>
    <w:rsid w:val="00B661D9"/>
    <w:rsid w:val="00B664F7"/>
    <w:rsid w:val="00B66648"/>
    <w:rsid w:val="00B66768"/>
    <w:rsid w:val="00B6692D"/>
    <w:rsid w:val="00B66B2E"/>
    <w:rsid w:val="00B66E4A"/>
    <w:rsid w:val="00B66F8C"/>
    <w:rsid w:val="00B67024"/>
    <w:rsid w:val="00B6728E"/>
    <w:rsid w:val="00B67461"/>
    <w:rsid w:val="00B674D8"/>
    <w:rsid w:val="00B67739"/>
    <w:rsid w:val="00B677DA"/>
    <w:rsid w:val="00B67A80"/>
    <w:rsid w:val="00B67ECB"/>
    <w:rsid w:val="00B7081E"/>
    <w:rsid w:val="00B708C9"/>
    <w:rsid w:val="00B71654"/>
    <w:rsid w:val="00B71A0F"/>
    <w:rsid w:val="00B71B2F"/>
    <w:rsid w:val="00B71E3B"/>
    <w:rsid w:val="00B71F8E"/>
    <w:rsid w:val="00B725E1"/>
    <w:rsid w:val="00B72726"/>
    <w:rsid w:val="00B72B3C"/>
    <w:rsid w:val="00B731FF"/>
    <w:rsid w:val="00B7344E"/>
    <w:rsid w:val="00B735A6"/>
    <w:rsid w:val="00B737AB"/>
    <w:rsid w:val="00B73856"/>
    <w:rsid w:val="00B73861"/>
    <w:rsid w:val="00B7389C"/>
    <w:rsid w:val="00B73B5D"/>
    <w:rsid w:val="00B73F87"/>
    <w:rsid w:val="00B74E51"/>
    <w:rsid w:val="00B74ED4"/>
    <w:rsid w:val="00B753B9"/>
    <w:rsid w:val="00B75569"/>
    <w:rsid w:val="00B75A2B"/>
    <w:rsid w:val="00B76370"/>
    <w:rsid w:val="00B764A6"/>
    <w:rsid w:val="00B76CAB"/>
    <w:rsid w:val="00B777AE"/>
    <w:rsid w:val="00B77862"/>
    <w:rsid w:val="00B77B83"/>
    <w:rsid w:val="00B8045D"/>
    <w:rsid w:val="00B805CE"/>
    <w:rsid w:val="00B806B6"/>
    <w:rsid w:val="00B806DC"/>
    <w:rsid w:val="00B80794"/>
    <w:rsid w:val="00B80AFC"/>
    <w:rsid w:val="00B80E2A"/>
    <w:rsid w:val="00B81AED"/>
    <w:rsid w:val="00B81BD0"/>
    <w:rsid w:val="00B81F7F"/>
    <w:rsid w:val="00B82429"/>
    <w:rsid w:val="00B825D6"/>
    <w:rsid w:val="00B82B64"/>
    <w:rsid w:val="00B82DB3"/>
    <w:rsid w:val="00B82E1E"/>
    <w:rsid w:val="00B82FEA"/>
    <w:rsid w:val="00B833CF"/>
    <w:rsid w:val="00B83B7B"/>
    <w:rsid w:val="00B83CE2"/>
    <w:rsid w:val="00B83E82"/>
    <w:rsid w:val="00B8486D"/>
    <w:rsid w:val="00B84BF2"/>
    <w:rsid w:val="00B84E63"/>
    <w:rsid w:val="00B85021"/>
    <w:rsid w:val="00B8563D"/>
    <w:rsid w:val="00B85BC3"/>
    <w:rsid w:val="00B865FF"/>
    <w:rsid w:val="00B86AD0"/>
    <w:rsid w:val="00B86FEA"/>
    <w:rsid w:val="00B8749B"/>
    <w:rsid w:val="00B90573"/>
    <w:rsid w:val="00B90B10"/>
    <w:rsid w:val="00B90C8B"/>
    <w:rsid w:val="00B90D45"/>
    <w:rsid w:val="00B90E8C"/>
    <w:rsid w:val="00B913C7"/>
    <w:rsid w:val="00B914A9"/>
    <w:rsid w:val="00B915F9"/>
    <w:rsid w:val="00B91A10"/>
    <w:rsid w:val="00B91A22"/>
    <w:rsid w:val="00B91AF6"/>
    <w:rsid w:val="00B91EE8"/>
    <w:rsid w:val="00B9272A"/>
    <w:rsid w:val="00B92A05"/>
    <w:rsid w:val="00B93441"/>
    <w:rsid w:val="00B93491"/>
    <w:rsid w:val="00B9361B"/>
    <w:rsid w:val="00B93FC4"/>
    <w:rsid w:val="00B948CE"/>
    <w:rsid w:val="00B94A88"/>
    <w:rsid w:val="00B94D79"/>
    <w:rsid w:val="00B95210"/>
    <w:rsid w:val="00B95630"/>
    <w:rsid w:val="00B95695"/>
    <w:rsid w:val="00B958C3"/>
    <w:rsid w:val="00B95B27"/>
    <w:rsid w:val="00B95D4F"/>
    <w:rsid w:val="00B95DA7"/>
    <w:rsid w:val="00B95DFD"/>
    <w:rsid w:val="00B96533"/>
    <w:rsid w:val="00B967D4"/>
    <w:rsid w:val="00B970E9"/>
    <w:rsid w:val="00B9734C"/>
    <w:rsid w:val="00B97363"/>
    <w:rsid w:val="00B973B0"/>
    <w:rsid w:val="00B975DD"/>
    <w:rsid w:val="00B979E8"/>
    <w:rsid w:val="00B97B37"/>
    <w:rsid w:val="00B97BA9"/>
    <w:rsid w:val="00B97C87"/>
    <w:rsid w:val="00BA06D9"/>
    <w:rsid w:val="00BA0BA3"/>
    <w:rsid w:val="00BA101B"/>
    <w:rsid w:val="00BA105A"/>
    <w:rsid w:val="00BA161E"/>
    <w:rsid w:val="00BA22A3"/>
    <w:rsid w:val="00BA26C3"/>
    <w:rsid w:val="00BA29EC"/>
    <w:rsid w:val="00BA2D69"/>
    <w:rsid w:val="00BA31A7"/>
    <w:rsid w:val="00BA3271"/>
    <w:rsid w:val="00BA32BD"/>
    <w:rsid w:val="00BA4336"/>
    <w:rsid w:val="00BA487A"/>
    <w:rsid w:val="00BA4C89"/>
    <w:rsid w:val="00BA4C90"/>
    <w:rsid w:val="00BA4F07"/>
    <w:rsid w:val="00BA567D"/>
    <w:rsid w:val="00BA5D20"/>
    <w:rsid w:val="00BA6209"/>
    <w:rsid w:val="00BA6573"/>
    <w:rsid w:val="00BA68AB"/>
    <w:rsid w:val="00BA6995"/>
    <w:rsid w:val="00BA6CF3"/>
    <w:rsid w:val="00BA7384"/>
    <w:rsid w:val="00BA7532"/>
    <w:rsid w:val="00BA76F0"/>
    <w:rsid w:val="00BA7A3A"/>
    <w:rsid w:val="00BA7B4F"/>
    <w:rsid w:val="00BA7B84"/>
    <w:rsid w:val="00BA7BEF"/>
    <w:rsid w:val="00BA7C0D"/>
    <w:rsid w:val="00BA7E2B"/>
    <w:rsid w:val="00BB0022"/>
    <w:rsid w:val="00BB0026"/>
    <w:rsid w:val="00BB1B1A"/>
    <w:rsid w:val="00BB1B7F"/>
    <w:rsid w:val="00BB1C5F"/>
    <w:rsid w:val="00BB1F31"/>
    <w:rsid w:val="00BB21CE"/>
    <w:rsid w:val="00BB2233"/>
    <w:rsid w:val="00BB2334"/>
    <w:rsid w:val="00BB2343"/>
    <w:rsid w:val="00BB2351"/>
    <w:rsid w:val="00BB25F5"/>
    <w:rsid w:val="00BB34CD"/>
    <w:rsid w:val="00BB3873"/>
    <w:rsid w:val="00BB3B95"/>
    <w:rsid w:val="00BB3C67"/>
    <w:rsid w:val="00BB41B8"/>
    <w:rsid w:val="00BB4389"/>
    <w:rsid w:val="00BB44C2"/>
    <w:rsid w:val="00BB4C2E"/>
    <w:rsid w:val="00BB4E42"/>
    <w:rsid w:val="00BB4FA0"/>
    <w:rsid w:val="00BB5619"/>
    <w:rsid w:val="00BB56FD"/>
    <w:rsid w:val="00BB5965"/>
    <w:rsid w:val="00BB5976"/>
    <w:rsid w:val="00BB60B1"/>
    <w:rsid w:val="00BB6290"/>
    <w:rsid w:val="00BB62D2"/>
    <w:rsid w:val="00BB6712"/>
    <w:rsid w:val="00BB6776"/>
    <w:rsid w:val="00BB691E"/>
    <w:rsid w:val="00BB6FB7"/>
    <w:rsid w:val="00BB727A"/>
    <w:rsid w:val="00BB76B2"/>
    <w:rsid w:val="00BB76B5"/>
    <w:rsid w:val="00BB77EE"/>
    <w:rsid w:val="00BB7EA5"/>
    <w:rsid w:val="00BB7F54"/>
    <w:rsid w:val="00BC026D"/>
    <w:rsid w:val="00BC0ECE"/>
    <w:rsid w:val="00BC10BC"/>
    <w:rsid w:val="00BC154D"/>
    <w:rsid w:val="00BC158C"/>
    <w:rsid w:val="00BC17F5"/>
    <w:rsid w:val="00BC19C9"/>
    <w:rsid w:val="00BC1BF5"/>
    <w:rsid w:val="00BC1F40"/>
    <w:rsid w:val="00BC207A"/>
    <w:rsid w:val="00BC21D5"/>
    <w:rsid w:val="00BC25BA"/>
    <w:rsid w:val="00BC3159"/>
    <w:rsid w:val="00BC359A"/>
    <w:rsid w:val="00BC3697"/>
    <w:rsid w:val="00BC3941"/>
    <w:rsid w:val="00BC3D13"/>
    <w:rsid w:val="00BC3E51"/>
    <w:rsid w:val="00BC43C8"/>
    <w:rsid w:val="00BC4B3E"/>
    <w:rsid w:val="00BC50BF"/>
    <w:rsid w:val="00BC519D"/>
    <w:rsid w:val="00BC55D0"/>
    <w:rsid w:val="00BC57E4"/>
    <w:rsid w:val="00BC58A3"/>
    <w:rsid w:val="00BC5C62"/>
    <w:rsid w:val="00BC61DA"/>
    <w:rsid w:val="00BC650D"/>
    <w:rsid w:val="00BC6655"/>
    <w:rsid w:val="00BC6825"/>
    <w:rsid w:val="00BC68FD"/>
    <w:rsid w:val="00BC6D9B"/>
    <w:rsid w:val="00BC6DB7"/>
    <w:rsid w:val="00BC71F2"/>
    <w:rsid w:val="00BC71F7"/>
    <w:rsid w:val="00BC721C"/>
    <w:rsid w:val="00BC7481"/>
    <w:rsid w:val="00BC7949"/>
    <w:rsid w:val="00BC7BC5"/>
    <w:rsid w:val="00BC7D9C"/>
    <w:rsid w:val="00BD0038"/>
    <w:rsid w:val="00BD0089"/>
    <w:rsid w:val="00BD00AD"/>
    <w:rsid w:val="00BD0454"/>
    <w:rsid w:val="00BD0467"/>
    <w:rsid w:val="00BD09BA"/>
    <w:rsid w:val="00BD0B7B"/>
    <w:rsid w:val="00BD0C66"/>
    <w:rsid w:val="00BD0FCD"/>
    <w:rsid w:val="00BD11F6"/>
    <w:rsid w:val="00BD1980"/>
    <w:rsid w:val="00BD2201"/>
    <w:rsid w:val="00BD24D9"/>
    <w:rsid w:val="00BD265A"/>
    <w:rsid w:val="00BD2B68"/>
    <w:rsid w:val="00BD2B7E"/>
    <w:rsid w:val="00BD2FE7"/>
    <w:rsid w:val="00BD315D"/>
    <w:rsid w:val="00BD31ED"/>
    <w:rsid w:val="00BD4777"/>
    <w:rsid w:val="00BD4FEA"/>
    <w:rsid w:val="00BD50DE"/>
    <w:rsid w:val="00BD5877"/>
    <w:rsid w:val="00BD5C56"/>
    <w:rsid w:val="00BD5CBA"/>
    <w:rsid w:val="00BD6259"/>
    <w:rsid w:val="00BD65A3"/>
    <w:rsid w:val="00BD65FA"/>
    <w:rsid w:val="00BD6772"/>
    <w:rsid w:val="00BD68B5"/>
    <w:rsid w:val="00BD69E2"/>
    <w:rsid w:val="00BD6A86"/>
    <w:rsid w:val="00BD6C51"/>
    <w:rsid w:val="00BD6F43"/>
    <w:rsid w:val="00BD7815"/>
    <w:rsid w:val="00BD7B14"/>
    <w:rsid w:val="00BD7BC6"/>
    <w:rsid w:val="00BD7C5F"/>
    <w:rsid w:val="00BD7DB5"/>
    <w:rsid w:val="00BE0489"/>
    <w:rsid w:val="00BE0AD8"/>
    <w:rsid w:val="00BE0C62"/>
    <w:rsid w:val="00BE120A"/>
    <w:rsid w:val="00BE159D"/>
    <w:rsid w:val="00BE1D2C"/>
    <w:rsid w:val="00BE2282"/>
    <w:rsid w:val="00BE277A"/>
    <w:rsid w:val="00BE2856"/>
    <w:rsid w:val="00BE31E3"/>
    <w:rsid w:val="00BE31F9"/>
    <w:rsid w:val="00BE321E"/>
    <w:rsid w:val="00BE35E6"/>
    <w:rsid w:val="00BE3E2A"/>
    <w:rsid w:val="00BE42DB"/>
    <w:rsid w:val="00BE433F"/>
    <w:rsid w:val="00BE4F73"/>
    <w:rsid w:val="00BE51FC"/>
    <w:rsid w:val="00BE5B5A"/>
    <w:rsid w:val="00BE5BE1"/>
    <w:rsid w:val="00BE63C3"/>
    <w:rsid w:val="00BE696C"/>
    <w:rsid w:val="00BE6B69"/>
    <w:rsid w:val="00BE6C7D"/>
    <w:rsid w:val="00BE6DB1"/>
    <w:rsid w:val="00BE72FE"/>
    <w:rsid w:val="00BE752E"/>
    <w:rsid w:val="00BE76A6"/>
    <w:rsid w:val="00BE7AC9"/>
    <w:rsid w:val="00BE7EDB"/>
    <w:rsid w:val="00BE7F9D"/>
    <w:rsid w:val="00BF0228"/>
    <w:rsid w:val="00BF102D"/>
    <w:rsid w:val="00BF12A1"/>
    <w:rsid w:val="00BF133D"/>
    <w:rsid w:val="00BF1655"/>
    <w:rsid w:val="00BF166A"/>
    <w:rsid w:val="00BF18C7"/>
    <w:rsid w:val="00BF1947"/>
    <w:rsid w:val="00BF1955"/>
    <w:rsid w:val="00BF2485"/>
    <w:rsid w:val="00BF274E"/>
    <w:rsid w:val="00BF2AC1"/>
    <w:rsid w:val="00BF2CDD"/>
    <w:rsid w:val="00BF322E"/>
    <w:rsid w:val="00BF359D"/>
    <w:rsid w:val="00BF35C7"/>
    <w:rsid w:val="00BF3773"/>
    <w:rsid w:val="00BF415E"/>
    <w:rsid w:val="00BF42EC"/>
    <w:rsid w:val="00BF49D0"/>
    <w:rsid w:val="00BF4D42"/>
    <w:rsid w:val="00BF5640"/>
    <w:rsid w:val="00BF56D8"/>
    <w:rsid w:val="00BF5930"/>
    <w:rsid w:val="00BF5C77"/>
    <w:rsid w:val="00BF5D17"/>
    <w:rsid w:val="00BF6341"/>
    <w:rsid w:val="00BF6663"/>
    <w:rsid w:val="00BF6903"/>
    <w:rsid w:val="00BF7004"/>
    <w:rsid w:val="00C0027E"/>
    <w:rsid w:val="00C00349"/>
    <w:rsid w:val="00C00AC7"/>
    <w:rsid w:val="00C012AE"/>
    <w:rsid w:val="00C01A5A"/>
    <w:rsid w:val="00C01BD3"/>
    <w:rsid w:val="00C01D0B"/>
    <w:rsid w:val="00C01DA0"/>
    <w:rsid w:val="00C021B1"/>
    <w:rsid w:val="00C02780"/>
    <w:rsid w:val="00C02829"/>
    <w:rsid w:val="00C02C39"/>
    <w:rsid w:val="00C02E34"/>
    <w:rsid w:val="00C030B4"/>
    <w:rsid w:val="00C03347"/>
    <w:rsid w:val="00C037EC"/>
    <w:rsid w:val="00C0391A"/>
    <w:rsid w:val="00C04198"/>
    <w:rsid w:val="00C044C1"/>
    <w:rsid w:val="00C046A3"/>
    <w:rsid w:val="00C04BA5"/>
    <w:rsid w:val="00C05166"/>
    <w:rsid w:val="00C052B5"/>
    <w:rsid w:val="00C0538D"/>
    <w:rsid w:val="00C05576"/>
    <w:rsid w:val="00C059E6"/>
    <w:rsid w:val="00C05BD4"/>
    <w:rsid w:val="00C05D02"/>
    <w:rsid w:val="00C05D46"/>
    <w:rsid w:val="00C0609A"/>
    <w:rsid w:val="00C061DF"/>
    <w:rsid w:val="00C066E7"/>
    <w:rsid w:val="00C068B5"/>
    <w:rsid w:val="00C06A37"/>
    <w:rsid w:val="00C06B5F"/>
    <w:rsid w:val="00C06BA4"/>
    <w:rsid w:val="00C06C28"/>
    <w:rsid w:val="00C06FAC"/>
    <w:rsid w:val="00C07788"/>
    <w:rsid w:val="00C07C6F"/>
    <w:rsid w:val="00C100D6"/>
    <w:rsid w:val="00C1078D"/>
    <w:rsid w:val="00C107D5"/>
    <w:rsid w:val="00C1098B"/>
    <w:rsid w:val="00C10A4B"/>
    <w:rsid w:val="00C118E4"/>
    <w:rsid w:val="00C11AC5"/>
    <w:rsid w:val="00C125C0"/>
    <w:rsid w:val="00C127D4"/>
    <w:rsid w:val="00C12EAD"/>
    <w:rsid w:val="00C12FF5"/>
    <w:rsid w:val="00C13382"/>
    <w:rsid w:val="00C13E39"/>
    <w:rsid w:val="00C13F93"/>
    <w:rsid w:val="00C14019"/>
    <w:rsid w:val="00C1402D"/>
    <w:rsid w:val="00C14A8C"/>
    <w:rsid w:val="00C14FB0"/>
    <w:rsid w:val="00C15163"/>
    <w:rsid w:val="00C1531E"/>
    <w:rsid w:val="00C15728"/>
    <w:rsid w:val="00C157A5"/>
    <w:rsid w:val="00C15EAE"/>
    <w:rsid w:val="00C160AA"/>
    <w:rsid w:val="00C16176"/>
    <w:rsid w:val="00C167E6"/>
    <w:rsid w:val="00C16F67"/>
    <w:rsid w:val="00C170B7"/>
    <w:rsid w:val="00C1733B"/>
    <w:rsid w:val="00C17FE3"/>
    <w:rsid w:val="00C2026B"/>
    <w:rsid w:val="00C20368"/>
    <w:rsid w:val="00C204FB"/>
    <w:rsid w:val="00C205A7"/>
    <w:rsid w:val="00C20EB8"/>
    <w:rsid w:val="00C21072"/>
    <w:rsid w:val="00C211E9"/>
    <w:rsid w:val="00C21276"/>
    <w:rsid w:val="00C21680"/>
    <w:rsid w:val="00C21785"/>
    <w:rsid w:val="00C221AB"/>
    <w:rsid w:val="00C22657"/>
    <w:rsid w:val="00C22A1C"/>
    <w:rsid w:val="00C22E08"/>
    <w:rsid w:val="00C22F51"/>
    <w:rsid w:val="00C22FD0"/>
    <w:rsid w:val="00C23269"/>
    <w:rsid w:val="00C233A0"/>
    <w:rsid w:val="00C2361D"/>
    <w:rsid w:val="00C236C7"/>
    <w:rsid w:val="00C237D5"/>
    <w:rsid w:val="00C237DE"/>
    <w:rsid w:val="00C2397B"/>
    <w:rsid w:val="00C24211"/>
    <w:rsid w:val="00C2499E"/>
    <w:rsid w:val="00C24ADB"/>
    <w:rsid w:val="00C25151"/>
    <w:rsid w:val="00C25390"/>
    <w:rsid w:val="00C2597F"/>
    <w:rsid w:val="00C25B05"/>
    <w:rsid w:val="00C25B7D"/>
    <w:rsid w:val="00C260F2"/>
    <w:rsid w:val="00C26193"/>
    <w:rsid w:val="00C26248"/>
    <w:rsid w:val="00C267EB"/>
    <w:rsid w:val="00C26A0D"/>
    <w:rsid w:val="00C26A5C"/>
    <w:rsid w:val="00C27025"/>
    <w:rsid w:val="00C27447"/>
    <w:rsid w:val="00C27AEC"/>
    <w:rsid w:val="00C27C1A"/>
    <w:rsid w:val="00C27D65"/>
    <w:rsid w:val="00C27D94"/>
    <w:rsid w:val="00C3030F"/>
    <w:rsid w:val="00C304E2"/>
    <w:rsid w:val="00C30697"/>
    <w:rsid w:val="00C30FB2"/>
    <w:rsid w:val="00C31095"/>
    <w:rsid w:val="00C312B5"/>
    <w:rsid w:val="00C312E1"/>
    <w:rsid w:val="00C3184C"/>
    <w:rsid w:val="00C31E6F"/>
    <w:rsid w:val="00C32402"/>
    <w:rsid w:val="00C324DA"/>
    <w:rsid w:val="00C33A2E"/>
    <w:rsid w:val="00C3408D"/>
    <w:rsid w:val="00C342D3"/>
    <w:rsid w:val="00C34311"/>
    <w:rsid w:val="00C3479C"/>
    <w:rsid w:val="00C34FF6"/>
    <w:rsid w:val="00C35203"/>
    <w:rsid w:val="00C3537C"/>
    <w:rsid w:val="00C3593F"/>
    <w:rsid w:val="00C35AAD"/>
    <w:rsid w:val="00C35B91"/>
    <w:rsid w:val="00C36099"/>
    <w:rsid w:val="00C360A3"/>
    <w:rsid w:val="00C3676D"/>
    <w:rsid w:val="00C3681B"/>
    <w:rsid w:val="00C3697D"/>
    <w:rsid w:val="00C36DFA"/>
    <w:rsid w:val="00C3764A"/>
    <w:rsid w:val="00C376BF"/>
    <w:rsid w:val="00C37939"/>
    <w:rsid w:val="00C3795A"/>
    <w:rsid w:val="00C37BEF"/>
    <w:rsid w:val="00C37E2F"/>
    <w:rsid w:val="00C37FFB"/>
    <w:rsid w:val="00C40456"/>
    <w:rsid w:val="00C404D0"/>
    <w:rsid w:val="00C408A1"/>
    <w:rsid w:val="00C40DCB"/>
    <w:rsid w:val="00C419D3"/>
    <w:rsid w:val="00C4204C"/>
    <w:rsid w:val="00C42131"/>
    <w:rsid w:val="00C4264B"/>
    <w:rsid w:val="00C42B5F"/>
    <w:rsid w:val="00C42FC4"/>
    <w:rsid w:val="00C43303"/>
    <w:rsid w:val="00C43AF0"/>
    <w:rsid w:val="00C43BAF"/>
    <w:rsid w:val="00C43CC1"/>
    <w:rsid w:val="00C43D64"/>
    <w:rsid w:val="00C440F7"/>
    <w:rsid w:val="00C443C6"/>
    <w:rsid w:val="00C4485E"/>
    <w:rsid w:val="00C44C46"/>
    <w:rsid w:val="00C455AA"/>
    <w:rsid w:val="00C45609"/>
    <w:rsid w:val="00C457E7"/>
    <w:rsid w:val="00C45A11"/>
    <w:rsid w:val="00C45AE8"/>
    <w:rsid w:val="00C45B0D"/>
    <w:rsid w:val="00C45EF6"/>
    <w:rsid w:val="00C46348"/>
    <w:rsid w:val="00C468F4"/>
    <w:rsid w:val="00C471C8"/>
    <w:rsid w:val="00C47347"/>
    <w:rsid w:val="00C477FB"/>
    <w:rsid w:val="00C4783C"/>
    <w:rsid w:val="00C47F33"/>
    <w:rsid w:val="00C501AB"/>
    <w:rsid w:val="00C502FE"/>
    <w:rsid w:val="00C505E2"/>
    <w:rsid w:val="00C50A16"/>
    <w:rsid w:val="00C50E17"/>
    <w:rsid w:val="00C511CD"/>
    <w:rsid w:val="00C512BE"/>
    <w:rsid w:val="00C51889"/>
    <w:rsid w:val="00C51DEE"/>
    <w:rsid w:val="00C51F22"/>
    <w:rsid w:val="00C51F7B"/>
    <w:rsid w:val="00C5284D"/>
    <w:rsid w:val="00C52BC5"/>
    <w:rsid w:val="00C52DA3"/>
    <w:rsid w:val="00C52DB4"/>
    <w:rsid w:val="00C52FC4"/>
    <w:rsid w:val="00C53A2A"/>
    <w:rsid w:val="00C53A90"/>
    <w:rsid w:val="00C53C05"/>
    <w:rsid w:val="00C54013"/>
    <w:rsid w:val="00C54155"/>
    <w:rsid w:val="00C54267"/>
    <w:rsid w:val="00C54272"/>
    <w:rsid w:val="00C54A17"/>
    <w:rsid w:val="00C55048"/>
    <w:rsid w:val="00C5517A"/>
    <w:rsid w:val="00C5569A"/>
    <w:rsid w:val="00C55CD3"/>
    <w:rsid w:val="00C564A5"/>
    <w:rsid w:val="00C564AE"/>
    <w:rsid w:val="00C565C9"/>
    <w:rsid w:val="00C56B15"/>
    <w:rsid w:val="00C56B2D"/>
    <w:rsid w:val="00C571A9"/>
    <w:rsid w:val="00C5735C"/>
    <w:rsid w:val="00C574D8"/>
    <w:rsid w:val="00C575C0"/>
    <w:rsid w:val="00C57BA4"/>
    <w:rsid w:val="00C57E30"/>
    <w:rsid w:val="00C57EDF"/>
    <w:rsid w:val="00C60B3C"/>
    <w:rsid w:val="00C60CFF"/>
    <w:rsid w:val="00C60D65"/>
    <w:rsid w:val="00C61526"/>
    <w:rsid w:val="00C616A0"/>
    <w:rsid w:val="00C61877"/>
    <w:rsid w:val="00C61D5B"/>
    <w:rsid w:val="00C61D9C"/>
    <w:rsid w:val="00C61DAD"/>
    <w:rsid w:val="00C61F9C"/>
    <w:rsid w:val="00C620D8"/>
    <w:rsid w:val="00C62B10"/>
    <w:rsid w:val="00C63B17"/>
    <w:rsid w:val="00C63C6C"/>
    <w:rsid w:val="00C63DCB"/>
    <w:rsid w:val="00C63F1C"/>
    <w:rsid w:val="00C64061"/>
    <w:rsid w:val="00C6451E"/>
    <w:rsid w:val="00C649EC"/>
    <w:rsid w:val="00C65634"/>
    <w:rsid w:val="00C66048"/>
    <w:rsid w:val="00C6661A"/>
    <w:rsid w:val="00C6676E"/>
    <w:rsid w:val="00C66948"/>
    <w:rsid w:val="00C66BF1"/>
    <w:rsid w:val="00C66C41"/>
    <w:rsid w:val="00C6737E"/>
    <w:rsid w:val="00C6794D"/>
    <w:rsid w:val="00C67A81"/>
    <w:rsid w:val="00C67B72"/>
    <w:rsid w:val="00C67D5E"/>
    <w:rsid w:val="00C703E0"/>
    <w:rsid w:val="00C70424"/>
    <w:rsid w:val="00C70529"/>
    <w:rsid w:val="00C7090C"/>
    <w:rsid w:val="00C70D78"/>
    <w:rsid w:val="00C70E64"/>
    <w:rsid w:val="00C70FAD"/>
    <w:rsid w:val="00C714B9"/>
    <w:rsid w:val="00C720B1"/>
    <w:rsid w:val="00C726E0"/>
    <w:rsid w:val="00C727CC"/>
    <w:rsid w:val="00C72D43"/>
    <w:rsid w:val="00C72F36"/>
    <w:rsid w:val="00C72F54"/>
    <w:rsid w:val="00C7306C"/>
    <w:rsid w:val="00C73336"/>
    <w:rsid w:val="00C7335E"/>
    <w:rsid w:val="00C73399"/>
    <w:rsid w:val="00C733BE"/>
    <w:rsid w:val="00C73A08"/>
    <w:rsid w:val="00C74123"/>
    <w:rsid w:val="00C74393"/>
    <w:rsid w:val="00C74933"/>
    <w:rsid w:val="00C749A5"/>
    <w:rsid w:val="00C74A39"/>
    <w:rsid w:val="00C74DDD"/>
    <w:rsid w:val="00C75156"/>
    <w:rsid w:val="00C7537D"/>
    <w:rsid w:val="00C7561D"/>
    <w:rsid w:val="00C757FF"/>
    <w:rsid w:val="00C75838"/>
    <w:rsid w:val="00C75C42"/>
    <w:rsid w:val="00C763B1"/>
    <w:rsid w:val="00C76BE7"/>
    <w:rsid w:val="00C76C6A"/>
    <w:rsid w:val="00C76EE5"/>
    <w:rsid w:val="00C76FBA"/>
    <w:rsid w:val="00C77313"/>
    <w:rsid w:val="00C778C9"/>
    <w:rsid w:val="00C77A37"/>
    <w:rsid w:val="00C77A9C"/>
    <w:rsid w:val="00C77D12"/>
    <w:rsid w:val="00C80183"/>
    <w:rsid w:val="00C80351"/>
    <w:rsid w:val="00C80825"/>
    <w:rsid w:val="00C80C95"/>
    <w:rsid w:val="00C81755"/>
    <w:rsid w:val="00C81AF6"/>
    <w:rsid w:val="00C81CC5"/>
    <w:rsid w:val="00C81EDC"/>
    <w:rsid w:val="00C8242D"/>
    <w:rsid w:val="00C82AF5"/>
    <w:rsid w:val="00C82C88"/>
    <w:rsid w:val="00C831DE"/>
    <w:rsid w:val="00C83266"/>
    <w:rsid w:val="00C83A5D"/>
    <w:rsid w:val="00C83B47"/>
    <w:rsid w:val="00C84031"/>
    <w:rsid w:val="00C843DF"/>
    <w:rsid w:val="00C84A9E"/>
    <w:rsid w:val="00C85150"/>
    <w:rsid w:val="00C853F1"/>
    <w:rsid w:val="00C85517"/>
    <w:rsid w:val="00C855D9"/>
    <w:rsid w:val="00C85FDF"/>
    <w:rsid w:val="00C86517"/>
    <w:rsid w:val="00C8684C"/>
    <w:rsid w:val="00C86E88"/>
    <w:rsid w:val="00C8703E"/>
    <w:rsid w:val="00C87317"/>
    <w:rsid w:val="00C879D4"/>
    <w:rsid w:val="00C87C11"/>
    <w:rsid w:val="00C90143"/>
    <w:rsid w:val="00C90A80"/>
    <w:rsid w:val="00C90D77"/>
    <w:rsid w:val="00C90EF6"/>
    <w:rsid w:val="00C912E7"/>
    <w:rsid w:val="00C915CD"/>
    <w:rsid w:val="00C91638"/>
    <w:rsid w:val="00C91FE3"/>
    <w:rsid w:val="00C92211"/>
    <w:rsid w:val="00C92405"/>
    <w:rsid w:val="00C925F7"/>
    <w:rsid w:val="00C926DE"/>
    <w:rsid w:val="00C92C76"/>
    <w:rsid w:val="00C93012"/>
    <w:rsid w:val="00C93015"/>
    <w:rsid w:val="00C93073"/>
    <w:rsid w:val="00C930C6"/>
    <w:rsid w:val="00C93AB1"/>
    <w:rsid w:val="00C93D15"/>
    <w:rsid w:val="00C94196"/>
    <w:rsid w:val="00C948E8"/>
    <w:rsid w:val="00C94BCF"/>
    <w:rsid w:val="00C95548"/>
    <w:rsid w:val="00C956F7"/>
    <w:rsid w:val="00C957E4"/>
    <w:rsid w:val="00C95C81"/>
    <w:rsid w:val="00C95FC2"/>
    <w:rsid w:val="00C96065"/>
    <w:rsid w:val="00C96071"/>
    <w:rsid w:val="00C96185"/>
    <w:rsid w:val="00C96448"/>
    <w:rsid w:val="00C9649F"/>
    <w:rsid w:val="00C96C74"/>
    <w:rsid w:val="00C96E6F"/>
    <w:rsid w:val="00C97813"/>
    <w:rsid w:val="00C97999"/>
    <w:rsid w:val="00C979E2"/>
    <w:rsid w:val="00CA0350"/>
    <w:rsid w:val="00CA0452"/>
    <w:rsid w:val="00CA05B0"/>
    <w:rsid w:val="00CA075F"/>
    <w:rsid w:val="00CA0C64"/>
    <w:rsid w:val="00CA0DF3"/>
    <w:rsid w:val="00CA0F47"/>
    <w:rsid w:val="00CA108D"/>
    <w:rsid w:val="00CA189E"/>
    <w:rsid w:val="00CA1E4F"/>
    <w:rsid w:val="00CA21C2"/>
    <w:rsid w:val="00CA2382"/>
    <w:rsid w:val="00CA2410"/>
    <w:rsid w:val="00CA24D4"/>
    <w:rsid w:val="00CA24F9"/>
    <w:rsid w:val="00CA2E87"/>
    <w:rsid w:val="00CA3192"/>
    <w:rsid w:val="00CA32D4"/>
    <w:rsid w:val="00CA3351"/>
    <w:rsid w:val="00CA33C5"/>
    <w:rsid w:val="00CA35C4"/>
    <w:rsid w:val="00CA36CD"/>
    <w:rsid w:val="00CA37AF"/>
    <w:rsid w:val="00CA3886"/>
    <w:rsid w:val="00CA3A7A"/>
    <w:rsid w:val="00CA3B44"/>
    <w:rsid w:val="00CA4420"/>
    <w:rsid w:val="00CA4680"/>
    <w:rsid w:val="00CA4C3D"/>
    <w:rsid w:val="00CA5071"/>
    <w:rsid w:val="00CA54BB"/>
    <w:rsid w:val="00CA5895"/>
    <w:rsid w:val="00CA5D4A"/>
    <w:rsid w:val="00CA6275"/>
    <w:rsid w:val="00CA66DC"/>
    <w:rsid w:val="00CA67DB"/>
    <w:rsid w:val="00CA685B"/>
    <w:rsid w:val="00CA72B5"/>
    <w:rsid w:val="00CA7B2D"/>
    <w:rsid w:val="00CA7C76"/>
    <w:rsid w:val="00CA7E75"/>
    <w:rsid w:val="00CB00C4"/>
    <w:rsid w:val="00CB0100"/>
    <w:rsid w:val="00CB027F"/>
    <w:rsid w:val="00CB0309"/>
    <w:rsid w:val="00CB0AF0"/>
    <w:rsid w:val="00CB0C14"/>
    <w:rsid w:val="00CB0D32"/>
    <w:rsid w:val="00CB0D5B"/>
    <w:rsid w:val="00CB12C7"/>
    <w:rsid w:val="00CB1633"/>
    <w:rsid w:val="00CB17AE"/>
    <w:rsid w:val="00CB1813"/>
    <w:rsid w:val="00CB1BAF"/>
    <w:rsid w:val="00CB1F17"/>
    <w:rsid w:val="00CB1F4F"/>
    <w:rsid w:val="00CB260D"/>
    <w:rsid w:val="00CB2AA2"/>
    <w:rsid w:val="00CB338C"/>
    <w:rsid w:val="00CB33BD"/>
    <w:rsid w:val="00CB342C"/>
    <w:rsid w:val="00CB3EB8"/>
    <w:rsid w:val="00CB4014"/>
    <w:rsid w:val="00CB424C"/>
    <w:rsid w:val="00CB42D1"/>
    <w:rsid w:val="00CB43EB"/>
    <w:rsid w:val="00CB4D24"/>
    <w:rsid w:val="00CB4E5C"/>
    <w:rsid w:val="00CB4F65"/>
    <w:rsid w:val="00CB503B"/>
    <w:rsid w:val="00CB5125"/>
    <w:rsid w:val="00CB5132"/>
    <w:rsid w:val="00CB51C6"/>
    <w:rsid w:val="00CB5374"/>
    <w:rsid w:val="00CB55CB"/>
    <w:rsid w:val="00CB5DBC"/>
    <w:rsid w:val="00CB5F01"/>
    <w:rsid w:val="00CB6454"/>
    <w:rsid w:val="00CB66E5"/>
    <w:rsid w:val="00CB67A4"/>
    <w:rsid w:val="00CB6EFC"/>
    <w:rsid w:val="00CB7540"/>
    <w:rsid w:val="00CB7C01"/>
    <w:rsid w:val="00CC01D7"/>
    <w:rsid w:val="00CC0614"/>
    <w:rsid w:val="00CC0BFF"/>
    <w:rsid w:val="00CC18B4"/>
    <w:rsid w:val="00CC1CC2"/>
    <w:rsid w:val="00CC1D82"/>
    <w:rsid w:val="00CC2D5B"/>
    <w:rsid w:val="00CC2F51"/>
    <w:rsid w:val="00CC3425"/>
    <w:rsid w:val="00CC35F3"/>
    <w:rsid w:val="00CC4ABA"/>
    <w:rsid w:val="00CC4AE6"/>
    <w:rsid w:val="00CC4DEE"/>
    <w:rsid w:val="00CC4F30"/>
    <w:rsid w:val="00CC51CC"/>
    <w:rsid w:val="00CC593F"/>
    <w:rsid w:val="00CC5B4D"/>
    <w:rsid w:val="00CC5D3E"/>
    <w:rsid w:val="00CC5D80"/>
    <w:rsid w:val="00CC5DD4"/>
    <w:rsid w:val="00CC5E6B"/>
    <w:rsid w:val="00CC6149"/>
    <w:rsid w:val="00CC6834"/>
    <w:rsid w:val="00CC6980"/>
    <w:rsid w:val="00CC78B3"/>
    <w:rsid w:val="00CC78DC"/>
    <w:rsid w:val="00CC7E28"/>
    <w:rsid w:val="00CD007A"/>
    <w:rsid w:val="00CD0430"/>
    <w:rsid w:val="00CD0B49"/>
    <w:rsid w:val="00CD149B"/>
    <w:rsid w:val="00CD2430"/>
    <w:rsid w:val="00CD2857"/>
    <w:rsid w:val="00CD2A1D"/>
    <w:rsid w:val="00CD2A9D"/>
    <w:rsid w:val="00CD2B46"/>
    <w:rsid w:val="00CD3ADC"/>
    <w:rsid w:val="00CD3B09"/>
    <w:rsid w:val="00CD3C52"/>
    <w:rsid w:val="00CD3FD3"/>
    <w:rsid w:val="00CD45AD"/>
    <w:rsid w:val="00CD460C"/>
    <w:rsid w:val="00CD4871"/>
    <w:rsid w:val="00CD4AE6"/>
    <w:rsid w:val="00CD4E3B"/>
    <w:rsid w:val="00CD516E"/>
    <w:rsid w:val="00CD54BA"/>
    <w:rsid w:val="00CD55A7"/>
    <w:rsid w:val="00CD5A24"/>
    <w:rsid w:val="00CD5A28"/>
    <w:rsid w:val="00CD5CF8"/>
    <w:rsid w:val="00CD65FD"/>
    <w:rsid w:val="00CD6C6C"/>
    <w:rsid w:val="00CD6E4D"/>
    <w:rsid w:val="00CD7C6E"/>
    <w:rsid w:val="00CE0020"/>
    <w:rsid w:val="00CE041A"/>
    <w:rsid w:val="00CE0A78"/>
    <w:rsid w:val="00CE0EAC"/>
    <w:rsid w:val="00CE100F"/>
    <w:rsid w:val="00CE1901"/>
    <w:rsid w:val="00CE1A08"/>
    <w:rsid w:val="00CE1BC9"/>
    <w:rsid w:val="00CE1C39"/>
    <w:rsid w:val="00CE1D1B"/>
    <w:rsid w:val="00CE2083"/>
    <w:rsid w:val="00CE2624"/>
    <w:rsid w:val="00CE27F4"/>
    <w:rsid w:val="00CE2D79"/>
    <w:rsid w:val="00CE38C0"/>
    <w:rsid w:val="00CE3CEB"/>
    <w:rsid w:val="00CE3CFB"/>
    <w:rsid w:val="00CE3F8A"/>
    <w:rsid w:val="00CE490D"/>
    <w:rsid w:val="00CE4C79"/>
    <w:rsid w:val="00CE4EB8"/>
    <w:rsid w:val="00CE504D"/>
    <w:rsid w:val="00CE507A"/>
    <w:rsid w:val="00CE5678"/>
    <w:rsid w:val="00CE583A"/>
    <w:rsid w:val="00CE5D00"/>
    <w:rsid w:val="00CE6055"/>
    <w:rsid w:val="00CE623C"/>
    <w:rsid w:val="00CE6571"/>
    <w:rsid w:val="00CE67AE"/>
    <w:rsid w:val="00CE68F2"/>
    <w:rsid w:val="00CE6C8B"/>
    <w:rsid w:val="00CE78A8"/>
    <w:rsid w:val="00CE78EB"/>
    <w:rsid w:val="00CF012B"/>
    <w:rsid w:val="00CF0344"/>
    <w:rsid w:val="00CF05B5"/>
    <w:rsid w:val="00CF0EA6"/>
    <w:rsid w:val="00CF101D"/>
    <w:rsid w:val="00CF1708"/>
    <w:rsid w:val="00CF170F"/>
    <w:rsid w:val="00CF1959"/>
    <w:rsid w:val="00CF20CD"/>
    <w:rsid w:val="00CF215B"/>
    <w:rsid w:val="00CF230E"/>
    <w:rsid w:val="00CF25E8"/>
    <w:rsid w:val="00CF2A97"/>
    <w:rsid w:val="00CF2CBC"/>
    <w:rsid w:val="00CF2CE7"/>
    <w:rsid w:val="00CF2D76"/>
    <w:rsid w:val="00CF3451"/>
    <w:rsid w:val="00CF35BD"/>
    <w:rsid w:val="00CF3677"/>
    <w:rsid w:val="00CF3724"/>
    <w:rsid w:val="00CF3F72"/>
    <w:rsid w:val="00CF41E4"/>
    <w:rsid w:val="00CF42F7"/>
    <w:rsid w:val="00CF4680"/>
    <w:rsid w:val="00CF4BC9"/>
    <w:rsid w:val="00CF4FFC"/>
    <w:rsid w:val="00CF52D5"/>
    <w:rsid w:val="00CF59D5"/>
    <w:rsid w:val="00CF5D08"/>
    <w:rsid w:val="00CF5D40"/>
    <w:rsid w:val="00CF5EE1"/>
    <w:rsid w:val="00CF62CE"/>
    <w:rsid w:val="00CF63AC"/>
    <w:rsid w:val="00CF6576"/>
    <w:rsid w:val="00CF662B"/>
    <w:rsid w:val="00CF6D31"/>
    <w:rsid w:val="00CF6F36"/>
    <w:rsid w:val="00CF703B"/>
    <w:rsid w:val="00CF75EA"/>
    <w:rsid w:val="00CF75FC"/>
    <w:rsid w:val="00CF7660"/>
    <w:rsid w:val="00CF77C4"/>
    <w:rsid w:val="00CF77DC"/>
    <w:rsid w:val="00CF782A"/>
    <w:rsid w:val="00CF7856"/>
    <w:rsid w:val="00CF78E6"/>
    <w:rsid w:val="00CF795C"/>
    <w:rsid w:val="00CF7CCD"/>
    <w:rsid w:val="00D00125"/>
    <w:rsid w:val="00D0028F"/>
    <w:rsid w:val="00D002C1"/>
    <w:rsid w:val="00D00333"/>
    <w:rsid w:val="00D005A8"/>
    <w:rsid w:val="00D005F0"/>
    <w:rsid w:val="00D00778"/>
    <w:rsid w:val="00D00FA6"/>
    <w:rsid w:val="00D011B5"/>
    <w:rsid w:val="00D0157F"/>
    <w:rsid w:val="00D01638"/>
    <w:rsid w:val="00D01C4D"/>
    <w:rsid w:val="00D01D85"/>
    <w:rsid w:val="00D01E75"/>
    <w:rsid w:val="00D024A0"/>
    <w:rsid w:val="00D026F2"/>
    <w:rsid w:val="00D026F8"/>
    <w:rsid w:val="00D028CC"/>
    <w:rsid w:val="00D02914"/>
    <w:rsid w:val="00D02AE9"/>
    <w:rsid w:val="00D02E81"/>
    <w:rsid w:val="00D03454"/>
    <w:rsid w:val="00D04123"/>
    <w:rsid w:val="00D0424B"/>
    <w:rsid w:val="00D04337"/>
    <w:rsid w:val="00D050E5"/>
    <w:rsid w:val="00D05B0E"/>
    <w:rsid w:val="00D061E5"/>
    <w:rsid w:val="00D0633A"/>
    <w:rsid w:val="00D06488"/>
    <w:rsid w:val="00D0658A"/>
    <w:rsid w:val="00D066D5"/>
    <w:rsid w:val="00D06A3D"/>
    <w:rsid w:val="00D06C19"/>
    <w:rsid w:val="00D0708D"/>
    <w:rsid w:val="00D070BF"/>
    <w:rsid w:val="00D071A7"/>
    <w:rsid w:val="00D07C0B"/>
    <w:rsid w:val="00D10239"/>
    <w:rsid w:val="00D11C36"/>
    <w:rsid w:val="00D12159"/>
    <w:rsid w:val="00D1280F"/>
    <w:rsid w:val="00D129A2"/>
    <w:rsid w:val="00D12F39"/>
    <w:rsid w:val="00D13129"/>
    <w:rsid w:val="00D1336C"/>
    <w:rsid w:val="00D140AF"/>
    <w:rsid w:val="00D14E2F"/>
    <w:rsid w:val="00D156B8"/>
    <w:rsid w:val="00D158A6"/>
    <w:rsid w:val="00D15C06"/>
    <w:rsid w:val="00D15FFB"/>
    <w:rsid w:val="00D16164"/>
    <w:rsid w:val="00D16331"/>
    <w:rsid w:val="00D1647C"/>
    <w:rsid w:val="00D16A07"/>
    <w:rsid w:val="00D16F50"/>
    <w:rsid w:val="00D17025"/>
    <w:rsid w:val="00D17613"/>
    <w:rsid w:val="00D17667"/>
    <w:rsid w:val="00D17B14"/>
    <w:rsid w:val="00D17D1C"/>
    <w:rsid w:val="00D17DA6"/>
    <w:rsid w:val="00D17FF8"/>
    <w:rsid w:val="00D2020A"/>
    <w:rsid w:val="00D203AA"/>
    <w:rsid w:val="00D20531"/>
    <w:rsid w:val="00D20684"/>
    <w:rsid w:val="00D20D2F"/>
    <w:rsid w:val="00D20F1E"/>
    <w:rsid w:val="00D20FEA"/>
    <w:rsid w:val="00D213E2"/>
    <w:rsid w:val="00D21456"/>
    <w:rsid w:val="00D2168F"/>
    <w:rsid w:val="00D21885"/>
    <w:rsid w:val="00D2192F"/>
    <w:rsid w:val="00D21978"/>
    <w:rsid w:val="00D21B97"/>
    <w:rsid w:val="00D22C5E"/>
    <w:rsid w:val="00D22D02"/>
    <w:rsid w:val="00D2301B"/>
    <w:rsid w:val="00D23301"/>
    <w:rsid w:val="00D234E2"/>
    <w:rsid w:val="00D238D6"/>
    <w:rsid w:val="00D23D7A"/>
    <w:rsid w:val="00D2402A"/>
    <w:rsid w:val="00D24189"/>
    <w:rsid w:val="00D24DF8"/>
    <w:rsid w:val="00D24F93"/>
    <w:rsid w:val="00D25A51"/>
    <w:rsid w:val="00D25AF1"/>
    <w:rsid w:val="00D25D2B"/>
    <w:rsid w:val="00D25F54"/>
    <w:rsid w:val="00D2648C"/>
    <w:rsid w:val="00D2665C"/>
    <w:rsid w:val="00D26C95"/>
    <w:rsid w:val="00D26CBA"/>
    <w:rsid w:val="00D270F3"/>
    <w:rsid w:val="00D27128"/>
    <w:rsid w:val="00D27632"/>
    <w:rsid w:val="00D277A8"/>
    <w:rsid w:val="00D2781F"/>
    <w:rsid w:val="00D2786B"/>
    <w:rsid w:val="00D2799E"/>
    <w:rsid w:val="00D27BE5"/>
    <w:rsid w:val="00D30193"/>
    <w:rsid w:val="00D30734"/>
    <w:rsid w:val="00D307E7"/>
    <w:rsid w:val="00D308CB"/>
    <w:rsid w:val="00D30B71"/>
    <w:rsid w:val="00D30BBE"/>
    <w:rsid w:val="00D30C8E"/>
    <w:rsid w:val="00D30CD1"/>
    <w:rsid w:val="00D30E09"/>
    <w:rsid w:val="00D30F3E"/>
    <w:rsid w:val="00D310BE"/>
    <w:rsid w:val="00D31785"/>
    <w:rsid w:val="00D31934"/>
    <w:rsid w:val="00D31B8A"/>
    <w:rsid w:val="00D31F34"/>
    <w:rsid w:val="00D31F6C"/>
    <w:rsid w:val="00D32198"/>
    <w:rsid w:val="00D32A40"/>
    <w:rsid w:val="00D32B89"/>
    <w:rsid w:val="00D32BB6"/>
    <w:rsid w:val="00D33827"/>
    <w:rsid w:val="00D3431D"/>
    <w:rsid w:val="00D349F9"/>
    <w:rsid w:val="00D34EF8"/>
    <w:rsid w:val="00D34F54"/>
    <w:rsid w:val="00D35524"/>
    <w:rsid w:val="00D35607"/>
    <w:rsid w:val="00D35D15"/>
    <w:rsid w:val="00D35DDD"/>
    <w:rsid w:val="00D36C5A"/>
    <w:rsid w:val="00D36D03"/>
    <w:rsid w:val="00D37112"/>
    <w:rsid w:val="00D3727C"/>
    <w:rsid w:val="00D37BA6"/>
    <w:rsid w:val="00D4021A"/>
    <w:rsid w:val="00D4034A"/>
    <w:rsid w:val="00D4049F"/>
    <w:rsid w:val="00D408C7"/>
    <w:rsid w:val="00D408E7"/>
    <w:rsid w:val="00D40B1A"/>
    <w:rsid w:val="00D41DD1"/>
    <w:rsid w:val="00D420F7"/>
    <w:rsid w:val="00D4211C"/>
    <w:rsid w:val="00D42515"/>
    <w:rsid w:val="00D42D4B"/>
    <w:rsid w:val="00D43687"/>
    <w:rsid w:val="00D43FC8"/>
    <w:rsid w:val="00D44022"/>
    <w:rsid w:val="00D4434D"/>
    <w:rsid w:val="00D44C3E"/>
    <w:rsid w:val="00D4558B"/>
    <w:rsid w:val="00D4582B"/>
    <w:rsid w:val="00D458D2"/>
    <w:rsid w:val="00D45982"/>
    <w:rsid w:val="00D46022"/>
    <w:rsid w:val="00D4638F"/>
    <w:rsid w:val="00D466BD"/>
    <w:rsid w:val="00D46F43"/>
    <w:rsid w:val="00D47431"/>
    <w:rsid w:val="00D4757E"/>
    <w:rsid w:val="00D47628"/>
    <w:rsid w:val="00D47AAF"/>
    <w:rsid w:val="00D503B3"/>
    <w:rsid w:val="00D5070E"/>
    <w:rsid w:val="00D508BB"/>
    <w:rsid w:val="00D50986"/>
    <w:rsid w:val="00D50AD8"/>
    <w:rsid w:val="00D50AF9"/>
    <w:rsid w:val="00D50E90"/>
    <w:rsid w:val="00D50F7A"/>
    <w:rsid w:val="00D513D6"/>
    <w:rsid w:val="00D515B2"/>
    <w:rsid w:val="00D51ECA"/>
    <w:rsid w:val="00D520CB"/>
    <w:rsid w:val="00D52383"/>
    <w:rsid w:val="00D528B6"/>
    <w:rsid w:val="00D5324B"/>
    <w:rsid w:val="00D533DA"/>
    <w:rsid w:val="00D5341C"/>
    <w:rsid w:val="00D53706"/>
    <w:rsid w:val="00D5397B"/>
    <w:rsid w:val="00D539D2"/>
    <w:rsid w:val="00D53D94"/>
    <w:rsid w:val="00D5424F"/>
    <w:rsid w:val="00D54608"/>
    <w:rsid w:val="00D54854"/>
    <w:rsid w:val="00D54B30"/>
    <w:rsid w:val="00D54D6C"/>
    <w:rsid w:val="00D54DCE"/>
    <w:rsid w:val="00D54FC0"/>
    <w:rsid w:val="00D55A9D"/>
    <w:rsid w:val="00D55FB1"/>
    <w:rsid w:val="00D5675B"/>
    <w:rsid w:val="00D56998"/>
    <w:rsid w:val="00D56B1A"/>
    <w:rsid w:val="00D5720D"/>
    <w:rsid w:val="00D57514"/>
    <w:rsid w:val="00D57C40"/>
    <w:rsid w:val="00D57E51"/>
    <w:rsid w:val="00D60297"/>
    <w:rsid w:val="00D6066D"/>
    <w:rsid w:val="00D608C6"/>
    <w:rsid w:val="00D60A39"/>
    <w:rsid w:val="00D60E1C"/>
    <w:rsid w:val="00D60F4B"/>
    <w:rsid w:val="00D60FD1"/>
    <w:rsid w:val="00D6220E"/>
    <w:rsid w:val="00D6240D"/>
    <w:rsid w:val="00D628AD"/>
    <w:rsid w:val="00D62CCB"/>
    <w:rsid w:val="00D634D9"/>
    <w:rsid w:val="00D63B7F"/>
    <w:rsid w:val="00D64119"/>
    <w:rsid w:val="00D642BB"/>
    <w:rsid w:val="00D644AA"/>
    <w:rsid w:val="00D64C8D"/>
    <w:rsid w:val="00D64D17"/>
    <w:rsid w:val="00D6528E"/>
    <w:rsid w:val="00D66044"/>
    <w:rsid w:val="00D6642C"/>
    <w:rsid w:val="00D66979"/>
    <w:rsid w:val="00D67682"/>
    <w:rsid w:val="00D67D75"/>
    <w:rsid w:val="00D7011B"/>
    <w:rsid w:val="00D7027C"/>
    <w:rsid w:val="00D7063B"/>
    <w:rsid w:val="00D70FC0"/>
    <w:rsid w:val="00D71555"/>
    <w:rsid w:val="00D716DA"/>
    <w:rsid w:val="00D71E4F"/>
    <w:rsid w:val="00D71F13"/>
    <w:rsid w:val="00D72153"/>
    <w:rsid w:val="00D7268E"/>
    <w:rsid w:val="00D7273D"/>
    <w:rsid w:val="00D7285E"/>
    <w:rsid w:val="00D72DAD"/>
    <w:rsid w:val="00D73087"/>
    <w:rsid w:val="00D7311A"/>
    <w:rsid w:val="00D7329F"/>
    <w:rsid w:val="00D73776"/>
    <w:rsid w:val="00D737C6"/>
    <w:rsid w:val="00D73943"/>
    <w:rsid w:val="00D73C31"/>
    <w:rsid w:val="00D73CF6"/>
    <w:rsid w:val="00D73F14"/>
    <w:rsid w:val="00D74297"/>
    <w:rsid w:val="00D742FB"/>
    <w:rsid w:val="00D74D70"/>
    <w:rsid w:val="00D7510D"/>
    <w:rsid w:val="00D753F8"/>
    <w:rsid w:val="00D7547F"/>
    <w:rsid w:val="00D754FF"/>
    <w:rsid w:val="00D7586B"/>
    <w:rsid w:val="00D75986"/>
    <w:rsid w:val="00D763DC"/>
    <w:rsid w:val="00D76E78"/>
    <w:rsid w:val="00D77339"/>
    <w:rsid w:val="00D77673"/>
    <w:rsid w:val="00D8031E"/>
    <w:rsid w:val="00D80623"/>
    <w:rsid w:val="00D807FD"/>
    <w:rsid w:val="00D8090F"/>
    <w:rsid w:val="00D80B51"/>
    <w:rsid w:val="00D80C68"/>
    <w:rsid w:val="00D80EFC"/>
    <w:rsid w:val="00D81278"/>
    <w:rsid w:val="00D819D6"/>
    <w:rsid w:val="00D81B74"/>
    <w:rsid w:val="00D81FFD"/>
    <w:rsid w:val="00D820F6"/>
    <w:rsid w:val="00D82F5D"/>
    <w:rsid w:val="00D830A2"/>
    <w:rsid w:val="00D83444"/>
    <w:rsid w:val="00D835F0"/>
    <w:rsid w:val="00D836F8"/>
    <w:rsid w:val="00D838A5"/>
    <w:rsid w:val="00D83C7B"/>
    <w:rsid w:val="00D83E28"/>
    <w:rsid w:val="00D8434D"/>
    <w:rsid w:val="00D84F65"/>
    <w:rsid w:val="00D84F7E"/>
    <w:rsid w:val="00D852AF"/>
    <w:rsid w:val="00D85C5D"/>
    <w:rsid w:val="00D85CD2"/>
    <w:rsid w:val="00D866EE"/>
    <w:rsid w:val="00D868F3"/>
    <w:rsid w:val="00D86AAD"/>
    <w:rsid w:val="00D86AB1"/>
    <w:rsid w:val="00D8728B"/>
    <w:rsid w:val="00D874DE"/>
    <w:rsid w:val="00D87C8B"/>
    <w:rsid w:val="00D87D90"/>
    <w:rsid w:val="00D900C9"/>
    <w:rsid w:val="00D90120"/>
    <w:rsid w:val="00D90705"/>
    <w:rsid w:val="00D90827"/>
    <w:rsid w:val="00D90B7D"/>
    <w:rsid w:val="00D9103E"/>
    <w:rsid w:val="00D911BD"/>
    <w:rsid w:val="00D9185F"/>
    <w:rsid w:val="00D91902"/>
    <w:rsid w:val="00D923EF"/>
    <w:rsid w:val="00D925C1"/>
    <w:rsid w:val="00D92758"/>
    <w:rsid w:val="00D928A0"/>
    <w:rsid w:val="00D92BF1"/>
    <w:rsid w:val="00D931C8"/>
    <w:rsid w:val="00D9351C"/>
    <w:rsid w:val="00D93793"/>
    <w:rsid w:val="00D93C79"/>
    <w:rsid w:val="00D9420D"/>
    <w:rsid w:val="00D94224"/>
    <w:rsid w:val="00D943E8"/>
    <w:rsid w:val="00D945A7"/>
    <w:rsid w:val="00D94671"/>
    <w:rsid w:val="00D9537B"/>
    <w:rsid w:val="00D95C4A"/>
    <w:rsid w:val="00D95CD5"/>
    <w:rsid w:val="00D96124"/>
    <w:rsid w:val="00D9612D"/>
    <w:rsid w:val="00D9669F"/>
    <w:rsid w:val="00D96F19"/>
    <w:rsid w:val="00DA0188"/>
    <w:rsid w:val="00DA01A9"/>
    <w:rsid w:val="00DA05D0"/>
    <w:rsid w:val="00DA0A89"/>
    <w:rsid w:val="00DA0D3C"/>
    <w:rsid w:val="00DA0E1E"/>
    <w:rsid w:val="00DA1129"/>
    <w:rsid w:val="00DA14B7"/>
    <w:rsid w:val="00DA14C2"/>
    <w:rsid w:val="00DA1FDE"/>
    <w:rsid w:val="00DA21EC"/>
    <w:rsid w:val="00DA2563"/>
    <w:rsid w:val="00DA299D"/>
    <w:rsid w:val="00DA2D03"/>
    <w:rsid w:val="00DA33E4"/>
    <w:rsid w:val="00DA33FF"/>
    <w:rsid w:val="00DA3598"/>
    <w:rsid w:val="00DA3CD3"/>
    <w:rsid w:val="00DA3D82"/>
    <w:rsid w:val="00DA4041"/>
    <w:rsid w:val="00DA44BC"/>
    <w:rsid w:val="00DA4ED4"/>
    <w:rsid w:val="00DA4F8B"/>
    <w:rsid w:val="00DA520E"/>
    <w:rsid w:val="00DA52C5"/>
    <w:rsid w:val="00DA56A4"/>
    <w:rsid w:val="00DA5891"/>
    <w:rsid w:val="00DA598B"/>
    <w:rsid w:val="00DA5C35"/>
    <w:rsid w:val="00DA62AA"/>
    <w:rsid w:val="00DA62FB"/>
    <w:rsid w:val="00DA635A"/>
    <w:rsid w:val="00DA6515"/>
    <w:rsid w:val="00DA6527"/>
    <w:rsid w:val="00DA6857"/>
    <w:rsid w:val="00DA6E03"/>
    <w:rsid w:val="00DA72BD"/>
    <w:rsid w:val="00DA7342"/>
    <w:rsid w:val="00DA73AC"/>
    <w:rsid w:val="00DA7409"/>
    <w:rsid w:val="00DA7AD0"/>
    <w:rsid w:val="00DA7C6E"/>
    <w:rsid w:val="00DA7C79"/>
    <w:rsid w:val="00DA7F57"/>
    <w:rsid w:val="00DB00E2"/>
    <w:rsid w:val="00DB08E6"/>
    <w:rsid w:val="00DB0AEE"/>
    <w:rsid w:val="00DB156A"/>
    <w:rsid w:val="00DB1CC4"/>
    <w:rsid w:val="00DB1E2B"/>
    <w:rsid w:val="00DB1F73"/>
    <w:rsid w:val="00DB215D"/>
    <w:rsid w:val="00DB2EB0"/>
    <w:rsid w:val="00DB320B"/>
    <w:rsid w:val="00DB35B0"/>
    <w:rsid w:val="00DB35B5"/>
    <w:rsid w:val="00DB3A57"/>
    <w:rsid w:val="00DB3E2A"/>
    <w:rsid w:val="00DB3EAE"/>
    <w:rsid w:val="00DB40D5"/>
    <w:rsid w:val="00DB4716"/>
    <w:rsid w:val="00DB4F29"/>
    <w:rsid w:val="00DB57DC"/>
    <w:rsid w:val="00DB5A38"/>
    <w:rsid w:val="00DB5AD5"/>
    <w:rsid w:val="00DB5BF7"/>
    <w:rsid w:val="00DB5FAA"/>
    <w:rsid w:val="00DB624A"/>
    <w:rsid w:val="00DB69E0"/>
    <w:rsid w:val="00DB7001"/>
    <w:rsid w:val="00DB74B7"/>
    <w:rsid w:val="00DB76A4"/>
    <w:rsid w:val="00DB7BE8"/>
    <w:rsid w:val="00DB7F2E"/>
    <w:rsid w:val="00DB7FC5"/>
    <w:rsid w:val="00DC02E9"/>
    <w:rsid w:val="00DC0E92"/>
    <w:rsid w:val="00DC0F57"/>
    <w:rsid w:val="00DC12CF"/>
    <w:rsid w:val="00DC16E9"/>
    <w:rsid w:val="00DC1BF4"/>
    <w:rsid w:val="00DC1C06"/>
    <w:rsid w:val="00DC20D6"/>
    <w:rsid w:val="00DC246D"/>
    <w:rsid w:val="00DC2C44"/>
    <w:rsid w:val="00DC3003"/>
    <w:rsid w:val="00DC3E17"/>
    <w:rsid w:val="00DC4127"/>
    <w:rsid w:val="00DC4242"/>
    <w:rsid w:val="00DC425A"/>
    <w:rsid w:val="00DC430A"/>
    <w:rsid w:val="00DC43B6"/>
    <w:rsid w:val="00DC4FB6"/>
    <w:rsid w:val="00DC5207"/>
    <w:rsid w:val="00DC5661"/>
    <w:rsid w:val="00DC5710"/>
    <w:rsid w:val="00DC5C57"/>
    <w:rsid w:val="00DC64F7"/>
    <w:rsid w:val="00DC65DF"/>
    <w:rsid w:val="00DC669E"/>
    <w:rsid w:val="00DC6749"/>
    <w:rsid w:val="00DC73BE"/>
    <w:rsid w:val="00DC7657"/>
    <w:rsid w:val="00DC766D"/>
    <w:rsid w:val="00DC78BF"/>
    <w:rsid w:val="00DC7B5E"/>
    <w:rsid w:val="00DC7F19"/>
    <w:rsid w:val="00DD059C"/>
    <w:rsid w:val="00DD075A"/>
    <w:rsid w:val="00DD09A3"/>
    <w:rsid w:val="00DD0CAA"/>
    <w:rsid w:val="00DD0D6A"/>
    <w:rsid w:val="00DD0D89"/>
    <w:rsid w:val="00DD0DCB"/>
    <w:rsid w:val="00DD11F1"/>
    <w:rsid w:val="00DD14ED"/>
    <w:rsid w:val="00DD172A"/>
    <w:rsid w:val="00DD19B4"/>
    <w:rsid w:val="00DD1A17"/>
    <w:rsid w:val="00DD1D62"/>
    <w:rsid w:val="00DD1D80"/>
    <w:rsid w:val="00DD1E28"/>
    <w:rsid w:val="00DD2263"/>
    <w:rsid w:val="00DD22E2"/>
    <w:rsid w:val="00DD2710"/>
    <w:rsid w:val="00DD2A6C"/>
    <w:rsid w:val="00DD2F01"/>
    <w:rsid w:val="00DD2FE7"/>
    <w:rsid w:val="00DD308A"/>
    <w:rsid w:val="00DD3144"/>
    <w:rsid w:val="00DD325D"/>
    <w:rsid w:val="00DD35D3"/>
    <w:rsid w:val="00DD38A6"/>
    <w:rsid w:val="00DD39FE"/>
    <w:rsid w:val="00DD3A90"/>
    <w:rsid w:val="00DD3BD4"/>
    <w:rsid w:val="00DD4BDF"/>
    <w:rsid w:val="00DD51FE"/>
    <w:rsid w:val="00DD53E1"/>
    <w:rsid w:val="00DD5ED3"/>
    <w:rsid w:val="00DD610C"/>
    <w:rsid w:val="00DD6265"/>
    <w:rsid w:val="00DD62EC"/>
    <w:rsid w:val="00DD6649"/>
    <w:rsid w:val="00DD733E"/>
    <w:rsid w:val="00DD7514"/>
    <w:rsid w:val="00DD7BBD"/>
    <w:rsid w:val="00DE0A82"/>
    <w:rsid w:val="00DE0B72"/>
    <w:rsid w:val="00DE0BC9"/>
    <w:rsid w:val="00DE0F0D"/>
    <w:rsid w:val="00DE1024"/>
    <w:rsid w:val="00DE1174"/>
    <w:rsid w:val="00DE11EE"/>
    <w:rsid w:val="00DE14C2"/>
    <w:rsid w:val="00DE17A5"/>
    <w:rsid w:val="00DE1CEE"/>
    <w:rsid w:val="00DE23D7"/>
    <w:rsid w:val="00DE2D40"/>
    <w:rsid w:val="00DE2DEE"/>
    <w:rsid w:val="00DE2EBB"/>
    <w:rsid w:val="00DE302C"/>
    <w:rsid w:val="00DE3649"/>
    <w:rsid w:val="00DE37CB"/>
    <w:rsid w:val="00DE3C40"/>
    <w:rsid w:val="00DE3E16"/>
    <w:rsid w:val="00DE3FB4"/>
    <w:rsid w:val="00DE4021"/>
    <w:rsid w:val="00DE4732"/>
    <w:rsid w:val="00DE4888"/>
    <w:rsid w:val="00DE4EBB"/>
    <w:rsid w:val="00DE4F91"/>
    <w:rsid w:val="00DE516D"/>
    <w:rsid w:val="00DE53DB"/>
    <w:rsid w:val="00DE54E2"/>
    <w:rsid w:val="00DE58A8"/>
    <w:rsid w:val="00DE62DE"/>
    <w:rsid w:val="00DE64A1"/>
    <w:rsid w:val="00DE64F3"/>
    <w:rsid w:val="00DE66C6"/>
    <w:rsid w:val="00DE6D06"/>
    <w:rsid w:val="00DE72D3"/>
    <w:rsid w:val="00DE758C"/>
    <w:rsid w:val="00DE7692"/>
    <w:rsid w:val="00DE7CBC"/>
    <w:rsid w:val="00DF06EB"/>
    <w:rsid w:val="00DF0BB8"/>
    <w:rsid w:val="00DF0C83"/>
    <w:rsid w:val="00DF1087"/>
    <w:rsid w:val="00DF13C0"/>
    <w:rsid w:val="00DF13FD"/>
    <w:rsid w:val="00DF176F"/>
    <w:rsid w:val="00DF1C2A"/>
    <w:rsid w:val="00DF200D"/>
    <w:rsid w:val="00DF2233"/>
    <w:rsid w:val="00DF2436"/>
    <w:rsid w:val="00DF2568"/>
    <w:rsid w:val="00DF2ADB"/>
    <w:rsid w:val="00DF2C1C"/>
    <w:rsid w:val="00DF2CD1"/>
    <w:rsid w:val="00DF3150"/>
    <w:rsid w:val="00DF3173"/>
    <w:rsid w:val="00DF3316"/>
    <w:rsid w:val="00DF33B2"/>
    <w:rsid w:val="00DF36AD"/>
    <w:rsid w:val="00DF3715"/>
    <w:rsid w:val="00DF389E"/>
    <w:rsid w:val="00DF4475"/>
    <w:rsid w:val="00DF4655"/>
    <w:rsid w:val="00DF4851"/>
    <w:rsid w:val="00DF4D8D"/>
    <w:rsid w:val="00DF50F8"/>
    <w:rsid w:val="00DF5102"/>
    <w:rsid w:val="00DF524F"/>
    <w:rsid w:val="00DF57FC"/>
    <w:rsid w:val="00DF5829"/>
    <w:rsid w:val="00DF5E3F"/>
    <w:rsid w:val="00DF5ECD"/>
    <w:rsid w:val="00DF60D6"/>
    <w:rsid w:val="00DF6501"/>
    <w:rsid w:val="00DF653B"/>
    <w:rsid w:val="00DF677C"/>
    <w:rsid w:val="00DF6B68"/>
    <w:rsid w:val="00DF6BD3"/>
    <w:rsid w:val="00DF70C9"/>
    <w:rsid w:val="00DF772C"/>
    <w:rsid w:val="00DF787D"/>
    <w:rsid w:val="00DF78B7"/>
    <w:rsid w:val="00DF7996"/>
    <w:rsid w:val="00DF7C20"/>
    <w:rsid w:val="00E000DE"/>
    <w:rsid w:val="00E0017A"/>
    <w:rsid w:val="00E0116F"/>
    <w:rsid w:val="00E017B9"/>
    <w:rsid w:val="00E01B85"/>
    <w:rsid w:val="00E01EA1"/>
    <w:rsid w:val="00E029FC"/>
    <w:rsid w:val="00E032F9"/>
    <w:rsid w:val="00E03CD1"/>
    <w:rsid w:val="00E03F7F"/>
    <w:rsid w:val="00E03FDC"/>
    <w:rsid w:val="00E0406F"/>
    <w:rsid w:val="00E04235"/>
    <w:rsid w:val="00E04387"/>
    <w:rsid w:val="00E04A68"/>
    <w:rsid w:val="00E04BC4"/>
    <w:rsid w:val="00E051D3"/>
    <w:rsid w:val="00E054BB"/>
    <w:rsid w:val="00E05752"/>
    <w:rsid w:val="00E05B22"/>
    <w:rsid w:val="00E06170"/>
    <w:rsid w:val="00E06810"/>
    <w:rsid w:val="00E06A06"/>
    <w:rsid w:val="00E06B9C"/>
    <w:rsid w:val="00E06C31"/>
    <w:rsid w:val="00E06DC6"/>
    <w:rsid w:val="00E06F10"/>
    <w:rsid w:val="00E07670"/>
    <w:rsid w:val="00E07B91"/>
    <w:rsid w:val="00E07D07"/>
    <w:rsid w:val="00E07D41"/>
    <w:rsid w:val="00E07E5F"/>
    <w:rsid w:val="00E10071"/>
    <w:rsid w:val="00E1066C"/>
    <w:rsid w:val="00E10CDA"/>
    <w:rsid w:val="00E11623"/>
    <w:rsid w:val="00E11AFF"/>
    <w:rsid w:val="00E11BDD"/>
    <w:rsid w:val="00E11BF3"/>
    <w:rsid w:val="00E11F18"/>
    <w:rsid w:val="00E11FC0"/>
    <w:rsid w:val="00E1203A"/>
    <w:rsid w:val="00E1212D"/>
    <w:rsid w:val="00E12406"/>
    <w:rsid w:val="00E1295F"/>
    <w:rsid w:val="00E12F97"/>
    <w:rsid w:val="00E1300C"/>
    <w:rsid w:val="00E13031"/>
    <w:rsid w:val="00E13ABF"/>
    <w:rsid w:val="00E13DC8"/>
    <w:rsid w:val="00E13ED5"/>
    <w:rsid w:val="00E13FF9"/>
    <w:rsid w:val="00E14231"/>
    <w:rsid w:val="00E14B92"/>
    <w:rsid w:val="00E14BF9"/>
    <w:rsid w:val="00E14D0B"/>
    <w:rsid w:val="00E151E5"/>
    <w:rsid w:val="00E1573A"/>
    <w:rsid w:val="00E15764"/>
    <w:rsid w:val="00E159B4"/>
    <w:rsid w:val="00E16F93"/>
    <w:rsid w:val="00E17201"/>
    <w:rsid w:val="00E1722C"/>
    <w:rsid w:val="00E1730F"/>
    <w:rsid w:val="00E174BC"/>
    <w:rsid w:val="00E17547"/>
    <w:rsid w:val="00E175E9"/>
    <w:rsid w:val="00E178E4"/>
    <w:rsid w:val="00E17AD1"/>
    <w:rsid w:val="00E17AF9"/>
    <w:rsid w:val="00E17E64"/>
    <w:rsid w:val="00E20134"/>
    <w:rsid w:val="00E201D9"/>
    <w:rsid w:val="00E20361"/>
    <w:rsid w:val="00E20573"/>
    <w:rsid w:val="00E208CB"/>
    <w:rsid w:val="00E208DB"/>
    <w:rsid w:val="00E2099F"/>
    <w:rsid w:val="00E2116D"/>
    <w:rsid w:val="00E2205F"/>
    <w:rsid w:val="00E22329"/>
    <w:rsid w:val="00E2245F"/>
    <w:rsid w:val="00E22561"/>
    <w:rsid w:val="00E225E9"/>
    <w:rsid w:val="00E22CC2"/>
    <w:rsid w:val="00E22F00"/>
    <w:rsid w:val="00E237D2"/>
    <w:rsid w:val="00E23A9C"/>
    <w:rsid w:val="00E23B1F"/>
    <w:rsid w:val="00E23C81"/>
    <w:rsid w:val="00E240CD"/>
    <w:rsid w:val="00E24127"/>
    <w:rsid w:val="00E24503"/>
    <w:rsid w:val="00E24747"/>
    <w:rsid w:val="00E247FB"/>
    <w:rsid w:val="00E24C5C"/>
    <w:rsid w:val="00E25030"/>
    <w:rsid w:val="00E25C95"/>
    <w:rsid w:val="00E25DCD"/>
    <w:rsid w:val="00E260B2"/>
    <w:rsid w:val="00E26313"/>
    <w:rsid w:val="00E264E5"/>
    <w:rsid w:val="00E26C71"/>
    <w:rsid w:val="00E26E8C"/>
    <w:rsid w:val="00E26F1A"/>
    <w:rsid w:val="00E278C1"/>
    <w:rsid w:val="00E27B5D"/>
    <w:rsid w:val="00E304B0"/>
    <w:rsid w:val="00E30902"/>
    <w:rsid w:val="00E309B5"/>
    <w:rsid w:val="00E30B10"/>
    <w:rsid w:val="00E30BC8"/>
    <w:rsid w:val="00E30CED"/>
    <w:rsid w:val="00E30D59"/>
    <w:rsid w:val="00E30D77"/>
    <w:rsid w:val="00E3108F"/>
    <w:rsid w:val="00E3132B"/>
    <w:rsid w:val="00E317D0"/>
    <w:rsid w:val="00E3198E"/>
    <w:rsid w:val="00E31ECA"/>
    <w:rsid w:val="00E31FAC"/>
    <w:rsid w:val="00E32817"/>
    <w:rsid w:val="00E32FA4"/>
    <w:rsid w:val="00E33335"/>
    <w:rsid w:val="00E33C0B"/>
    <w:rsid w:val="00E340FF"/>
    <w:rsid w:val="00E34AF5"/>
    <w:rsid w:val="00E34B93"/>
    <w:rsid w:val="00E3518F"/>
    <w:rsid w:val="00E35732"/>
    <w:rsid w:val="00E358FF"/>
    <w:rsid w:val="00E35CB6"/>
    <w:rsid w:val="00E35F20"/>
    <w:rsid w:val="00E3612E"/>
    <w:rsid w:val="00E363D1"/>
    <w:rsid w:val="00E3687B"/>
    <w:rsid w:val="00E36F0E"/>
    <w:rsid w:val="00E3752F"/>
    <w:rsid w:val="00E375B9"/>
    <w:rsid w:val="00E37A20"/>
    <w:rsid w:val="00E37B6B"/>
    <w:rsid w:val="00E40247"/>
    <w:rsid w:val="00E407A0"/>
    <w:rsid w:val="00E40A56"/>
    <w:rsid w:val="00E40FE5"/>
    <w:rsid w:val="00E41429"/>
    <w:rsid w:val="00E4157A"/>
    <w:rsid w:val="00E416C8"/>
    <w:rsid w:val="00E419F6"/>
    <w:rsid w:val="00E41AE7"/>
    <w:rsid w:val="00E41B0A"/>
    <w:rsid w:val="00E41F7F"/>
    <w:rsid w:val="00E4274C"/>
    <w:rsid w:val="00E427F5"/>
    <w:rsid w:val="00E42A2E"/>
    <w:rsid w:val="00E439DA"/>
    <w:rsid w:val="00E43BA5"/>
    <w:rsid w:val="00E43C32"/>
    <w:rsid w:val="00E43CAB"/>
    <w:rsid w:val="00E43CE9"/>
    <w:rsid w:val="00E441D4"/>
    <w:rsid w:val="00E4435B"/>
    <w:rsid w:val="00E449A4"/>
    <w:rsid w:val="00E44F6C"/>
    <w:rsid w:val="00E45185"/>
    <w:rsid w:val="00E453EE"/>
    <w:rsid w:val="00E45659"/>
    <w:rsid w:val="00E457CF"/>
    <w:rsid w:val="00E460A3"/>
    <w:rsid w:val="00E460E6"/>
    <w:rsid w:val="00E462DD"/>
    <w:rsid w:val="00E46511"/>
    <w:rsid w:val="00E46763"/>
    <w:rsid w:val="00E47BE8"/>
    <w:rsid w:val="00E47ED2"/>
    <w:rsid w:val="00E50279"/>
    <w:rsid w:val="00E50C63"/>
    <w:rsid w:val="00E512E7"/>
    <w:rsid w:val="00E516F5"/>
    <w:rsid w:val="00E517AF"/>
    <w:rsid w:val="00E51934"/>
    <w:rsid w:val="00E51A47"/>
    <w:rsid w:val="00E51E04"/>
    <w:rsid w:val="00E51ED2"/>
    <w:rsid w:val="00E521BF"/>
    <w:rsid w:val="00E52E52"/>
    <w:rsid w:val="00E530DE"/>
    <w:rsid w:val="00E532FE"/>
    <w:rsid w:val="00E53359"/>
    <w:rsid w:val="00E53562"/>
    <w:rsid w:val="00E53627"/>
    <w:rsid w:val="00E53863"/>
    <w:rsid w:val="00E53DC0"/>
    <w:rsid w:val="00E53DDA"/>
    <w:rsid w:val="00E53F9C"/>
    <w:rsid w:val="00E540D2"/>
    <w:rsid w:val="00E5473B"/>
    <w:rsid w:val="00E54879"/>
    <w:rsid w:val="00E554E9"/>
    <w:rsid w:val="00E555A3"/>
    <w:rsid w:val="00E55B39"/>
    <w:rsid w:val="00E56278"/>
    <w:rsid w:val="00E56568"/>
    <w:rsid w:val="00E569DC"/>
    <w:rsid w:val="00E56C21"/>
    <w:rsid w:val="00E56CF7"/>
    <w:rsid w:val="00E56F2B"/>
    <w:rsid w:val="00E57534"/>
    <w:rsid w:val="00E57554"/>
    <w:rsid w:val="00E5783A"/>
    <w:rsid w:val="00E57E44"/>
    <w:rsid w:val="00E57FF2"/>
    <w:rsid w:val="00E60C59"/>
    <w:rsid w:val="00E6161F"/>
    <w:rsid w:val="00E61CA6"/>
    <w:rsid w:val="00E62011"/>
    <w:rsid w:val="00E62050"/>
    <w:rsid w:val="00E62197"/>
    <w:rsid w:val="00E62389"/>
    <w:rsid w:val="00E6238A"/>
    <w:rsid w:val="00E62612"/>
    <w:rsid w:val="00E626F8"/>
    <w:rsid w:val="00E62B8A"/>
    <w:rsid w:val="00E63222"/>
    <w:rsid w:val="00E64341"/>
    <w:rsid w:val="00E6482E"/>
    <w:rsid w:val="00E64BEC"/>
    <w:rsid w:val="00E64BFD"/>
    <w:rsid w:val="00E64F40"/>
    <w:rsid w:val="00E653CC"/>
    <w:rsid w:val="00E6583F"/>
    <w:rsid w:val="00E65DD5"/>
    <w:rsid w:val="00E6609C"/>
    <w:rsid w:val="00E66536"/>
    <w:rsid w:val="00E6692F"/>
    <w:rsid w:val="00E6738C"/>
    <w:rsid w:val="00E6743D"/>
    <w:rsid w:val="00E6749D"/>
    <w:rsid w:val="00E6755A"/>
    <w:rsid w:val="00E6786F"/>
    <w:rsid w:val="00E678F0"/>
    <w:rsid w:val="00E67CD3"/>
    <w:rsid w:val="00E70040"/>
    <w:rsid w:val="00E703F8"/>
    <w:rsid w:val="00E70DBB"/>
    <w:rsid w:val="00E70E77"/>
    <w:rsid w:val="00E70F65"/>
    <w:rsid w:val="00E711ED"/>
    <w:rsid w:val="00E7138D"/>
    <w:rsid w:val="00E7154F"/>
    <w:rsid w:val="00E7159B"/>
    <w:rsid w:val="00E716C5"/>
    <w:rsid w:val="00E7173A"/>
    <w:rsid w:val="00E7174C"/>
    <w:rsid w:val="00E71893"/>
    <w:rsid w:val="00E719F4"/>
    <w:rsid w:val="00E71C83"/>
    <w:rsid w:val="00E71D76"/>
    <w:rsid w:val="00E72073"/>
    <w:rsid w:val="00E72651"/>
    <w:rsid w:val="00E727F1"/>
    <w:rsid w:val="00E72C2F"/>
    <w:rsid w:val="00E72DFC"/>
    <w:rsid w:val="00E72E5C"/>
    <w:rsid w:val="00E72EA1"/>
    <w:rsid w:val="00E731EA"/>
    <w:rsid w:val="00E73445"/>
    <w:rsid w:val="00E737D1"/>
    <w:rsid w:val="00E738E7"/>
    <w:rsid w:val="00E738F6"/>
    <w:rsid w:val="00E73F55"/>
    <w:rsid w:val="00E741C0"/>
    <w:rsid w:val="00E74347"/>
    <w:rsid w:val="00E74816"/>
    <w:rsid w:val="00E756E6"/>
    <w:rsid w:val="00E7572C"/>
    <w:rsid w:val="00E77409"/>
    <w:rsid w:val="00E80320"/>
    <w:rsid w:val="00E80591"/>
    <w:rsid w:val="00E809D8"/>
    <w:rsid w:val="00E809DB"/>
    <w:rsid w:val="00E80A34"/>
    <w:rsid w:val="00E80BA0"/>
    <w:rsid w:val="00E80C35"/>
    <w:rsid w:val="00E81005"/>
    <w:rsid w:val="00E813E2"/>
    <w:rsid w:val="00E81513"/>
    <w:rsid w:val="00E82982"/>
    <w:rsid w:val="00E82B54"/>
    <w:rsid w:val="00E82D17"/>
    <w:rsid w:val="00E82DC4"/>
    <w:rsid w:val="00E83412"/>
    <w:rsid w:val="00E83432"/>
    <w:rsid w:val="00E83E55"/>
    <w:rsid w:val="00E8423B"/>
    <w:rsid w:val="00E844A2"/>
    <w:rsid w:val="00E844F9"/>
    <w:rsid w:val="00E845DA"/>
    <w:rsid w:val="00E84869"/>
    <w:rsid w:val="00E8498D"/>
    <w:rsid w:val="00E8499A"/>
    <w:rsid w:val="00E84D4E"/>
    <w:rsid w:val="00E851EF"/>
    <w:rsid w:val="00E8537C"/>
    <w:rsid w:val="00E85718"/>
    <w:rsid w:val="00E8596D"/>
    <w:rsid w:val="00E85BA7"/>
    <w:rsid w:val="00E85CB3"/>
    <w:rsid w:val="00E85D7D"/>
    <w:rsid w:val="00E8630C"/>
    <w:rsid w:val="00E8636F"/>
    <w:rsid w:val="00E8648F"/>
    <w:rsid w:val="00E86937"/>
    <w:rsid w:val="00E86E9D"/>
    <w:rsid w:val="00E8744C"/>
    <w:rsid w:val="00E87E9D"/>
    <w:rsid w:val="00E90081"/>
    <w:rsid w:val="00E9010B"/>
    <w:rsid w:val="00E90179"/>
    <w:rsid w:val="00E90727"/>
    <w:rsid w:val="00E907FB"/>
    <w:rsid w:val="00E9111D"/>
    <w:rsid w:val="00E91553"/>
    <w:rsid w:val="00E91AA4"/>
    <w:rsid w:val="00E91B4E"/>
    <w:rsid w:val="00E924B5"/>
    <w:rsid w:val="00E92D9D"/>
    <w:rsid w:val="00E93EC3"/>
    <w:rsid w:val="00E93F58"/>
    <w:rsid w:val="00E93F96"/>
    <w:rsid w:val="00E94641"/>
    <w:rsid w:val="00E947EF"/>
    <w:rsid w:val="00E95433"/>
    <w:rsid w:val="00E95ACE"/>
    <w:rsid w:val="00E95C5E"/>
    <w:rsid w:val="00E95E93"/>
    <w:rsid w:val="00E95FC7"/>
    <w:rsid w:val="00E95FF4"/>
    <w:rsid w:val="00E961CA"/>
    <w:rsid w:val="00E96471"/>
    <w:rsid w:val="00E96B18"/>
    <w:rsid w:val="00E96EF3"/>
    <w:rsid w:val="00E9709B"/>
    <w:rsid w:val="00E9772E"/>
    <w:rsid w:val="00E97791"/>
    <w:rsid w:val="00E978B2"/>
    <w:rsid w:val="00E979A1"/>
    <w:rsid w:val="00EA0012"/>
    <w:rsid w:val="00EA021E"/>
    <w:rsid w:val="00EA02A7"/>
    <w:rsid w:val="00EA071C"/>
    <w:rsid w:val="00EA0B6E"/>
    <w:rsid w:val="00EA0E98"/>
    <w:rsid w:val="00EA10D9"/>
    <w:rsid w:val="00EA1198"/>
    <w:rsid w:val="00EA11AA"/>
    <w:rsid w:val="00EA11C7"/>
    <w:rsid w:val="00EA136A"/>
    <w:rsid w:val="00EA14B2"/>
    <w:rsid w:val="00EA1740"/>
    <w:rsid w:val="00EA295E"/>
    <w:rsid w:val="00EA2999"/>
    <w:rsid w:val="00EA2CBF"/>
    <w:rsid w:val="00EA2CEF"/>
    <w:rsid w:val="00EA301A"/>
    <w:rsid w:val="00EA31F0"/>
    <w:rsid w:val="00EA33A0"/>
    <w:rsid w:val="00EA439B"/>
    <w:rsid w:val="00EA44AE"/>
    <w:rsid w:val="00EA4D6C"/>
    <w:rsid w:val="00EA4EC6"/>
    <w:rsid w:val="00EA5593"/>
    <w:rsid w:val="00EA5717"/>
    <w:rsid w:val="00EA5987"/>
    <w:rsid w:val="00EA5C70"/>
    <w:rsid w:val="00EA5DE2"/>
    <w:rsid w:val="00EA64C8"/>
    <w:rsid w:val="00EA715D"/>
    <w:rsid w:val="00EA76A4"/>
    <w:rsid w:val="00EA7808"/>
    <w:rsid w:val="00EA78A1"/>
    <w:rsid w:val="00EA7921"/>
    <w:rsid w:val="00EA7959"/>
    <w:rsid w:val="00EB0A08"/>
    <w:rsid w:val="00EB0DC7"/>
    <w:rsid w:val="00EB10B3"/>
    <w:rsid w:val="00EB13F1"/>
    <w:rsid w:val="00EB245E"/>
    <w:rsid w:val="00EB281C"/>
    <w:rsid w:val="00EB2A4E"/>
    <w:rsid w:val="00EB3417"/>
    <w:rsid w:val="00EB3690"/>
    <w:rsid w:val="00EB3D89"/>
    <w:rsid w:val="00EB4733"/>
    <w:rsid w:val="00EB4C58"/>
    <w:rsid w:val="00EB4D02"/>
    <w:rsid w:val="00EB4E13"/>
    <w:rsid w:val="00EB4EDA"/>
    <w:rsid w:val="00EB5000"/>
    <w:rsid w:val="00EB5015"/>
    <w:rsid w:val="00EB55D8"/>
    <w:rsid w:val="00EB589F"/>
    <w:rsid w:val="00EB5B72"/>
    <w:rsid w:val="00EB5C00"/>
    <w:rsid w:val="00EB5CB0"/>
    <w:rsid w:val="00EB6092"/>
    <w:rsid w:val="00EB6194"/>
    <w:rsid w:val="00EB62D9"/>
    <w:rsid w:val="00EB65F1"/>
    <w:rsid w:val="00EB6A7D"/>
    <w:rsid w:val="00EB6C22"/>
    <w:rsid w:val="00EB6D82"/>
    <w:rsid w:val="00EB70DB"/>
    <w:rsid w:val="00EB72D3"/>
    <w:rsid w:val="00EB7597"/>
    <w:rsid w:val="00EB7629"/>
    <w:rsid w:val="00EB7718"/>
    <w:rsid w:val="00EB7E82"/>
    <w:rsid w:val="00EC02DB"/>
    <w:rsid w:val="00EC1192"/>
    <w:rsid w:val="00EC15BD"/>
    <w:rsid w:val="00EC15F6"/>
    <w:rsid w:val="00EC1971"/>
    <w:rsid w:val="00EC1F75"/>
    <w:rsid w:val="00EC2474"/>
    <w:rsid w:val="00EC2532"/>
    <w:rsid w:val="00EC2606"/>
    <w:rsid w:val="00EC26CC"/>
    <w:rsid w:val="00EC27D0"/>
    <w:rsid w:val="00EC28A0"/>
    <w:rsid w:val="00EC2A40"/>
    <w:rsid w:val="00EC2CEB"/>
    <w:rsid w:val="00EC2D04"/>
    <w:rsid w:val="00EC32B9"/>
    <w:rsid w:val="00EC3999"/>
    <w:rsid w:val="00EC3EA5"/>
    <w:rsid w:val="00EC41A3"/>
    <w:rsid w:val="00EC4427"/>
    <w:rsid w:val="00EC48C5"/>
    <w:rsid w:val="00EC4C95"/>
    <w:rsid w:val="00EC4D77"/>
    <w:rsid w:val="00EC4E70"/>
    <w:rsid w:val="00EC4FD6"/>
    <w:rsid w:val="00EC53AE"/>
    <w:rsid w:val="00EC56A4"/>
    <w:rsid w:val="00EC5AF8"/>
    <w:rsid w:val="00EC5BD1"/>
    <w:rsid w:val="00EC5F1D"/>
    <w:rsid w:val="00EC66AF"/>
    <w:rsid w:val="00EC676E"/>
    <w:rsid w:val="00EC6864"/>
    <w:rsid w:val="00EC6B07"/>
    <w:rsid w:val="00EC6C21"/>
    <w:rsid w:val="00EC7032"/>
    <w:rsid w:val="00EC71E4"/>
    <w:rsid w:val="00EC7211"/>
    <w:rsid w:val="00EC73C2"/>
    <w:rsid w:val="00EC761B"/>
    <w:rsid w:val="00EC7993"/>
    <w:rsid w:val="00ED0023"/>
    <w:rsid w:val="00ED00F5"/>
    <w:rsid w:val="00ED0484"/>
    <w:rsid w:val="00ED0B78"/>
    <w:rsid w:val="00ED0D6F"/>
    <w:rsid w:val="00ED1293"/>
    <w:rsid w:val="00ED12CB"/>
    <w:rsid w:val="00ED1B33"/>
    <w:rsid w:val="00ED1C68"/>
    <w:rsid w:val="00ED1D8C"/>
    <w:rsid w:val="00ED201E"/>
    <w:rsid w:val="00ED21E9"/>
    <w:rsid w:val="00ED2294"/>
    <w:rsid w:val="00ED259B"/>
    <w:rsid w:val="00ED2BAC"/>
    <w:rsid w:val="00ED302F"/>
    <w:rsid w:val="00ED34B2"/>
    <w:rsid w:val="00ED3E5B"/>
    <w:rsid w:val="00ED3F50"/>
    <w:rsid w:val="00ED3FBA"/>
    <w:rsid w:val="00ED464E"/>
    <w:rsid w:val="00ED480E"/>
    <w:rsid w:val="00ED4F77"/>
    <w:rsid w:val="00ED5389"/>
    <w:rsid w:val="00ED53A6"/>
    <w:rsid w:val="00ED54B5"/>
    <w:rsid w:val="00ED5508"/>
    <w:rsid w:val="00ED56C2"/>
    <w:rsid w:val="00ED578F"/>
    <w:rsid w:val="00ED585E"/>
    <w:rsid w:val="00ED58B0"/>
    <w:rsid w:val="00ED58EB"/>
    <w:rsid w:val="00ED5D19"/>
    <w:rsid w:val="00ED5F9B"/>
    <w:rsid w:val="00ED5FF4"/>
    <w:rsid w:val="00ED60EA"/>
    <w:rsid w:val="00ED63CE"/>
    <w:rsid w:val="00ED67F5"/>
    <w:rsid w:val="00ED6DCA"/>
    <w:rsid w:val="00ED6E27"/>
    <w:rsid w:val="00ED77AB"/>
    <w:rsid w:val="00ED7DDD"/>
    <w:rsid w:val="00ED7E7A"/>
    <w:rsid w:val="00ED7ECE"/>
    <w:rsid w:val="00ED7F70"/>
    <w:rsid w:val="00EE0135"/>
    <w:rsid w:val="00EE0292"/>
    <w:rsid w:val="00EE029E"/>
    <w:rsid w:val="00EE03D0"/>
    <w:rsid w:val="00EE0690"/>
    <w:rsid w:val="00EE1097"/>
    <w:rsid w:val="00EE153D"/>
    <w:rsid w:val="00EE1A53"/>
    <w:rsid w:val="00EE1EA6"/>
    <w:rsid w:val="00EE243B"/>
    <w:rsid w:val="00EE31BD"/>
    <w:rsid w:val="00EE31D3"/>
    <w:rsid w:val="00EE3542"/>
    <w:rsid w:val="00EE36DF"/>
    <w:rsid w:val="00EE371E"/>
    <w:rsid w:val="00EE38FA"/>
    <w:rsid w:val="00EE3927"/>
    <w:rsid w:val="00EE4118"/>
    <w:rsid w:val="00EE4473"/>
    <w:rsid w:val="00EE470A"/>
    <w:rsid w:val="00EE498E"/>
    <w:rsid w:val="00EE4D4C"/>
    <w:rsid w:val="00EE4E14"/>
    <w:rsid w:val="00EE53AE"/>
    <w:rsid w:val="00EE58DA"/>
    <w:rsid w:val="00EE5A00"/>
    <w:rsid w:val="00EE5F7B"/>
    <w:rsid w:val="00EE5F81"/>
    <w:rsid w:val="00EE6142"/>
    <w:rsid w:val="00EE61AF"/>
    <w:rsid w:val="00EE6665"/>
    <w:rsid w:val="00EE6E2F"/>
    <w:rsid w:val="00EE7926"/>
    <w:rsid w:val="00EE7E8E"/>
    <w:rsid w:val="00EE7F64"/>
    <w:rsid w:val="00EF02EC"/>
    <w:rsid w:val="00EF06F5"/>
    <w:rsid w:val="00EF09B6"/>
    <w:rsid w:val="00EF0B80"/>
    <w:rsid w:val="00EF138F"/>
    <w:rsid w:val="00EF13A7"/>
    <w:rsid w:val="00EF164D"/>
    <w:rsid w:val="00EF16FE"/>
    <w:rsid w:val="00EF1770"/>
    <w:rsid w:val="00EF1771"/>
    <w:rsid w:val="00EF1779"/>
    <w:rsid w:val="00EF1AFB"/>
    <w:rsid w:val="00EF1EA9"/>
    <w:rsid w:val="00EF23A4"/>
    <w:rsid w:val="00EF261F"/>
    <w:rsid w:val="00EF2898"/>
    <w:rsid w:val="00EF2BE9"/>
    <w:rsid w:val="00EF2E31"/>
    <w:rsid w:val="00EF3556"/>
    <w:rsid w:val="00EF37AF"/>
    <w:rsid w:val="00EF3961"/>
    <w:rsid w:val="00EF3BF2"/>
    <w:rsid w:val="00EF3CF6"/>
    <w:rsid w:val="00EF3DB0"/>
    <w:rsid w:val="00EF3DCF"/>
    <w:rsid w:val="00EF487F"/>
    <w:rsid w:val="00EF48F3"/>
    <w:rsid w:val="00EF4C60"/>
    <w:rsid w:val="00EF516F"/>
    <w:rsid w:val="00EF5410"/>
    <w:rsid w:val="00EF567C"/>
    <w:rsid w:val="00EF58A1"/>
    <w:rsid w:val="00EF5B11"/>
    <w:rsid w:val="00EF5FCA"/>
    <w:rsid w:val="00EF62E4"/>
    <w:rsid w:val="00EF64E3"/>
    <w:rsid w:val="00EF6751"/>
    <w:rsid w:val="00EF6DF7"/>
    <w:rsid w:val="00EF7A28"/>
    <w:rsid w:val="00EF7B21"/>
    <w:rsid w:val="00F0044B"/>
    <w:rsid w:val="00F0049B"/>
    <w:rsid w:val="00F006F6"/>
    <w:rsid w:val="00F00AD9"/>
    <w:rsid w:val="00F00C72"/>
    <w:rsid w:val="00F00E33"/>
    <w:rsid w:val="00F00F40"/>
    <w:rsid w:val="00F01008"/>
    <w:rsid w:val="00F0119B"/>
    <w:rsid w:val="00F014FB"/>
    <w:rsid w:val="00F01846"/>
    <w:rsid w:val="00F019E7"/>
    <w:rsid w:val="00F01E4A"/>
    <w:rsid w:val="00F02326"/>
    <w:rsid w:val="00F02900"/>
    <w:rsid w:val="00F02EE5"/>
    <w:rsid w:val="00F03013"/>
    <w:rsid w:val="00F03063"/>
    <w:rsid w:val="00F0324D"/>
    <w:rsid w:val="00F0380C"/>
    <w:rsid w:val="00F038DA"/>
    <w:rsid w:val="00F03BF9"/>
    <w:rsid w:val="00F03D39"/>
    <w:rsid w:val="00F03D82"/>
    <w:rsid w:val="00F04021"/>
    <w:rsid w:val="00F04364"/>
    <w:rsid w:val="00F046C5"/>
    <w:rsid w:val="00F04953"/>
    <w:rsid w:val="00F04AEA"/>
    <w:rsid w:val="00F04C30"/>
    <w:rsid w:val="00F04CAD"/>
    <w:rsid w:val="00F053A4"/>
    <w:rsid w:val="00F0583A"/>
    <w:rsid w:val="00F05F00"/>
    <w:rsid w:val="00F05F59"/>
    <w:rsid w:val="00F062F6"/>
    <w:rsid w:val="00F067CF"/>
    <w:rsid w:val="00F06ABA"/>
    <w:rsid w:val="00F06E35"/>
    <w:rsid w:val="00F06FBA"/>
    <w:rsid w:val="00F0734C"/>
    <w:rsid w:val="00F07B53"/>
    <w:rsid w:val="00F07E45"/>
    <w:rsid w:val="00F07E80"/>
    <w:rsid w:val="00F10058"/>
    <w:rsid w:val="00F1060D"/>
    <w:rsid w:val="00F109BD"/>
    <w:rsid w:val="00F10ABB"/>
    <w:rsid w:val="00F10D79"/>
    <w:rsid w:val="00F11176"/>
    <w:rsid w:val="00F1123D"/>
    <w:rsid w:val="00F113BB"/>
    <w:rsid w:val="00F1239C"/>
    <w:rsid w:val="00F126D6"/>
    <w:rsid w:val="00F12EE2"/>
    <w:rsid w:val="00F138AB"/>
    <w:rsid w:val="00F13DD0"/>
    <w:rsid w:val="00F13FC0"/>
    <w:rsid w:val="00F13FE1"/>
    <w:rsid w:val="00F13FFF"/>
    <w:rsid w:val="00F141A5"/>
    <w:rsid w:val="00F14387"/>
    <w:rsid w:val="00F14592"/>
    <w:rsid w:val="00F1462D"/>
    <w:rsid w:val="00F1475C"/>
    <w:rsid w:val="00F14822"/>
    <w:rsid w:val="00F1487B"/>
    <w:rsid w:val="00F148E1"/>
    <w:rsid w:val="00F14C4E"/>
    <w:rsid w:val="00F153AD"/>
    <w:rsid w:val="00F1581F"/>
    <w:rsid w:val="00F1621C"/>
    <w:rsid w:val="00F166EF"/>
    <w:rsid w:val="00F16A4F"/>
    <w:rsid w:val="00F170FE"/>
    <w:rsid w:val="00F17124"/>
    <w:rsid w:val="00F1713E"/>
    <w:rsid w:val="00F17204"/>
    <w:rsid w:val="00F17672"/>
    <w:rsid w:val="00F20044"/>
    <w:rsid w:val="00F2012C"/>
    <w:rsid w:val="00F20EB0"/>
    <w:rsid w:val="00F2125B"/>
    <w:rsid w:val="00F214D8"/>
    <w:rsid w:val="00F21681"/>
    <w:rsid w:val="00F21A15"/>
    <w:rsid w:val="00F21B48"/>
    <w:rsid w:val="00F21FE5"/>
    <w:rsid w:val="00F2237B"/>
    <w:rsid w:val="00F223BB"/>
    <w:rsid w:val="00F2261C"/>
    <w:rsid w:val="00F2269B"/>
    <w:rsid w:val="00F22796"/>
    <w:rsid w:val="00F22BEB"/>
    <w:rsid w:val="00F23313"/>
    <w:rsid w:val="00F2335E"/>
    <w:rsid w:val="00F2354D"/>
    <w:rsid w:val="00F23DC4"/>
    <w:rsid w:val="00F23DFD"/>
    <w:rsid w:val="00F23EA8"/>
    <w:rsid w:val="00F241D7"/>
    <w:rsid w:val="00F24658"/>
    <w:rsid w:val="00F24AB0"/>
    <w:rsid w:val="00F24C1B"/>
    <w:rsid w:val="00F24EA2"/>
    <w:rsid w:val="00F24F7E"/>
    <w:rsid w:val="00F252A7"/>
    <w:rsid w:val="00F255B3"/>
    <w:rsid w:val="00F25817"/>
    <w:rsid w:val="00F25B43"/>
    <w:rsid w:val="00F25D34"/>
    <w:rsid w:val="00F261DF"/>
    <w:rsid w:val="00F26446"/>
    <w:rsid w:val="00F26852"/>
    <w:rsid w:val="00F26906"/>
    <w:rsid w:val="00F26965"/>
    <w:rsid w:val="00F26985"/>
    <w:rsid w:val="00F26CD1"/>
    <w:rsid w:val="00F26D33"/>
    <w:rsid w:val="00F26FA4"/>
    <w:rsid w:val="00F2743C"/>
    <w:rsid w:val="00F27AB6"/>
    <w:rsid w:val="00F27B1E"/>
    <w:rsid w:val="00F27C56"/>
    <w:rsid w:val="00F300EF"/>
    <w:rsid w:val="00F3015E"/>
    <w:rsid w:val="00F30431"/>
    <w:rsid w:val="00F305FE"/>
    <w:rsid w:val="00F30ABB"/>
    <w:rsid w:val="00F30B17"/>
    <w:rsid w:val="00F31209"/>
    <w:rsid w:val="00F313C2"/>
    <w:rsid w:val="00F314E1"/>
    <w:rsid w:val="00F317A2"/>
    <w:rsid w:val="00F317B6"/>
    <w:rsid w:val="00F31D16"/>
    <w:rsid w:val="00F31F00"/>
    <w:rsid w:val="00F31F91"/>
    <w:rsid w:val="00F32FCB"/>
    <w:rsid w:val="00F330C0"/>
    <w:rsid w:val="00F33396"/>
    <w:rsid w:val="00F33416"/>
    <w:rsid w:val="00F334A9"/>
    <w:rsid w:val="00F337F4"/>
    <w:rsid w:val="00F33953"/>
    <w:rsid w:val="00F34668"/>
    <w:rsid w:val="00F349FE"/>
    <w:rsid w:val="00F34C83"/>
    <w:rsid w:val="00F34FB7"/>
    <w:rsid w:val="00F35CB8"/>
    <w:rsid w:val="00F3613A"/>
    <w:rsid w:val="00F363BD"/>
    <w:rsid w:val="00F36AFF"/>
    <w:rsid w:val="00F374AA"/>
    <w:rsid w:val="00F37660"/>
    <w:rsid w:val="00F37692"/>
    <w:rsid w:val="00F37A7F"/>
    <w:rsid w:val="00F37DF7"/>
    <w:rsid w:val="00F37E4F"/>
    <w:rsid w:val="00F37EEA"/>
    <w:rsid w:val="00F400F5"/>
    <w:rsid w:val="00F40209"/>
    <w:rsid w:val="00F40391"/>
    <w:rsid w:val="00F40758"/>
    <w:rsid w:val="00F407AC"/>
    <w:rsid w:val="00F40E78"/>
    <w:rsid w:val="00F41726"/>
    <w:rsid w:val="00F419AF"/>
    <w:rsid w:val="00F41C72"/>
    <w:rsid w:val="00F41CD0"/>
    <w:rsid w:val="00F41CF1"/>
    <w:rsid w:val="00F425B7"/>
    <w:rsid w:val="00F42785"/>
    <w:rsid w:val="00F42941"/>
    <w:rsid w:val="00F42B9D"/>
    <w:rsid w:val="00F42C5F"/>
    <w:rsid w:val="00F431E0"/>
    <w:rsid w:val="00F43B97"/>
    <w:rsid w:val="00F447E6"/>
    <w:rsid w:val="00F4480A"/>
    <w:rsid w:val="00F44978"/>
    <w:rsid w:val="00F44A0C"/>
    <w:rsid w:val="00F44BC4"/>
    <w:rsid w:val="00F45188"/>
    <w:rsid w:val="00F452D7"/>
    <w:rsid w:val="00F45438"/>
    <w:rsid w:val="00F4558F"/>
    <w:rsid w:val="00F45952"/>
    <w:rsid w:val="00F45BC4"/>
    <w:rsid w:val="00F45D57"/>
    <w:rsid w:val="00F46101"/>
    <w:rsid w:val="00F46501"/>
    <w:rsid w:val="00F46849"/>
    <w:rsid w:val="00F4695A"/>
    <w:rsid w:val="00F4699A"/>
    <w:rsid w:val="00F46DD2"/>
    <w:rsid w:val="00F46EFD"/>
    <w:rsid w:val="00F472A4"/>
    <w:rsid w:val="00F479B9"/>
    <w:rsid w:val="00F50123"/>
    <w:rsid w:val="00F508D5"/>
    <w:rsid w:val="00F510B7"/>
    <w:rsid w:val="00F52279"/>
    <w:rsid w:val="00F52334"/>
    <w:rsid w:val="00F526E6"/>
    <w:rsid w:val="00F527D4"/>
    <w:rsid w:val="00F52BBB"/>
    <w:rsid w:val="00F536FF"/>
    <w:rsid w:val="00F5379A"/>
    <w:rsid w:val="00F53BF0"/>
    <w:rsid w:val="00F5409E"/>
    <w:rsid w:val="00F5410B"/>
    <w:rsid w:val="00F54242"/>
    <w:rsid w:val="00F54378"/>
    <w:rsid w:val="00F5445D"/>
    <w:rsid w:val="00F544CF"/>
    <w:rsid w:val="00F548A8"/>
    <w:rsid w:val="00F54DCB"/>
    <w:rsid w:val="00F55065"/>
    <w:rsid w:val="00F55211"/>
    <w:rsid w:val="00F5535B"/>
    <w:rsid w:val="00F557BC"/>
    <w:rsid w:val="00F55AA6"/>
    <w:rsid w:val="00F55B41"/>
    <w:rsid w:val="00F56275"/>
    <w:rsid w:val="00F563A5"/>
    <w:rsid w:val="00F56D8C"/>
    <w:rsid w:val="00F5723B"/>
    <w:rsid w:val="00F57B3F"/>
    <w:rsid w:val="00F57C54"/>
    <w:rsid w:val="00F57C87"/>
    <w:rsid w:val="00F57D78"/>
    <w:rsid w:val="00F57F5E"/>
    <w:rsid w:val="00F60252"/>
    <w:rsid w:val="00F609AA"/>
    <w:rsid w:val="00F60B67"/>
    <w:rsid w:val="00F612E7"/>
    <w:rsid w:val="00F6171C"/>
    <w:rsid w:val="00F617FB"/>
    <w:rsid w:val="00F618C5"/>
    <w:rsid w:val="00F62248"/>
    <w:rsid w:val="00F6283C"/>
    <w:rsid w:val="00F62C5B"/>
    <w:rsid w:val="00F62D6A"/>
    <w:rsid w:val="00F62EB6"/>
    <w:rsid w:val="00F6327D"/>
    <w:rsid w:val="00F63D99"/>
    <w:rsid w:val="00F63E6A"/>
    <w:rsid w:val="00F646C9"/>
    <w:rsid w:val="00F64915"/>
    <w:rsid w:val="00F6493C"/>
    <w:rsid w:val="00F64DE8"/>
    <w:rsid w:val="00F64FDC"/>
    <w:rsid w:val="00F6563C"/>
    <w:rsid w:val="00F6622A"/>
    <w:rsid w:val="00F66300"/>
    <w:rsid w:val="00F66476"/>
    <w:rsid w:val="00F66505"/>
    <w:rsid w:val="00F6674D"/>
    <w:rsid w:val="00F66B10"/>
    <w:rsid w:val="00F6726F"/>
    <w:rsid w:val="00F676EA"/>
    <w:rsid w:val="00F67897"/>
    <w:rsid w:val="00F67E41"/>
    <w:rsid w:val="00F67EB9"/>
    <w:rsid w:val="00F700CB"/>
    <w:rsid w:val="00F70404"/>
    <w:rsid w:val="00F708C6"/>
    <w:rsid w:val="00F708F4"/>
    <w:rsid w:val="00F70E27"/>
    <w:rsid w:val="00F70E98"/>
    <w:rsid w:val="00F70FBF"/>
    <w:rsid w:val="00F7133B"/>
    <w:rsid w:val="00F713C4"/>
    <w:rsid w:val="00F71669"/>
    <w:rsid w:val="00F71782"/>
    <w:rsid w:val="00F7195F"/>
    <w:rsid w:val="00F72219"/>
    <w:rsid w:val="00F7221F"/>
    <w:rsid w:val="00F72A32"/>
    <w:rsid w:val="00F72A47"/>
    <w:rsid w:val="00F73599"/>
    <w:rsid w:val="00F743BB"/>
    <w:rsid w:val="00F74913"/>
    <w:rsid w:val="00F74CD4"/>
    <w:rsid w:val="00F74FBC"/>
    <w:rsid w:val="00F754A9"/>
    <w:rsid w:val="00F7563A"/>
    <w:rsid w:val="00F75985"/>
    <w:rsid w:val="00F75B4D"/>
    <w:rsid w:val="00F75D6D"/>
    <w:rsid w:val="00F7687E"/>
    <w:rsid w:val="00F7697F"/>
    <w:rsid w:val="00F76D12"/>
    <w:rsid w:val="00F77389"/>
    <w:rsid w:val="00F77855"/>
    <w:rsid w:val="00F77C35"/>
    <w:rsid w:val="00F80556"/>
    <w:rsid w:val="00F80CA4"/>
    <w:rsid w:val="00F81315"/>
    <w:rsid w:val="00F81D86"/>
    <w:rsid w:val="00F823D5"/>
    <w:rsid w:val="00F8249C"/>
    <w:rsid w:val="00F828B4"/>
    <w:rsid w:val="00F828E3"/>
    <w:rsid w:val="00F82C14"/>
    <w:rsid w:val="00F83DAA"/>
    <w:rsid w:val="00F847AD"/>
    <w:rsid w:val="00F849A0"/>
    <w:rsid w:val="00F84B64"/>
    <w:rsid w:val="00F84C89"/>
    <w:rsid w:val="00F8525A"/>
    <w:rsid w:val="00F85332"/>
    <w:rsid w:val="00F85619"/>
    <w:rsid w:val="00F85826"/>
    <w:rsid w:val="00F859FA"/>
    <w:rsid w:val="00F85CD3"/>
    <w:rsid w:val="00F864F2"/>
    <w:rsid w:val="00F86D00"/>
    <w:rsid w:val="00F870CE"/>
    <w:rsid w:val="00F87402"/>
    <w:rsid w:val="00F87596"/>
    <w:rsid w:val="00F87851"/>
    <w:rsid w:val="00F87978"/>
    <w:rsid w:val="00F87ACA"/>
    <w:rsid w:val="00F87AFF"/>
    <w:rsid w:val="00F87B9B"/>
    <w:rsid w:val="00F900CB"/>
    <w:rsid w:val="00F902D0"/>
    <w:rsid w:val="00F912D7"/>
    <w:rsid w:val="00F918A8"/>
    <w:rsid w:val="00F91942"/>
    <w:rsid w:val="00F91EC1"/>
    <w:rsid w:val="00F91FDD"/>
    <w:rsid w:val="00F922AD"/>
    <w:rsid w:val="00F92A5E"/>
    <w:rsid w:val="00F92AA9"/>
    <w:rsid w:val="00F933A2"/>
    <w:rsid w:val="00F933C0"/>
    <w:rsid w:val="00F934FE"/>
    <w:rsid w:val="00F9381E"/>
    <w:rsid w:val="00F93AFC"/>
    <w:rsid w:val="00F93D6E"/>
    <w:rsid w:val="00F9412B"/>
    <w:rsid w:val="00F9424C"/>
    <w:rsid w:val="00F9429E"/>
    <w:rsid w:val="00F944F2"/>
    <w:rsid w:val="00F948A9"/>
    <w:rsid w:val="00F9492A"/>
    <w:rsid w:val="00F94A96"/>
    <w:rsid w:val="00F94CE1"/>
    <w:rsid w:val="00F94EF0"/>
    <w:rsid w:val="00F951C2"/>
    <w:rsid w:val="00F95550"/>
    <w:rsid w:val="00F95C4F"/>
    <w:rsid w:val="00F95DA5"/>
    <w:rsid w:val="00F960D6"/>
    <w:rsid w:val="00F96457"/>
    <w:rsid w:val="00F965DE"/>
    <w:rsid w:val="00F96A0A"/>
    <w:rsid w:val="00F96B09"/>
    <w:rsid w:val="00F96E13"/>
    <w:rsid w:val="00F97B14"/>
    <w:rsid w:val="00F97BF1"/>
    <w:rsid w:val="00F97C1D"/>
    <w:rsid w:val="00F97C51"/>
    <w:rsid w:val="00FA0036"/>
    <w:rsid w:val="00FA0809"/>
    <w:rsid w:val="00FA15ED"/>
    <w:rsid w:val="00FA1659"/>
    <w:rsid w:val="00FA1AD3"/>
    <w:rsid w:val="00FA1F33"/>
    <w:rsid w:val="00FA2004"/>
    <w:rsid w:val="00FA239D"/>
    <w:rsid w:val="00FA2445"/>
    <w:rsid w:val="00FA284F"/>
    <w:rsid w:val="00FA2C97"/>
    <w:rsid w:val="00FA2F47"/>
    <w:rsid w:val="00FA3274"/>
    <w:rsid w:val="00FA35FF"/>
    <w:rsid w:val="00FA46C2"/>
    <w:rsid w:val="00FA47D1"/>
    <w:rsid w:val="00FA4A3E"/>
    <w:rsid w:val="00FA4A43"/>
    <w:rsid w:val="00FA4E2E"/>
    <w:rsid w:val="00FA4E52"/>
    <w:rsid w:val="00FA4E68"/>
    <w:rsid w:val="00FA5CCD"/>
    <w:rsid w:val="00FA5F62"/>
    <w:rsid w:val="00FA6229"/>
    <w:rsid w:val="00FA6318"/>
    <w:rsid w:val="00FA6378"/>
    <w:rsid w:val="00FA64FE"/>
    <w:rsid w:val="00FA69DF"/>
    <w:rsid w:val="00FA7371"/>
    <w:rsid w:val="00FA73EF"/>
    <w:rsid w:val="00FA7615"/>
    <w:rsid w:val="00FA7A49"/>
    <w:rsid w:val="00FA7D86"/>
    <w:rsid w:val="00FA7DD3"/>
    <w:rsid w:val="00FA7E7F"/>
    <w:rsid w:val="00FA7F84"/>
    <w:rsid w:val="00FB0155"/>
    <w:rsid w:val="00FB0647"/>
    <w:rsid w:val="00FB086B"/>
    <w:rsid w:val="00FB08A0"/>
    <w:rsid w:val="00FB097D"/>
    <w:rsid w:val="00FB0989"/>
    <w:rsid w:val="00FB0E7F"/>
    <w:rsid w:val="00FB11A6"/>
    <w:rsid w:val="00FB1A59"/>
    <w:rsid w:val="00FB1ECF"/>
    <w:rsid w:val="00FB2368"/>
    <w:rsid w:val="00FB24DC"/>
    <w:rsid w:val="00FB2657"/>
    <w:rsid w:val="00FB2A85"/>
    <w:rsid w:val="00FB2BE1"/>
    <w:rsid w:val="00FB2DD1"/>
    <w:rsid w:val="00FB301A"/>
    <w:rsid w:val="00FB3142"/>
    <w:rsid w:val="00FB39FE"/>
    <w:rsid w:val="00FB3FBD"/>
    <w:rsid w:val="00FB404E"/>
    <w:rsid w:val="00FB47A9"/>
    <w:rsid w:val="00FB519A"/>
    <w:rsid w:val="00FB5279"/>
    <w:rsid w:val="00FB5433"/>
    <w:rsid w:val="00FB544E"/>
    <w:rsid w:val="00FB55E6"/>
    <w:rsid w:val="00FB5851"/>
    <w:rsid w:val="00FB5862"/>
    <w:rsid w:val="00FB6470"/>
    <w:rsid w:val="00FB682A"/>
    <w:rsid w:val="00FB6849"/>
    <w:rsid w:val="00FB6966"/>
    <w:rsid w:val="00FB72A3"/>
    <w:rsid w:val="00FB7BBE"/>
    <w:rsid w:val="00FC00C1"/>
    <w:rsid w:val="00FC0421"/>
    <w:rsid w:val="00FC06E5"/>
    <w:rsid w:val="00FC095D"/>
    <w:rsid w:val="00FC0AB9"/>
    <w:rsid w:val="00FC0FE7"/>
    <w:rsid w:val="00FC1240"/>
    <w:rsid w:val="00FC139B"/>
    <w:rsid w:val="00FC170F"/>
    <w:rsid w:val="00FC1843"/>
    <w:rsid w:val="00FC1E88"/>
    <w:rsid w:val="00FC1F83"/>
    <w:rsid w:val="00FC207A"/>
    <w:rsid w:val="00FC20D8"/>
    <w:rsid w:val="00FC2CBC"/>
    <w:rsid w:val="00FC334F"/>
    <w:rsid w:val="00FC35A4"/>
    <w:rsid w:val="00FC3C37"/>
    <w:rsid w:val="00FC4051"/>
    <w:rsid w:val="00FC4100"/>
    <w:rsid w:val="00FC4272"/>
    <w:rsid w:val="00FC4427"/>
    <w:rsid w:val="00FC477D"/>
    <w:rsid w:val="00FC4827"/>
    <w:rsid w:val="00FC485F"/>
    <w:rsid w:val="00FC49B9"/>
    <w:rsid w:val="00FC4C24"/>
    <w:rsid w:val="00FC5633"/>
    <w:rsid w:val="00FC5C53"/>
    <w:rsid w:val="00FC60CD"/>
    <w:rsid w:val="00FC63CC"/>
    <w:rsid w:val="00FC64F0"/>
    <w:rsid w:val="00FC6ADD"/>
    <w:rsid w:val="00FC7BB7"/>
    <w:rsid w:val="00FD02A3"/>
    <w:rsid w:val="00FD02CF"/>
    <w:rsid w:val="00FD07F6"/>
    <w:rsid w:val="00FD0BE6"/>
    <w:rsid w:val="00FD13FA"/>
    <w:rsid w:val="00FD15F1"/>
    <w:rsid w:val="00FD1B46"/>
    <w:rsid w:val="00FD217D"/>
    <w:rsid w:val="00FD2438"/>
    <w:rsid w:val="00FD289A"/>
    <w:rsid w:val="00FD2B47"/>
    <w:rsid w:val="00FD2B8D"/>
    <w:rsid w:val="00FD32D2"/>
    <w:rsid w:val="00FD33E5"/>
    <w:rsid w:val="00FD408D"/>
    <w:rsid w:val="00FD40C7"/>
    <w:rsid w:val="00FD462C"/>
    <w:rsid w:val="00FD47B9"/>
    <w:rsid w:val="00FD495A"/>
    <w:rsid w:val="00FD4BE6"/>
    <w:rsid w:val="00FD5157"/>
    <w:rsid w:val="00FD522F"/>
    <w:rsid w:val="00FD54BF"/>
    <w:rsid w:val="00FD5811"/>
    <w:rsid w:val="00FD5938"/>
    <w:rsid w:val="00FD5B6F"/>
    <w:rsid w:val="00FD5D6B"/>
    <w:rsid w:val="00FD5EB2"/>
    <w:rsid w:val="00FD66E6"/>
    <w:rsid w:val="00FD6759"/>
    <w:rsid w:val="00FD6FCC"/>
    <w:rsid w:val="00FD710D"/>
    <w:rsid w:val="00FD747B"/>
    <w:rsid w:val="00FD7870"/>
    <w:rsid w:val="00FD7CC4"/>
    <w:rsid w:val="00FD7D38"/>
    <w:rsid w:val="00FE0023"/>
    <w:rsid w:val="00FE01FA"/>
    <w:rsid w:val="00FE02A1"/>
    <w:rsid w:val="00FE0694"/>
    <w:rsid w:val="00FE06BF"/>
    <w:rsid w:val="00FE07ED"/>
    <w:rsid w:val="00FE0E18"/>
    <w:rsid w:val="00FE0FB8"/>
    <w:rsid w:val="00FE163C"/>
    <w:rsid w:val="00FE16B2"/>
    <w:rsid w:val="00FE1ABF"/>
    <w:rsid w:val="00FE1B19"/>
    <w:rsid w:val="00FE1DA2"/>
    <w:rsid w:val="00FE2B6C"/>
    <w:rsid w:val="00FE2E36"/>
    <w:rsid w:val="00FE2E5F"/>
    <w:rsid w:val="00FE2FEA"/>
    <w:rsid w:val="00FE378A"/>
    <w:rsid w:val="00FE423D"/>
    <w:rsid w:val="00FE4313"/>
    <w:rsid w:val="00FE4F55"/>
    <w:rsid w:val="00FE526D"/>
    <w:rsid w:val="00FE5716"/>
    <w:rsid w:val="00FE57B0"/>
    <w:rsid w:val="00FE6304"/>
    <w:rsid w:val="00FE63A0"/>
    <w:rsid w:val="00FE6437"/>
    <w:rsid w:val="00FE64CB"/>
    <w:rsid w:val="00FE75ED"/>
    <w:rsid w:val="00FF029E"/>
    <w:rsid w:val="00FF081A"/>
    <w:rsid w:val="00FF0A0D"/>
    <w:rsid w:val="00FF0B3F"/>
    <w:rsid w:val="00FF0D02"/>
    <w:rsid w:val="00FF0EB9"/>
    <w:rsid w:val="00FF118D"/>
    <w:rsid w:val="00FF11D8"/>
    <w:rsid w:val="00FF1375"/>
    <w:rsid w:val="00FF184A"/>
    <w:rsid w:val="00FF2027"/>
    <w:rsid w:val="00FF23F6"/>
    <w:rsid w:val="00FF2B35"/>
    <w:rsid w:val="00FF2E4F"/>
    <w:rsid w:val="00FF314D"/>
    <w:rsid w:val="00FF3538"/>
    <w:rsid w:val="00FF366E"/>
    <w:rsid w:val="00FF39A0"/>
    <w:rsid w:val="00FF39BA"/>
    <w:rsid w:val="00FF3A89"/>
    <w:rsid w:val="00FF3CFB"/>
    <w:rsid w:val="00FF4045"/>
    <w:rsid w:val="00FF4240"/>
    <w:rsid w:val="00FF4464"/>
    <w:rsid w:val="00FF456B"/>
    <w:rsid w:val="00FF4FB5"/>
    <w:rsid w:val="00FF5002"/>
    <w:rsid w:val="00FF548E"/>
    <w:rsid w:val="00FF55EE"/>
    <w:rsid w:val="00FF5608"/>
    <w:rsid w:val="00FF584E"/>
    <w:rsid w:val="00FF5AEA"/>
    <w:rsid w:val="00FF5B17"/>
    <w:rsid w:val="00FF6784"/>
    <w:rsid w:val="00FF6D96"/>
    <w:rsid w:val="00FF6E03"/>
    <w:rsid w:val="00FF6F2B"/>
    <w:rsid w:val="00FF7111"/>
    <w:rsid w:val="00FF7161"/>
    <w:rsid w:val="00FF7643"/>
    <w:rsid w:val="00FF79A5"/>
    <w:rsid w:val="00FF7BEC"/>
    <w:rsid w:val="016B1F5C"/>
    <w:rsid w:val="01963124"/>
    <w:rsid w:val="01C50B38"/>
    <w:rsid w:val="02153FB5"/>
    <w:rsid w:val="02281517"/>
    <w:rsid w:val="025C2C1A"/>
    <w:rsid w:val="02854BA2"/>
    <w:rsid w:val="02D010F5"/>
    <w:rsid w:val="0309513E"/>
    <w:rsid w:val="03A17228"/>
    <w:rsid w:val="03AA3D08"/>
    <w:rsid w:val="03B944AB"/>
    <w:rsid w:val="03ED344D"/>
    <w:rsid w:val="03F2018E"/>
    <w:rsid w:val="04095692"/>
    <w:rsid w:val="043B51CA"/>
    <w:rsid w:val="048E2B24"/>
    <w:rsid w:val="04AC10A3"/>
    <w:rsid w:val="04BB45E3"/>
    <w:rsid w:val="053F734E"/>
    <w:rsid w:val="0550590F"/>
    <w:rsid w:val="0556117C"/>
    <w:rsid w:val="05C06384"/>
    <w:rsid w:val="06342F4F"/>
    <w:rsid w:val="066445FB"/>
    <w:rsid w:val="068E325F"/>
    <w:rsid w:val="06962159"/>
    <w:rsid w:val="06D1284B"/>
    <w:rsid w:val="06F00C03"/>
    <w:rsid w:val="06F46F10"/>
    <w:rsid w:val="073C77AC"/>
    <w:rsid w:val="076C6CC0"/>
    <w:rsid w:val="07D95538"/>
    <w:rsid w:val="0801749C"/>
    <w:rsid w:val="08304A7F"/>
    <w:rsid w:val="085E2AFC"/>
    <w:rsid w:val="087A1AFB"/>
    <w:rsid w:val="08E51B97"/>
    <w:rsid w:val="0915078F"/>
    <w:rsid w:val="098B0972"/>
    <w:rsid w:val="09A96F36"/>
    <w:rsid w:val="09C52E81"/>
    <w:rsid w:val="0A290DB5"/>
    <w:rsid w:val="0A374FFD"/>
    <w:rsid w:val="0A3A14A7"/>
    <w:rsid w:val="0A3B06F0"/>
    <w:rsid w:val="0A491F1A"/>
    <w:rsid w:val="0ABA6540"/>
    <w:rsid w:val="0AC25FD7"/>
    <w:rsid w:val="0B7300CE"/>
    <w:rsid w:val="0B791700"/>
    <w:rsid w:val="0BF305F6"/>
    <w:rsid w:val="0C7A2F26"/>
    <w:rsid w:val="0C9D34FA"/>
    <w:rsid w:val="0D0125F7"/>
    <w:rsid w:val="0D0F2401"/>
    <w:rsid w:val="0D1B2E9C"/>
    <w:rsid w:val="0DB75C06"/>
    <w:rsid w:val="0DCA5EC7"/>
    <w:rsid w:val="0DF02695"/>
    <w:rsid w:val="0E0D0485"/>
    <w:rsid w:val="0E8434C1"/>
    <w:rsid w:val="0E8D5C07"/>
    <w:rsid w:val="0E9D5EC2"/>
    <w:rsid w:val="0ED65BEB"/>
    <w:rsid w:val="0EEA72D8"/>
    <w:rsid w:val="0F0F3199"/>
    <w:rsid w:val="0F1E3DAE"/>
    <w:rsid w:val="0F307E4C"/>
    <w:rsid w:val="0F387EA1"/>
    <w:rsid w:val="0F637BBB"/>
    <w:rsid w:val="0FB31132"/>
    <w:rsid w:val="0FF74B56"/>
    <w:rsid w:val="10703E6E"/>
    <w:rsid w:val="10946226"/>
    <w:rsid w:val="10F473EF"/>
    <w:rsid w:val="110368D8"/>
    <w:rsid w:val="113A3046"/>
    <w:rsid w:val="113D76C7"/>
    <w:rsid w:val="11747B5D"/>
    <w:rsid w:val="11967759"/>
    <w:rsid w:val="11EC34CF"/>
    <w:rsid w:val="11F9446F"/>
    <w:rsid w:val="120D5B75"/>
    <w:rsid w:val="12121C02"/>
    <w:rsid w:val="12795449"/>
    <w:rsid w:val="13126993"/>
    <w:rsid w:val="138B665F"/>
    <w:rsid w:val="1397251F"/>
    <w:rsid w:val="13C228B6"/>
    <w:rsid w:val="13EF1F5E"/>
    <w:rsid w:val="141961E6"/>
    <w:rsid w:val="141D3ADF"/>
    <w:rsid w:val="141F2E06"/>
    <w:rsid w:val="14252A4F"/>
    <w:rsid w:val="146F5A5F"/>
    <w:rsid w:val="149E09E6"/>
    <w:rsid w:val="14B73144"/>
    <w:rsid w:val="14EA1927"/>
    <w:rsid w:val="155B0A13"/>
    <w:rsid w:val="15E36061"/>
    <w:rsid w:val="1630554E"/>
    <w:rsid w:val="16485C1F"/>
    <w:rsid w:val="1657622D"/>
    <w:rsid w:val="169C27DA"/>
    <w:rsid w:val="16A22E70"/>
    <w:rsid w:val="16F45E3E"/>
    <w:rsid w:val="17283EC2"/>
    <w:rsid w:val="17BE3A10"/>
    <w:rsid w:val="17CF2173"/>
    <w:rsid w:val="17F41C79"/>
    <w:rsid w:val="18395443"/>
    <w:rsid w:val="183E7BAF"/>
    <w:rsid w:val="18D24E85"/>
    <w:rsid w:val="18E62B8B"/>
    <w:rsid w:val="1905320F"/>
    <w:rsid w:val="195204AD"/>
    <w:rsid w:val="19947FF5"/>
    <w:rsid w:val="19AE1BE1"/>
    <w:rsid w:val="19ED1BCC"/>
    <w:rsid w:val="1A21608E"/>
    <w:rsid w:val="1AB734A7"/>
    <w:rsid w:val="1ACE161F"/>
    <w:rsid w:val="1AEA7809"/>
    <w:rsid w:val="1B844CAB"/>
    <w:rsid w:val="1BDA04D5"/>
    <w:rsid w:val="1CA80751"/>
    <w:rsid w:val="1CDC09A4"/>
    <w:rsid w:val="1D51510A"/>
    <w:rsid w:val="1D556120"/>
    <w:rsid w:val="1D5A72E2"/>
    <w:rsid w:val="1D9A3052"/>
    <w:rsid w:val="1DB52B20"/>
    <w:rsid w:val="1DC95930"/>
    <w:rsid w:val="1E332EB4"/>
    <w:rsid w:val="1E395180"/>
    <w:rsid w:val="1E5A7D56"/>
    <w:rsid w:val="1E653847"/>
    <w:rsid w:val="1E725FFA"/>
    <w:rsid w:val="1E862CD3"/>
    <w:rsid w:val="1E8E5591"/>
    <w:rsid w:val="1E9557A8"/>
    <w:rsid w:val="1F3200EC"/>
    <w:rsid w:val="1F3F538B"/>
    <w:rsid w:val="1FBC1BE6"/>
    <w:rsid w:val="1FE9071C"/>
    <w:rsid w:val="1FEE6E45"/>
    <w:rsid w:val="2006162F"/>
    <w:rsid w:val="20143949"/>
    <w:rsid w:val="201D5523"/>
    <w:rsid w:val="20267885"/>
    <w:rsid w:val="20417579"/>
    <w:rsid w:val="206B1FE0"/>
    <w:rsid w:val="20EA528B"/>
    <w:rsid w:val="210F5FB2"/>
    <w:rsid w:val="21232FB8"/>
    <w:rsid w:val="217551AB"/>
    <w:rsid w:val="21BF4467"/>
    <w:rsid w:val="21C34A28"/>
    <w:rsid w:val="21C70D12"/>
    <w:rsid w:val="21F62165"/>
    <w:rsid w:val="220D6EE7"/>
    <w:rsid w:val="223646E2"/>
    <w:rsid w:val="224A362F"/>
    <w:rsid w:val="2258278F"/>
    <w:rsid w:val="225C4F43"/>
    <w:rsid w:val="228B5BD7"/>
    <w:rsid w:val="22AD306A"/>
    <w:rsid w:val="22BC3241"/>
    <w:rsid w:val="22EE379E"/>
    <w:rsid w:val="22F86522"/>
    <w:rsid w:val="233070CF"/>
    <w:rsid w:val="23774828"/>
    <w:rsid w:val="237E03AC"/>
    <w:rsid w:val="238B4CD6"/>
    <w:rsid w:val="23A0542D"/>
    <w:rsid w:val="23C729C7"/>
    <w:rsid w:val="23CD709A"/>
    <w:rsid w:val="23F0227D"/>
    <w:rsid w:val="23F41E73"/>
    <w:rsid w:val="23FF1F1B"/>
    <w:rsid w:val="248327D2"/>
    <w:rsid w:val="249810D3"/>
    <w:rsid w:val="24EC6993"/>
    <w:rsid w:val="25016906"/>
    <w:rsid w:val="25240713"/>
    <w:rsid w:val="255035EF"/>
    <w:rsid w:val="25723FDF"/>
    <w:rsid w:val="25B0563D"/>
    <w:rsid w:val="25D546EB"/>
    <w:rsid w:val="260621A5"/>
    <w:rsid w:val="26185040"/>
    <w:rsid w:val="26F3011A"/>
    <w:rsid w:val="28002D8D"/>
    <w:rsid w:val="28326EE0"/>
    <w:rsid w:val="283A3EDF"/>
    <w:rsid w:val="288F46E6"/>
    <w:rsid w:val="28970DE9"/>
    <w:rsid w:val="28B645AE"/>
    <w:rsid w:val="28BA74B2"/>
    <w:rsid w:val="28C25415"/>
    <w:rsid w:val="28CB4EBA"/>
    <w:rsid w:val="28F238E1"/>
    <w:rsid w:val="297A0D03"/>
    <w:rsid w:val="29E867A7"/>
    <w:rsid w:val="2A302FEC"/>
    <w:rsid w:val="2A4B6566"/>
    <w:rsid w:val="2A5341DE"/>
    <w:rsid w:val="2ABE7B67"/>
    <w:rsid w:val="2B170AC2"/>
    <w:rsid w:val="2B4E7D58"/>
    <w:rsid w:val="2B703827"/>
    <w:rsid w:val="2BB44E34"/>
    <w:rsid w:val="2BB53CD7"/>
    <w:rsid w:val="2C290E85"/>
    <w:rsid w:val="2C4523FD"/>
    <w:rsid w:val="2C9311CA"/>
    <w:rsid w:val="2D312F52"/>
    <w:rsid w:val="2D4C69EE"/>
    <w:rsid w:val="2D542F9D"/>
    <w:rsid w:val="2D887221"/>
    <w:rsid w:val="2D9C3D18"/>
    <w:rsid w:val="2DC64607"/>
    <w:rsid w:val="2DE271AC"/>
    <w:rsid w:val="2DF6125F"/>
    <w:rsid w:val="2E0F4424"/>
    <w:rsid w:val="2E2B3F58"/>
    <w:rsid w:val="2E416E50"/>
    <w:rsid w:val="2E7C4B2F"/>
    <w:rsid w:val="2ECB0C17"/>
    <w:rsid w:val="2EF072A1"/>
    <w:rsid w:val="2F5D4AB1"/>
    <w:rsid w:val="2F602B8D"/>
    <w:rsid w:val="2F7C41B6"/>
    <w:rsid w:val="2F82459E"/>
    <w:rsid w:val="2FA404EE"/>
    <w:rsid w:val="2FB0084A"/>
    <w:rsid w:val="303511F6"/>
    <w:rsid w:val="309356D6"/>
    <w:rsid w:val="30A2105B"/>
    <w:rsid w:val="30C32A4B"/>
    <w:rsid w:val="31290C26"/>
    <w:rsid w:val="312A2A62"/>
    <w:rsid w:val="312A595A"/>
    <w:rsid w:val="312A6F53"/>
    <w:rsid w:val="31333ADD"/>
    <w:rsid w:val="31D76C8A"/>
    <w:rsid w:val="31DD40A6"/>
    <w:rsid w:val="31F926AD"/>
    <w:rsid w:val="31F95E31"/>
    <w:rsid w:val="32213F8F"/>
    <w:rsid w:val="32365F3B"/>
    <w:rsid w:val="3255236B"/>
    <w:rsid w:val="329340F6"/>
    <w:rsid w:val="330401A5"/>
    <w:rsid w:val="33501192"/>
    <w:rsid w:val="33AA2047"/>
    <w:rsid w:val="345F1C37"/>
    <w:rsid w:val="34654D53"/>
    <w:rsid w:val="348C4B7B"/>
    <w:rsid w:val="34A01432"/>
    <w:rsid w:val="34A64E68"/>
    <w:rsid w:val="34BC0559"/>
    <w:rsid w:val="34C368CE"/>
    <w:rsid w:val="34DB4BC2"/>
    <w:rsid w:val="34EC3D7D"/>
    <w:rsid w:val="352429F8"/>
    <w:rsid w:val="35814385"/>
    <w:rsid w:val="35DA5E04"/>
    <w:rsid w:val="36202EEB"/>
    <w:rsid w:val="362D6A90"/>
    <w:rsid w:val="362F0B0C"/>
    <w:rsid w:val="368345DE"/>
    <w:rsid w:val="36845D64"/>
    <w:rsid w:val="36E53AA4"/>
    <w:rsid w:val="375D3799"/>
    <w:rsid w:val="37A56B36"/>
    <w:rsid w:val="37AF6A3E"/>
    <w:rsid w:val="37C308A1"/>
    <w:rsid w:val="37C81827"/>
    <w:rsid w:val="38067CDE"/>
    <w:rsid w:val="38347EED"/>
    <w:rsid w:val="38713DAE"/>
    <w:rsid w:val="388A4130"/>
    <w:rsid w:val="389F7196"/>
    <w:rsid w:val="38C445D9"/>
    <w:rsid w:val="38D56748"/>
    <w:rsid w:val="39000480"/>
    <w:rsid w:val="391751CD"/>
    <w:rsid w:val="39254541"/>
    <w:rsid w:val="395523BF"/>
    <w:rsid w:val="398C0680"/>
    <w:rsid w:val="39930710"/>
    <w:rsid w:val="3995073B"/>
    <w:rsid w:val="39BA5CD4"/>
    <w:rsid w:val="39D87007"/>
    <w:rsid w:val="39D9763B"/>
    <w:rsid w:val="3A852218"/>
    <w:rsid w:val="3A9D0881"/>
    <w:rsid w:val="3AB03E61"/>
    <w:rsid w:val="3ABA750D"/>
    <w:rsid w:val="3ABB052F"/>
    <w:rsid w:val="3AE43A9D"/>
    <w:rsid w:val="3B1C1CCB"/>
    <w:rsid w:val="3B22525E"/>
    <w:rsid w:val="3B4E23AE"/>
    <w:rsid w:val="3B990F57"/>
    <w:rsid w:val="3BD207C3"/>
    <w:rsid w:val="3C235704"/>
    <w:rsid w:val="3C331928"/>
    <w:rsid w:val="3C442189"/>
    <w:rsid w:val="3CFC59B3"/>
    <w:rsid w:val="3D0501FC"/>
    <w:rsid w:val="3D0F445B"/>
    <w:rsid w:val="3D32377D"/>
    <w:rsid w:val="3D5B3B7D"/>
    <w:rsid w:val="3D6C349C"/>
    <w:rsid w:val="3D8F14B9"/>
    <w:rsid w:val="3E470933"/>
    <w:rsid w:val="3E651C4E"/>
    <w:rsid w:val="3E691A32"/>
    <w:rsid w:val="3F3E7CDA"/>
    <w:rsid w:val="3F6E09E3"/>
    <w:rsid w:val="3F9720DE"/>
    <w:rsid w:val="3FB66E69"/>
    <w:rsid w:val="3FC92928"/>
    <w:rsid w:val="402B623B"/>
    <w:rsid w:val="405B0985"/>
    <w:rsid w:val="405D170E"/>
    <w:rsid w:val="41144256"/>
    <w:rsid w:val="41376D9F"/>
    <w:rsid w:val="422B3C27"/>
    <w:rsid w:val="4264745E"/>
    <w:rsid w:val="42811CBD"/>
    <w:rsid w:val="42EA2A63"/>
    <w:rsid w:val="42FD5D05"/>
    <w:rsid w:val="43214D58"/>
    <w:rsid w:val="43276F97"/>
    <w:rsid w:val="432B279E"/>
    <w:rsid w:val="437426EB"/>
    <w:rsid w:val="43B93C49"/>
    <w:rsid w:val="43C76A28"/>
    <w:rsid w:val="43F864A6"/>
    <w:rsid w:val="44636124"/>
    <w:rsid w:val="44854BC6"/>
    <w:rsid w:val="44BF61C8"/>
    <w:rsid w:val="44D95457"/>
    <w:rsid w:val="44DA4F30"/>
    <w:rsid w:val="458633E3"/>
    <w:rsid w:val="45867896"/>
    <w:rsid w:val="459132CA"/>
    <w:rsid w:val="45C30D6F"/>
    <w:rsid w:val="45D92186"/>
    <w:rsid w:val="45D92FFD"/>
    <w:rsid w:val="45E16CEF"/>
    <w:rsid w:val="45F033E0"/>
    <w:rsid w:val="460E5EC9"/>
    <w:rsid w:val="46E13161"/>
    <w:rsid w:val="46E5274C"/>
    <w:rsid w:val="47212C49"/>
    <w:rsid w:val="47301C12"/>
    <w:rsid w:val="473F426B"/>
    <w:rsid w:val="47671BCE"/>
    <w:rsid w:val="47943570"/>
    <w:rsid w:val="48246A92"/>
    <w:rsid w:val="487D0FB0"/>
    <w:rsid w:val="48C569E7"/>
    <w:rsid w:val="48E37D8E"/>
    <w:rsid w:val="493C3F00"/>
    <w:rsid w:val="4971439C"/>
    <w:rsid w:val="49CD6513"/>
    <w:rsid w:val="49D833CD"/>
    <w:rsid w:val="49D83567"/>
    <w:rsid w:val="4A163402"/>
    <w:rsid w:val="4A1B025A"/>
    <w:rsid w:val="4A2C2590"/>
    <w:rsid w:val="4A3549AB"/>
    <w:rsid w:val="4A8923EA"/>
    <w:rsid w:val="4A900724"/>
    <w:rsid w:val="4B23364E"/>
    <w:rsid w:val="4B5473E4"/>
    <w:rsid w:val="4B69704B"/>
    <w:rsid w:val="4B8B667C"/>
    <w:rsid w:val="4B913D7A"/>
    <w:rsid w:val="4C315522"/>
    <w:rsid w:val="4C5C0175"/>
    <w:rsid w:val="4C8A270A"/>
    <w:rsid w:val="4CA14B32"/>
    <w:rsid w:val="4CB015A2"/>
    <w:rsid w:val="4CB71254"/>
    <w:rsid w:val="4CD60752"/>
    <w:rsid w:val="4D3C6807"/>
    <w:rsid w:val="4D4B78FE"/>
    <w:rsid w:val="4D710F75"/>
    <w:rsid w:val="4DAE508B"/>
    <w:rsid w:val="4DB4289D"/>
    <w:rsid w:val="4DC653F3"/>
    <w:rsid w:val="4DE03BD7"/>
    <w:rsid w:val="4DEA381F"/>
    <w:rsid w:val="4DED64AF"/>
    <w:rsid w:val="4E1B416C"/>
    <w:rsid w:val="4E3E2920"/>
    <w:rsid w:val="4E5D2D7E"/>
    <w:rsid w:val="4E71183E"/>
    <w:rsid w:val="4E7C7824"/>
    <w:rsid w:val="4E86057C"/>
    <w:rsid w:val="4E927663"/>
    <w:rsid w:val="4ECF0690"/>
    <w:rsid w:val="4EE74CA7"/>
    <w:rsid w:val="4EFA0D08"/>
    <w:rsid w:val="4F510C86"/>
    <w:rsid w:val="4F512A83"/>
    <w:rsid w:val="4F71119C"/>
    <w:rsid w:val="4F721514"/>
    <w:rsid w:val="4FB14F85"/>
    <w:rsid w:val="4FBA1836"/>
    <w:rsid w:val="4FC577EC"/>
    <w:rsid w:val="4FDE1EA4"/>
    <w:rsid w:val="504C1581"/>
    <w:rsid w:val="509D2873"/>
    <w:rsid w:val="50A049EA"/>
    <w:rsid w:val="50E63F3D"/>
    <w:rsid w:val="51003C9F"/>
    <w:rsid w:val="51437254"/>
    <w:rsid w:val="51553C07"/>
    <w:rsid w:val="51AB6EA2"/>
    <w:rsid w:val="51C73C32"/>
    <w:rsid w:val="51F62DE0"/>
    <w:rsid w:val="520748BB"/>
    <w:rsid w:val="523C108B"/>
    <w:rsid w:val="525A2000"/>
    <w:rsid w:val="527436B5"/>
    <w:rsid w:val="528743A1"/>
    <w:rsid w:val="528E2240"/>
    <w:rsid w:val="529A71F5"/>
    <w:rsid w:val="52A110AD"/>
    <w:rsid w:val="52A31A9D"/>
    <w:rsid w:val="52C3398A"/>
    <w:rsid w:val="52D27081"/>
    <w:rsid w:val="5319673D"/>
    <w:rsid w:val="531D23B2"/>
    <w:rsid w:val="5338424E"/>
    <w:rsid w:val="5342663C"/>
    <w:rsid w:val="53520D4E"/>
    <w:rsid w:val="537F1C12"/>
    <w:rsid w:val="54497515"/>
    <w:rsid w:val="54E66067"/>
    <w:rsid w:val="552E3A51"/>
    <w:rsid w:val="55875B6D"/>
    <w:rsid w:val="55A505C5"/>
    <w:rsid w:val="55AF5A01"/>
    <w:rsid w:val="55B56A70"/>
    <w:rsid w:val="560B20EC"/>
    <w:rsid w:val="563A6D8C"/>
    <w:rsid w:val="574A49A6"/>
    <w:rsid w:val="57EE30CE"/>
    <w:rsid w:val="581F0848"/>
    <w:rsid w:val="58240DED"/>
    <w:rsid w:val="585714C6"/>
    <w:rsid w:val="58573E42"/>
    <w:rsid w:val="5866424D"/>
    <w:rsid w:val="588709B4"/>
    <w:rsid w:val="59117749"/>
    <w:rsid w:val="5918261F"/>
    <w:rsid w:val="593637D0"/>
    <w:rsid w:val="59761DC8"/>
    <w:rsid w:val="59A572DF"/>
    <w:rsid w:val="59DF52B0"/>
    <w:rsid w:val="5A4C7B1B"/>
    <w:rsid w:val="5A552410"/>
    <w:rsid w:val="5A974914"/>
    <w:rsid w:val="5AB45B25"/>
    <w:rsid w:val="5ABA6D00"/>
    <w:rsid w:val="5ACA70E3"/>
    <w:rsid w:val="5ACA7B9A"/>
    <w:rsid w:val="5B127E4C"/>
    <w:rsid w:val="5B6C014D"/>
    <w:rsid w:val="5BE521D0"/>
    <w:rsid w:val="5BEB01CC"/>
    <w:rsid w:val="5BF750B5"/>
    <w:rsid w:val="5C164687"/>
    <w:rsid w:val="5C2A1096"/>
    <w:rsid w:val="5C6366D9"/>
    <w:rsid w:val="5D0E38C8"/>
    <w:rsid w:val="5D167F94"/>
    <w:rsid w:val="5D1709C2"/>
    <w:rsid w:val="5D795146"/>
    <w:rsid w:val="5E0465CC"/>
    <w:rsid w:val="5E211EAF"/>
    <w:rsid w:val="5E576F26"/>
    <w:rsid w:val="5E6245BE"/>
    <w:rsid w:val="5EBD288A"/>
    <w:rsid w:val="5EFB3541"/>
    <w:rsid w:val="5F0C12C3"/>
    <w:rsid w:val="5F130EC5"/>
    <w:rsid w:val="5F201582"/>
    <w:rsid w:val="5F392055"/>
    <w:rsid w:val="5F532388"/>
    <w:rsid w:val="600139D0"/>
    <w:rsid w:val="60425C71"/>
    <w:rsid w:val="60530148"/>
    <w:rsid w:val="60583FEF"/>
    <w:rsid w:val="606E0155"/>
    <w:rsid w:val="60793D14"/>
    <w:rsid w:val="60BA206C"/>
    <w:rsid w:val="60E6718F"/>
    <w:rsid w:val="60F52957"/>
    <w:rsid w:val="61995D96"/>
    <w:rsid w:val="62774D24"/>
    <w:rsid w:val="62866BB7"/>
    <w:rsid w:val="62CE03C6"/>
    <w:rsid w:val="636273A2"/>
    <w:rsid w:val="63BC31A8"/>
    <w:rsid w:val="63C21577"/>
    <w:rsid w:val="63D75BC3"/>
    <w:rsid w:val="64137A87"/>
    <w:rsid w:val="642C593E"/>
    <w:rsid w:val="643F0ADB"/>
    <w:rsid w:val="645D1778"/>
    <w:rsid w:val="64824A26"/>
    <w:rsid w:val="64C9186C"/>
    <w:rsid w:val="64EC1285"/>
    <w:rsid w:val="64F632C0"/>
    <w:rsid w:val="64FF0F8F"/>
    <w:rsid w:val="65156396"/>
    <w:rsid w:val="65186062"/>
    <w:rsid w:val="651F430F"/>
    <w:rsid w:val="652977B5"/>
    <w:rsid w:val="65407BFF"/>
    <w:rsid w:val="654835D3"/>
    <w:rsid w:val="654C3E48"/>
    <w:rsid w:val="65B231C6"/>
    <w:rsid w:val="65C60147"/>
    <w:rsid w:val="65EA2DEA"/>
    <w:rsid w:val="65EB50BF"/>
    <w:rsid w:val="65EF2A02"/>
    <w:rsid w:val="65F10EA7"/>
    <w:rsid w:val="66255E64"/>
    <w:rsid w:val="662879C1"/>
    <w:rsid w:val="665804CE"/>
    <w:rsid w:val="66876918"/>
    <w:rsid w:val="66B25AA6"/>
    <w:rsid w:val="66DB0E2A"/>
    <w:rsid w:val="67093773"/>
    <w:rsid w:val="67FC6100"/>
    <w:rsid w:val="68023D40"/>
    <w:rsid w:val="687F2CC0"/>
    <w:rsid w:val="68D116CE"/>
    <w:rsid w:val="68D63E04"/>
    <w:rsid w:val="68FE1109"/>
    <w:rsid w:val="69C66502"/>
    <w:rsid w:val="69DB3DFF"/>
    <w:rsid w:val="69E244B7"/>
    <w:rsid w:val="69EF0708"/>
    <w:rsid w:val="69EF088F"/>
    <w:rsid w:val="69EF529D"/>
    <w:rsid w:val="6A7833BD"/>
    <w:rsid w:val="6A7F2387"/>
    <w:rsid w:val="6ABC2164"/>
    <w:rsid w:val="6B07498D"/>
    <w:rsid w:val="6B4E006C"/>
    <w:rsid w:val="6BAB5BBE"/>
    <w:rsid w:val="6BD13EAA"/>
    <w:rsid w:val="6BD61BAD"/>
    <w:rsid w:val="6BE1760C"/>
    <w:rsid w:val="6BE76BB6"/>
    <w:rsid w:val="6C5111E8"/>
    <w:rsid w:val="6C6E7C30"/>
    <w:rsid w:val="6C895BE1"/>
    <w:rsid w:val="6CA37FF0"/>
    <w:rsid w:val="6CCB351C"/>
    <w:rsid w:val="6CD2299D"/>
    <w:rsid w:val="6CE02273"/>
    <w:rsid w:val="6D3B3631"/>
    <w:rsid w:val="6D8F6244"/>
    <w:rsid w:val="6E0B3041"/>
    <w:rsid w:val="6E1F6119"/>
    <w:rsid w:val="6E56369A"/>
    <w:rsid w:val="6E915F4D"/>
    <w:rsid w:val="6EEC31CE"/>
    <w:rsid w:val="6F352A94"/>
    <w:rsid w:val="6F526B00"/>
    <w:rsid w:val="70080D40"/>
    <w:rsid w:val="70944BB2"/>
    <w:rsid w:val="709560D7"/>
    <w:rsid w:val="70AE3284"/>
    <w:rsid w:val="70F00A73"/>
    <w:rsid w:val="70F149C2"/>
    <w:rsid w:val="7104405A"/>
    <w:rsid w:val="71407E30"/>
    <w:rsid w:val="71B26705"/>
    <w:rsid w:val="727D1CDE"/>
    <w:rsid w:val="7292093F"/>
    <w:rsid w:val="72EA58A4"/>
    <w:rsid w:val="730A0315"/>
    <w:rsid w:val="730B171C"/>
    <w:rsid w:val="73385F09"/>
    <w:rsid w:val="73396F21"/>
    <w:rsid w:val="73717B58"/>
    <w:rsid w:val="743604E6"/>
    <w:rsid w:val="74473A9A"/>
    <w:rsid w:val="7481469F"/>
    <w:rsid w:val="74B24E31"/>
    <w:rsid w:val="74D921D2"/>
    <w:rsid w:val="74D946FF"/>
    <w:rsid w:val="75663276"/>
    <w:rsid w:val="75B8740A"/>
    <w:rsid w:val="761F6D08"/>
    <w:rsid w:val="76E060DF"/>
    <w:rsid w:val="770655D2"/>
    <w:rsid w:val="77174883"/>
    <w:rsid w:val="771867E9"/>
    <w:rsid w:val="77EF15A3"/>
    <w:rsid w:val="78057610"/>
    <w:rsid w:val="78070926"/>
    <w:rsid w:val="78141E7F"/>
    <w:rsid w:val="782E07AF"/>
    <w:rsid w:val="78953C30"/>
    <w:rsid w:val="790817A6"/>
    <w:rsid w:val="7942392C"/>
    <w:rsid w:val="79680D0B"/>
    <w:rsid w:val="797C1505"/>
    <w:rsid w:val="79BE36DB"/>
    <w:rsid w:val="79ED6ED1"/>
    <w:rsid w:val="7A09406B"/>
    <w:rsid w:val="7A6B659C"/>
    <w:rsid w:val="7AB465C3"/>
    <w:rsid w:val="7ADA1CC4"/>
    <w:rsid w:val="7B311031"/>
    <w:rsid w:val="7BDF1374"/>
    <w:rsid w:val="7BE105E4"/>
    <w:rsid w:val="7C0756EC"/>
    <w:rsid w:val="7C491A66"/>
    <w:rsid w:val="7CC33A7F"/>
    <w:rsid w:val="7D105F81"/>
    <w:rsid w:val="7D55407D"/>
    <w:rsid w:val="7DEC4FDE"/>
    <w:rsid w:val="7DF532D0"/>
    <w:rsid w:val="7DF82E62"/>
    <w:rsid w:val="7DFF03E7"/>
    <w:rsid w:val="7E18344F"/>
    <w:rsid w:val="7E379FBA"/>
    <w:rsid w:val="7EF46BE0"/>
    <w:rsid w:val="7F12049C"/>
    <w:rsid w:val="7F2352FC"/>
    <w:rsid w:val="7F2F20CB"/>
    <w:rsid w:val="7F3C0B94"/>
    <w:rsid w:val="7FDE22B7"/>
    <w:rsid w:val="BED5A8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f">
      <v:fill on="t" focussize="0,0"/>
      <v:stroke on="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qFormat="1" w:uiPriority="0" w:semiHidden="0" w:name="index 3"/>
    <w:lsdException w:qFormat="1" w:uiPriority="0" w:semiHidden="0" w:name="index 4"/>
    <w:lsdException w:qFormat="1" w:uiPriority="0" w:semiHidden="0" w:name="index 5"/>
    <w:lsdException w:uiPriority="99" w:name="index 6"/>
    <w:lsdException w:qFormat="1" w:uiPriority="0" w:semiHidden="0" w:name="index 7"/>
    <w:lsdException w:qFormat="1" w:uiPriority="0" w:semiHidden="0" w:name="index 8"/>
    <w:lsdException w:qFormat="1" w:uiPriority="0" w:semiHidden="0" w:name="index 9"/>
    <w:lsdException w:qFormat="1" w:uiPriority="39" w:semiHidden="0" w:name="toc 1"/>
    <w:lsdException w:qFormat="1"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99" w:semiHidden="0" w:name="footnote text"/>
    <w:lsdException w:qFormat="1" w:unhideWhenUsed="0" w:uiPriority="99"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qFormat="1" w:unhideWhenUsed="0" w:uiPriority="99" w:semiHidden="0" w:name="footnote reference"/>
    <w:lsdException w:qFormat="1" w:unhideWhenUsed="0" w:uiPriority="99" w:semiHidden="0" w:name="annotation reference"/>
    <w:lsdException w:uiPriority="99" w:name="line number"/>
    <w:lsdException w:qFormat="1" w:unhideWhenUsed="0" w:uiPriority="0" w:semiHidden="0" w:name="page number"/>
    <w:lsdException w:qFormat="1" w:unhideWhenUsed="0" w:uiPriority="99" w:semiHidden="0" w:name="endnote reference"/>
    <w:lsdException w:qFormat="1" w:unhideWhenUsed="0" w:uiPriority="0" w:semiHidden="0" w:name="endnote text"/>
    <w:lsdException w:uiPriority="99" w:name="table of authorities"/>
    <w:lsdException w:uiPriority="99"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iPriority="0" w:semiHidden="0" w:name="List 2"/>
    <w:lsdException w:uiPriority="99" w:name="List 3"/>
    <w:lsdException w:uiPriority="99" w:name="List 4"/>
    <w:lsdException w:uiPriority="99"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0" w:semiHidden="0" w:name="Date"/>
    <w:lsdException w:qFormat="1"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qFormat="1" w:unhideWhenUsed="0" w:uiPriority="0" w:semiHidden="0" w:name="Table Simple 1"/>
    <w:lsdException w:qFormat="1"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qFormat="1" w:uiPriority="0" w:name="Table Columns 1"/>
    <w:lsdException w:qFormat="1" w:uiPriority="0" w:name="Table Columns 2"/>
    <w:lsdException w:qFormat="1" w:uiPriority="0" w:name="Table Columns 3"/>
    <w:lsdException w:qFormat="1" w:uiPriority="0" w:name="Table Columns 4"/>
    <w:lsdException w:qFormat="1" w:uiPriority="0" w:name="Table Columns 5"/>
    <w:lsdException w:qFormat="1" w:uiPriority="0" w:name="Table Grid 1"/>
    <w:lsdException w:qFormat="1" w:uiPriority="0" w:name="Table Grid 2"/>
    <w:lsdException w:qFormat="1" w:uiPriority="0" w:name="Table Grid 3"/>
    <w:lsdException w:qFormat="1" w:uiPriority="0" w:name="Table Grid 4"/>
    <w:lsdException w:qFormat="1" w:uiPriority="0" w:name="Table Grid 5"/>
    <w:lsdException w:qFormat="1" w:uiPriority="0" w:name="Table Grid 6"/>
    <w:lsdException w:qFormat="1" w:uiPriority="0" w:name="Table Grid 7"/>
    <w:lsdException w:qFormat="1" w:uiPriority="0" w:name="Table Grid 8"/>
    <w:lsdException w:qFormat="1" w:uiPriority="0" w:name="Table List 1"/>
    <w:lsdException w:qFormat="1" w:uiPriority="0" w:name="Table List 2"/>
    <w:lsdException w:qFormat="1" w:uiPriority="0" w:name="Table List 3"/>
    <w:lsdException w:qFormat="1" w:uiPriority="0" w:name="Table List 4"/>
    <w:lsdException w:qFormat="1" w:uiPriority="0" w:name="Table List 5"/>
    <w:lsdException w:qFormat="1" w:uiPriority="0" w:name="Table List 6"/>
    <w:lsdException w:qFormat="1" w:uiPriority="0" w:name="Table List 7"/>
    <w:lsdException w:qFormat="1" w:uiPriority="0" w:name="Table List 8"/>
    <w:lsdException w:qFormat="1" w:uiPriority="0" w:name="Table 3D effects 1"/>
    <w:lsdException w:qFormat="1" w:unhideWhenUsed="0" w:uiPriority="0" w:semiHidden="0" w:name="Table 3D effects 2"/>
    <w:lsdException w:qFormat="1" w:uiPriority="0" w:name="Table 3D effects 3"/>
    <w:lsdException w:qFormat="1" w:uiPriority="0" w:name="Table Contemporary"/>
    <w:lsdException w:qFormat="1" w:unhideWhenUsed="0" w:uiPriority="0" w:semiHidden="0" w:name="Table Elegant"/>
    <w:lsdException w:qFormat="1" w:uiPriority="0" w:name="Table Professional"/>
    <w:lsdException w:qFormat="1" w:uiPriority="0" w:name="Table Subtle 1"/>
    <w:lsdException w:qFormat="1" w:unhideWhenUsed="0" w:uiPriority="0" w:semiHidden="0" w:name="Table Subtle 2"/>
    <w:lsdException w:qFormat="1" w:uiPriority="0" w:name="Table Web 1"/>
    <w:lsdException w:qFormat="1" w:uiPriority="0" w:name="Table Web 2"/>
    <w:lsdException w:qFormat="1" w:uiPriority="0" w:name="Table Web 3"/>
    <w:lsdException w:qFormat="1" w:uiPriority="0" w:semiHidden="0" w:name="Balloon Text"/>
    <w:lsdException w:qFormat="1" w:unhideWhenUsed="0" w:uiPriority="59" w:semiHidden="0" w:name="Table Grid"/>
    <w:lsdException w:qFormat="1" w:unhideWhenUsed="0" w:uiPriority="0" w:semiHidden="0" w:name="Table Theme"/>
    <w:lsdException w:qFormat="1" w:unhideWhenUsed="0" w:uiPriority="0" w:semiHidden="0" w:name="Placeholder Text"/>
    <w:lsdException w:qFormat="1" w:unhideWhenUsed="0" w:uiPriority="1" w:semiHidden="0" w:name="No Spacing"/>
    <w:lsdException w:qFormat="1"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200" w:firstLineChars="200"/>
      <w:jc w:val="both"/>
    </w:pPr>
    <w:rPr>
      <w:rFonts w:ascii="Calibri" w:hAnsi="Calibri" w:eastAsia="宋体" w:cs="Calibri"/>
      <w:color w:val="000000"/>
      <w:kern w:val="2"/>
      <w:sz w:val="24"/>
      <w:szCs w:val="22"/>
      <w:lang w:val="en-US" w:eastAsia="zh-CN" w:bidi="ar-SA"/>
    </w:rPr>
  </w:style>
  <w:style w:type="paragraph" w:styleId="2">
    <w:name w:val="heading 1"/>
    <w:basedOn w:val="1"/>
    <w:next w:val="1"/>
    <w:link w:val="1082"/>
    <w:qFormat/>
    <w:uiPriority w:val="0"/>
    <w:pPr>
      <w:keepNext/>
      <w:keepLines/>
      <w:widowControl/>
      <w:numPr>
        <w:ilvl w:val="0"/>
        <w:numId w:val="1"/>
      </w:numPr>
      <w:ind w:firstLine="200"/>
      <w:outlineLvl w:val="0"/>
    </w:pPr>
    <w:rPr>
      <w:b/>
      <w:bCs/>
      <w:kern w:val="44"/>
      <w:szCs w:val="44"/>
    </w:rPr>
  </w:style>
  <w:style w:type="paragraph" w:styleId="3">
    <w:name w:val="heading 2"/>
    <w:basedOn w:val="1"/>
    <w:next w:val="1"/>
    <w:link w:val="1238"/>
    <w:qFormat/>
    <w:uiPriority w:val="0"/>
    <w:pPr>
      <w:keepNext/>
      <w:keepLines/>
      <w:widowControl/>
      <w:numPr>
        <w:ilvl w:val="1"/>
        <w:numId w:val="1"/>
      </w:numPr>
      <w:tabs>
        <w:tab w:val="left" w:pos="921"/>
      </w:tabs>
      <w:spacing w:before="156" w:after="156"/>
      <w:ind w:firstLine="0" w:firstLineChars="0"/>
      <w:jc w:val="left"/>
      <w:outlineLvl w:val="1"/>
    </w:pPr>
    <w:rPr>
      <w:b/>
      <w:bCs/>
      <w:kern w:val="0"/>
      <w:szCs w:val="32"/>
    </w:rPr>
  </w:style>
  <w:style w:type="paragraph" w:styleId="4">
    <w:name w:val="heading 3"/>
    <w:basedOn w:val="1"/>
    <w:next w:val="1"/>
    <w:qFormat/>
    <w:uiPriority w:val="0"/>
    <w:pPr>
      <w:keepNext/>
      <w:keepLines/>
      <w:tabs>
        <w:tab w:val="left" w:pos="921"/>
        <w:tab w:val="left" w:pos="1860"/>
      </w:tabs>
      <w:ind w:firstLine="0" w:firstLineChars="0"/>
      <w:jc w:val="left"/>
      <w:outlineLvl w:val="2"/>
    </w:pPr>
    <w:rPr>
      <w:b/>
      <w:bCs/>
      <w:szCs w:val="32"/>
    </w:rPr>
  </w:style>
  <w:style w:type="paragraph" w:styleId="5">
    <w:name w:val="heading 4"/>
    <w:basedOn w:val="1"/>
    <w:next w:val="1"/>
    <w:link w:val="151"/>
    <w:qFormat/>
    <w:uiPriority w:val="0"/>
    <w:pPr>
      <w:keepNext/>
      <w:keepLines/>
      <w:numPr>
        <w:ilvl w:val="3"/>
        <w:numId w:val="1"/>
      </w:numPr>
      <w:tabs>
        <w:tab w:val="left" w:pos="921"/>
      </w:tabs>
      <w:spacing w:after="50" w:line="500" w:lineRule="exact"/>
      <w:ind w:firstLine="0" w:firstLineChars="0"/>
      <w:outlineLvl w:val="3"/>
    </w:pPr>
    <w:rPr>
      <w:rFonts w:eastAsia="仿宋_GB2312"/>
      <w:b/>
      <w:bCs/>
      <w:kern w:val="0"/>
      <w:sz w:val="32"/>
      <w:szCs w:val="28"/>
    </w:rPr>
  </w:style>
  <w:style w:type="paragraph" w:styleId="6">
    <w:name w:val="heading 5"/>
    <w:basedOn w:val="1"/>
    <w:next w:val="1"/>
    <w:link w:val="817"/>
    <w:qFormat/>
    <w:uiPriority w:val="0"/>
    <w:pPr>
      <w:keepNext/>
      <w:keepLines/>
      <w:numPr>
        <w:ilvl w:val="4"/>
        <w:numId w:val="1"/>
      </w:numPr>
      <w:tabs>
        <w:tab w:val="clear" w:pos="2661"/>
      </w:tabs>
      <w:ind w:left="1008" w:hanging="432"/>
      <w:outlineLvl w:val="4"/>
    </w:pPr>
    <w:rPr>
      <w:b/>
      <w:bCs/>
      <w:szCs w:val="28"/>
    </w:rPr>
  </w:style>
  <w:style w:type="paragraph" w:styleId="7">
    <w:name w:val="heading 6"/>
    <w:basedOn w:val="1"/>
    <w:next w:val="1"/>
    <w:link w:val="696"/>
    <w:qFormat/>
    <w:uiPriority w:val="0"/>
    <w:pPr>
      <w:keepNext/>
      <w:keepLines/>
      <w:numPr>
        <w:ilvl w:val="5"/>
        <w:numId w:val="1"/>
      </w:numPr>
      <w:tabs>
        <w:tab w:val="clear" w:pos="3081"/>
      </w:tabs>
      <w:spacing w:before="240" w:after="64" w:line="320" w:lineRule="auto"/>
      <w:ind w:left="1152" w:hanging="432"/>
      <w:outlineLvl w:val="5"/>
    </w:pPr>
    <w:rPr>
      <w:rFonts w:ascii="Arial" w:hAnsi="Arial" w:eastAsia="黑体"/>
      <w:b/>
    </w:rPr>
  </w:style>
  <w:style w:type="paragraph" w:styleId="8">
    <w:name w:val="heading 7"/>
    <w:basedOn w:val="1"/>
    <w:next w:val="1"/>
    <w:link w:val="1325"/>
    <w:qFormat/>
    <w:uiPriority w:val="0"/>
    <w:pPr>
      <w:keepNext/>
      <w:keepLines/>
      <w:numPr>
        <w:ilvl w:val="6"/>
        <w:numId w:val="1"/>
      </w:numPr>
      <w:tabs>
        <w:tab w:val="clear" w:pos="3501"/>
      </w:tabs>
      <w:spacing w:before="240" w:after="64" w:line="320" w:lineRule="atLeast"/>
      <w:ind w:left="1296" w:hanging="288"/>
      <w:textAlignment w:val="baseline"/>
      <w:outlineLvl w:val="6"/>
    </w:pPr>
    <w:rPr>
      <w:rFonts w:ascii="宋体" w:hAnsi="华文楷体"/>
      <w:b/>
    </w:rPr>
  </w:style>
  <w:style w:type="paragraph" w:styleId="9">
    <w:name w:val="heading 8"/>
    <w:basedOn w:val="1"/>
    <w:next w:val="1"/>
    <w:link w:val="1230"/>
    <w:qFormat/>
    <w:uiPriority w:val="0"/>
    <w:pPr>
      <w:keepNext/>
      <w:keepLines/>
      <w:numPr>
        <w:ilvl w:val="7"/>
        <w:numId w:val="1"/>
      </w:numPr>
      <w:tabs>
        <w:tab w:val="clear" w:pos="3921"/>
      </w:tabs>
      <w:spacing w:before="240" w:after="64" w:line="320" w:lineRule="atLeast"/>
      <w:ind w:left="1440" w:hanging="432"/>
      <w:textAlignment w:val="baseline"/>
      <w:outlineLvl w:val="7"/>
    </w:pPr>
    <w:rPr>
      <w:rFonts w:ascii="Arial" w:hAnsi="Arial" w:eastAsia="黑体"/>
    </w:rPr>
  </w:style>
  <w:style w:type="paragraph" w:styleId="10">
    <w:name w:val="heading 9"/>
    <w:basedOn w:val="1"/>
    <w:next w:val="1"/>
    <w:link w:val="142"/>
    <w:qFormat/>
    <w:uiPriority w:val="0"/>
    <w:pPr>
      <w:keepNext/>
      <w:keepLines/>
      <w:numPr>
        <w:ilvl w:val="8"/>
        <w:numId w:val="1"/>
      </w:numPr>
      <w:tabs>
        <w:tab w:val="clear" w:pos="4341"/>
      </w:tabs>
      <w:spacing w:before="240" w:after="64" w:line="320" w:lineRule="atLeast"/>
      <w:ind w:left="1584" w:hanging="144"/>
      <w:textAlignment w:val="baseline"/>
      <w:outlineLvl w:val="8"/>
    </w:pPr>
    <w:rPr>
      <w:rFonts w:ascii="Arial" w:hAnsi="Arial" w:eastAsia="黑体"/>
    </w:rPr>
  </w:style>
  <w:style w:type="character" w:default="1" w:styleId="79">
    <w:name w:val="Default Paragraph Font"/>
    <w:semiHidden/>
    <w:unhideWhenUsed/>
    <w:qFormat/>
    <w:uiPriority w:val="1"/>
  </w:style>
  <w:style w:type="table" w:default="1" w:styleId="62">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39"/>
    <w:pPr>
      <w:ind w:left="2520" w:leftChars="1200"/>
    </w:pPr>
    <w:rPr>
      <w:szCs w:val="24"/>
    </w:rPr>
  </w:style>
  <w:style w:type="paragraph" w:styleId="12">
    <w:name w:val="Note Heading"/>
    <w:basedOn w:val="1"/>
    <w:next w:val="1"/>
    <w:link w:val="490"/>
    <w:qFormat/>
    <w:uiPriority w:val="0"/>
    <w:pPr>
      <w:jc w:val="center"/>
    </w:pPr>
    <w:rPr>
      <w:szCs w:val="20"/>
    </w:rPr>
  </w:style>
  <w:style w:type="paragraph" w:styleId="13">
    <w:name w:val="List Bullet 4"/>
    <w:basedOn w:val="1"/>
    <w:qFormat/>
    <w:uiPriority w:val="0"/>
    <w:pPr>
      <w:widowControl/>
      <w:tabs>
        <w:tab w:val="left" w:pos="1620"/>
      </w:tabs>
      <w:ind w:left="1620" w:hanging="360"/>
      <w:jc w:val="left"/>
    </w:pPr>
    <w:rPr>
      <w:rFonts w:ascii="宋体" w:hAnsi="宋体" w:cs="宋体"/>
      <w:kern w:val="0"/>
      <w:szCs w:val="24"/>
    </w:rPr>
  </w:style>
  <w:style w:type="paragraph" w:styleId="14">
    <w:name w:val="index 8"/>
    <w:basedOn w:val="1"/>
    <w:next w:val="1"/>
    <w:unhideWhenUsed/>
    <w:qFormat/>
    <w:uiPriority w:val="0"/>
    <w:pPr>
      <w:ind w:left="1400" w:leftChars="1400"/>
    </w:pPr>
    <w:rPr>
      <w:szCs w:val="24"/>
    </w:rPr>
  </w:style>
  <w:style w:type="paragraph" w:styleId="15">
    <w:name w:val="List Number"/>
    <w:basedOn w:val="1"/>
    <w:qFormat/>
    <w:uiPriority w:val="0"/>
    <w:pPr>
      <w:widowControl/>
      <w:tabs>
        <w:tab w:val="left" w:pos="360"/>
      </w:tabs>
      <w:ind w:left="360" w:hanging="360"/>
      <w:jc w:val="left"/>
    </w:pPr>
    <w:rPr>
      <w:rFonts w:ascii="楷体_GB2312" w:hAnsi="宋体" w:eastAsia="楷体_GB2312" w:cs="宋体"/>
      <w:kern w:val="0"/>
      <w:szCs w:val="24"/>
    </w:rPr>
  </w:style>
  <w:style w:type="paragraph" w:styleId="16">
    <w:name w:val="Normal Indent"/>
    <w:basedOn w:val="1"/>
    <w:qFormat/>
    <w:uiPriority w:val="0"/>
    <w:pPr>
      <w:spacing w:line="240" w:lineRule="auto"/>
      <w:ind w:firstLine="420"/>
    </w:pPr>
    <w:rPr>
      <w:rFonts w:ascii="Times New Roman" w:hAnsi="Times New Roman" w:cs="Times New Roman"/>
      <w:sz w:val="21"/>
      <w:szCs w:val="24"/>
    </w:rPr>
  </w:style>
  <w:style w:type="paragraph" w:styleId="17">
    <w:name w:val="caption"/>
    <w:basedOn w:val="1"/>
    <w:next w:val="1"/>
    <w:link w:val="743"/>
    <w:qFormat/>
    <w:uiPriority w:val="0"/>
    <w:rPr>
      <w:rFonts w:ascii="Arial" w:hAnsi="Arial" w:eastAsia="黑体"/>
    </w:rPr>
  </w:style>
  <w:style w:type="paragraph" w:styleId="18">
    <w:name w:val="index 5"/>
    <w:basedOn w:val="1"/>
    <w:next w:val="1"/>
    <w:unhideWhenUsed/>
    <w:qFormat/>
    <w:uiPriority w:val="0"/>
    <w:pPr>
      <w:ind w:left="800" w:leftChars="800"/>
    </w:pPr>
    <w:rPr>
      <w:szCs w:val="24"/>
    </w:rPr>
  </w:style>
  <w:style w:type="paragraph" w:styleId="19">
    <w:name w:val="List Bullet"/>
    <w:basedOn w:val="1"/>
    <w:link w:val="335"/>
    <w:qFormat/>
    <w:uiPriority w:val="0"/>
    <w:pPr>
      <w:tabs>
        <w:tab w:val="left" w:pos="360"/>
      </w:tabs>
      <w:ind w:left="360"/>
    </w:pPr>
  </w:style>
  <w:style w:type="paragraph" w:styleId="20">
    <w:name w:val="Document Map"/>
    <w:basedOn w:val="1"/>
    <w:link w:val="896"/>
    <w:qFormat/>
    <w:uiPriority w:val="0"/>
    <w:pPr>
      <w:shd w:val="clear" w:color="auto" w:fill="000080"/>
    </w:pPr>
  </w:style>
  <w:style w:type="paragraph" w:styleId="21">
    <w:name w:val="toa heading"/>
    <w:basedOn w:val="1"/>
    <w:next w:val="1"/>
    <w:qFormat/>
    <w:uiPriority w:val="0"/>
    <w:pPr>
      <w:spacing w:before="120"/>
    </w:pPr>
    <w:rPr>
      <w:rFonts w:ascii="Arial" w:hAnsi="Arial" w:cs="Arial"/>
      <w:szCs w:val="24"/>
    </w:rPr>
  </w:style>
  <w:style w:type="paragraph" w:styleId="22">
    <w:name w:val="annotation text"/>
    <w:basedOn w:val="1"/>
    <w:link w:val="345"/>
    <w:qFormat/>
    <w:uiPriority w:val="99"/>
    <w:pPr>
      <w:jc w:val="left"/>
    </w:pPr>
    <w:rPr>
      <w:sz w:val="22"/>
    </w:rPr>
  </w:style>
  <w:style w:type="paragraph" w:styleId="23">
    <w:name w:val="Body Text 3"/>
    <w:basedOn w:val="1"/>
    <w:link w:val="1467"/>
    <w:qFormat/>
    <w:uiPriority w:val="0"/>
    <w:pPr>
      <w:widowControl/>
      <w:spacing w:line="300" w:lineRule="auto"/>
      <w:jc w:val="left"/>
    </w:pPr>
    <w:rPr>
      <w:rFonts w:ascii="宋体" w:hAnsi="宋体" w:eastAsia="华文楷体" w:cs="宋体"/>
      <w:kern w:val="0"/>
      <w:szCs w:val="24"/>
    </w:rPr>
  </w:style>
  <w:style w:type="paragraph" w:styleId="24">
    <w:name w:val="List Bullet 3"/>
    <w:basedOn w:val="1"/>
    <w:qFormat/>
    <w:uiPriority w:val="0"/>
    <w:pPr>
      <w:widowControl/>
      <w:tabs>
        <w:tab w:val="left" w:pos="720"/>
      </w:tabs>
      <w:ind w:left="720" w:hanging="570"/>
      <w:jc w:val="left"/>
    </w:pPr>
    <w:rPr>
      <w:rFonts w:ascii="宋体" w:hAnsi="宋体" w:cs="宋体"/>
      <w:spacing w:val="20"/>
      <w:kern w:val="0"/>
      <w:szCs w:val="20"/>
    </w:rPr>
  </w:style>
  <w:style w:type="paragraph" w:styleId="25">
    <w:name w:val="Body Text"/>
    <w:basedOn w:val="1"/>
    <w:link w:val="1506"/>
    <w:qFormat/>
    <w:uiPriority w:val="0"/>
    <w:pPr>
      <w:spacing w:line="300" w:lineRule="auto"/>
    </w:pPr>
  </w:style>
  <w:style w:type="paragraph" w:styleId="26">
    <w:name w:val="Body Text Indent"/>
    <w:basedOn w:val="1"/>
    <w:link w:val="577"/>
    <w:qFormat/>
    <w:uiPriority w:val="0"/>
    <w:pPr>
      <w:spacing w:after="120"/>
      <w:ind w:left="420" w:leftChars="200"/>
    </w:pPr>
  </w:style>
  <w:style w:type="paragraph" w:styleId="27">
    <w:name w:val="List 2"/>
    <w:basedOn w:val="1"/>
    <w:unhideWhenUsed/>
    <w:qFormat/>
    <w:uiPriority w:val="0"/>
    <w:pPr>
      <w:ind w:left="100" w:leftChars="200" w:hanging="200" w:hangingChars="200"/>
      <w:contextualSpacing/>
    </w:pPr>
  </w:style>
  <w:style w:type="paragraph" w:styleId="28">
    <w:name w:val="Block Text"/>
    <w:basedOn w:val="1"/>
    <w:qFormat/>
    <w:uiPriority w:val="0"/>
    <w:pPr>
      <w:spacing w:after="120"/>
      <w:ind w:right="1440"/>
      <w:jc w:val="center"/>
    </w:pPr>
    <w:rPr>
      <w:position w:val="-27"/>
      <w:szCs w:val="20"/>
    </w:rPr>
  </w:style>
  <w:style w:type="paragraph" w:styleId="29">
    <w:name w:val="List Bullet 2"/>
    <w:basedOn w:val="1"/>
    <w:qFormat/>
    <w:uiPriority w:val="0"/>
    <w:pPr>
      <w:tabs>
        <w:tab w:val="left" w:pos="780"/>
      </w:tabs>
      <w:ind w:left="780"/>
    </w:pPr>
    <w:rPr>
      <w:szCs w:val="24"/>
    </w:rPr>
  </w:style>
  <w:style w:type="paragraph" w:styleId="30">
    <w:name w:val="index 4"/>
    <w:basedOn w:val="1"/>
    <w:next w:val="1"/>
    <w:unhideWhenUsed/>
    <w:qFormat/>
    <w:uiPriority w:val="0"/>
    <w:pPr>
      <w:ind w:left="600" w:leftChars="600"/>
    </w:pPr>
    <w:rPr>
      <w:szCs w:val="24"/>
    </w:rPr>
  </w:style>
  <w:style w:type="paragraph" w:styleId="31">
    <w:name w:val="toc 5"/>
    <w:basedOn w:val="1"/>
    <w:next w:val="1"/>
    <w:qFormat/>
    <w:uiPriority w:val="39"/>
    <w:pPr>
      <w:ind w:left="1680" w:leftChars="800"/>
    </w:pPr>
  </w:style>
  <w:style w:type="paragraph" w:styleId="32">
    <w:name w:val="toc 3"/>
    <w:basedOn w:val="1"/>
    <w:next w:val="1"/>
    <w:unhideWhenUsed/>
    <w:qFormat/>
    <w:uiPriority w:val="39"/>
    <w:pPr>
      <w:spacing w:line="400" w:lineRule="exact"/>
      <w:ind w:left="400" w:leftChars="400"/>
    </w:pPr>
  </w:style>
  <w:style w:type="paragraph" w:styleId="33">
    <w:name w:val="Plain Text"/>
    <w:basedOn w:val="1"/>
    <w:link w:val="831"/>
    <w:qFormat/>
    <w:uiPriority w:val="0"/>
    <w:rPr>
      <w:rFonts w:ascii="宋体" w:hAnsi="Courier New"/>
      <w:szCs w:val="20"/>
    </w:rPr>
  </w:style>
  <w:style w:type="paragraph" w:styleId="34">
    <w:name w:val="List Bullet 5"/>
    <w:basedOn w:val="1"/>
    <w:qFormat/>
    <w:uiPriority w:val="0"/>
    <w:pPr>
      <w:widowControl/>
      <w:tabs>
        <w:tab w:val="left" w:pos="2040"/>
      </w:tabs>
      <w:ind w:left="2040" w:hanging="360"/>
      <w:jc w:val="left"/>
    </w:pPr>
    <w:rPr>
      <w:rFonts w:ascii="宋体" w:hAnsi="宋体" w:cs="宋体"/>
      <w:kern w:val="0"/>
      <w:szCs w:val="24"/>
    </w:rPr>
  </w:style>
  <w:style w:type="paragraph" w:styleId="35">
    <w:name w:val="toc 8"/>
    <w:basedOn w:val="1"/>
    <w:next w:val="1"/>
    <w:qFormat/>
    <w:uiPriority w:val="39"/>
    <w:pPr>
      <w:ind w:left="2940" w:leftChars="1400"/>
    </w:pPr>
    <w:rPr>
      <w:szCs w:val="24"/>
    </w:rPr>
  </w:style>
  <w:style w:type="paragraph" w:styleId="36">
    <w:name w:val="index 3"/>
    <w:basedOn w:val="1"/>
    <w:next w:val="1"/>
    <w:unhideWhenUsed/>
    <w:qFormat/>
    <w:uiPriority w:val="0"/>
    <w:pPr>
      <w:ind w:left="400" w:leftChars="400"/>
    </w:pPr>
    <w:rPr>
      <w:szCs w:val="24"/>
    </w:rPr>
  </w:style>
  <w:style w:type="paragraph" w:styleId="37">
    <w:name w:val="Date"/>
    <w:basedOn w:val="1"/>
    <w:next w:val="1"/>
    <w:link w:val="931"/>
    <w:unhideWhenUsed/>
    <w:qFormat/>
    <w:uiPriority w:val="0"/>
    <w:pPr>
      <w:ind w:left="100" w:leftChars="2500"/>
    </w:pPr>
  </w:style>
  <w:style w:type="paragraph" w:styleId="38">
    <w:name w:val="Body Text Indent 2"/>
    <w:basedOn w:val="1"/>
    <w:link w:val="1265"/>
    <w:qFormat/>
    <w:uiPriority w:val="0"/>
    <w:pPr>
      <w:spacing w:before="156" w:line="400" w:lineRule="exact"/>
      <w:ind w:firstLine="480"/>
    </w:pPr>
    <w:rPr>
      <w:rFonts w:ascii="宋体"/>
      <w:szCs w:val="20"/>
    </w:rPr>
  </w:style>
  <w:style w:type="paragraph" w:styleId="39">
    <w:name w:val="endnote text"/>
    <w:basedOn w:val="1"/>
    <w:link w:val="1170"/>
    <w:qFormat/>
    <w:uiPriority w:val="0"/>
    <w:pPr>
      <w:jc w:val="left"/>
    </w:pPr>
  </w:style>
  <w:style w:type="paragraph" w:styleId="40">
    <w:name w:val="Balloon Text"/>
    <w:basedOn w:val="1"/>
    <w:link w:val="1405"/>
    <w:unhideWhenUsed/>
    <w:qFormat/>
    <w:uiPriority w:val="0"/>
    <w:rPr>
      <w:sz w:val="18"/>
      <w:szCs w:val="18"/>
    </w:rPr>
  </w:style>
  <w:style w:type="paragraph" w:styleId="41">
    <w:name w:val="footer"/>
    <w:basedOn w:val="1"/>
    <w:link w:val="1320"/>
    <w:unhideWhenUsed/>
    <w:qFormat/>
    <w:uiPriority w:val="99"/>
    <w:pPr>
      <w:tabs>
        <w:tab w:val="center" w:pos="4153"/>
        <w:tab w:val="right" w:pos="8306"/>
      </w:tabs>
      <w:spacing w:line="240" w:lineRule="atLeast"/>
      <w:jc w:val="left"/>
    </w:pPr>
    <w:rPr>
      <w:sz w:val="18"/>
      <w:szCs w:val="18"/>
    </w:rPr>
  </w:style>
  <w:style w:type="paragraph" w:styleId="42">
    <w:name w:val="header"/>
    <w:basedOn w:val="1"/>
    <w:link w:val="1189"/>
    <w:unhideWhenUsed/>
    <w:qFormat/>
    <w:uiPriority w:val="99"/>
    <w:pPr>
      <w:pBdr>
        <w:bottom w:val="single" w:color="auto" w:sz="6" w:space="1"/>
      </w:pBdr>
      <w:tabs>
        <w:tab w:val="center" w:pos="4153"/>
        <w:tab w:val="right" w:pos="8306"/>
      </w:tabs>
      <w:spacing w:line="240" w:lineRule="atLeast"/>
      <w:jc w:val="center"/>
    </w:pPr>
    <w:rPr>
      <w:sz w:val="18"/>
      <w:szCs w:val="18"/>
    </w:rPr>
  </w:style>
  <w:style w:type="paragraph" w:styleId="43">
    <w:name w:val="toc 1"/>
    <w:basedOn w:val="1"/>
    <w:next w:val="1"/>
    <w:link w:val="810"/>
    <w:unhideWhenUsed/>
    <w:qFormat/>
    <w:uiPriority w:val="39"/>
    <w:pPr>
      <w:spacing w:line="400" w:lineRule="exact"/>
    </w:pPr>
    <w:rPr>
      <w:b/>
    </w:rPr>
  </w:style>
  <w:style w:type="paragraph" w:styleId="44">
    <w:name w:val="toc 4"/>
    <w:basedOn w:val="1"/>
    <w:next w:val="1"/>
    <w:qFormat/>
    <w:uiPriority w:val="39"/>
    <w:pPr>
      <w:ind w:left="1260" w:leftChars="600"/>
    </w:pPr>
    <w:rPr>
      <w:szCs w:val="24"/>
    </w:rPr>
  </w:style>
  <w:style w:type="paragraph" w:styleId="45">
    <w:name w:val="Subtitle"/>
    <w:basedOn w:val="1"/>
    <w:link w:val="387"/>
    <w:qFormat/>
    <w:uiPriority w:val="0"/>
    <w:pPr>
      <w:spacing w:before="240" w:after="60" w:line="312" w:lineRule="auto"/>
      <w:jc w:val="center"/>
      <w:outlineLvl w:val="1"/>
    </w:pPr>
    <w:rPr>
      <w:rFonts w:ascii="Arial" w:hAnsi="Arial"/>
      <w:b/>
      <w:kern w:val="28"/>
      <w:sz w:val="32"/>
    </w:rPr>
  </w:style>
  <w:style w:type="paragraph" w:styleId="46">
    <w:name w:val="List"/>
    <w:basedOn w:val="1"/>
    <w:qFormat/>
    <w:uiPriority w:val="0"/>
    <w:pPr>
      <w:spacing w:line="360" w:lineRule="exact"/>
      <w:jc w:val="center"/>
    </w:pPr>
    <w:rPr>
      <w:rFonts w:ascii="仿宋_GB2312"/>
      <w:szCs w:val="20"/>
    </w:rPr>
  </w:style>
  <w:style w:type="paragraph" w:styleId="47">
    <w:name w:val="footnote text"/>
    <w:basedOn w:val="1"/>
    <w:link w:val="1091"/>
    <w:qFormat/>
    <w:uiPriority w:val="99"/>
    <w:pPr>
      <w:jc w:val="left"/>
    </w:pPr>
    <w:rPr>
      <w:rFonts w:ascii="宋体"/>
      <w:sz w:val="18"/>
    </w:rPr>
  </w:style>
  <w:style w:type="paragraph" w:styleId="48">
    <w:name w:val="toc 6"/>
    <w:basedOn w:val="1"/>
    <w:next w:val="1"/>
    <w:qFormat/>
    <w:uiPriority w:val="39"/>
    <w:pPr>
      <w:ind w:left="2100" w:leftChars="1000"/>
    </w:pPr>
    <w:rPr>
      <w:szCs w:val="24"/>
    </w:rPr>
  </w:style>
  <w:style w:type="paragraph" w:styleId="49">
    <w:name w:val="Body Text Indent 3"/>
    <w:basedOn w:val="1"/>
    <w:link w:val="349"/>
    <w:qFormat/>
    <w:uiPriority w:val="0"/>
    <w:pPr>
      <w:spacing w:line="400" w:lineRule="exact"/>
      <w:ind w:left="1981" w:leftChars="-137" w:hanging="2310" w:hangingChars="825"/>
      <w:jc w:val="left"/>
    </w:pPr>
    <w:rPr>
      <w:rFonts w:ascii="DFKai-SB" w:eastAsia="DFKai-SB"/>
      <w:szCs w:val="24"/>
      <w:lang w:eastAsia="zh-TW"/>
    </w:rPr>
  </w:style>
  <w:style w:type="paragraph" w:styleId="50">
    <w:name w:val="index 7"/>
    <w:basedOn w:val="1"/>
    <w:next w:val="1"/>
    <w:unhideWhenUsed/>
    <w:qFormat/>
    <w:uiPriority w:val="0"/>
    <w:pPr>
      <w:ind w:left="1200" w:leftChars="1200"/>
    </w:pPr>
    <w:rPr>
      <w:szCs w:val="24"/>
    </w:rPr>
  </w:style>
  <w:style w:type="paragraph" w:styleId="51">
    <w:name w:val="index 9"/>
    <w:basedOn w:val="1"/>
    <w:next w:val="1"/>
    <w:unhideWhenUsed/>
    <w:qFormat/>
    <w:uiPriority w:val="0"/>
    <w:pPr>
      <w:ind w:left="1600" w:leftChars="1600"/>
    </w:pPr>
    <w:rPr>
      <w:szCs w:val="24"/>
    </w:rPr>
  </w:style>
  <w:style w:type="paragraph" w:styleId="52">
    <w:name w:val="toc 2"/>
    <w:basedOn w:val="1"/>
    <w:next w:val="1"/>
    <w:unhideWhenUsed/>
    <w:qFormat/>
    <w:uiPriority w:val="39"/>
    <w:pPr>
      <w:tabs>
        <w:tab w:val="right" w:leader="dot" w:pos="9004"/>
      </w:tabs>
      <w:spacing w:line="400" w:lineRule="exact"/>
      <w:ind w:firstLine="567"/>
      <w:jc w:val="center"/>
    </w:pPr>
    <w:rPr>
      <w:b/>
      <w:bCs/>
    </w:rPr>
  </w:style>
  <w:style w:type="paragraph" w:styleId="53">
    <w:name w:val="toc 9"/>
    <w:basedOn w:val="1"/>
    <w:next w:val="1"/>
    <w:qFormat/>
    <w:uiPriority w:val="39"/>
    <w:pPr>
      <w:ind w:left="3360" w:leftChars="1600"/>
    </w:pPr>
    <w:rPr>
      <w:szCs w:val="24"/>
    </w:rPr>
  </w:style>
  <w:style w:type="paragraph" w:styleId="54">
    <w:name w:val="Body Text 2"/>
    <w:basedOn w:val="1"/>
    <w:link w:val="1273"/>
    <w:qFormat/>
    <w:uiPriority w:val="0"/>
    <w:pPr>
      <w:widowControl/>
      <w:spacing w:line="100" w:lineRule="atLeast"/>
      <w:jc w:val="center"/>
    </w:pPr>
    <w:rPr>
      <w:rFonts w:ascii="宋体" w:hAnsi="宋体" w:eastAsia="华文楷体" w:cs="宋体"/>
      <w:kern w:val="0"/>
      <w:sz w:val="18"/>
      <w:szCs w:val="24"/>
    </w:rPr>
  </w:style>
  <w:style w:type="paragraph" w:styleId="55">
    <w:name w:val="HTML Preformatted"/>
    <w:basedOn w:val="1"/>
    <w:link w:val="908"/>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Cs w:val="21"/>
    </w:rPr>
  </w:style>
  <w:style w:type="paragraph" w:styleId="56">
    <w:name w:val="Normal (Web)"/>
    <w:basedOn w:val="1"/>
    <w:unhideWhenUsed/>
    <w:qFormat/>
    <w:uiPriority w:val="99"/>
    <w:pPr>
      <w:widowControl/>
      <w:spacing w:before="100" w:beforeAutospacing="1" w:after="100" w:afterAutospacing="1"/>
      <w:jc w:val="left"/>
    </w:pPr>
    <w:rPr>
      <w:rFonts w:ascii="宋体" w:hAnsi="宋体" w:cs="宋体"/>
      <w:kern w:val="0"/>
      <w:szCs w:val="24"/>
    </w:rPr>
  </w:style>
  <w:style w:type="paragraph" w:styleId="57">
    <w:name w:val="index 1"/>
    <w:basedOn w:val="1"/>
    <w:next w:val="1"/>
    <w:qFormat/>
    <w:uiPriority w:val="0"/>
    <w:pPr>
      <w:widowControl/>
      <w:jc w:val="left"/>
    </w:pPr>
    <w:rPr>
      <w:rFonts w:ascii="宋体" w:hAnsi="宋体" w:cs="宋体"/>
      <w:szCs w:val="24"/>
    </w:rPr>
  </w:style>
  <w:style w:type="paragraph" w:styleId="58">
    <w:name w:val="Title"/>
    <w:basedOn w:val="1"/>
    <w:next w:val="1"/>
    <w:link w:val="409"/>
    <w:qFormat/>
    <w:uiPriority w:val="0"/>
    <w:pPr>
      <w:widowControl/>
      <w:jc w:val="center"/>
    </w:pPr>
    <w:rPr>
      <w:b/>
    </w:rPr>
  </w:style>
  <w:style w:type="paragraph" w:styleId="59">
    <w:name w:val="annotation subject"/>
    <w:next w:val="22"/>
    <w:link w:val="630"/>
    <w:qFormat/>
    <w:uiPriority w:val="0"/>
    <w:rPr>
      <w:rFonts w:ascii="Times New Roman" w:hAnsi="Times New Roman" w:eastAsia="宋体" w:cs="Times New Roman"/>
      <w:b/>
      <w:bCs/>
      <w:sz w:val="28"/>
      <w:lang w:val="en-US" w:eastAsia="zh-CN" w:bidi="ar-SA"/>
    </w:rPr>
  </w:style>
  <w:style w:type="paragraph" w:styleId="60">
    <w:name w:val="Body Text First Indent"/>
    <w:basedOn w:val="25"/>
    <w:link w:val="95"/>
    <w:unhideWhenUsed/>
    <w:qFormat/>
    <w:uiPriority w:val="0"/>
    <w:pPr>
      <w:spacing w:after="120" w:line="500" w:lineRule="exact"/>
      <w:ind w:firstLine="420" w:firstLineChars="100"/>
    </w:pPr>
    <w:rPr>
      <w:sz w:val="28"/>
    </w:rPr>
  </w:style>
  <w:style w:type="paragraph" w:styleId="61">
    <w:name w:val="Body Text First Indent 2"/>
    <w:next w:val="1"/>
    <w:link w:val="1379"/>
    <w:qFormat/>
    <w:uiPriority w:val="0"/>
    <w:pPr>
      <w:ind w:firstLine="420"/>
    </w:pPr>
    <w:rPr>
      <w:rFonts w:ascii="Arial" w:hAnsi="Arial" w:eastAsia="宋体" w:cs="Times New Roman"/>
      <w:snapToGrid w:val="0"/>
      <w:szCs w:val="32"/>
      <w:lang w:val="en-US" w:eastAsia="zh-CN" w:bidi="ar-SA"/>
    </w:rPr>
  </w:style>
  <w:style w:type="table" w:styleId="63">
    <w:name w:val="Table Grid"/>
    <w:basedOn w:val="62"/>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4">
    <w:name w:val="Table Theme"/>
    <w:basedOn w:val="6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5">
    <w:name w:val="Table Colorful 1"/>
    <w:basedOn w:val="62"/>
    <w:qFormat/>
    <w:uiPriority w:val="0"/>
    <w:pPr>
      <w:widowControl w:val="0"/>
      <w:spacing w:line="500" w:lineRule="exact"/>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66">
    <w:name w:val="Table Colorful 2"/>
    <w:basedOn w:val="62"/>
    <w:qFormat/>
    <w:uiPriority w:val="0"/>
    <w:pPr>
      <w:widowControl w:val="0"/>
      <w:spacing w:line="500" w:lineRule="exact"/>
      <w:jc w:val="both"/>
    </w:pPr>
    <w:tblPr>
      <w:tblBorders>
        <w:bottom w:val="single" w:color="000000" w:sz="12" w:space="0"/>
      </w:tblBorders>
    </w:tblPr>
    <w:tcPr>
      <w:shd w:val="pct20" w:color="FFFF00" w:fill="FFFFFF"/>
    </w:tcPr>
    <w:tblStylePr w:type="firstRow">
      <w:rPr>
        <w:b/>
        <w:bCs/>
        <w:i/>
        <w:iCs/>
        <w:color w:val="FFFFFF"/>
      </w:rPr>
      <w:tbl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67">
    <w:name w:val="Table Colorful 3"/>
    <w:basedOn w:val="62"/>
    <w:qFormat/>
    <w:uiPriority w:val="0"/>
    <w:pPr>
      <w:widowControl w:val="0"/>
      <w:spacing w:line="500" w:lineRule="exact"/>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top w:val="nil"/>
          <w:left w:val="nil"/>
          <w:bottom w:val="single" w:color="000000" w:sz="6" w:space="0"/>
          <w:right w:val="nil"/>
          <w:insideH w:val="nil"/>
          <w:insideV w:val="nil"/>
          <w:tl2br w:val="nil"/>
          <w:tr2bl w:val="nil"/>
        </w:tcBorders>
        <w:shd w:val="solid" w:color="008080" w:fill="FFFFFF"/>
      </w:tcPr>
    </w:tblStylePr>
    <w:tblStylePr w:type="firstCol">
      <w:tblPr/>
      <w:tcPr>
        <w:tcBorders>
          <w:top w:val="nil"/>
          <w:left w:val="single" w:color="000000" w:sz="36" w:space="0"/>
          <w:bottom w:val="nil"/>
          <w:right w:val="single" w:color="000000" w:sz="6" w:space="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68">
    <w:name w:val="Table Elegant"/>
    <w:basedOn w:val="62"/>
    <w:qFormat/>
    <w:uiPriority w:val="0"/>
    <w:pPr>
      <w:widowControl w:val="0"/>
      <w:spacing w:line="500" w:lineRule="exact"/>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69">
    <w:name w:val="Table Classic 1"/>
    <w:basedOn w:val="62"/>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70">
    <w:name w:val="Table Classic 2"/>
    <w:basedOn w:val="62"/>
    <w:qFormat/>
    <w:uiPriority w:val="0"/>
    <w:pPr>
      <w:widowControl w:val="0"/>
      <w:spacing w:line="500" w:lineRule="exact"/>
      <w:jc w:val="both"/>
    </w:pPr>
    <w:tblPr>
      <w:tblBorders>
        <w:top w:val="single" w:color="000000" w:sz="12" w:space="0"/>
        <w:bottom w:val="single" w:color="000000" w:sz="12" w:space="0"/>
      </w:tblBorders>
    </w:tblPr>
    <w:tcPr>
      <w:shd w:val="clear" w:color="auto" w:fill="auto"/>
    </w:tcPr>
    <w:tblStylePr w:type="firstRow">
      <w:rPr>
        <w:color w:val="FFFFFF"/>
      </w:rPr>
      <w:tblPr/>
      <w:tcPr>
        <w:tcBorders>
          <w:top w:val="nil"/>
          <w:left w:val="nil"/>
          <w:bottom w:val="single" w:color="000000" w:sz="6" w:space="0"/>
          <w:right w:val="nil"/>
          <w:insideH w:val="nil"/>
          <w:insideV w:val="nil"/>
          <w:tl2br w:val="nil"/>
          <w:tr2bl w:val="nil"/>
        </w:tcBorders>
        <w:shd w:val="solid" w:color="800080" w:fill="FFFFFF"/>
      </w:tcPr>
    </w:tblStylePr>
    <w:tblStylePr w:type="lastRow">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71">
    <w:name w:val="Table Classic 3"/>
    <w:basedOn w:val="62"/>
    <w:qFormat/>
    <w:uiPriority w:val="0"/>
    <w:pPr>
      <w:widowControl w:val="0"/>
      <w:spacing w:line="500" w:lineRule="exact"/>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top w:val="nil"/>
          <w:left w:val="nil"/>
          <w:bottom w:val="single" w:color="000000" w:sz="6" w:space="0"/>
          <w:right w:val="nil"/>
          <w:insideH w:val="nil"/>
          <w:insideV w:val="nil"/>
          <w:tl2br w:val="nil"/>
          <w:tr2bl w:val="nil"/>
        </w:tcBorders>
        <w:shd w:val="solid" w:color="000080" w:fill="FFFFFF"/>
      </w:tcPr>
    </w:tblStylePr>
    <w:tblStylePr w:type="lastRow">
      <w:rPr>
        <w:color w:val="000080"/>
      </w:rPr>
      <w:tbl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72">
    <w:name w:val="Table Classic 4"/>
    <w:basedOn w:val="62"/>
    <w:qFormat/>
    <w:uiPriority w:val="0"/>
    <w:pPr>
      <w:widowControl w:val="0"/>
      <w:spacing w:line="500" w:lineRule="exact"/>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top w:val="nil"/>
          <w:left w:val="nil"/>
          <w:bottom w:val="single" w:color="000000" w:sz="6" w:space="0"/>
          <w:right w:val="nil"/>
          <w:insideH w:val="nil"/>
          <w:insideV w:val="nil"/>
          <w:tl2br w:val="nil"/>
          <w:tr2bl w:val="nil"/>
        </w:tcBorders>
        <w:shd w:val="pct50" w:color="000080" w:fill="FFFFFF"/>
      </w:tcPr>
    </w:tblStylePr>
    <w:tblStylePr w:type="lastRow">
      <w:rPr>
        <w:color w:val="000080"/>
      </w:rPr>
      <w:tblPr/>
      <w:tcPr>
        <w:tcBorders>
          <w:top w:val="nil"/>
          <w:left w:val="nil"/>
          <w:bottom w:val="single" w:color="000000" w:sz="6" w:space="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73">
    <w:name w:val="Table Simple 1"/>
    <w:basedOn w:val="62"/>
    <w:qFormat/>
    <w:uiPriority w:val="0"/>
    <w:pPr>
      <w:widowControl w:val="0"/>
      <w:spacing w:line="500" w:lineRule="exact"/>
      <w:jc w:val="both"/>
    </w:pPr>
    <w:tblPr>
      <w:tblBorders>
        <w:top w:val="single" w:color="008000" w:sz="12" w:space="0"/>
        <w:bottom w:val="single" w:color="008000" w:sz="12" w:space="0"/>
      </w:tblBorders>
    </w:tblPr>
    <w:tcPr>
      <w:shd w:val="clear" w:color="auto" w:fill="auto"/>
    </w:tcPr>
    <w:tblStylePr w:type="firstRow">
      <w:tblPr/>
      <w:tcPr>
        <w:tcBorders>
          <w:top w:val="nil"/>
          <w:left w:val="nil"/>
          <w:bottom w:val="single" w:color="008000" w:sz="6" w:space="0"/>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74">
    <w:name w:val="Table Simple 2"/>
    <w:basedOn w:val="62"/>
    <w:qFormat/>
    <w:uiPriority w:val="0"/>
    <w:pPr>
      <w:widowControl w:val="0"/>
      <w:spacing w:line="500" w:lineRule="exact"/>
      <w:jc w:val="both"/>
    </w:pPr>
    <w:tblPr/>
    <w:tblStylePr w:type="firstRow">
      <w:rPr>
        <w:b/>
        <w:bCs/>
      </w:rPr>
      <w:tblPr/>
      <w:tcPr>
        <w:tcBorders>
          <w:top w:val="nil"/>
          <w:left w:val="nil"/>
          <w:bottom w:val="single" w:color="000000" w:sz="12" w:space="0"/>
          <w:right w:val="nil"/>
          <w:insideH w:val="nil"/>
          <w:insideV w:val="nil"/>
          <w:tl2br w:val="nil"/>
          <w:tr2bl w:val="nil"/>
        </w:tcBorders>
      </w:tcPr>
    </w:tblStylePr>
    <w:tblStylePr w:type="lastRow">
      <w:rPr>
        <w:b/>
        <w:bCs/>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lastCol">
      <w:rPr>
        <w:b/>
        <w:bCs/>
      </w:rPr>
      <w:tblPr/>
      <w:tcPr>
        <w:tcBorders>
          <w:top w:val="nil"/>
          <w:left w:val="single" w:color="000000" w:sz="6" w:space="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75">
    <w:name w:val="Table Simple 3"/>
    <w:basedOn w:val="62"/>
    <w:qFormat/>
    <w:uiPriority w:val="0"/>
    <w:pPr>
      <w:widowControl w:val="0"/>
      <w:spacing w:line="500" w:lineRule="exact"/>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76">
    <w:name w:val="Table Subtle 2"/>
    <w:basedOn w:val="62"/>
    <w:qFormat/>
    <w:uiPriority w:val="0"/>
    <w:pPr>
      <w:widowControl w:val="0"/>
      <w:spacing w:line="500" w:lineRule="exact"/>
      <w:jc w:val="both"/>
    </w:pPr>
    <w:tblPr>
      <w:tblBorders>
        <w:left w:val="single" w:color="000000" w:sz="6" w:space="0"/>
        <w:right w:val="single" w:color="000000" w:sz="6" w:space="0"/>
      </w:tblBorders>
    </w:tblPr>
    <w:tblStylePr w:type="firstRow">
      <w:tblPr/>
      <w:tcPr>
        <w:tcBorders>
          <w:top w:val="nil"/>
          <w:left w:val="nil"/>
          <w:bottom w:val="single" w:color="000000" w:sz="12" w:space="0"/>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firstCol">
      <w:tblPr/>
      <w:tcPr>
        <w:tcBorders>
          <w:top w:val="nil"/>
          <w:left w:val="nil"/>
          <w:bottom w:val="nil"/>
          <w:right w:val="single" w:color="000000" w:sz="12" w:space="0"/>
          <w:insideH w:val="nil"/>
          <w:insideV w:val="nil"/>
          <w:tl2br w:val="nil"/>
          <w:tr2bl w:val="nil"/>
        </w:tcBorders>
        <w:shd w:val="pct25" w:color="008000" w:fill="FFFFFF"/>
      </w:tcPr>
    </w:tblStylePr>
    <w:tblStylePr w:type="lastCol">
      <w:tblPr/>
      <w:tcPr>
        <w:tcBorders>
          <w:top w:val="nil"/>
          <w:left w:val="single" w:color="000000" w:sz="12" w:space="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77">
    <w:name w:val="Table 3D effects 2"/>
    <w:basedOn w:val="62"/>
    <w:qFormat/>
    <w:uiPriority w:val="0"/>
    <w:pPr>
      <w:widowControl w:val="0"/>
      <w:spacing w:line="500" w:lineRule="exact"/>
      <w:jc w:val="both"/>
    </w:p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Horz">
      <w:tblPr/>
      <w:tcPr>
        <w:tcBorders>
          <w:top w:val="single" w:color="808080" w:sz="6" w:space="0"/>
          <w:left w:val="nil"/>
          <w:bottom w:val="single" w:color="FFFFFF" w:sz="6" w:space="0"/>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78">
    <w:name w:val="Light Shading"/>
    <w:basedOn w:val="62"/>
    <w:qFormat/>
    <w:uiPriority w:val="60"/>
    <w:rPr>
      <w:rFonts w:ascii="Times New Roman" w:hAnsi="Times New Roman"/>
      <w:color w:val="000000"/>
    </w:rPr>
    <w:tblPr>
      <w:tblBorders>
        <w:top w:val="single" w:color="000000" w:sz="8" w:space="0"/>
        <w:bottom w:val="single" w:color="000000" w:sz="8" w:space="0"/>
      </w:tblBorders>
    </w:tblPr>
    <w:tcPr>
      <w:tcBorders>
        <w:top w:val="single" w:color="000000" w:sz="8" w:space="0"/>
        <w:left w:val="nil"/>
        <w:bottom w:val="single" w:color="000000" w:sz="8" w:space="0"/>
        <w:right w:val="nil"/>
      </w:tcBorders>
    </w:tcPr>
    <w:tblStylePr w:type="firstRow">
      <w:pPr>
        <w:spacing w:before="0" w:beforeAutospacing="0" w:after="0" w:afterAutospacing="0" w:line="240" w:lineRule="auto"/>
      </w:pPr>
      <w:rPr>
        <w:b/>
        <w:bCs/>
      </w:rPr>
      <w:tblPr/>
      <w:tcPr>
        <w:tcBorders>
          <w:top w:val="single" w:color="000000" w:sz="8" w:space="0"/>
          <w:left w:val="nil"/>
          <w:bottom w:val="single" w:color="000000" w:sz="8" w:space="0"/>
          <w:right w:val="nil"/>
        </w:tcBorders>
      </w:tcPr>
    </w:tblStylePr>
    <w:tblStylePr w:type="lastRow">
      <w:pPr>
        <w:spacing w:before="0" w:beforeAutospacing="0" w:after="0" w:afterAutospacing="0" w:line="240" w:lineRule="auto"/>
      </w:pPr>
      <w:rPr>
        <w:b/>
        <w:bCs/>
      </w:rPr>
      <w:tblPr/>
      <w:tcPr>
        <w:tcBorders>
          <w:top w:val="single" w:color="000000" w:sz="8" w:space="0"/>
          <w:left w:val="nil"/>
          <w:bottom w:val="single" w:color="000000" w:sz="8" w:space="0"/>
          <w:right w:val="nil"/>
        </w:tcBorders>
      </w:tcPr>
    </w:tblStylePr>
    <w:tblStylePr w:type="firstCol">
      <w:rPr>
        <w:b/>
        <w:bCs/>
      </w:rPr>
    </w:tblStylePr>
    <w:tblStylePr w:type="lastCol">
      <w:rPr>
        <w:b/>
        <w:bCs/>
      </w:rPr>
    </w:tblStylePr>
    <w:tblStylePr w:type="band1Vert">
      <w:tblPr/>
      <w:tcPr>
        <w:tcBorders>
          <w:left w:val="nil"/>
          <w:right w:val="nil"/>
        </w:tcBorders>
        <w:shd w:val="clear" w:color="auto" w:fill="C0C0C0"/>
      </w:tcPr>
    </w:tblStylePr>
    <w:tblStylePr w:type="band1Horz">
      <w:tblPr/>
      <w:tcPr>
        <w:tcBorders>
          <w:left w:val="nil"/>
          <w:right w:val="nil"/>
        </w:tcBorders>
        <w:shd w:val="clear" w:color="auto" w:fill="C0C0C0"/>
      </w:tcPr>
    </w:tblStylePr>
  </w:style>
  <w:style w:type="character" w:styleId="80">
    <w:name w:val="Strong"/>
    <w:qFormat/>
    <w:uiPriority w:val="0"/>
    <w:rPr>
      <w:rFonts w:hint="default" w:ascii="Times New Roman" w:hAnsi="Times New Roman" w:cs="Times New Roman"/>
      <w:b/>
      <w:bCs/>
      <w:color w:val="000000"/>
      <w:sz w:val="16"/>
      <w:szCs w:val="16"/>
      <w:u w:val="none"/>
    </w:rPr>
  </w:style>
  <w:style w:type="character" w:styleId="81">
    <w:name w:val="endnote reference"/>
    <w:qFormat/>
    <w:uiPriority w:val="99"/>
    <w:rPr>
      <w:rFonts w:hint="default" w:ascii="Times New Roman" w:hAnsi="Times New Roman" w:cs="Times New Roman"/>
      <w:color w:val="000000"/>
      <w:sz w:val="16"/>
      <w:szCs w:val="16"/>
      <w:u w:val="none"/>
      <w:vertAlign w:val="superscript"/>
    </w:rPr>
  </w:style>
  <w:style w:type="character" w:styleId="82">
    <w:name w:val="page number"/>
    <w:qFormat/>
    <w:uiPriority w:val="0"/>
    <w:rPr>
      <w:rFonts w:hint="default" w:ascii="Times New Roman" w:hAnsi="Times New Roman" w:cs="Times New Roman"/>
      <w:color w:val="000000"/>
      <w:sz w:val="16"/>
      <w:szCs w:val="16"/>
      <w:u w:val="none"/>
    </w:rPr>
  </w:style>
  <w:style w:type="character" w:styleId="83">
    <w:name w:val="FollowedHyperlink"/>
    <w:unhideWhenUsed/>
    <w:qFormat/>
    <w:uiPriority w:val="0"/>
    <w:rPr>
      <w:color w:val="800080"/>
      <w:u w:val="none"/>
    </w:rPr>
  </w:style>
  <w:style w:type="character" w:styleId="84">
    <w:name w:val="Emphasis"/>
    <w:qFormat/>
    <w:uiPriority w:val="0"/>
    <w:rPr>
      <w:rFonts w:hint="default" w:ascii="Times New Roman" w:hAnsi="Times New Roman" w:cs="Times New Roman"/>
      <w:i/>
      <w:color w:val="000000"/>
      <w:sz w:val="16"/>
      <w:szCs w:val="16"/>
      <w:u w:val="none"/>
    </w:rPr>
  </w:style>
  <w:style w:type="character" w:styleId="85">
    <w:name w:val="Hyperlink"/>
    <w:qFormat/>
    <w:uiPriority w:val="99"/>
    <w:rPr>
      <w:color w:val="0000FF"/>
      <w:u w:val="none"/>
    </w:rPr>
  </w:style>
  <w:style w:type="character" w:styleId="86">
    <w:name w:val="annotation reference"/>
    <w:qFormat/>
    <w:uiPriority w:val="99"/>
    <w:rPr>
      <w:rFonts w:hint="default" w:ascii="Times New Roman" w:hAnsi="Times New Roman" w:cs="Times New Roman"/>
      <w:color w:val="000000"/>
      <w:sz w:val="21"/>
      <w:szCs w:val="21"/>
      <w:u w:val="none"/>
    </w:rPr>
  </w:style>
  <w:style w:type="character" w:styleId="87">
    <w:name w:val="footnote reference"/>
    <w:qFormat/>
    <w:uiPriority w:val="99"/>
    <w:rPr>
      <w:rFonts w:hint="default" w:ascii="宋体" w:hAnsi="宋体" w:eastAsia="宋体" w:cs="Courier New"/>
      <w:color w:val="000000"/>
      <w:kern w:val="2"/>
      <w:sz w:val="32"/>
      <w:szCs w:val="32"/>
      <w:u w:val="none"/>
      <w:vertAlign w:val="superscript"/>
      <w:lang w:val="en-US" w:eastAsia="zh-CN"/>
    </w:rPr>
  </w:style>
  <w:style w:type="paragraph" w:customStyle="1" w:styleId="88">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PMingLiU" w:eastAsia="PMingLiU"/>
      <w:kern w:val="0"/>
      <w:sz w:val="16"/>
      <w:szCs w:val="16"/>
      <w:lang w:eastAsia="zh-TW"/>
    </w:rPr>
  </w:style>
  <w:style w:type="paragraph" w:customStyle="1" w:styleId="89">
    <w:name w:val="A正文"/>
    <w:basedOn w:val="1"/>
    <w:next w:val="25"/>
    <w:link w:val="1354"/>
    <w:qFormat/>
    <w:uiPriority w:val="0"/>
    <w:pPr>
      <w:widowControl/>
      <w:overflowPunct w:val="0"/>
      <w:autoSpaceDE w:val="0"/>
      <w:autoSpaceDN w:val="0"/>
      <w:jc w:val="left"/>
      <w:textAlignment w:val="baseline"/>
    </w:pPr>
  </w:style>
  <w:style w:type="character" w:customStyle="1" w:styleId="90">
    <w:name w:val="表内5 Char3"/>
    <w:qFormat/>
    <w:uiPriority w:val="0"/>
    <w:rPr>
      <w:rFonts w:hint="default" w:ascii="宋体" w:hAnsi="宋体" w:eastAsia="宋体" w:cs="Times New Roman"/>
      <w:color w:val="000000"/>
      <w:kern w:val="2"/>
      <w:sz w:val="24"/>
      <w:szCs w:val="24"/>
      <w:u w:val="none"/>
      <w:lang w:val="en-US" w:eastAsia="zh-CN"/>
    </w:rPr>
  </w:style>
  <w:style w:type="character" w:customStyle="1" w:styleId="91">
    <w:name w:val="表中文字 Char23"/>
    <w:qFormat/>
    <w:uiPriority w:val="0"/>
    <w:rPr>
      <w:rFonts w:hint="default" w:ascii="宋体" w:hAnsi="Times New Roman" w:eastAsia="宋体" w:cs="Times New Roman"/>
      <w:color w:val="000000"/>
      <w:kern w:val="2"/>
      <w:sz w:val="21"/>
      <w:szCs w:val="21"/>
      <w:u w:val="none"/>
      <w:lang w:val="en-US" w:eastAsia="zh-CN"/>
    </w:rPr>
  </w:style>
  <w:style w:type="character" w:customStyle="1" w:styleId="92">
    <w:name w:val="标题 3 Char141"/>
    <w:qFormat/>
    <w:uiPriority w:val="0"/>
    <w:rPr>
      <w:rFonts w:hint="default" w:ascii="黑体" w:hAnsi="宋体" w:eastAsia="黑体" w:cs="Times New Roman"/>
      <w:b/>
      <w:bCs/>
      <w:color w:val="000000"/>
      <w:kern w:val="2"/>
      <w:sz w:val="28"/>
      <w:szCs w:val="28"/>
      <w:u w:val="none"/>
      <w:lang w:val="en-US" w:eastAsia="zh-CN"/>
    </w:rPr>
  </w:style>
  <w:style w:type="character" w:customStyle="1" w:styleId="93">
    <w:name w:val="表题1 Char71"/>
    <w:qFormat/>
    <w:uiPriority w:val="0"/>
    <w:rPr>
      <w:rFonts w:hint="default" w:ascii="黑体" w:hAnsi="Arial" w:eastAsia="黑体" w:cs="Arial"/>
      <w:b/>
      <w:color w:val="000000"/>
      <w:kern w:val="2"/>
      <w:sz w:val="24"/>
      <w:szCs w:val="24"/>
      <w:u w:val="none"/>
      <w:lang w:val="en-US" w:eastAsia="zh-CN"/>
    </w:rPr>
  </w:style>
  <w:style w:type="character" w:customStyle="1" w:styleId="94">
    <w:name w:val="标题正文黑 Char2"/>
    <w:qFormat/>
    <w:uiPriority w:val="0"/>
    <w:rPr>
      <w:rFonts w:hint="default" w:ascii="黑体" w:hAnsi="Times New Roman" w:eastAsia="黑体" w:cs="Times New Roman"/>
      <w:color w:val="000000"/>
      <w:kern w:val="2"/>
      <w:sz w:val="28"/>
      <w:szCs w:val="28"/>
      <w:u w:val="none"/>
      <w:lang w:val="en-US" w:eastAsia="zh-CN"/>
    </w:rPr>
  </w:style>
  <w:style w:type="character" w:customStyle="1" w:styleId="95">
    <w:name w:val="正文文本首行缩进 字符"/>
    <w:link w:val="60"/>
    <w:qFormat/>
    <w:uiPriority w:val="0"/>
    <w:rPr>
      <w:rFonts w:hint="default" w:ascii="Calibri" w:hAnsi="Calibri" w:eastAsia="仿宋_GB2312" w:cs="Times New Roman"/>
      <w:color w:val="000000"/>
      <w:sz w:val="28"/>
      <w:szCs w:val="16"/>
      <w:u w:val="none"/>
    </w:rPr>
  </w:style>
  <w:style w:type="character" w:customStyle="1" w:styleId="96">
    <w:name w:val="正文3 Char1"/>
    <w:link w:val="97"/>
    <w:qFormat/>
    <w:uiPriority w:val="0"/>
    <w:rPr>
      <w:rFonts w:hint="default" w:ascii="宋体" w:hAnsi="Times New Roman" w:cs="Times New Roman"/>
      <w:color w:val="000000"/>
      <w:sz w:val="34"/>
      <w:szCs w:val="16"/>
      <w:u w:val="none"/>
    </w:rPr>
  </w:style>
  <w:style w:type="paragraph" w:customStyle="1" w:styleId="97">
    <w:name w:val="正文3"/>
    <w:link w:val="96"/>
    <w:qFormat/>
    <w:uiPriority w:val="0"/>
    <w:pPr>
      <w:widowControl w:val="0"/>
      <w:adjustRightInd w:val="0"/>
      <w:spacing w:line="312" w:lineRule="atLeast"/>
      <w:textAlignment w:val="baseline"/>
    </w:pPr>
    <w:rPr>
      <w:rFonts w:ascii="宋体" w:hAnsi="Times New Roman" w:eastAsia="宋体" w:cs="Times New Roman"/>
      <w:color w:val="000000"/>
      <w:sz w:val="34"/>
      <w:szCs w:val="22"/>
      <w:lang w:val="en-US" w:eastAsia="zh-CN" w:bidi="ar-SA"/>
    </w:rPr>
  </w:style>
  <w:style w:type="paragraph" w:customStyle="1" w:styleId="98">
    <w:name w:val="!正文"/>
    <w:qFormat/>
    <w:uiPriority w:val="0"/>
    <w:pPr>
      <w:spacing w:line="360" w:lineRule="auto"/>
      <w:jc w:val="both"/>
    </w:pPr>
    <w:rPr>
      <w:rFonts w:ascii="Calibri" w:hAnsi="Calibri" w:eastAsia="宋体" w:cs="Calibri"/>
      <w:kern w:val="2"/>
      <w:sz w:val="24"/>
      <w:szCs w:val="24"/>
      <w:lang w:val="en-US" w:eastAsia="zh-CN" w:bidi="ar-SA"/>
    </w:rPr>
  </w:style>
  <w:style w:type="character" w:customStyle="1" w:styleId="99">
    <w:name w:val="正文修改 Char1221"/>
    <w:qFormat/>
    <w:uiPriority w:val="0"/>
    <w:rPr>
      <w:rFonts w:hint="default" w:ascii="宋体" w:hAnsi="宋体" w:eastAsia="宋体" w:cs="宋体"/>
      <w:color w:val="000000"/>
      <w:kern w:val="2"/>
      <w:sz w:val="24"/>
      <w:szCs w:val="24"/>
      <w:u w:val="none"/>
      <w:lang w:val="en-US" w:eastAsia="zh-CN"/>
    </w:rPr>
  </w:style>
  <w:style w:type="character" w:customStyle="1" w:styleId="100">
    <w:name w:val="批注框文本 Char5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101">
    <w:name w:val="mainfirst1"/>
    <w:qFormat/>
    <w:uiPriority w:val="0"/>
    <w:rPr>
      <w:rFonts w:hint="default" w:ascii="宋体" w:hAnsi="宋体" w:eastAsia="黑体" w:cs="宋体"/>
      <w:b/>
      <w:bCs/>
      <w:color w:val="FF0000"/>
      <w:kern w:val="2"/>
      <w:sz w:val="36"/>
      <w:szCs w:val="36"/>
      <w:u w:val="none"/>
      <w:lang w:val="en-US" w:eastAsia="zh-CN"/>
    </w:rPr>
  </w:style>
  <w:style w:type="character" w:customStyle="1" w:styleId="102">
    <w:name w:val="正文斜体 Char111"/>
    <w:qFormat/>
    <w:uiPriority w:val="0"/>
    <w:rPr>
      <w:rFonts w:hint="default" w:ascii="宋体" w:hAnsi="宋体" w:eastAsia="宋体" w:cs="Times New Roman"/>
      <w:i/>
      <w:iCs/>
      <w:color w:val="000000"/>
      <w:kern w:val="2"/>
      <w:sz w:val="24"/>
      <w:szCs w:val="24"/>
      <w:u w:val="none"/>
      <w:lang w:val="en-US" w:eastAsia="zh-CN"/>
    </w:rPr>
  </w:style>
  <w:style w:type="character" w:customStyle="1" w:styleId="103">
    <w:name w:val="Char Char114"/>
    <w:qFormat/>
    <w:uiPriority w:val="0"/>
    <w:rPr>
      <w:rFonts w:hint="default" w:ascii="黑体" w:hAnsi="Arial" w:eastAsia="黑体" w:cs="Times New Roman"/>
      <w:bCs/>
      <w:color w:val="000000"/>
      <w:kern w:val="2"/>
      <w:sz w:val="30"/>
      <w:szCs w:val="30"/>
      <w:u w:val="none"/>
      <w:lang w:val="en-US" w:eastAsia="zh-CN"/>
    </w:rPr>
  </w:style>
  <w:style w:type="character" w:customStyle="1" w:styleId="104">
    <w:name w:val="正文标题2 Char Char"/>
    <w:link w:val="105"/>
    <w:qFormat/>
    <w:uiPriority w:val="0"/>
    <w:rPr>
      <w:rFonts w:hint="default" w:ascii="Times New Roman" w:hAnsi="Times New Roman" w:eastAsia="仿宋_GB2312" w:cs="Times New Roman"/>
      <w:b/>
      <w:color w:val="000000"/>
      <w:sz w:val="30"/>
      <w:szCs w:val="16"/>
      <w:u w:val="none"/>
    </w:rPr>
  </w:style>
  <w:style w:type="paragraph" w:customStyle="1" w:styleId="105">
    <w:name w:val="正文标题2"/>
    <w:basedOn w:val="98"/>
    <w:link w:val="104"/>
    <w:qFormat/>
    <w:uiPriority w:val="0"/>
    <w:pPr>
      <w:spacing w:beforeLines="50" w:afterLines="50" w:line="500" w:lineRule="exact"/>
      <w:outlineLvl w:val="1"/>
    </w:pPr>
    <w:rPr>
      <w:rFonts w:ascii="Times New Roman" w:hAnsi="Times New Roman" w:eastAsia="仿宋_GB2312" w:cs="Times New Roman"/>
      <w:b/>
      <w:color w:val="000000"/>
      <w:sz w:val="30"/>
      <w:szCs w:val="22"/>
    </w:rPr>
  </w:style>
  <w:style w:type="character" w:customStyle="1" w:styleId="106">
    <w:name w:val="font132"/>
    <w:qFormat/>
    <w:uiPriority w:val="0"/>
    <w:rPr>
      <w:rFonts w:hint="default" w:ascii="Times New Roman" w:hAnsi="Times New Roman" w:cs="Times New Roman"/>
      <w:color w:val="000000"/>
      <w:sz w:val="16"/>
      <w:szCs w:val="16"/>
      <w:u w:val="none"/>
    </w:rPr>
  </w:style>
  <w:style w:type="character" w:customStyle="1" w:styleId="107">
    <w:name w:val="Char4 Char Char Char Char4"/>
    <w:link w:val="108"/>
    <w:qFormat/>
    <w:uiPriority w:val="0"/>
    <w:rPr>
      <w:rFonts w:hint="default" w:ascii="Times New Roman" w:hAnsi="Times New Roman" w:eastAsia="仿宋_GB2312" w:cs="Times New Roman"/>
      <w:color w:val="000000"/>
      <w:sz w:val="24"/>
      <w:szCs w:val="16"/>
      <w:u w:val="none"/>
    </w:rPr>
  </w:style>
  <w:style w:type="paragraph" w:customStyle="1" w:styleId="108">
    <w:name w:val="Char4 Char Char Char5"/>
    <w:basedOn w:val="1"/>
    <w:link w:val="107"/>
    <w:qFormat/>
    <w:uiPriority w:val="0"/>
    <w:pPr>
      <w:widowControl/>
      <w:jc w:val="left"/>
    </w:pPr>
  </w:style>
  <w:style w:type="character" w:customStyle="1" w:styleId="109">
    <w:name w:val="福建正文缩进 Char2"/>
    <w:qFormat/>
    <w:uiPriority w:val="0"/>
    <w:rPr>
      <w:rFonts w:hint="default" w:ascii="宋体" w:hAnsi="宋体" w:eastAsia="宋体" w:cs="宋体"/>
      <w:color w:val="000000"/>
      <w:kern w:val="2"/>
      <w:sz w:val="24"/>
      <w:szCs w:val="24"/>
      <w:u w:val="none"/>
      <w:lang w:val="en-US" w:eastAsia="zh-CN"/>
    </w:rPr>
  </w:style>
  <w:style w:type="character" w:customStyle="1" w:styleId="110">
    <w:name w:val="样式 正文缩进 + 宋体 黑色 Char Char"/>
    <w:link w:val="111"/>
    <w:qFormat/>
    <w:uiPriority w:val="0"/>
    <w:rPr>
      <w:rFonts w:hint="default" w:ascii="宋体" w:hAnsi="Times New Roman" w:cs="Times New Roman"/>
      <w:color w:val="000000"/>
      <w:sz w:val="24"/>
      <w:szCs w:val="16"/>
      <w:u w:val="none"/>
    </w:rPr>
  </w:style>
  <w:style w:type="paragraph" w:customStyle="1" w:styleId="111">
    <w:name w:val="样式 正文缩进 + 宋体 黑色"/>
    <w:link w:val="110"/>
    <w:qFormat/>
    <w:uiPriority w:val="0"/>
    <w:rPr>
      <w:rFonts w:ascii="Times New Roman" w:hAnsi="Calibri" w:eastAsia="宋体" w:cs="Times New Roman"/>
      <w:lang w:val="en-US" w:eastAsia="zh-CN" w:bidi="ar-SA"/>
    </w:rPr>
  </w:style>
  <w:style w:type="paragraph" w:customStyle="1" w:styleId="112">
    <w:name w:val="正文缩进1"/>
    <w:basedOn w:val="1"/>
    <w:link w:val="315"/>
    <w:qFormat/>
    <w:uiPriority w:val="0"/>
    <w:pPr>
      <w:widowControl/>
      <w:jc w:val="left"/>
    </w:pPr>
    <w:rPr>
      <w:rFonts w:ascii="宋体" w:hAnsi="宋体"/>
    </w:rPr>
  </w:style>
  <w:style w:type="character" w:customStyle="1" w:styleId="113">
    <w:name w:val="标题 2 Char1 Char"/>
    <w:qFormat/>
    <w:uiPriority w:val="0"/>
    <w:rPr>
      <w:rFonts w:hint="default" w:ascii="黑体" w:hAnsi="Arial" w:eastAsia="黑体" w:cs="Times New Roman"/>
      <w:b/>
      <w:bCs/>
      <w:color w:val="000000"/>
      <w:kern w:val="2"/>
      <w:sz w:val="30"/>
      <w:szCs w:val="30"/>
      <w:u w:val="none"/>
      <w:lang w:val="en-US" w:eastAsia="zh-CN"/>
    </w:rPr>
  </w:style>
  <w:style w:type="character" w:customStyle="1" w:styleId="114">
    <w:name w:val="标题 3 Char15"/>
    <w:qFormat/>
    <w:uiPriority w:val="0"/>
    <w:rPr>
      <w:rFonts w:hint="default" w:ascii="Times New Roman" w:hAnsi="宋体" w:eastAsia="宋体" w:cs="Times New Roman"/>
      <w:bCs/>
      <w:color w:val="000000"/>
      <w:kern w:val="2"/>
      <w:sz w:val="28"/>
      <w:szCs w:val="28"/>
      <w:u w:val="none"/>
      <w:lang w:val="en-US" w:eastAsia="zh-CN"/>
    </w:rPr>
  </w:style>
  <w:style w:type="character" w:customStyle="1" w:styleId="115">
    <w:name w:val="正文文本 Char2"/>
    <w:qFormat/>
    <w:uiPriority w:val="0"/>
    <w:rPr>
      <w:rFonts w:hint="default" w:ascii="Times New Roman" w:hAnsi="Times New Roman" w:cs="Times New Roman"/>
      <w:color w:val="000000"/>
      <w:sz w:val="16"/>
      <w:szCs w:val="16"/>
      <w:u w:val="none"/>
    </w:rPr>
  </w:style>
  <w:style w:type="character" w:customStyle="1" w:styleId="116">
    <w:name w:val="题注 Char3111"/>
    <w:qFormat/>
    <w:uiPriority w:val="0"/>
    <w:rPr>
      <w:rFonts w:hint="default" w:ascii="黑体" w:hAnsi="Arial" w:eastAsia="黑体" w:cs="Arial"/>
      <w:b/>
      <w:color w:val="000000"/>
      <w:kern w:val="2"/>
      <w:sz w:val="24"/>
      <w:szCs w:val="24"/>
      <w:u w:val="none"/>
      <w:lang w:val="en-US" w:eastAsia="zh-CN"/>
    </w:rPr>
  </w:style>
  <w:style w:type="character" w:customStyle="1" w:styleId="117">
    <w:name w:val="Char Char102"/>
    <w:qFormat/>
    <w:uiPriority w:val="0"/>
    <w:rPr>
      <w:rFonts w:hint="default" w:ascii="宋体" w:hAnsi="宋体" w:eastAsia="宋体" w:cs="宋体"/>
      <w:color w:val="000000"/>
      <w:kern w:val="2"/>
      <w:sz w:val="24"/>
      <w:szCs w:val="24"/>
      <w:u w:val="none"/>
      <w:lang w:val="en-US" w:eastAsia="zh-CN"/>
    </w:rPr>
  </w:style>
  <w:style w:type="character" w:customStyle="1" w:styleId="118">
    <w:name w:val="Char Char615"/>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19">
    <w:name w:val="新正文 Char Char"/>
    <w:link w:val="120"/>
    <w:qFormat/>
    <w:uiPriority w:val="0"/>
    <w:rPr>
      <w:rFonts w:hint="default" w:ascii="仿宋_GB2312" w:hAnsi="Times New Roman" w:eastAsia="仿宋_GB2312" w:cs="Times New Roman"/>
      <w:color w:val="000000"/>
      <w:sz w:val="28"/>
      <w:szCs w:val="16"/>
      <w:u w:val="none"/>
    </w:rPr>
  </w:style>
  <w:style w:type="paragraph" w:customStyle="1" w:styleId="120">
    <w:name w:val="新正文"/>
    <w:basedOn w:val="1"/>
    <w:link w:val="119"/>
    <w:qFormat/>
    <w:uiPriority w:val="0"/>
    <w:pPr>
      <w:spacing w:line="480" w:lineRule="exact"/>
      <w:ind w:firstLine="482"/>
    </w:pPr>
    <w:rPr>
      <w:rFonts w:ascii="仿宋_GB2312"/>
    </w:rPr>
  </w:style>
  <w:style w:type="character" w:customStyle="1" w:styleId="121">
    <w:name w:val="正文首行缩进 Char11"/>
    <w:qFormat/>
    <w:uiPriority w:val="0"/>
    <w:rPr>
      <w:rFonts w:hint="default" w:ascii="Times New Roman" w:hAnsi="Times New Roman" w:eastAsia="宋体" w:cs="Times New Roman"/>
      <w:color w:val="000000"/>
      <w:kern w:val="2"/>
      <w:sz w:val="21"/>
      <w:szCs w:val="24"/>
      <w:u w:val="none"/>
      <w:lang w:val="en-US" w:eastAsia="zh-CN"/>
    </w:rPr>
  </w:style>
  <w:style w:type="character" w:customStyle="1" w:styleId="122">
    <w:name w:val="Char Char516"/>
    <w:qFormat/>
    <w:uiPriority w:val="0"/>
    <w:rPr>
      <w:rFonts w:hint="default" w:ascii="黑体" w:hAnsi="宋体" w:eastAsia="黑体" w:cs="Times New Roman"/>
      <w:bCs/>
      <w:color w:val="000000"/>
      <w:kern w:val="2"/>
      <w:sz w:val="28"/>
      <w:szCs w:val="28"/>
      <w:u w:val="none"/>
      <w:lang w:val="en-US" w:eastAsia="zh-CN"/>
    </w:rPr>
  </w:style>
  <w:style w:type="character" w:customStyle="1" w:styleId="123">
    <w:name w:val="标题5改 Char Char"/>
    <w:link w:val="124"/>
    <w:qFormat/>
    <w:uiPriority w:val="0"/>
    <w:rPr>
      <w:rFonts w:hint="default" w:ascii="宋体" w:hAnsi="Times New Roman" w:cs="Times New Roman"/>
      <w:b/>
      <w:color w:val="000000"/>
      <w:sz w:val="28"/>
      <w:szCs w:val="16"/>
      <w:u w:val="none"/>
    </w:rPr>
  </w:style>
  <w:style w:type="paragraph" w:customStyle="1" w:styleId="124">
    <w:name w:val="标题5改"/>
    <w:basedOn w:val="1"/>
    <w:link w:val="123"/>
    <w:qFormat/>
    <w:uiPriority w:val="0"/>
    <w:pPr>
      <w:widowControl/>
      <w:spacing w:line="560" w:lineRule="exact"/>
      <w:jc w:val="left"/>
      <w:outlineLvl w:val="4"/>
    </w:pPr>
    <w:rPr>
      <w:rFonts w:ascii="宋体"/>
      <w:b/>
    </w:rPr>
  </w:style>
  <w:style w:type="character" w:customStyle="1" w:styleId="125">
    <w:name w:val="题注 Char34"/>
    <w:qFormat/>
    <w:uiPriority w:val="0"/>
    <w:rPr>
      <w:rFonts w:hint="default" w:ascii="黑体" w:hAnsi="Arial" w:eastAsia="黑体" w:cs="Arial"/>
      <w:b/>
      <w:color w:val="000000"/>
      <w:kern w:val="2"/>
      <w:sz w:val="24"/>
      <w:szCs w:val="24"/>
      <w:u w:val="none"/>
      <w:lang w:val="en-US" w:eastAsia="zh-CN"/>
    </w:rPr>
  </w:style>
  <w:style w:type="character" w:customStyle="1" w:styleId="126">
    <w:name w:val="图表题 Char4"/>
    <w:qFormat/>
    <w:uiPriority w:val="0"/>
    <w:rPr>
      <w:rFonts w:hint="default" w:ascii="黑体" w:hAnsi="宋体" w:eastAsia="黑体" w:cs="宋体"/>
      <w:b/>
      <w:bCs/>
      <w:color w:val="000000"/>
      <w:kern w:val="2"/>
      <w:sz w:val="24"/>
      <w:szCs w:val="24"/>
      <w:u w:val="none"/>
      <w:lang w:val="en-US" w:eastAsia="zh-CN"/>
    </w:rPr>
  </w:style>
  <w:style w:type="character" w:customStyle="1" w:styleId="127">
    <w:name w:val="Char Char2110"/>
    <w:qFormat/>
    <w:uiPriority w:val="0"/>
    <w:rPr>
      <w:rFonts w:hint="default" w:ascii="黑体" w:hAnsi="Times New Roman" w:eastAsia="宋体" w:cs="Times New Roman"/>
      <w:color w:val="000000"/>
      <w:kern w:val="2"/>
      <w:sz w:val="16"/>
      <w:szCs w:val="16"/>
      <w:u w:val="none"/>
      <w:lang w:val="en-US" w:eastAsia="zh-CN"/>
    </w:rPr>
  </w:style>
  <w:style w:type="character" w:customStyle="1" w:styleId="128">
    <w:name w:val="KY-正文-5 Char Char"/>
    <w:link w:val="129"/>
    <w:qFormat/>
    <w:uiPriority w:val="0"/>
    <w:rPr>
      <w:rFonts w:hint="default" w:ascii="Times New Roman" w:hAnsi="Times New Roman" w:cs="Times New Roman"/>
      <w:color w:val="000000"/>
      <w:sz w:val="28"/>
      <w:szCs w:val="28"/>
      <w:u w:val="none"/>
    </w:rPr>
  </w:style>
  <w:style w:type="paragraph" w:customStyle="1" w:styleId="129">
    <w:name w:val="KY-正文-5"/>
    <w:basedOn w:val="1"/>
    <w:next w:val="1"/>
    <w:link w:val="128"/>
    <w:qFormat/>
    <w:uiPriority w:val="0"/>
    <w:pPr>
      <w:tabs>
        <w:tab w:val="left" w:pos="360"/>
      </w:tabs>
      <w:ind w:left="360" w:hanging="360"/>
      <w:outlineLvl w:val="4"/>
    </w:pPr>
    <w:rPr>
      <w:szCs w:val="28"/>
    </w:rPr>
  </w:style>
  <w:style w:type="character" w:customStyle="1" w:styleId="130">
    <w:name w:val="大港正文 Char Char"/>
    <w:link w:val="131"/>
    <w:qFormat/>
    <w:uiPriority w:val="0"/>
    <w:rPr>
      <w:rFonts w:hint="default" w:ascii="仿宋_GB2312" w:hAnsi="宋体" w:eastAsia="仿宋_GB2312" w:cs="Times New Roman"/>
      <w:color w:val="000000"/>
      <w:sz w:val="28"/>
      <w:szCs w:val="16"/>
      <w:u w:val="none"/>
    </w:rPr>
  </w:style>
  <w:style w:type="paragraph" w:customStyle="1" w:styleId="131">
    <w:name w:val="大港正文"/>
    <w:basedOn w:val="1"/>
    <w:next w:val="1"/>
    <w:link w:val="130"/>
    <w:qFormat/>
    <w:uiPriority w:val="0"/>
    <w:pPr>
      <w:widowControl/>
      <w:jc w:val="left"/>
    </w:pPr>
    <w:rPr>
      <w:rFonts w:ascii="仿宋_GB2312" w:hAnsi="宋体"/>
    </w:rPr>
  </w:style>
  <w:style w:type="character" w:customStyle="1" w:styleId="132">
    <w:name w:val="Char Char417"/>
    <w:qFormat/>
    <w:uiPriority w:val="0"/>
    <w:rPr>
      <w:rFonts w:hint="default" w:ascii="黑体" w:hAnsi="Arial" w:eastAsia="黑体" w:cs="Times New Roman"/>
      <w:b/>
      <w:bCs/>
      <w:color w:val="000000"/>
      <w:kern w:val="2"/>
      <w:sz w:val="30"/>
      <w:szCs w:val="30"/>
      <w:u w:val="none"/>
      <w:lang w:val="en-US" w:eastAsia="zh-CN"/>
    </w:rPr>
  </w:style>
  <w:style w:type="character" w:customStyle="1" w:styleId="133">
    <w:name w:val="正文修改 Char113"/>
    <w:qFormat/>
    <w:uiPriority w:val="0"/>
    <w:rPr>
      <w:rFonts w:hint="default" w:ascii="宋体" w:hAnsi="宋体" w:eastAsia="宋体" w:cs="宋体"/>
      <w:color w:val="000000"/>
      <w:kern w:val="2"/>
      <w:sz w:val="24"/>
      <w:szCs w:val="24"/>
      <w:u w:val="none"/>
      <w:lang w:val="en-US" w:eastAsia="zh-CN"/>
    </w:rPr>
  </w:style>
  <w:style w:type="character" w:customStyle="1" w:styleId="134">
    <w:name w:val="Char Char211"/>
    <w:qFormat/>
    <w:uiPriority w:val="0"/>
    <w:rPr>
      <w:rFonts w:hint="default" w:ascii="黑体" w:hAnsi="Times New Roman" w:eastAsia="宋体" w:cs="Times New Roman"/>
      <w:color w:val="000000"/>
      <w:kern w:val="2"/>
      <w:sz w:val="16"/>
      <w:szCs w:val="16"/>
      <w:u w:val="none"/>
      <w:lang w:val="en-US" w:eastAsia="zh-CN"/>
    </w:rPr>
  </w:style>
  <w:style w:type="character" w:customStyle="1" w:styleId="135">
    <w:name w:val="标题正文黑 Char1"/>
    <w:qFormat/>
    <w:uiPriority w:val="0"/>
    <w:rPr>
      <w:rFonts w:hint="default" w:ascii="黑体" w:hAnsi="Times New Roman" w:eastAsia="黑体" w:cs="Times New Roman"/>
      <w:color w:val="000000"/>
      <w:kern w:val="2"/>
      <w:sz w:val="28"/>
      <w:szCs w:val="28"/>
      <w:u w:val="none"/>
      <w:lang w:val="en-US" w:eastAsia="zh-CN"/>
    </w:rPr>
  </w:style>
  <w:style w:type="character" w:customStyle="1" w:styleId="136">
    <w:name w:val="表题1 Char81"/>
    <w:qFormat/>
    <w:uiPriority w:val="0"/>
    <w:rPr>
      <w:rFonts w:hint="default" w:ascii="黑体" w:hAnsi="Arial" w:eastAsia="黑体" w:cs="Arial"/>
      <w:b/>
      <w:color w:val="000000"/>
      <w:kern w:val="2"/>
      <w:sz w:val="24"/>
      <w:szCs w:val="24"/>
      <w:u w:val="none"/>
      <w:lang w:val="en-US" w:eastAsia="zh-CN"/>
    </w:rPr>
  </w:style>
  <w:style w:type="character" w:customStyle="1" w:styleId="137">
    <w:name w:val="列出段落 Char"/>
    <w:qFormat/>
    <w:uiPriority w:val="0"/>
    <w:rPr>
      <w:rFonts w:hint="default" w:ascii="Arial" w:hAnsi="Arial" w:eastAsia="仿宋_GB2312" w:cs="Times New Roman"/>
      <w:color w:val="000000"/>
      <w:sz w:val="28"/>
      <w:szCs w:val="16"/>
      <w:u w:val="none"/>
    </w:rPr>
  </w:style>
  <w:style w:type="character" w:customStyle="1" w:styleId="138">
    <w:name w:val="表中文字 Char241"/>
    <w:qFormat/>
    <w:uiPriority w:val="0"/>
    <w:rPr>
      <w:rFonts w:hint="default" w:ascii="宋体" w:hAnsi="Times New Roman" w:eastAsia="宋体" w:cs="Times New Roman"/>
      <w:color w:val="000000"/>
      <w:kern w:val="2"/>
      <w:sz w:val="21"/>
      <w:szCs w:val="21"/>
      <w:u w:val="none"/>
      <w:lang w:val="en-US" w:eastAsia="zh-CN"/>
    </w:rPr>
  </w:style>
  <w:style w:type="character" w:customStyle="1" w:styleId="139">
    <w:name w:val="标题 Char1"/>
    <w:qFormat/>
    <w:uiPriority w:val="10"/>
    <w:rPr>
      <w:rFonts w:hint="default" w:ascii="Cambria" w:hAnsi="Cambria" w:cs="Times New Roman"/>
      <w:b/>
      <w:color w:val="000000"/>
      <w:kern w:val="2"/>
      <w:sz w:val="32"/>
      <w:szCs w:val="16"/>
      <w:u w:val="none"/>
    </w:rPr>
  </w:style>
  <w:style w:type="character" w:customStyle="1" w:styleId="140">
    <w:name w:val="Char Char54"/>
    <w:qFormat/>
    <w:uiPriority w:val="0"/>
    <w:rPr>
      <w:rFonts w:hint="default" w:ascii="黑体" w:hAnsi="宋体" w:eastAsia="黑体" w:cs="Times New Roman"/>
      <w:bCs/>
      <w:color w:val="000000"/>
      <w:kern w:val="2"/>
      <w:sz w:val="28"/>
      <w:szCs w:val="28"/>
      <w:u w:val="none"/>
      <w:lang w:val="en-US" w:eastAsia="zh-CN"/>
    </w:rPr>
  </w:style>
  <w:style w:type="character" w:customStyle="1" w:styleId="141">
    <w:name w:val="条标题1.1.1 Char4"/>
    <w:qFormat/>
    <w:uiPriority w:val="0"/>
    <w:rPr>
      <w:rFonts w:hint="default" w:ascii="Times New Roman" w:hAnsi="Times New Roman" w:eastAsia="仿宋_GB2312" w:cs="Times New Roman"/>
      <w:b/>
      <w:bCs/>
      <w:color w:val="000000"/>
      <w:kern w:val="2"/>
      <w:sz w:val="28"/>
      <w:szCs w:val="32"/>
      <w:u w:val="none"/>
      <w:lang w:val="en-US" w:eastAsia="zh-CN"/>
    </w:rPr>
  </w:style>
  <w:style w:type="character" w:customStyle="1" w:styleId="142">
    <w:name w:val="标题 9 字符"/>
    <w:link w:val="10"/>
    <w:qFormat/>
    <w:uiPriority w:val="0"/>
    <w:rPr>
      <w:rFonts w:ascii="Arial" w:hAnsi="Arial" w:eastAsia="黑体"/>
      <w:color w:val="000000"/>
      <w:kern w:val="2"/>
      <w:sz w:val="24"/>
      <w:szCs w:val="22"/>
    </w:rPr>
  </w:style>
  <w:style w:type="character" w:customStyle="1" w:styleId="143">
    <w:name w:val="正文首行缩进 2 Char11"/>
    <w:qFormat/>
    <w:uiPriority w:val="0"/>
    <w:rPr>
      <w:rFonts w:hint="default" w:ascii="仿宋_GB2312" w:hAnsi="Times New Roman" w:eastAsia="仿宋_GB2312" w:cs="Times New Roman"/>
      <w:color w:val="000000"/>
      <w:kern w:val="2"/>
      <w:sz w:val="21"/>
      <w:szCs w:val="16"/>
      <w:u w:val="none"/>
      <w:lang w:val="en-US" w:eastAsia="zh-CN"/>
    </w:rPr>
  </w:style>
  <w:style w:type="character" w:customStyle="1" w:styleId="144">
    <w:name w:val="正文 文本 Char"/>
    <w:qFormat/>
    <w:uiPriority w:val="0"/>
    <w:rPr>
      <w:rFonts w:hint="default" w:ascii="Times New Roman" w:hAnsi="Times New Roman" w:eastAsia="仿宋_GB2312" w:cs="Times New Roman"/>
      <w:color w:val="000000"/>
      <w:sz w:val="28"/>
      <w:szCs w:val="24"/>
      <w:u w:val="none"/>
    </w:rPr>
  </w:style>
  <w:style w:type="character" w:customStyle="1" w:styleId="145">
    <w:name w:val="题注 Char23"/>
    <w:qFormat/>
    <w:uiPriority w:val="0"/>
    <w:rPr>
      <w:rFonts w:hint="default" w:ascii="黑体" w:hAnsi="Arial" w:eastAsia="黑体" w:cs="Arial"/>
      <w:b/>
      <w:color w:val="000000"/>
      <w:kern w:val="2"/>
      <w:sz w:val="24"/>
      <w:szCs w:val="24"/>
      <w:u w:val="none"/>
      <w:lang w:val="en-US" w:eastAsia="zh-CN"/>
    </w:rPr>
  </w:style>
  <w:style w:type="character" w:customStyle="1" w:styleId="146">
    <w:name w:val="题注 Char511"/>
    <w:qFormat/>
    <w:uiPriority w:val="0"/>
    <w:rPr>
      <w:rFonts w:hint="default" w:ascii="黑体" w:hAnsi="Arial" w:eastAsia="黑体" w:cs="Arial"/>
      <w:b/>
      <w:color w:val="000000"/>
      <w:kern w:val="2"/>
      <w:sz w:val="24"/>
      <w:szCs w:val="24"/>
      <w:u w:val="none"/>
      <w:lang w:val="en-US" w:eastAsia="zh-CN"/>
    </w:rPr>
  </w:style>
  <w:style w:type="character" w:customStyle="1" w:styleId="147">
    <w:name w:val="正文文本缩进 Char2"/>
    <w:qFormat/>
    <w:uiPriority w:val="0"/>
    <w:rPr>
      <w:rFonts w:hint="default" w:ascii="Times New Roman" w:hAnsi="Times New Roman" w:eastAsia="宋体" w:cs="Times New Roman"/>
      <w:color w:val="000000"/>
      <w:sz w:val="16"/>
      <w:szCs w:val="24"/>
      <w:u w:val="none"/>
    </w:rPr>
  </w:style>
  <w:style w:type="character" w:customStyle="1" w:styleId="148">
    <w:name w:val="正文5 Char Char"/>
    <w:link w:val="149"/>
    <w:qFormat/>
    <w:uiPriority w:val="0"/>
    <w:rPr>
      <w:rFonts w:hint="default" w:ascii="Times New Roman" w:hAnsi="Times New Roman" w:cs="Times New Roman"/>
      <w:color w:val="000000"/>
      <w:sz w:val="24"/>
      <w:szCs w:val="16"/>
      <w:u w:val="none"/>
    </w:rPr>
  </w:style>
  <w:style w:type="paragraph" w:customStyle="1" w:styleId="149">
    <w:name w:val="正文5"/>
    <w:basedOn w:val="1"/>
    <w:next w:val="1"/>
    <w:link w:val="148"/>
    <w:qFormat/>
    <w:uiPriority w:val="0"/>
    <w:pPr>
      <w:widowControl/>
      <w:jc w:val="left"/>
    </w:pPr>
  </w:style>
  <w:style w:type="character" w:customStyle="1" w:styleId="150">
    <w:name w:val="批注框文本 Char3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151">
    <w:name w:val="标题 4 字符"/>
    <w:link w:val="5"/>
    <w:qFormat/>
    <w:uiPriority w:val="0"/>
    <w:rPr>
      <w:rFonts w:ascii="Calibri" w:hAnsi="Calibri" w:eastAsia="仿宋_GB2312"/>
      <w:b/>
      <w:bCs/>
      <w:color w:val="000000"/>
      <w:sz w:val="32"/>
      <w:szCs w:val="28"/>
    </w:rPr>
  </w:style>
  <w:style w:type="character" w:customStyle="1" w:styleId="152">
    <w:name w:val="Char Char66"/>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53">
    <w:name w:val="标题 3 Char11"/>
    <w:qFormat/>
    <w:uiPriority w:val="0"/>
    <w:rPr>
      <w:rFonts w:hint="default" w:ascii="黑体" w:hAnsi="宋体" w:eastAsia="黑体" w:cs="Times New Roman"/>
      <w:b/>
      <w:bCs/>
      <w:color w:val="000000"/>
      <w:kern w:val="2"/>
      <w:sz w:val="28"/>
      <w:szCs w:val="28"/>
      <w:u w:val="none"/>
      <w:lang w:val="en-US" w:eastAsia="zh-CN"/>
    </w:rPr>
  </w:style>
  <w:style w:type="character" w:customStyle="1" w:styleId="154">
    <w:name w:val="Char Char62"/>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55">
    <w:name w:val="正文样式10 Char Char"/>
    <w:link w:val="156"/>
    <w:qFormat/>
    <w:uiPriority w:val="0"/>
    <w:rPr>
      <w:rFonts w:hint="default" w:ascii="宋体" w:hAnsi="Times New Roman" w:cs="Times New Roman"/>
      <w:color w:val="000000"/>
      <w:sz w:val="24"/>
      <w:szCs w:val="16"/>
      <w:u w:val="none"/>
      <w:lang w:val="zh-CN"/>
    </w:rPr>
  </w:style>
  <w:style w:type="paragraph" w:customStyle="1" w:styleId="156">
    <w:name w:val="正文样式10"/>
    <w:basedOn w:val="1"/>
    <w:link w:val="155"/>
    <w:qFormat/>
    <w:uiPriority w:val="0"/>
    <w:pPr>
      <w:widowControl/>
      <w:spacing w:before="156" w:after="156"/>
      <w:ind w:firstLine="480"/>
      <w:jc w:val="left"/>
    </w:pPr>
    <w:rPr>
      <w:rFonts w:ascii="宋体"/>
      <w:lang w:val="zh-CN"/>
    </w:rPr>
  </w:style>
  <w:style w:type="character" w:customStyle="1" w:styleId="157">
    <w:name w:val="燕山正文 Char11"/>
    <w:qFormat/>
    <w:uiPriority w:val="0"/>
    <w:rPr>
      <w:rFonts w:hint="default" w:ascii="宋体" w:hAnsi="Times New Roman" w:eastAsia="宋体" w:cs="宋体"/>
      <w:color w:val="000000"/>
      <w:kern w:val="2"/>
      <w:sz w:val="24"/>
      <w:szCs w:val="24"/>
      <w:u w:val="none"/>
      <w:lang w:val="en-US" w:eastAsia="zh-CN"/>
    </w:rPr>
  </w:style>
  <w:style w:type="character" w:customStyle="1" w:styleId="158">
    <w:name w:val="样式 标题 3标题 3 Char标题 3 Char Char Char Char Char Char Char Char C...5 Char Char"/>
    <w:link w:val="159"/>
    <w:qFormat/>
    <w:uiPriority w:val="0"/>
    <w:rPr>
      <w:rFonts w:hint="default" w:ascii="Calibri" w:hAnsi="Calibri" w:eastAsia="宋体" w:cs="Times New Roman"/>
      <w:color w:val="000000"/>
      <w:sz w:val="24"/>
      <w:szCs w:val="32"/>
      <w:u w:val="none"/>
    </w:rPr>
  </w:style>
  <w:style w:type="paragraph" w:customStyle="1" w:styleId="159">
    <w:name w:val="样式 标题 3标题 3 Char标题 3 Char Char Char Char Char Char Char Char C...5 Char"/>
    <w:basedOn w:val="4"/>
    <w:link w:val="158"/>
    <w:qFormat/>
    <w:uiPriority w:val="0"/>
    <w:pPr>
      <w:tabs>
        <w:tab w:val="left" w:pos="720"/>
        <w:tab w:val="left" w:pos="1080"/>
      </w:tabs>
      <w:ind w:left="720" w:hanging="720"/>
      <w:jc w:val="both"/>
    </w:pPr>
    <w:rPr>
      <w:b w:val="0"/>
      <w:bCs w:val="0"/>
    </w:rPr>
  </w:style>
  <w:style w:type="character" w:customStyle="1" w:styleId="160">
    <w:name w:val="参加人员 Char Char"/>
    <w:link w:val="161"/>
    <w:qFormat/>
    <w:uiPriority w:val="0"/>
    <w:rPr>
      <w:rFonts w:hint="default" w:ascii="Times New Roman" w:hAnsi="Times New Roman" w:cs="Times New Roman"/>
      <w:color w:val="000000"/>
      <w:sz w:val="24"/>
      <w:szCs w:val="16"/>
      <w:u w:val="none"/>
    </w:rPr>
  </w:style>
  <w:style w:type="paragraph" w:customStyle="1" w:styleId="161">
    <w:name w:val="参加人员"/>
    <w:basedOn w:val="1"/>
    <w:link w:val="160"/>
    <w:qFormat/>
    <w:uiPriority w:val="0"/>
    <w:pPr>
      <w:widowControl/>
      <w:jc w:val="left"/>
    </w:pPr>
  </w:style>
  <w:style w:type="character" w:customStyle="1" w:styleId="162">
    <w:name w:val="表题1 Char4"/>
    <w:qFormat/>
    <w:uiPriority w:val="0"/>
    <w:rPr>
      <w:rFonts w:hint="default" w:ascii="黑体" w:hAnsi="Arial" w:eastAsia="黑体" w:cs="Arial"/>
      <w:b/>
      <w:color w:val="000000"/>
      <w:kern w:val="2"/>
      <w:sz w:val="24"/>
      <w:szCs w:val="24"/>
      <w:u w:val="none"/>
      <w:lang w:val="en-US" w:eastAsia="zh-CN"/>
    </w:rPr>
  </w:style>
  <w:style w:type="character" w:customStyle="1" w:styleId="163">
    <w:name w:val="图表题 Char1"/>
    <w:qFormat/>
    <w:uiPriority w:val="0"/>
    <w:rPr>
      <w:rFonts w:hint="default" w:ascii="黑体" w:hAnsi="宋体" w:eastAsia="黑体" w:cs="宋体"/>
      <w:b/>
      <w:bCs/>
      <w:color w:val="000000"/>
      <w:kern w:val="2"/>
      <w:sz w:val="24"/>
      <w:szCs w:val="24"/>
      <w:u w:val="none"/>
      <w:lang w:val="en-US" w:eastAsia="zh-CN"/>
    </w:rPr>
  </w:style>
  <w:style w:type="character" w:customStyle="1" w:styleId="164">
    <w:name w:val="公参 调查表 Char"/>
    <w:link w:val="165"/>
    <w:qFormat/>
    <w:uiPriority w:val="0"/>
    <w:rPr>
      <w:rFonts w:hint="default" w:ascii="Times New Roman" w:hAnsi="Times New Roman" w:eastAsia="仿宋_GB2312" w:cs="Times New Roman"/>
      <w:color w:val="000000"/>
      <w:sz w:val="24"/>
      <w:szCs w:val="24"/>
      <w:u w:val="none"/>
    </w:rPr>
  </w:style>
  <w:style w:type="paragraph" w:customStyle="1" w:styleId="165">
    <w:name w:val="公参 调查表"/>
    <w:basedOn w:val="98"/>
    <w:link w:val="164"/>
    <w:qFormat/>
    <w:uiPriority w:val="0"/>
    <w:rPr>
      <w:rFonts w:ascii="Times New Roman" w:hAnsi="Times New Roman" w:eastAsia="仿宋_GB2312" w:cs="Times New Roman"/>
      <w:color w:val="000000"/>
    </w:rPr>
  </w:style>
  <w:style w:type="character" w:customStyle="1" w:styleId="166">
    <w:name w:val="图表题 Char31"/>
    <w:qFormat/>
    <w:uiPriority w:val="0"/>
    <w:rPr>
      <w:rFonts w:hint="default" w:ascii="黑体" w:hAnsi="宋体" w:eastAsia="黑体" w:cs="宋体"/>
      <w:b/>
      <w:bCs/>
      <w:color w:val="000000"/>
      <w:kern w:val="2"/>
      <w:sz w:val="24"/>
      <w:szCs w:val="24"/>
      <w:u w:val="none"/>
      <w:lang w:val="en-US" w:eastAsia="zh-CN"/>
    </w:rPr>
  </w:style>
  <w:style w:type="character" w:customStyle="1" w:styleId="167">
    <w:name w:val="燕山正文 Char131"/>
    <w:qFormat/>
    <w:uiPriority w:val="0"/>
    <w:rPr>
      <w:rFonts w:hint="default" w:ascii="宋体" w:hAnsi="Times New Roman" w:eastAsia="宋体" w:cs="宋体"/>
      <w:color w:val="000000"/>
      <w:kern w:val="2"/>
      <w:sz w:val="24"/>
      <w:szCs w:val="24"/>
      <w:u w:val="none"/>
      <w:lang w:val="en-US" w:eastAsia="zh-CN"/>
    </w:rPr>
  </w:style>
  <w:style w:type="character" w:customStyle="1" w:styleId="168">
    <w:name w:val="正文文字 3 Char Char"/>
    <w:qFormat/>
    <w:uiPriority w:val="0"/>
    <w:rPr>
      <w:rFonts w:hint="default" w:ascii="Times New Roman" w:hAnsi="Times New Roman" w:eastAsia="仿宋_GB2312" w:cs="Times New Roman"/>
      <w:color w:val="000000"/>
      <w:kern w:val="2"/>
      <w:sz w:val="28"/>
      <w:szCs w:val="24"/>
      <w:u w:val="none"/>
      <w:lang w:val="en-US" w:eastAsia="zh-CN"/>
    </w:rPr>
  </w:style>
  <w:style w:type="character" w:customStyle="1" w:styleId="169">
    <w:name w:val="hhcwt正文 Char Char Char Char"/>
    <w:qFormat/>
    <w:uiPriority w:val="0"/>
    <w:rPr>
      <w:rFonts w:hint="default" w:ascii="Times New Roman" w:hAnsi="Times New Roman" w:cs="Times New Roman"/>
      <w:color w:val="000000"/>
      <w:kern w:val="2"/>
      <w:sz w:val="24"/>
      <w:szCs w:val="16"/>
      <w:u w:val="none"/>
    </w:rPr>
  </w:style>
  <w:style w:type="character" w:customStyle="1" w:styleId="170">
    <w:name w:val="样式 标题 3标题 3 Char Char Char标题 3 Char Charh3H3level_3PIM 3L...1 Char Char"/>
    <w:link w:val="171"/>
    <w:qFormat/>
    <w:uiPriority w:val="0"/>
    <w:rPr>
      <w:rFonts w:ascii="宋体" w:hAnsi="宋体" w:eastAsia="黑体"/>
      <w:b/>
      <w:color w:val="000000"/>
      <w:kern w:val="2"/>
      <w:sz w:val="24"/>
      <w:szCs w:val="22"/>
    </w:rPr>
  </w:style>
  <w:style w:type="paragraph" w:customStyle="1" w:styleId="171">
    <w:name w:val="样式 标题 3标题 3 Char Char Char标题 3 Char Charh3H3level_3PIM 3L...1"/>
    <w:basedOn w:val="4"/>
    <w:link w:val="170"/>
    <w:qFormat/>
    <w:uiPriority w:val="0"/>
    <w:rPr>
      <w:rFonts w:ascii="宋体" w:hAnsi="宋体" w:eastAsia="黑体"/>
      <w:bCs w:val="0"/>
      <w:szCs w:val="22"/>
    </w:rPr>
  </w:style>
  <w:style w:type="character" w:customStyle="1" w:styleId="172">
    <w:name w:val="题注 Char1"/>
    <w:qFormat/>
    <w:uiPriority w:val="0"/>
    <w:rPr>
      <w:rFonts w:hint="default" w:ascii="黑体" w:hAnsi="Arial" w:eastAsia="黑体" w:cs="Arial"/>
      <w:b/>
      <w:color w:val="000000"/>
      <w:kern w:val="2"/>
      <w:sz w:val="24"/>
      <w:szCs w:val="24"/>
      <w:u w:val="none"/>
      <w:lang w:val="en-US" w:eastAsia="zh-CN"/>
    </w:rPr>
  </w:style>
  <w:style w:type="character" w:customStyle="1" w:styleId="173">
    <w:name w:val="标题 2 Char7"/>
    <w:qFormat/>
    <w:uiPriority w:val="0"/>
    <w:rPr>
      <w:rFonts w:hint="default" w:ascii="黑体" w:hAnsi="Arial" w:eastAsia="黑体" w:cs="Times New Roman"/>
      <w:bCs/>
      <w:color w:val="000000"/>
      <w:kern w:val="2"/>
      <w:sz w:val="30"/>
      <w:szCs w:val="30"/>
      <w:u w:val="none"/>
      <w:lang w:val="en-US" w:eastAsia="zh-CN"/>
    </w:rPr>
  </w:style>
  <w:style w:type="character" w:customStyle="1" w:styleId="174">
    <w:name w:val="文字缩进 Char1"/>
    <w:qFormat/>
    <w:uiPriority w:val="0"/>
    <w:rPr>
      <w:rFonts w:hint="default" w:ascii="宋体" w:hAnsi="Courier New" w:eastAsia="宋体" w:cs="Times New Roman"/>
      <w:color w:val="000000"/>
      <w:kern w:val="2"/>
      <w:sz w:val="21"/>
      <w:szCs w:val="16"/>
      <w:u w:val="none"/>
      <w:lang w:val="en-US" w:eastAsia="zh-CN"/>
    </w:rPr>
  </w:style>
  <w:style w:type="character" w:customStyle="1" w:styleId="175">
    <w:name w:val="题注 Char331"/>
    <w:qFormat/>
    <w:uiPriority w:val="0"/>
    <w:rPr>
      <w:rFonts w:hint="default" w:ascii="黑体" w:hAnsi="Arial" w:eastAsia="黑体" w:cs="Arial"/>
      <w:b/>
      <w:color w:val="000000"/>
      <w:kern w:val="2"/>
      <w:sz w:val="24"/>
      <w:szCs w:val="24"/>
      <w:u w:val="none"/>
      <w:lang w:val="en-US" w:eastAsia="zh-CN"/>
    </w:rPr>
  </w:style>
  <w:style w:type="character" w:customStyle="1" w:styleId="176">
    <w:name w:val="Char Char1215"/>
    <w:qFormat/>
    <w:uiPriority w:val="0"/>
    <w:rPr>
      <w:rFonts w:hint="default" w:ascii="黑体" w:hAnsi="Arial" w:eastAsia="黑体" w:cs="Times New Roman"/>
      <w:b/>
      <w:bCs/>
      <w:color w:val="000000"/>
      <w:kern w:val="2"/>
      <w:sz w:val="30"/>
      <w:szCs w:val="30"/>
      <w:u w:val="none"/>
      <w:lang w:val="en-US" w:eastAsia="zh-CN"/>
    </w:rPr>
  </w:style>
  <w:style w:type="character" w:customStyle="1" w:styleId="177">
    <w:name w:val="Char Char317"/>
    <w:qFormat/>
    <w:uiPriority w:val="0"/>
    <w:rPr>
      <w:rFonts w:hint="default" w:ascii="黑体" w:hAnsi="宋体" w:eastAsia="黑体" w:cs="Times New Roman"/>
      <w:b/>
      <w:bCs/>
      <w:color w:val="000000"/>
      <w:kern w:val="2"/>
      <w:sz w:val="28"/>
      <w:szCs w:val="28"/>
      <w:u w:val="none"/>
      <w:lang w:val="en-US" w:eastAsia="zh-CN"/>
    </w:rPr>
  </w:style>
  <w:style w:type="character" w:customStyle="1" w:styleId="178">
    <w:name w:val="样式 样式 宋体 小四 行距: 多倍行距 1.4 字行2 + 黑色 Char Char"/>
    <w:link w:val="179"/>
    <w:qFormat/>
    <w:uiPriority w:val="0"/>
    <w:rPr>
      <w:rFonts w:hint="default" w:ascii="宋体" w:hAnsi="Times New Roman" w:cs="Times New Roman"/>
      <w:color w:val="000000"/>
      <w:sz w:val="24"/>
      <w:szCs w:val="16"/>
      <w:u w:val="none"/>
    </w:rPr>
  </w:style>
  <w:style w:type="paragraph" w:customStyle="1" w:styleId="179">
    <w:name w:val="样式 样式 宋体 小四 行距: 多倍行距 1.4 字行2 + 黑色"/>
    <w:basedOn w:val="1"/>
    <w:link w:val="178"/>
    <w:qFormat/>
    <w:uiPriority w:val="0"/>
    <w:pPr>
      <w:spacing w:line="336" w:lineRule="auto"/>
      <w:ind w:firstLine="480"/>
    </w:pPr>
    <w:rPr>
      <w:rFonts w:ascii="宋体"/>
    </w:rPr>
  </w:style>
  <w:style w:type="character" w:customStyle="1" w:styleId="180">
    <w:name w:val="Block Text Char Char"/>
    <w:link w:val="181"/>
    <w:qFormat/>
    <w:uiPriority w:val="0"/>
    <w:rPr>
      <w:rFonts w:hint="default" w:ascii="Times New Roman" w:hAnsi="Times New Roman" w:eastAsia="仿宋_GB2312" w:cs="Times New Roman"/>
      <w:color w:val="000000"/>
      <w:sz w:val="24"/>
      <w:szCs w:val="16"/>
      <w:u w:val="none"/>
    </w:rPr>
  </w:style>
  <w:style w:type="paragraph" w:customStyle="1" w:styleId="181">
    <w:name w:val="文本块1"/>
    <w:basedOn w:val="1"/>
    <w:next w:val="1"/>
    <w:link w:val="180"/>
    <w:qFormat/>
    <w:uiPriority w:val="0"/>
    <w:pPr>
      <w:jc w:val="center"/>
    </w:pPr>
  </w:style>
  <w:style w:type="character" w:customStyle="1" w:styleId="182">
    <w:name w:val="正文格式 Char71"/>
    <w:qFormat/>
    <w:uiPriority w:val="0"/>
    <w:rPr>
      <w:rFonts w:hint="default" w:ascii="宋体" w:hAnsi="宋体" w:eastAsia="宋体" w:cs="Times New Roman"/>
      <w:color w:val="000000"/>
      <w:kern w:val="2"/>
      <w:sz w:val="24"/>
      <w:szCs w:val="24"/>
      <w:u w:val="none"/>
      <w:lang w:val="en-US" w:eastAsia="zh-CN"/>
    </w:rPr>
  </w:style>
  <w:style w:type="character" w:customStyle="1" w:styleId="183">
    <w:name w:val="Char Char2113"/>
    <w:qFormat/>
    <w:uiPriority w:val="0"/>
    <w:rPr>
      <w:rFonts w:hint="default" w:ascii="黑体" w:hAnsi="Times New Roman" w:eastAsia="宋体" w:cs="Times New Roman"/>
      <w:color w:val="000000"/>
      <w:kern w:val="2"/>
      <w:sz w:val="16"/>
      <w:szCs w:val="16"/>
      <w:u w:val="none"/>
      <w:lang w:val="en-US" w:eastAsia="zh-CN"/>
    </w:rPr>
  </w:style>
  <w:style w:type="character" w:customStyle="1" w:styleId="184">
    <w:name w:val="Title Char1"/>
    <w:qFormat/>
    <w:uiPriority w:val="10"/>
    <w:rPr>
      <w:rFonts w:hint="default" w:ascii="Cambria" w:hAnsi="Cambria" w:cs="黑体"/>
      <w:b/>
      <w:bCs/>
      <w:color w:val="000000"/>
      <w:kern w:val="2"/>
      <w:sz w:val="32"/>
      <w:szCs w:val="32"/>
      <w:u w:val="none"/>
    </w:rPr>
  </w:style>
  <w:style w:type="character" w:customStyle="1" w:styleId="185">
    <w:name w:val="Char Char618"/>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86">
    <w:name w:val="题注 Char213"/>
    <w:qFormat/>
    <w:uiPriority w:val="0"/>
    <w:rPr>
      <w:rFonts w:hint="default" w:ascii="黑体" w:hAnsi="Arial" w:eastAsia="黑体" w:cs="Arial"/>
      <w:b/>
      <w:color w:val="000000"/>
      <w:kern w:val="2"/>
      <w:sz w:val="24"/>
      <w:szCs w:val="24"/>
      <w:u w:val="none"/>
      <w:lang w:val="en-US" w:eastAsia="zh-CN"/>
    </w:rPr>
  </w:style>
  <w:style w:type="character" w:customStyle="1" w:styleId="187">
    <w:name w:val="textindent"/>
    <w:qFormat/>
    <w:uiPriority w:val="0"/>
    <w:rPr>
      <w:rFonts w:hint="default" w:ascii="Times New Roman" w:hAnsi="Times New Roman" w:cs="Times New Roman"/>
      <w:color w:val="000000"/>
      <w:sz w:val="16"/>
      <w:szCs w:val="16"/>
      <w:u w:val="none"/>
    </w:rPr>
  </w:style>
  <w:style w:type="character" w:customStyle="1" w:styleId="188">
    <w:name w:val="热电厂正文 Char Char Char Char Char Char"/>
    <w:link w:val="189"/>
    <w:qFormat/>
    <w:uiPriority w:val="0"/>
    <w:rPr>
      <w:rFonts w:hint="default" w:ascii="Times New Roman" w:hAnsi="Times New Roman" w:cs="Times New Roman"/>
      <w:color w:val="000000"/>
      <w:sz w:val="24"/>
      <w:szCs w:val="16"/>
      <w:u w:val="none"/>
    </w:rPr>
  </w:style>
  <w:style w:type="paragraph" w:customStyle="1" w:styleId="189">
    <w:name w:val="热电厂正文 Char Char Char Char"/>
    <w:basedOn w:val="1"/>
    <w:link w:val="188"/>
    <w:qFormat/>
    <w:uiPriority w:val="0"/>
    <w:pPr>
      <w:widowControl/>
      <w:spacing w:line="440" w:lineRule="exact"/>
      <w:ind w:firstLine="480"/>
      <w:jc w:val="left"/>
    </w:pPr>
  </w:style>
  <w:style w:type="character" w:customStyle="1" w:styleId="190">
    <w:name w:val="标题 3 Char Char1"/>
    <w:qFormat/>
    <w:uiPriority w:val="0"/>
    <w:rPr>
      <w:rFonts w:hint="default" w:ascii="Times New Roman" w:hAnsi="Times New Roman" w:eastAsia="宋体" w:cs="Times New Roman"/>
      <w:b/>
      <w:bCs/>
      <w:color w:val="000000"/>
      <w:kern w:val="2"/>
      <w:sz w:val="32"/>
      <w:szCs w:val="32"/>
      <w:u w:val="none"/>
      <w:lang w:val="en-US" w:eastAsia="zh-CN" w:bidi="ar-SA"/>
    </w:rPr>
  </w:style>
  <w:style w:type="character" w:customStyle="1" w:styleId="191">
    <w:name w:val="表题1 Char10"/>
    <w:qFormat/>
    <w:uiPriority w:val="0"/>
    <w:rPr>
      <w:rFonts w:hint="default" w:ascii="Times New Roman" w:hAnsi="Arial" w:eastAsia="宋体" w:cs="Arial"/>
      <w:color w:val="000000"/>
      <w:kern w:val="2"/>
      <w:sz w:val="24"/>
      <w:szCs w:val="24"/>
      <w:u w:val="none"/>
      <w:lang w:val="en-US" w:eastAsia="zh-CN"/>
    </w:rPr>
  </w:style>
  <w:style w:type="character" w:customStyle="1" w:styleId="192">
    <w:name w:val="燕山正文 Char151"/>
    <w:qFormat/>
    <w:uiPriority w:val="0"/>
    <w:rPr>
      <w:rFonts w:hint="default" w:ascii="宋体" w:hAnsi="Times New Roman" w:eastAsia="宋体" w:cs="宋体"/>
      <w:color w:val="000000"/>
      <w:kern w:val="2"/>
      <w:sz w:val="24"/>
      <w:szCs w:val="24"/>
      <w:u w:val="none"/>
      <w:lang w:val="en-US" w:eastAsia="zh-CN"/>
    </w:rPr>
  </w:style>
  <w:style w:type="character" w:customStyle="1" w:styleId="193">
    <w:name w:val="unnamed31"/>
    <w:qFormat/>
    <w:uiPriority w:val="0"/>
    <w:rPr>
      <w:rFonts w:hint="default" w:ascii="Times New Roman" w:hAnsi="Times New Roman" w:cs="Times New Roman"/>
      <w:color w:val="000000"/>
      <w:sz w:val="26"/>
      <w:szCs w:val="26"/>
      <w:u w:val="none"/>
    </w:rPr>
  </w:style>
  <w:style w:type="character" w:customStyle="1" w:styleId="194">
    <w:name w:val="正文首行缩进 2 + Times New Roman Char Char"/>
    <w:link w:val="195"/>
    <w:qFormat/>
    <w:uiPriority w:val="0"/>
    <w:rPr>
      <w:rFonts w:hint="default" w:ascii="宋体" w:hAnsi="Times New Roman" w:cs="Times New Roman"/>
      <w:color w:val="000000"/>
      <w:sz w:val="24"/>
      <w:szCs w:val="16"/>
      <w:u w:val="none"/>
    </w:rPr>
  </w:style>
  <w:style w:type="paragraph" w:customStyle="1" w:styleId="195">
    <w:name w:val="正文首行缩进 2 + Times New Roman"/>
    <w:basedOn w:val="1"/>
    <w:link w:val="194"/>
    <w:qFormat/>
    <w:uiPriority w:val="0"/>
    <w:pPr>
      <w:tabs>
        <w:tab w:val="left" w:pos="0"/>
        <w:tab w:val="left" w:pos="870"/>
        <w:tab w:val="left" w:pos="3150"/>
      </w:tabs>
      <w:autoSpaceDE w:val="0"/>
      <w:autoSpaceDN w:val="0"/>
      <w:ind w:firstLine="480"/>
    </w:pPr>
    <w:rPr>
      <w:rFonts w:ascii="宋体"/>
    </w:rPr>
  </w:style>
  <w:style w:type="character" w:customStyle="1" w:styleId="196">
    <w:name w:val="标题 2 Char21"/>
    <w:qFormat/>
    <w:uiPriority w:val="0"/>
    <w:rPr>
      <w:rFonts w:hint="default" w:ascii="黑体" w:hAnsi="Arial" w:eastAsia="黑体" w:cs="Times New Roman"/>
      <w:b/>
      <w:bCs/>
      <w:color w:val="000000"/>
      <w:kern w:val="2"/>
      <w:sz w:val="30"/>
      <w:szCs w:val="30"/>
      <w:u w:val="none"/>
      <w:lang w:val="en-US" w:eastAsia="zh-CN"/>
    </w:rPr>
  </w:style>
  <w:style w:type="character" w:customStyle="1" w:styleId="197">
    <w:name w:val="表格编号 Char Char"/>
    <w:link w:val="198"/>
    <w:qFormat/>
    <w:uiPriority w:val="0"/>
    <w:rPr>
      <w:rFonts w:hint="default" w:ascii="Times New Roman" w:hAnsi="Times New Roman" w:cs="Times New Roman"/>
      <w:color w:val="000000"/>
      <w:sz w:val="24"/>
      <w:szCs w:val="16"/>
      <w:u w:val="none"/>
    </w:rPr>
  </w:style>
  <w:style w:type="paragraph" w:customStyle="1" w:styleId="198">
    <w:name w:val="表格编号"/>
    <w:basedOn w:val="1"/>
    <w:link w:val="197"/>
    <w:qFormat/>
    <w:uiPriority w:val="0"/>
    <w:pPr>
      <w:widowControl/>
      <w:spacing w:line="20" w:lineRule="atLeast"/>
      <w:jc w:val="left"/>
    </w:pPr>
  </w:style>
  <w:style w:type="paragraph" w:customStyle="1" w:styleId="199">
    <w:name w:val="表格文字"/>
    <w:basedOn w:val="1"/>
    <w:link w:val="201"/>
    <w:qFormat/>
    <w:uiPriority w:val="0"/>
    <w:pPr>
      <w:widowControl/>
      <w:jc w:val="center"/>
    </w:pPr>
    <w:rPr>
      <w:rFonts w:ascii="仿宋_GB2312" w:hAnsi="Arial Black"/>
      <w:kern w:val="44"/>
    </w:rPr>
  </w:style>
  <w:style w:type="character" w:customStyle="1" w:styleId="200">
    <w:name w:val="标题 3 Char12"/>
    <w:qFormat/>
    <w:uiPriority w:val="0"/>
    <w:rPr>
      <w:rFonts w:hint="default" w:ascii="黑体" w:hAnsi="宋体" w:eastAsia="黑体" w:cs="Times New Roman"/>
      <w:b/>
      <w:bCs/>
      <w:color w:val="000000"/>
      <w:kern w:val="2"/>
      <w:sz w:val="28"/>
      <w:szCs w:val="28"/>
      <w:u w:val="none"/>
      <w:lang w:val="en-US" w:eastAsia="zh-CN"/>
    </w:rPr>
  </w:style>
  <w:style w:type="character" w:customStyle="1" w:styleId="201">
    <w:name w:val="表格文字 Char Char"/>
    <w:link w:val="199"/>
    <w:qFormat/>
    <w:uiPriority w:val="0"/>
    <w:rPr>
      <w:rFonts w:hint="default" w:ascii="仿宋_GB2312" w:hAnsi="Arial Black" w:eastAsia="仿宋_GB2312" w:cs="Times New Roman"/>
      <w:color w:val="000000"/>
      <w:kern w:val="44"/>
      <w:sz w:val="24"/>
      <w:szCs w:val="16"/>
      <w:u w:val="none"/>
    </w:rPr>
  </w:style>
  <w:style w:type="character" w:customStyle="1" w:styleId="202">
    <w:name w:val="正文修改 Char131"/>
    <w:qFormat/>
    <w:uiPriority w:val="0"/>
    <w:rPr>
      <w:rFonts w:hint="default" w:ascii="宋体" w:hAnsi="宋体" w:eastAsia="宋体" w:cs="宋体"/>
      <w:color w:val="000000"/>
      <w:kern w:val="2"/>
      <w:sz w:val="24"/>
      <w:szCs w:val="24"/>
      <w:u w:val="none"/>
      <w:lang w:val="en-US" w:eastAsia="zh-CN"/>
    </w:rPr>
  </w:style>
  <w:style w:type="character" w:customStyle="1" w:styleId="203">
    <w:name w:val="册除格式 Char Char Char"/>
    <w:qFormat/>
    <w:uiPriority w:val="0"/>
    <w:rPr>
      <w:rFonts w:hint="default" w:ascii="黑体" w:hAnsi="Arial" w:eastAsia="宋体" w:cs="Arial"/>
      <w:snapToGrid w:val="0"/>
      <w:color w:val="000000"/>
      <w:spacing w:val="4"/>
      <w:kern w:val="18"/>
      <w:sz w:val="24"/>
      <w:szCs w:val="28"/>
      <w:u w:val="none"/>
      <w:lang w:val="en-US" w:eastAsia="zh-CN"/>
    </w:rPr>
  </w:style>
  <w:style w:type="character" w:customStyle="1" w:styleId="204">
    <w:name w:val="Char Char420"/>
    <w:qFormat/>
    <w:uiPriority w:val="0"/>
    <w:rPr>
      <w:rFonts w:hint="default" w:ascii="黑体" w:hAnsi="Arial" w:eastAsia="黑体" w:cs="Times New Roman"/>
      <w:b/>
      <w:bCs/>
      <w:color w:val="000000"/>
      <w:kern w:val="2"/>
      <w:sz w:val="30"/>
      <w:szCs w:val="30"/>
      <w:u w:val="none"/>
      <w:lang w:val="en-US" w:eastAsia="zh-CN"/>
    </w:rPr>
  </w:style>
  <w:style w:type="character" w:customStyle="1" w:styleId="205">
    <w:name w:val="正文文本缩进 Char1"/>
    <w:link w:val="206"/>
    <w:qFormat/>
    <w:uiPriority w:val="99"/>
    <w:rPr>
      <w:rFonts w:hint="default" w:ascii="仿宋_GB2312" w:hAnsi="宋体" w:eastAsia="仿宋_GB2312" w:cs="Times New Roman"/>
      <w:color w:val="000000"/>
      <w:sz w:val="24"/>
      <w:szCs w:val="16"/>
      <w:u w:val="none"/>
    </w:rPr>
  </w:style>
  <w:style w:type="paragraph" w:customStyle="1" w:styleId="206">
    <w:name w:val="Body Text Indent1"/>
    <w:basedOn w:val="1"/>
    <w:link w:val="205"/>
    <w:qFormat/>
    <w:uiPriority w:val="0"/>
    <w:pPr>
      <w:ind w:firstLine="560"/>
    </w:pPr>
    <w:rPr>
      <w:rFonts w:ascii="仿宋_GB2312" w:hAnsi="宋体"/>
    </w:rPr>
  </w:style>
  <w:style w:type="character" w:customStyle="1" w:styleId="207">
    <w:name w:val="表格文字 Char"/>
    <w:qFormat/>
    <w:uiPriority w:val="0"/>
    <w:rPr>
      <w:rFonts w:hint="default" w:ascii="仿宋_GB2312" w:hAnsi="Arial Black" w:eastAsia="仿宋_GB2312" w:cs="Times New Roman"/>
      <w:color w:val="000000"/>
      <w:kern w:val="44"/>
      <w:sz w:val="24"/>
      <w:szCs w:val="16"/>
      <w:u w:val="none"/>
    </w:rPr>
  </w:style>
  <w:style w:type="character" w:customStyle="1" w:styleId="208">
    <w:name w:val="表格内字体 Char101"/>
    <w:qFormat/>
    <w:uiPriority w:val="0"/>
    <w:rPr>
      <w:rFonts w:hint="default" w:ascii="宋体" w:hAnsi="宋体" w:eastAsia="宋体" w:cs="Times New Roman"/>
      <w:color w:val="000000"/>
      <w:kern w:val="2"/>
      <w:sz w:val="24"/>
      <w:szCs w:val="21"/>
      <w:u w:val="none"/>
      <w:lang w:val="en-US" w:eastAsia="zh-CN"/>
    </w:rPr>
  </w:style>
  <w:style w:type="character" w:customStyle="1" w:styleId="209">
    <w:name w:val="Char Char217"/>
    <w:qFormat/>
    <w:uiPriority w:val="0"/>
    <w:rPr>
      <w:rFonts w:hint="default" w:ascii="黑体" w:hAnsi="Times New Roman" w:eastAsia="宋体" w:cs="Times New Roman"/>
      <w:color w:val="000000"/>
      <w:kern w:val="2"/>
      <w:sz w:val="16"/>
      <w:szCs w:val="16"/>
      <w:u w:val="none"/>
      <w:lang w:val="en-US" w:eastAsia="zh-CN"/>
    </w:rPr>
  </w:style>
  <w:style w:type="character" w:customStyle="1" w:styleId="210">
    <w:name w:val="电子邮件签名 Char"/>
    <w:link w:val="211"/>
    <w:qFormat/>
    <w:uiPriority w:val="0"/>
    <w:rPr>
      <w:rFonts w:hint="default" w:ascii="Times New Roman" w:hAnsi="Times New Roman" w:cs="Times New Roman"/>
      <w:color w:val="000000"/>
      <w:sz w:val="24"/>
      <w:szCs w:val="16"/>
      <w:u w:val="none"/>
    </w:rPr>
  </w:style>
  <w:style w:type="paragraph" w:customStyle="1" w:styleId="211">
    <w:name w:val="电子邮件签名1"/>
    <w:basedOn w:val="1"/>
    <w:link w:val="210"/>
    <w:qFormat/>
    <w:uiPriority w:val="0"/>
    <w:pPr>
      <w:widowControl/>
      <w:spacing w:before="60"/>
      <w:ind w:firstLine="482"/>
      <w:jc w:val="left"/>
    </w:pPr>
  </w:style>
  <w:style w:type="character" w:customStyle="1" w:styleId="212">
    <w:name w:val="hhcwt表头 Char Char"/>
    <w:link w:val="213"/>
    <w:qFormat/>
    <w:uiPriority w:val="0"/>
    <w:rPr>
      <w:rFonts w:hint="default" w:ascii="楷体_GB2312" w:hAnsi="Times New Roman" w:eastAsia="楷体_GB2312" w:cs="Times New Roman"/>
      <w:b/>
      <w:color w:val="000000"/>
      <w:sz w:val="24"/>
      <w:szCs w:val="16"/>
      <w:u w:val="none"/>
    </w:rPr>
  </w:style>
  <w:style w:type="paragraph" w:customStyle="1" w:styleId="213">
    <w:name w:val="hhcwt表头"/>
    <w:basedOn w:val="1"/>
    <w:link w:val="212"/>
    <w:qFormat/>
    <w:uiPriority w:val="0"/>
    <w:pPr>
      <w:spacing w:after="120"/>
      <w:jc w:val="center"/>
    </w:pPr>
    <w:rPr>
      <w:rFonts w:ascii="楷体_GB2312" w:eastAsia="楷体_GB2312"/>
      <w:b/>
    </w:rPr>
  </w:style>
  <w:style w:type="character" w:customStyle="1" w:styleId="214">
    <w:name w:val="批注框文本 Char7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215">
    <w:name w:val="表题1 Char31"/>
    <w:qFormat/>
    <w:uiPriority w:val="0"/>
    <w:rPr>
      <w:rFonts w:hint="default" w:ascii="黑体" w:hAnsi="Arial" w:eastAsia="黑体" w:cs="Arial"/>
      <w:b/>
      <w:color w:val="000000"/>
      <w:kern w:val="2"/>
      <w:sz w:val="24"/>
      <w:szCs w:val="24"/>
      <w:u w:val="none"/>
      <w:lang w:val="en-US" w:eastAsia="zh-CN"/>
    </w:rPr>
  </w:style>
  <w:style w:type="character" w:customStyle="1" w:styleId="216">
    <w:name w:val="副标题 Char1"/>
    <w:qFormat/>
    <w:uiPriority w:val="0"/>
    <w:rPr>
      <w:rFonts w:hint="default" w:ascii="Cambria" w:hAnsi="Cambria" w:cs="Times New Roman"/>
      <w:b/>
      <w:color w:val="000000"/>
      <w:kern w:val="28"/>
      <w:sz w:val="32"/>
      <w:szCs w:val="16"/>
      <w:u w:val="none"/>
    </w:rPr>
  </w:style>
  <w:style w:type="character" w:customStyle="1" w:styleId="217">
    <w:name w:val="节标题 Char Char"/>
    <w:qFormat/>
    <w:uiPriority w:val="0"/>
    <w:rPr>
      <w:rFonts w:hint="eastAsia" w:ascii="黑体" w:hAnsi="Arial" w:eastAsia="黑体" w:cs="Times New Roman"/>
      <w:b/>
      <w:bCs/>
      <w:color w:val="000000"/>
      <w:kern w:val="2"/>
      <w:sz w:val="28"/>
      <w:szCs w:val="32"/>
      <w:u w:val="none"/>
      <w:lang w:val="en-US" w:eastAsia="zh-CN"/>
    </w:rPr>
  </w:style>
  <w:style w:type="character" w:customStyle="1" w:styleId="218">
    <w:name w:val="表题1 Char41"/>
    <w:qFormat/>
    <w:uiPriority w:val="0"/>
    <w:rPr>
      <w:rFonts w:hint="default" w:ascii="黑体" w:hAnsi="Arial" w:eastAsia="黑体" w:cs="Arial"/>
      <w:b/>
      <w:color w:val="000000"/>
      <w:kern w:val="2"/>
      <w:sz w:val="24"/>
      <w:szCs w:val="24"/>
      <w:u w:val="none"/>
      <w:lang w:val="en-US" w:eastAsia="zh-CN"/>
    </w:rPr>
  </w:style>
  <w:style w:type="character" w:customStyle="1" w:styleId="219">
    <w:name w:val="Char Char53"/>
    <w:qFormat/>
    <w:uiPriority w:val="0"/>
    <w:rPr>
      <w:rFonts w:hint="default" w:ascii="黑体" w:hAnsi="宋体" w:eastAsia="黑体" w:cs="Times New Roman"/>
      <w:bCs/>
      <w:color w:val="000000"/>
      <w:kern w:val="2"/>
      <w:sz w:val="28"/>
      <w:szCs w:val="28"/>
      <w:u w:val="none"/>
      <w:lang w:val="en-US" w:eastAsia="zh-CN"/>
    </w:rPr>
  </w:style>
  <w:style w:type="character" w:customStyle="1" w:styleId="220">
    <w:name w:val="表中文字 Char2"/>
    <w:link w:val="221"/>
    <w:qFormat/>
    <w:uiPriority w:val="0"/>
    <w:rPr>
      <w:rFonts w:hint="default" w:ascii="Times New Roman" w:hAnsi="Times New Roman" w:cs="Times New Roman"/>
      <w:color w:val="000000"/>
      <w:sz w:val="16"/>
      <w:szCs w:val="16"/>
      <w:u w:val="none"/>
    </w:rPr>
  </w:style>
  <w:style w:type="paragraph" w:customStyle="1" w:styleId="221">
    <w:name w:val="表中文字"/>
    <w:basedOn w:val="1"/>
    <w:link w:val="220"/>
    <w:qFormat/>
    <w:uiPriority w:val="0"/>
    <w:pPr>
      <w:spacing w:line="240" w:lineRule="atLeast"/>
      <w:jc w:val="center"/>
    </w:pPr>
  </w:style>
  <w:style w:type="character" w:customStyle="1" w:styleId="222">
    <w:name w:val="普通(网站) Char"/>
    <w:qFormat/>
    <w:uiPriority w:val="0"/>
    <w:rPr>
      <w:rFonts w:hint="default" w:ascii="Times New Roman" w:hAnsi="Times New Roman" w:cs="Times New Roman"/>
      <w:color w:val="000000"/>
      <w:sz w:val="24"/>
      <w:szCs w:val="24"/>
      <w:u w:val="none"/>
    </w:rPr>
  </w:style>
  <w:style w:type="character" w:customStyle="1" w:styleId="223">
    <w:name w:val="Char Char414"/>
    <w:qFormat/>
    <w:uiPriority w:val="0"/>
    <w:rPr>
      <w:rFonts w:hint="default" w:ascii="黑体" w:hAnsi="Arial" w:eastAsia="黑体" w:cs="Times New Roman"/>
      <w:b/>
      <w:bCs/>
      <w:color w:val="000000"/>
      <w:kern w:val="2"/>
      <w:sz w:val="30"/>
      <w:szCs w:val="30"/>
      <w:u w:val="none"/>
      <w:lang w:val="en-US" w:eastAsia="zh-CN"/>
    </w:rPr>
  </w:style>
  <w:style w:type="character" w:customStyle="1" w:styleId="224">
    <w:name w:val="样式 样式 首行缩进:  0.74 厘米 + 首行缩进:  2 字符 Char Char"/>
    <w:link w:val="225"/>
    <w:qFormat/>
    <w:uiPriority w:val="0"/>
    <w:rPr>
      <w:rFonts w:hint="default" w:ascii="Times New Roman" w:hAnsi="Times New Roman" w:cs="Times New Roman"/>
      <w:color w:val="000000"/>
      <w:sz w:val="24"/>
      <w:szCs w:val="16"/>
      <w:u w:val="none"/>
    </w:rPr>
  </w:style>
  <w:style w:type="paragraph" w:customStyle="1" w:styleId="225">
    <w:name w:val="样式 样式 首行缩进:  0.74 厘米 + 首行缩进:  2 字符"/>
    <w:basedOn w:val="1"/>
    <w:link w:val="224"/>
    <w:qFormat/>
    <w:uiPriority w:val="0"/>
    <w:pPr>
      <w:widowControl/>
      <w:spacing w:line="400" w:lineRule="exact"/>
      <w:jc w:val="left"/>
    </w:pPr>
  </w:style>
  <w:style w:type="character" w:customStyle="1" w:styleId="226">
    <w:name w:val="表内5 Char1"/>
    <w:qFormat/>
    <w:uiPriority w:val="0"/>
    <w:rPr>
      <w:rFonts w:hint="default" w:ascii="宋体" w:hAnsi="宋体" w:eastAsia="宋体" w:cs="Times New Roman"/>
      <w:color w:val="000000"/>
      <w:kern w:val="2"/>
      <w:sz w:val="24"/>
      <w:szCs w:val="24"/>
      <w:u w:val="none"/>
      <w:lang w:val="en-US" w:eastAsia="zh-CN"/>
    </w:rPr>
  </w:style>
  <w:style w:type="character" w:customStyle="1" w:styleId="227">
    <w:name w:val="表格内字体 Char4"/>
    <w:qFormat/>
    <w:uiPriority w:val="0"/>
    <w:rPr>
      <w:rFonts w:hint="default" w:ascii="宋体" w:hAnsi="宋体" w:eastAsia="宋体" w:cs="Times New Roman"/>
      <w:color w:val="000000"/>
      <w:kern w:val="2"/>
      <w:sz w:val="21"/>
      <w:szCs w:val="24"/>
      <w:u w:val="none"/>
      <w:lang w:val="en-US" w:eastAsia="zh-CN"/>
    </w:rPr>
  </w:style>
  <w:style w:type="character" w:customStyle="1" w:styleId="228">
    <w:name w:val="Char Char92"/>
    <w:qFormat/>
    <w:uiPriority w:val="0"/>
    <w:rPr>
      <w:rFonts w:hint="default" w:ascii="Times New Roman" w:hAnsi="Times New Roman" w:cs="Times New Roman"/>
      <w:color w:val="000000"/>
      <w:kern w:val="2"/>
      <w:sz w:val="18"/>
      <w:szCs w:val="18"/>
      <w:u w:val="none"/>
    </w:rPr>
  </w:style>
  <w:style w:type="character" w:customStyle="1" w:styleId="229">
    <w:name w:val="Heading 9 Char"/>
    <w:qFormat/>
    <w:uiPriority w:val="0"/>
    <w:rPr>
      <w:rFonts w:hint="default" w:ascii="Cambria" w:hAnsi="Cambria" w:eastAsia="宋体" w:cs="黑体"/>
      <w:color w:val="000000"/>
      <w:kern w:val="2"/>
      <w:sz w:val="21"/>
      <w:szCs w:val="21"/>
      <w:u w:val="none"/>
    </w:rPr>
  </w:style>
  <w:style w:type="character" w:customStyle="1" w:styleId="230">
    <w:name w:val="燕山正文 Char141"/>
    <w:qFormat/>
    <w:uiPriority w:val="0"/>
    <w:rPr>
      <w:rFonts w:hint="default" w:ascii="宋体" w:hAnsi="Times New Roman" w:eastAsia="宋体" w:cs="宋体"/>
      <w:color w:val="000000"/>
      <w:kern w:val="2"/>
      <w:sz w:val="24"/>
      <w:szCs w:val="24"/>
      <w:u w:val="none"/>
      <w:lang w:val="en-US" w:eastAsia="zh-CN"/>
    </w:rPr>
  </w:style>
  <w:style w:type="character" w:customStyle="1" w:styleId="231">
    <w:name w:val="燕山正文 Char15"/>
    <w:qFormat/>
    <w:uiPriority w:val="0"/>
    <w:rPr>
      <w:rFonts w:hint="default" w:ascii="宋体" w:hAnsi="Times New Roman" w:eastAsia="宋体" w:cs="宋体"/>
      <w:color w:val="000000"/>
      <w:kern w:val="2"/>
      <w:sz w:val="24"/>
      <w:szCs w:val="24"/>
      <w:u w:val="none"/>
      <w:lang w:val="en-US" w:eastAsia="zh-CN"/>
    </w:rPr>
  </w:style>
  <w:style w:type="character" w:customStyle="1" w:styleId="232">
    <w:name w:val="正文格式 Char12"/>
    <w:qFormat/>
    <w:uiPriority w:val="0"/>
    <w:rPr>
      <w:rFonts w:hint="default" w:ascii="宋体" w:hAnsi="宋体" w:eastAsia="宋体" w:cs="Times New Roman"/>
      <w:color w:val="000000"/>
      <w:kern w:val="2"/>
      <w:sz w:val="24"/>
      <w:szCs w:val="24"/>
      <w:u w:val="none"/>
      <w:lang w:val="en-US" w:eastAsia="zh-CN"/>
    </w:rPr>
  </w:style>
  <w:style w:type="character" w:customStyle="1" w:styleId="233">
    <w:name w:val="Char Char33"/>
    <w:qFormat/>
    <w:uiPriority w:val="0"/>
    <w:rPr>
      <w:rFonts w:hint="default" w:ascii="黑体" w:hAnsi="宋体" w:eastAsia="黑体" w:cs="Times New Roman"/>
      <w:b/>
      <w:bCs/>
      <w:color w:val="000000"/>
      <w:kern w:val="2"/>
      <w:sz w:val="28"/>
      <w:szCs w:val="28"/>
      <w:u w:val="none"/>
      <w:lang w:val="en-US" w:eastAsia="zh-CN"/>
    </w:rPr>
  </w:style>
  <w:style w:type="character" w:customStyle="1" w:styleId="234">
    <w:name w:val="Char Char16"/>
    <w:qFormat/>
    <w:uiPriority w:val="0"/>
    <w:rPr>
      <w:rFonts w:hint="default" w:ascii="宋体" w:hAnsi="宋体" w:cs="宋体"/>
      <w:b/>
      <w:bCs/>
      <w:color w:val="000000"/>
      <w:kern w:val="2"/>
      <w:sz w:val="24"/>
      <w:szCs w:val="24"/>
      <w:u w:val="none"/>
    </w:rPr>
  </w:style>
  <w:style w:type="character" w:customStyle="1" w:styleId="235">
    <w:name w:val="样式 题注 + 五号 Char"/>
    <w:link w:val="236"/>
    <w:semiHidden/>
    <w:qFormat/>
    <w:uiPriority w:val="0"/>
    <w:rPr>
      <w:rFonts w:hint="default" w:ascii="Times New Roman" w:hAnsi="Times New Roman" w:eastAsia="宋体" w:cs="Arial"/>
      <w:color w:val="000000"/>
      <w:sz w:val="16"/>
      <w:szCs w:val="21"/>
      <w:u w:val="none"/>
    </w:rPr>
  </w:style>
  <w:style w:type="paragraph" w:customStyle="1" w:styleId="236">
    <w:name w:val="样式 题注 + 五号"/>
    <w:basedOn w:val="1"/>
    <w:link w:val="235"/>
    <w:semiHidden/>
    <w:qFormat/>
    <w:uiPriority w:val="0"/>
    <w:pPr>
      <w:spacing w:before="60"/>
      <w:jc w:val="left"/>
    </w:pPr>
    <w:rPr>
      <w:rFonts w:cs="Arial"/>
      <w:szCs w:val="21"/>
    </w:rPr>
  </w:style>
  <w:style w:type="character" w:customStyle="1" w:styleId="237">
    <w:name w:val="尾注文本 Char2"/>
    <w:basedOn w:val="79"/>
    <w:qFormat/>
    <w:uiPriority w:val="0"/>
  </w:style>
  <w:style w:type="character" w:customStyle="1" w:styleId="238">
    <w:name w:val="fontstyle01"/>
    <w:qFormat/>
    <w:uiPriority w:val="0"/>
    <w:rPr>
      <w:rFonts w:ascii="黑体" w:hAnsi="宋体" w:eastAsia="黑体" w:cs="黑体"/>
      <w:color w:val="000000"/>
      <w:sz w:val="52"/>
      <w:szCs w:val="52"/>
    </w:rPr>
  </w:style>
  <w:style w:type="character" w:customStyle="1" w:styleId="239">
    <w:name w:val="正文(首行缩进)宋旭峰 Char Char"/>
    <w:link w:val="240"/>
    <w:qFormat/>
    <w:uiPriority w:val="0"/>
    <w:rPr>
      <w:rFonts w:hint="default" w:ascii="Times New Roman" w:hAnsi="Times New Roman" w:cs="Times New Roman"/>
      <w:color w:val="000000"/>
      <w:sz w:val="24"/>
      <w:szCs w:val="16"/>
      <w:u w:val="none"/>
    </w:rPr>
  </w:style>
  <w:style w:type="paragraph" w:customStyle="1" w:styleId="240">
    <w:name w:val="正文(首行缩进)宋旭峰"/>
    <w:basedOn w:val="112"/>
    <w:link w:val="239"/>
    <w:qFormat/>
    <w:uiPriority w:val="0"/>
    <w:pPr>
      <w:spacing w:before="156" w:after="156"/>
      <w:ind w:firstLine="440"/>
      <w:contextualSpacing/>
    </w:pPr>
    <w:rPr>
      <w:rFonts w:ascii="Calibri" w:hAnsi="Calibri"/>
    </w:rPr>
  </w:style>
  <w:style w:type="character" w:customStyle="1" w:styleId="241">
    <w:name w:val="日期 Char1"/>
    <w:basedOn w:val="79"/>
    <w:qFormat/>
    <w:uiPriority w:val="99"/>
  </w:style>
  <w:style w:type="character" w:customStyle="1" w:styleId="242">
    <w:name w:val="Char Char57"/>
    <w:qFormat/>
    <w:uiPriority w:val="0"/>
    <w:rPr>
      <w:rFonts w:hint="default" w:ascii="黑体" w:hAnsi="宋体" w:eastAsia="黑体" w:cs="Times New Roman"/>
      <w:bCs/>
      <w:color w:val="000000"/>
      <w:kern w:val="2"/>
      <w:sz w:val="28"/>
      <w:szCs w:val="28"/>
      <w:u w:val="none"/>
      <w:lang w:val="en-US" w:eastAsia="zh-CN"/>
    </w:rPr>
  </w:style>
  <w:style w:type="character" w:customStyle="1" w:styleId="243">
    <w:name w:val="文本匡小五号 Char Char Char"/>
    <w:qFormat/>
    <w:uiPriority w:val="0"/>
    <w:rPr>
      <w:rFonts w:hint="default" w:ascii="宋体" w:hAnsi="宋体" w:eastAsia="仿宋_GB2312" w:cs="Courier New"/>
      <w:color w:val="000000"/>
      <w:kern w:val="2"/>
      <w:sz w:val="18"/>
      <w:szCs w:val="24"/>
      <w:u w:val="none"/>
      <w:lang w:val="en-US" w:eastAsia="zh-CN"/>
    </w:rPr>
  </w:style>
  <w:style w:type="character" w:customStyle="1" w:styleId="244">
    <w:name w:val="样式 正文1 + 首行缩进:  2 字符 Char Char"/>
    <w:link w:val="245"/>
    <w:qFormat/>
    <w:uiPriority w:val="0"/>
    <w:rPr>
      <w:rFonts w:hint="default" w:ascii="Times New Roman" w:hAnsi="Times New Roman" w:cs="Times New Roman"/>
      <w:color w:val="000000"/>
      <w:sz w:val="28"/>
      <w:szCs w:val="16"/>
      <w:u w:val="none"/>
    </w:rPr>
  </w:style>
  <w:style w:type="paragraph" w:customStyle="1" w:styleId="245">
    <w:name w:val="样式 正文1 + 首行缩进:  2 字符"/>
    <w:basedOn w:val="1"/>
    <w:link w:val="244"/>
    <w:qFormat/>
    <w:uiPriority w:val="0"/>
    <w:pPr>
      <w:widowControl/>
      <w:ind w:firstLine="560"/>
      <w:jc w:val="left"/>
    </w:pPr>
  </w:style>
  <w:style w:type="character" w:customStyle="1" w:styleId="246">
    <w:name w:val="表格内容 Char3"/>
    <w:qFormat/>
    <w:uiPriority w:val="0"/>
    <w:rPr>
      <w:rFonts w:hint="default" w:ascii="Times New Roman" w:hAnsi="Times New Roman" w:eastAsia="宋体" w:cs="Times New Roman"/>
      <w:color w:val="000000"/>
      <w:kern w:val="2"/>
      <w:sz w:val="24"/>
      <w:szCs w:val="21"/>
      <w:u w:val="none"/>
      <w:lang w:val="en-US" w:eastAsia="zh-CN"/>
    </w:rPr>
  </w:style>
  <w:style w:type="character" w:customStyle="1" w:styleId="247">
    <w:name w:val="题注 Char531"/>
    <w:qFormat/>
    <w:uiPriority w:val="0"/>
    <w:rPr>
      <w:rFonts w:hint="default" w:ascii="黑体" w:hAnsi="Arial" w:eastAsia="黑体" w:cs="Arial"/>
      <w:b/>
      <w:color w:val="000000"/>
      <w:kern w:val="2"/>
      <w:sz w:val="24"/>
      <w:szCs w:val="24"/>
      <w:u w:val="none"/>
      <w:lang w:val="en-US" w:eastAsia="zh-CN"/>
    </w:rPr>
  </w:style>
  <w:style w:type="character" w:customStyle="1" w:styleId="248">
    <w:name w:val="表格1 Char Char"/>
    <w:link w:val="249"/>
    <w:qFormat/>
    <w:uiPriority w:val="0"/>
    <w:rPr>
      <w:rFonts w:hint="default" w:ascii="Times New Roman" w:hAnsi="Times New Roman" w:cs="Times New Roman"/>
      <w:color w:val="000000"/>
      <w:sz w:val="24"/>
      <w:szCs w:val="16"/>
      <w:u w:val="none"/>
    </w:rPr>
  </w:style>
  <w:style w:type="paragraph" w:customStyle="1" w:styleId="249">
    <w:name w:val="表格1"/>
    <w:basedOn w:val="1"/>
    <w:link w:val="248"/>
    <w:qFormat/>
    <w:uiPriority w:val="0"/>
    <w:pPr>
      <w:spacing w:line="400" w:lineRule="atLeast"/>
      <w:jc w:val="center"/>
      <w:textAlignment w:val="baseline"/>
    </w:pPr>
  </w:style>
  <w:style w:type="character" w:customStyle="1" w:styleId="250">
    <w:name w:val="福建正文缩进 Char4"/>
    <w:qFormat/>
    <w:uiPriority w:val="0"/>
    <w:rPr>
      <w:rFonts w:hint="default" w:ascii="宋体" w:hAnsi="宋体" w:eastAsia="宋体" w:cs="宋体"/>
      <w:color w:val="000000"/>
      <w:kern w:val="2"/>
      <w:sz w:val="24"/>
      <w:szCs w:val="24"/>
      <w:u w:val="none"/>
      <w:lang w:val="en-US" w:eastAsia="zh-CN"/>
    </w:rPr>
  </w:style>
  <w:style w:type="character" w:customStyle="1" w:styleId="251">
    <w:name w:val="标题 2 Char Char Char Char Char Char"/>
    <w:qFormat/>
    <w:uiPriority w:val="0"/>
    <w:rPr>
      <w:rFonts w:hint="default" w:ascii="Times New Roman" w:hAnsi="Times New Roman" w:cs="Times New Roman"/>
      <w:b/>
      <w:color w:val="000000"/>
      <w:kern w:val="2"/>
      <w:sz w:val="30"/>
      <w:szCs w:val="32"/>
      <w:u w:val="none"/>
    </w:rPr>
  </w:style>
  <w:style w:type="character" w:customStyle="1" w:styleId="252">
    <w:name w:val="题注 Char51"/>
    <w:qFormat/>
    <w:uiPriority w:val="0"/>
    <w:rPr>
      <w:rFonts w:hint="default" w:ascii="黑体" w:hAnsi="Arial" w:eastAsia="黑体" w:cs="Arial"/>
      <w:b/>
      <w:color w:val="000000"/>
      <w:kern w:val="2"/>
      <w:sz w:val="24"/>
      <w:szCs w:val="24"/>
      <w:u w:val="none"/>
      <w:lang w:val="en-US" w:eastAsia="zh-CN"/>
    </w:rPr>
  </w:style>
  <w:style w:type="character" w:customStyle="1" w:styleId="253">
    <w:name w:val="首页 项目编号 Char"/>
    <w:link w:val="254"/>
    <w:qFormat/>
    <w:uiPriority w:val="0"/>
    <w:rPr>
      <w:rFonts w:hint="default" w:ascii="Times New Roman" w:hAnsi="Times New Roman" w:eastAsia="宋体" w:cs="Times New Roman"/>
      <w:color w:val="000000"/>
      <w:sz w:val="24"/>
      <w:szCs w:val="24"/>
      <w:u w:val="none"/>
    </w:rPr>
  </w:style>
  <w:style w:type="paragraph" w:customStyle="1" w:styleId="254">
    <w:name w:val="首页 项目编号"/>
    <w:basedOn w:val="98"/>
    <w:link w:val="253"/>
    <w:qFormat/>
    <w:uiPriority w:val="0"/>
    <w:pPr>
      <w:jc w:val="center"/>
    </w:pPr>
    <w:rPr>
      <w:rFonts w:ascii="Times New Roman" w:hAnsi="Times New Roman" w:cs="Times New Roman"/>
      <w:color w:val="000000"/>
    </w:rPr>
  </w:style>
  <w:style w:type="character" w:customStyle="1" w:styleId="255">
    <w:name w:val="表头1 Char Char"/>
    <w:link w:val="256"/>
    <w:qFormat/>
    <w:uiPriority w:val="0"/>
    <w:rPr>
      <w:rFonts w:hint="default" w:ascii="Times New Roman" w:hAnsi="Times New Roman" w:eastAsia="黑体" w:cs="Times New Roman"/>
      <w:color w:val="000000"/>
      <w:sz w:val="28"/>
      <w:szCs w:val="16"/>
      <w:u w:val="none"/>
    </w:rPr>
  </w:style>
  <w:style w:type="paragraph" w:customStyle="1" w:styleId="256">
    <w:name w:val="表头1"/>
    <w:basedOn w:val="1"/>
    <w:next w:val="1"/>
    <w:link w:val="255"/>
    <w:qFormat/>
    <w:uiPriority w:val="0"/>
    <w:pPr>
      <w:tabs>
        <w:tab w:val="left" w:pos="605"/>
      </w:tabs>
      <w:jc w:val="center"/>
    </w:pPr>
    <w:rPr>
      <w:rFonts w:eastAsia="黑体"/>
    </w:rPr>
  </w:style>
  <w:style w:type="character" w:customStyle="1" w:styleId="257">
    <w:name w:val="表中文字 Char Char"/>
    <w:link w:val="258"/>
    <w:qFormat/>
    <w:uiPriority w:val="0"/>
    <w:rPr>
      <w:rFonts w:hint="default" w:ascii="Arial" w:hAnsi="Arial" w:cs="Times New Roman"/>
      <w:color w:val="000000"/>
      <w:sz w:val="24"/>
      <w:szCs w:val="16"/>
      <w:u w:val="none"/>
      <w:lang w:eastAsia="zh-TW"/>
    </w:rPr>
  </w:style>
  <w:style w:type="paragraph" w:customStyle="1" w:styleId="258">
    <w:name w:val="表中文字4"/>
    <w:basedOn w:val="1"/>
    <w:link w:val="257"/>
    <w:qFormat/>
    <w:uiPriority w:val="0"/>
    <w:pPr>
      <w:widowControl/>
      <w:spacing w:line="340" w:lineRule="exact"/>
      <w:ind w:firstLine="480"/>
      <w:jc w:val="center"/>
    </w:pPr>
    <w:rPr>
      <w:rFonts w:ascii="Arial" w:hAnsi="Arial"/>
      <w:lang w:eastAsia="zh-TW"/>
    </w:rPr>
  </w:style>
  <w:style w:type="character" w:customStyle="1" w:styleId="259">
    <w:name w:val="A2 Char Char"/>
    <w:link w:val="260"/>
    <w:qFormat/>
    <w:uiPriority w:val="0"/>
    <w:rPr>
      <w:rFonts w:hint="default" w:ascii="Times New Roman" w:hAnsi="Times New Roman" w:cs="Times New Roman"/>
      <w:color w:val="000000"/>
      <w:sz w:val="24"/>
      <w:szCs w:val="16"/>
      <w:u w:val="none"/>
    </w:rPr>
  </w:style>
  <w:style w:type="paragraph" w:customStyle="1" w:styleId="260">
    <w:name w:val="A2"/>
    <w:basedOn w:val="1"/>
    <w:link w:val="259"/>
    <w:qFormat/>
    <w:uiPriority w:val="0"/>
    <w:pPr>
      <w:widowControl/>
      <w:ind w:firstLine="570"/>
      <w:jc w:val="left"/>
    </w:pPr>
  </w:style>
  <w:style w:type="character" w:customStyle="1" w:styleId="261">
    <w:name w:val="标题 1 Char41"/>
    <w:qFormat/>
    <w:uiPriority w:val="0"/>
    <w:rPr>
      <w:rFonts w:hint="default" w:ascii="黑体" w:hAnsi="宋体" w:eastAsia="黑体" w:cs="Times New Roman"/>
      <w:b/>
      <w:bCs/>
      <w:color w:val="000000"/>
      <w:kern w:val="44"/>
      <w:sz w:val="32"/>
      <w:szCs w:val="32"/>
      <w:u w:val="none"/>
      <w:lang w:val="en-US" w:eastAsia="zh-CN"/>
    </w:rPr>
  </w:style>
  <w:style w:type="character" w:customStyle="1" w:styleId="262">
    <w:name w:val="font91"/>
    <w:qFormat/>
    <w:uiPriority w:val="0"/>
    <w:rPr>
      <w:rFonts w:hint="default" w:ascii="Times New Roman" w:hAnsi="Times New Roman" w:cs="Times New Roman"/>
      <w:color w:val="000000"/>
      <w:sz w:val="21"/>
      <w:szCs w:val="21"/>
      <w:u w:val="none"/>
    </w:rPr>
  </w:style>
  <w:style w:type="character" w:customStyle="1" w:styleId="263">
    <w:name w:val="样式3 Char Char"/>
    <w:link w:val="264"/>
    <w:qFormat/>
    <w:uiPriority w:val="0"/>
    <w:rPr>
      <w:rFonts w:ascii="Calibri" w:hAnsi="Calibri"/>
      <w:b/>
      <w:color w:val="000000"/>
      <w:kern w:val="2"/>
      <w:sz w:val="24"/>
      <w:szCs w:val="22"/>
    </w:rPr>
  </w:style>
  <w:style w:type="paragraph" w:customStyle="1" w:styleId="264">
    <w:name w:val="样式3"/>
    <w:basedOn w:val="3"/>
    <w:link w:val="263"/>
    <w:qFormat/>
    <w:uiPriority w:val="0"/>
    <w:rPr>
      <w:bCs w:val="0"/>
      <w:kern w:val="2"/>
      <w:szCs w:val="22"/>
    </w:rPr>
  </w:style>
  <w:style w:type="character" w:customStyle="1" w:styleId="265">
    <w:name w:val="标题 2 Char6"/>
    <w:qFormat/>
    <w:uiPriority w:val="0"/>
    <w:rPr>
      <w:rFonts w:hint="default" w:ascii="黑体" w:hAnsi="Arial" w:eastAsia="黑体" w:cs="Times New Roman"/>
      <w:b/>
      <w:bCs/>
      <w:color w:val="000000"/>
      <w:kern w:val="2"/>
      <w:sz w:val="30"/>
      <w:szCs w:val="30"/>
      <w:u w:val="none"/>
      <w:lang w:val="en-US" w:eastAsia="zh-CN"/>
    </w:rPr>
  </w:style>
  <w:style w:type="character" w:customStyle="1" w:styleId="266">
    <w:name w:val="无节 Char11"/>
    <w:qFormat/>
    <w:uiPriority w:val="0"/>
    <w:rPr>
      <w:rFonts w:hint="default" w:ascii="Arial" w:hAnsi="Arial" w:eastAsia="黑体" w:cs="Times New Roman"/>
      <w:b/>
      <w:bCs/>
      <w:color w:val="000000"/>
      <w:kern w:val="2"/>
      <w:sz w:val="24"/>
      <w:szCs w:val="24"/>
      <w:u w:val="none"/>
      <w:lang w:val="en-US" w:eastAsia="zh-CN"/>
    </w:rPr>
  </w:style>
  <w:style w:type="character" w:customStyle="1" w:styleId="267">
    <w:name w:val="样式 表内小5 + 黑体 加粗 倾斜 下划线 Char5"/>
    <w:qFormat/>
    <w:uiPriority w:val="0"/>
    <w:rPr>
      <w:rFonts w:hint="default" w:ascii="黑体" w:hAnsi="黑体" w:eastAsia="黑体" w:cs="Times New Roman"/>
      <w:b/>
      <w:bCs/>
      <w:i/>
      <w:iCs/>
      <w:color w:val="000000"/>
      <w:kern w:val="2"/>
      <w:sz w:val="18"/>
      <w:szCs w:val="24"/>
      <w:u w:val="single"/>
      <w:lang w:val="en-US" w:eastAsia="zh-CN"/>
    </w:rPr>
  </w:style>
  <w:style w:type="character" w:customStyle="1" w:styleId="268">
    <w:name w:val="标题 2 Char Char2"/>
    <w:qFormat/>
    <w:uiPriority w:val="0"/>
    <w:rPr>
      <w:rFonts w:hint="default" w:ascii="黑体" w:hAnsi="Arial" w:eastAsia="黑体" w:cs="Times New Roman"/>
      <w:b/>
      <w:bCs/>
      <w:color w:val="000000"/>
      <w:kern w:val="2"/>
      <w:sz w:val="30"/>
      <w:szCs w:val="30"/>
      <w:u w:val="none"/>
      <w:lang w:val="en-US" w:eastAsia="zh-CN"/>
    </w:rPr>
  </w:style>
  <w:style w:type="character" w:customStyle="1" w:styleId="269">
    <w:name w:val="Char Char127"/>
    <w:qFormat/>
    <w:uiPriority w:val="0"/>
    <w:rPr>
      <w:rFonts w:hint="default" w:ascii="黑体" w:hAnsi="Arial" w:eastAsia="黑体" w:cs="Times New Roman"/>
      <w:b/>
      <w:bCs/>
      <w:color w:val="000000"/>
      <w:kern w:val="2"/>
      <w:sz w:val="30"/>
      <w:szCs w:val="30"/>
      <w:u w:val="none"/>
      <w:lang w:val="en-US" w:eastAsia="zh-CN"/>
    </w:rPr>
  </w:style>
  <w:style w:type="character" w:customStyle="1" w:styleId="270">
    <w:name w:val="表格 首行文字 Char Char"/>
    <w:link w:val="271"/>
    <w:qFormat/>
    <w:uiPriority w:val="0"/>
    <w:rPr>
      <w:rFonts w:hint="default" w:ascii="Times New Roman" w:hAnsi="Times New Roman" w:eastAsia="仿宋_GB2312" w:cs="Times New Roman"/>
      <w:b/>
      <w:color w:val="000000"/>
      <w:sz w:val="16"/>
      <w:szCs w:val="16"/>
      <w:u w:val="none"/>
    </w:rPr>
  </w:style>
  <w:style w:type="paragraph" w:customStyle="1" w:styleId="271">
    <w:name w:val="表格 首行文字"/>
    <w:basedOn w:val="1"/>
    <w:link w:val="270"/>
    <w:qFormat/>
    <w:uiPriority w:val="0"/>
    <w:pPr>
      <w:jc w:val="center"/>
    </w:pPr>
    <w:rPr>
      <w:b/>
    </w:rPr>
  </w:style>
  <w:style w:type="character" w:customStyle="1" w:styleId="272">
    <w:name w:val="样式 表内小5 + 黑体 加粗 倾斜 下划线 Char31"/>
    <w:qFormat/>
    <w:uiPriority w:val="0"/>
    <w:rPr>
      <w:rFonts w:hint="default" w:ascii="黑体" w:hAnsi="黑体" w:eastAsia="黑体" w:cs="Times New Roman"/>
      <w:b/>
      <w:bCs/>
      <w:i/>
      <w:iCs/>
      <w:color w:val="000000"/>
      <w:kern w:val="2"/>
      <w:sz w:val="18"/>
      <w:szCs w:val="24"/>
      <w:u w:val="single"/>
      <w:lang w:val="en-US" w:eastAsia="zh-CN"/>
    </w:rPr>
  </w:style>
  <w:style w:type="character" w:customStyle="1" w:styleId="273">
    <w:name w:val="样式1 Char Char"/>
    <w:link w:val="274"/>
    <w:qFormat/>
    <w:uiPriority w:val="0"/>
    <w:rPr>
      <w:rFonts w:hint="default" w:ascii="仿宋_GB2312" w:hAnsi="Times New Roman" w:eastAsia="仿宋_GB2312" w:cs="Times New Roman"/>
      <w:color w:val="000000"/>
      <w:sz w:val="16"/>
      <w:szCs w:val="16"/>
      <w:u w:val="none"/>
    </w:rPr>
  </w:style>
  <w:style w:type="paragraph" w:customStyle="1" w:styleId="274">
    <w:name w:val="样式1"/>
    <w:basedOn w:val="29"/>
    <w:link w:val="273"/>
    <w:qFormat/>
    <w:uiPriority w:val="0"/>
    <w:pPr>
      <w:ind w:left="0" w:firstLine="0" w:firstLineChars="0"/>
      <w:jc w:val="center"/>
      <w:textAlignment w:val="baseline"/>
    </w:pPr>
    <w:rPr>
      <w:rFonts w:ascii="仿宋_GB2312" w:eastAsia="仿宋_GB2312"/>
      <w:szCs w:val="22"/>
    </w:rPr>
  </w:style>
  <w:style w:type="character" w:customStyle="1" w:styleId="275">
    <w:name w:val="首页 项目名称 Char"/>
    <w:link w:val="276"/>
    <w:qFormat/>
    <w:uiPriority w:val="0"/>
    <w:rPr>
      <w:rFonts w:hint="default" w:ascii="华文新魏" w:hAnsi="黑体" w:eastAsia="华文新魏" w:cs="Times New Roman"/>
      <w:bCs/>
      <w:color w:val="000000"/>
      <w:sz w:val="44"/>
      <w:szCs w:val="44"/>
      <w:u w:val="none"/>
    </w:rPr>
  </w:style>
  <w:style w:type="paragraph" w:customStyle="1" w:styleId="276">
    <w:name w:val="首页 项目名称"/>
    <w:basedOn w:val="98"/>
    <w:link w:val="275"/>
    <w:qFormat/>
    <w:uiPriority w:val="0"/>
    <w:pPr>
      <w:jc w:val="center"/>
    </w:pPr>
    <w:rPr>
      <w:rFonts w:ascii="华文新魏" w:hAnsi="黑体" w:eastAsia="华文新魏" w:cs="Times New Roman"/>
      <w:bCs/>
      <w:color w:val="000000"/>
      <w:sz w:val="44"/>
      <w:szCs w:val="44"/>
    </w:rPr>
  </w:style>
  <w:style w:type="character" w:customStyle="1" w:styleId="277">
    <w:name w:val="样式 正文缩进 + 宋体 黑色 Char1"/>
    <w:qFormat/>
    <w:uiPriority w:val="0"/>
    <w:rPr>
      <w:rFonts w:hint="default" w:ascii="宋体" w:hAnsi="宋体" w:eastAsia="宋体" w:cs="Times New Roman"/>
      <w:color w:val="000000"/>
      <w:kern w:val="2"/>
      <w:sz w:val="24"/>
      <w:szCs w:val="24"/>
      <w:u w:val="none"/>
      <w:lang w:val="en-US" w:eastAsia="zh-CN"/>
    </w:rPr>
  </w:style>
  <w:style w:type="character" w:customStyle="1" w:styleId="278">
    <w:name w:val="表中文字 Char5"/>
    <w:qFormat/>
    <w:uiPriority w:val="0"/>
    <w:rPr>
      <w:rFonts w:hint="default" w:ascii="Arial" w:hAnsi="Arial" w:eastAsia="宋体" w:cs="Times New Roman"/>
      <w:color w:val="000000"/>
      <w:kern w:val="2"/>
      <w:sz w:val="24"/>
      <w:szCs w:val="24"/>
      <w:u w:val="none"/>
      <w:lang w:val="en-US" w:eastAsia="zh-TW"/>
    </w:rPr>
  </w:style>
  <w:style w:type="character" w:customStyle="1" w:styleId="279">
    <w:name w:val="unnamed1复制1"/>
    <w:qFormat/>
    <w:uiPriority w:val="0"/>
    <w:rPr>
      <w:rFonts w:hint="default" w:ascii="Times New Roman" w:hAnsi="Times New Roman" w:cs="Times New Roman"/>
      <w:color w:val="000000"/>
      <w:sz w:val="20"/>
      <w:szCs w:val="20"/>
      <w:u w:val="none"/>
    </w:rPr>
  </w:style>
  <w:style w:type="character" w:customStyle="1" w:styleId="280">
    <w:name w:val="正文修改 Char14"/>
    <w:qFormat/>
    <w:uiPriority w:val="0"/>
    <w:rPr>
      <w:rFonts w:hint="default" w:ascii="宋体" w:hAnsi="Times New Roman" w:cs="宋体"/>
      <w:color w:val="000000"/>
      <w:kern w:val="2"/>
      <w:sz w:val="24"/>
      <w:szCs w:val="24"/>
      <w:u w:val="none"/>
    </w:rPr>
  </w:style>
  <w:style w:type="character" w:customStyle="1" w:styleId="281">
    <w:name w:val="tpc_content1"/>
    <w:qFormat/>
    <w:uiPriority w:val="0"/>
    <w:rPr>
      <w:rFonts w:hint="default" w:ascii="Times New Roman" w:hAnsi="Times New Roman" w:cs="Times New Roman"/>
      <w:color w:val="000000"/>
      <w:sz w:val="20"/>
      <w:szCs w:val="20"/>
      <w:u w:val="none"/>
    </w:rPr>
  </w:style>
  <w:style w:type="character" w:customStyle="1" w:styleId="282">
    <w:name w:val="正文修改 Char111"/>
    <w:qFormat/>
    <w:uiPriority w:val="0"/>
    <w:rPr>
      <w:rFonts w:hint="default" w:ascii="宋体" w:hAnsi="宋体" w:eastAsia="宋体" w:cs="宋体"/>
      <w:color w:val="000000"/>
      <w:kern w:val="2"/>
      <w:sz w:val="24"/>
      <w:szCs w:val="24"/>
      <w:u w:val="none"/>
      <w:lang w:val="en-US" w:eastAsia="zh-CN"/>
    </w:rPr>
  </w:style>
  <w:style w:type="character" w:customStyle="1" w:styleId="283">
    <w:name w:val="正文缩进 Char121"/>
    <w:qFormat/>
    <w:uiPriority w:val="0"/>
    <w:rPr>
      <w:rFonts w:hint="default" w:ascii="宋体" w:hAnsi="宋体" w:eastAsia="宋体" w:cs="宋体"/>
      <w:color w:val="000000"/>
      <w:kern w:val="2"/>
      <w:sz w:val="24"/>
      <w:szCs w:val="24"/>
      <w:u w:val="none"/>
      <w:lang w:val="en-US" w:eastAsia="zh-CN"/>
    </w:rPr>
  </w:style>
  <w:style w:type="character" w:customStyle="1" w:styleId="284">
    <w:name w:val="样式 表内小5 + 黑体 加粗 倾斜 下划线 Char1"/>
    <w:qFormat/>
    <w:uiPriority w:val="0"/>
    <w:rPr>
      <w:rFonts w:hint="default" w:ascii="黑体" w:hAnsi="黑体" w:eastAsia="黑体" w:cs="Times New Roman"/>
      <w:b/>
      <w:bCs/>
      <w:i/>
      <w:iCs/>
      <w:color w:val="000000"/>
      <w:kern w:val="2"/>
      <w:sz w:val="18"/>
      <w:szCs w:val="24"/>
      <w:u w:val="single"/>
      <w:lang w:val="en-US" w:eastAsia="zh-CN"/>
    </w:rPr>
  </w:style>
  <w:style w:type="character" w:customStyle="1" w:styleId="285">
    <w:name w:val="题注 Char71"/>
    <w:qFormat/>
    <w:uiPriority w:val="0"/>
    <w:rPr>
      <w:rFonts w:hint="default" w:ascii="黑体" w:hAnsi="Arial" w:eastAsia="黑体" w:cs="Arial"/>
      <w:b/>
      <w:color w:val="000000"/>
      <w:kern w:val="2"/>
      <w:sz w:val="24"/>
      <w:szCs w:val="24"/>
      <w:u w:val="none"/>
      <w:lang w:val="en-US" w:eastAsia="zh-CN"/>
    </w:rPr>
  </w:style>
  <w:style w:type="character" w:customStyle="1" w:styleId="286">
    <w:name w:val="正文缩进 Char111"/>
    <w:qFormat/>
    <w:uiPriority w:val="0"/>
    <w:rPr>
      <w:rFonts w:hint="default" w:ascii="宋体" w:hAnsi="宋体" w:eastAsia="宋体" w:cs="宋体"/>
      <w:color w:val="000000"/>
      <w:kern w:val="2"/>
      <w:sz w:val="24"/>
      <w:szCs w:val="24"/>
      <w:u w:val="none"/>
      <w:lang w:val="en-US" w:eastAsia="zh-CN"/>
    </w:rPr>
  </w:style>
  <w:style w:type="character" w:customStyle="1" w:styleId="287">
    <w:name w:val="标题1新 Char Char"/>
    <w:link w:val="288"/>
    <w:qFormat/>
    <w:uiPriority w:val="0"/>
    <w:rPr>
      <w:rFonts w:ascii="Calibri" w:hAnsi="Calibri" w:eastAsia="黑体"/>
      <w:color w:val="000000"/>
      <w:kern w:val="44"/>
      <w:sz w:val="32"/>
      <w:szCs w:val="22"/>
    </w:rPr>
  </w:style>
  <w:style w:type="paragraph" w:customStyle="1" w:styleId="288">
    <w:name w:val="标题1新"/>
    <w:basedOn w:val="2"/>
    <w:link w:val="287"/>
    <w:qFormat/>
    <w:uiPriority w:val="0"/>
    <w:rPr>
      <w:rFonts w:eastAsia="黑体"/>
      <w:b w:val="0"/>
      <w:bCs w:val="0"/>
      <w:sz w:val="32"/>
      <w:szCs w:val="22"/>
    </w:rPr>
  </w:style>
  <w:style w:type="paragraph" w:customStyle="1" w:styleId="289">
    <w:name w:val="标题2  新新"/>
    <w:basedOn w:val="288"/>
    <w:qFormat/>
    <w:uiPriority w:val="0"/>
    <w:pPr>
      <w:numPr>
        <w:numId w:val="0"/>
      </w:numPr>
      <w:tabs>
        <w:tab w:val="left" w:pos="720"/>
        <w:tab w:val="left" w:pos="1413"/>
      </w:tabs>
      <w:adjustRightInd/>
      <w:snapToGrid/>
      <w:spacing w:before="156"/>
      <w:ind w:left="720" w:hanging="720"/>
      <w:jc w:val="left"/>
      <w:outlineLvl w:val="1"/>
    </w:pPr>
    <w:rPr>
      <w:b/>
      <w:bCs/>
      <w:szCs w:val="28"/>
    </w:rPr>
  </w:style>
  <w:style w:type="character" w:customStyle="1" w:styleId="290">
    <w:name w:val="表题1 Char411"/>
    <w:qFormat/>
    <w:uiPriority w:val="0"/>
    <w:rPr>
      <w:rFonts w:hint="default" w:ascii="黑体" w:hAnsi="Arial" w:eastAsia="黑体" w:cs="Arial"/>
      <w:b/>
      <w:color w:val="000000"/>
      <w:kern w:val="2"/>
      <w:sz w:val="24"/>
      <w:szCs w:val="24"/>
      <w:u w:val="none"/>
      <w:lang w:val="en-US" w:eastAsia="zh-CN"/>
    </w:rPr>
  </w:style>
  <w:style w:type="character" w:customStyle="1" w:styleId="291">
    <w:name w:val="表格内字体 Char9"/>
    <w:qFormat/>
    <w:uiPriority w:val="0"/>
    <w:rPr>
      <w:rFonts w:hint="default" w:ascii="宋体" w:hAnsi="宋体" w:eastAsia="宋体" w:cs="Times New Roman"/>
      <w:color w:val="000000"/>
      <w:kern w:val="2"/>
      <w:sz w:val="21"/>
      <w:szCs w:val="24"/>
      <w:u w:val="none"/>
      <w:lang w:val="en-US" w:eastAsia="zh-CN"/>
    </w:rPr>
  </w:style>
  <w:style w:type="character" w:customStyle="1" w:styleId="292">
    <w:name w:val="Char Char19"/>
    <w:qFormat/>
    <w:uiPriority w:val="0"/>
    <w:rPr>
      <w:rFonts w:hint="default" w:ascii="Times New Roman" w:hAnsi="Times New Roman" w:eastAsia="仿宋_GB2312" w:cs="Times New Roman"/>
      <w:b/>
      <w:bCs/>
      <w:snapToGrid w:val="0"/>
      <w:color w:val="000000"/>
      <w:sz w:val="32"/>
      <w:szCs w:val="44"/>
      <w:u w:val="none"/>
      <w:lang w:bidi="ar-SA"/>
    </w:rPr>
  </w:style>
  <w:style w:type="character" w:customStyle="1" w:styleId="293">
    <w:name w:val="正文修改 Char171"/>
    <w:qFormat/>
    <w:uiPriority w:val="0"/>
    <w:rPr>
      <w:rFonts w:hint="default" w:ascii="宋体" w:hAnsi="宋体" w:eastAsia="宋体" w:cs="宋体"/>
      <w:color w:val="000000"/>
      <w:kern w:val="2"/>
      <w:sz w:val="24"/>
      <w:szCs w:val="24"/>
      <w:u w:val="none"/>
      <w:lang w:val="en-US" w:eastAsia="zh-CN"/>
    </w:rPr>
  </w:style>
  <w:style w:type="character" w:customStyle="1" w:styleId="294">
    <w:name w:val="亚行正文 Char Char"/>
    <w:link w:val="295"/>
    <w:qFormat/>
    <w:uiPriority w:val="0"/>
    <w:rPr>
      <w:rFonts w:hint="default" w:ascii="宋体" w:hAnsi="Times New Roman" w:cs="Times New Roman"/>
      <w:color w:val="000000"/>
      <w:sz w:val="28"/>
      <w:szCs w:val="16"/>
      <w:u w:val="none"/>
    </w:rPr>
  </w:style>
  <w:style w:type="paragraph" w:customStyle="1" w:styleId="295">
    <w:name w:val="亚行正文"/>
    <w:basedOn w:val="1"/>
    <w:link w:val="294"/>
    <w:qFormat/>
    <w:uiPriority w:val="0"/>
    <w:pPr>
      <w:widowControl/>
      <w:ind w:firstLine="560"/>
      <w:jc w:val="left"/>
    </w:pPr>
    <w:rPr>
      <w:rFonts w:ascii="宋体"/>
    </w:rPr>
  </w:style>
  <w:style w:type="character" w:customStyle="1" w:styleId="296">
    <w:name w:val="正文缩进 Char131"/>
    <w:qFormat/>
    <w:uiPriority w:val="0"/>
    <w:rPr>
      <w:rFonts w:hint="default" w:ascii="宋体" w:hAnsi="宋体" w:eastAsia="宋体" w:cs="宋体"/>
      <w:color w:val="000000"/>
      <w:kern w:val="2"/>
      <w:sz w:val="24"/>
      <w:szCs w:val="24"/>
      <w:u w:val="none"/>
      <w:lang w:val="en-US" w:eastAsia="zh-CN"/>
    </w:rPr>
  </w:style>
  <w:style w:type="character" w:customStyle="1" w:styleId="297">
    <w:name w:val="Char Char4"/>
    <w:qFormat/>
    <w:uiPriority w:val="0"/>
    <w:rPr>
      <w:rFonts w:hint="default" w:ascii="宋体" w:hAnsi="宋体" w:eastAsia="华文楷体" w:cs="宋体"/>
      <w:color w:val="000000"/>
      <w:sz w:val="18"/>
      <w:szCs w:val="24"/>
      <w:u w:val="none"/>
    </w:rPr>
  </w:style>
  <w:style w:type="character" w:customStyle="1" w:styleId="298">
    <w:name w:val="apple-converted-space"/>
    <w:qFormat/>
    <w:uiPriority w:val="0"/>
    <w:rPr>
      <w:rFonts w:hint="default" w:ascii="Times New Roman" w:hAnsi="Times New Roman" w:cs="Times New Roman"/>
      <w:color w:val="000000"/>
      <w:sz w:val="16"/>
      <w:szCs w:val="16"/>
      <w:u w:val="none"/>
    </w:rPr>
  </w:style>
  <w:style w:type="character" w:customStyle="1" w:styleId="299">
    <w:name w:val="表题1 Char612"/>
    <w:qFormat/>
    <w:uiPriority w:val="0"/>
    <w:rPr>
      <w:rFonts w:hint="default" w:ascii="黑体" w:hAnsi="Arial" w:eastAsia="黑体" w:cs="Arial"/>
      <w:b/>
      <w:color w:val="000000"/>
      <w:kern w:val="2"/>
      <w:sz w:val="24"/>
      <w:szCs w:val="24"/>
      <w:u w:val="none"/>
      <w:lang w:val="en-US" w:eastAsia="zh-CN"/>
    </w:rPr>
  </w:style>
  <w:style w:type="character" w:customStyle="1" w:styleId="300">
    <w:name w:val="tex1"/>
    <w:qFormat/>
    <w:uiPriority w:val="0"/>
    <w:rPr>
      <w:rFonts w:hint="default" w:ascii="Times New Roman" w:hAnsi="Times New Roman" w:cs="Times New Roman"/>
      <w:color w:val="000000"/>
      <w:sz w:val="21"/>
      <w:szCs w:val="21"/>
      <w:u w:val="none"/>
    </w:rPr>
  </w:style>
  <w:style w:type="character" w:customStyle="1" w:styleId="301">
    <w:name w:val="样式 样式 样式 宋体 小四 行距: 多倍行距 1.4 字行2 + 黑色 + Times New Roman1 Char Char"/>
    <w:link w:val="302"/>
    <w:qFormat/>
    <w:uiPriority w:val="0"/>
    <w:rPr>
      <w:rFonts w:hint="default" w:ascii="Times New Roman" w:hAnsi="Times New Roman" w:cs="Times New Roman"/>
      <w:color w:val="000000"/>
      <w:sz w:val="24"/>
      <w:szCs w:val="16"/>
      <w:u w:val="none"/>
    </w:rPr>
  </w:style>
  <w:style w:type="paragraph" w:customStyle="1" w:styleId="302">
    <w:name w:val="样式 样式 样式 宋体 小四 行距: 多倍行距 1.4 字行2 + 黑色 + Times New Roman1"/>
    <w:basedOn w:val="1"/>
    <w:link w:val="301"/>
    <w:qFormat/>
    <w:uiPriority w:val="0"/>
  </w:style>
  <w:style w:type="character" w:customStyle="1" w:styleId="303">
    <w:name w:val="正文首行缩进 Char1"/>
    <w:link w:val="304"/>
    <w:qFormat/>
    <w:uiPriority w:val="0"/>
    <w:rPr>
      <w:rFonts w:hint="default" w:ascii="Times New Roman" w:hAnsi="Times New Roman" w:eastAsia="仿宋_GB2312" w:cs="Times New Roman"/>
      <w:color w:val="000000"/>
      <w:sz w:val="24"/>
      <w:szCs w:val="16"/>
      <w:u w:val="none"/>
    </w:rPr>
  </w:style>
  <w:style w:type="paragraph" w:customStyle="1" w:styleId="304">
    <w:name w:val="正文首行缩进2"/>
    <w:link w:val="303"/>
    <w:qFormat/>
    <w:uiPriority w:val="0"/>
    <w:pPr>
      <w:spacing w:after="120"/>
      <w:ind w:firstLine="420" w:firstLineChars="100"/>
    </w:pPr>
    <w:rPr>
      <w:rFonts w:ascii="Times New Roman" w:hAnsi="Times New Roman" w:eastAsia="宋体" w:cs="Times New Roman"/>
      <w:kern w:val="2"/>
      <w:szCs w:val="22"/>
      <w:lang w:val="en-US" w:eastAsia="zh-CN" w:bidi="ar-SA"/>
    </w:rPr>
  </w:style>
  <w:style w:type="paragraph" w:customStyle="1" w:styleId="305">
    <w:name w:val="Body Text1"/>
    <w:basedOn w:val="1"/>
    <w:qFormat/>
    <w:uiPriority w:val="0"/>
    <w:pPr>
      <w:spacing w:line="300" w:lineRule="auto"/>
    </w:pPr>
    <w:rPr>
      <w:kern w:val="0"/>
      <w:szCs w:val="24"/>
    </w:rPr>
  </w:style>
  <w:style w:type="character" w:customStyle="1" w:styleId="306">
    <w:name w:val="正文修改 Char1231"/>
    <w:qFormat/>
    <w:uiPriority w:val="0"/>
    <w:rPr>
      <w:rFonts w:hint="default" w:ascii="宋体" w:hAnsi="宋体" w:eastAsia="宋体" w:cs="宋体"/>
      <w:color w:val="000000"/>
      <w:kern w:val="2"/>
      <w:sz w:val="24"/>
      <w:szCs w:val="24"/>
      <w:u w:val="none"/>
      <w:lang w:val="en-US" w:eastAsia="zh-CN"/>
    </w:rPr>
  </w:style>
  <w:style w:type="character" w:customStyle="1" w:styleId="307">
    <w:name w:val="正文修改 Char142"/>
    <w:qFormat/>
    <w:uiPriority w:val="0"/>
    <w:rPr>
      <w:rFonts w:hint="default" w:ascii="宋体" w:hAnsi="Times New Roman" w:cs="宋体"/>
      <w:color w:val="000000"/>
      <w:kern w:val="2"/>
      <w:sz w:val="24"/>
      <w:szCs w:val="24"/>
      <w:u w:val="none"/>
    </w:rPr>
  </w:style>
  <w:style w:type="character" w:customStyle="1" w:styleId="308">
    <w:name w:val="标题 1 Char5"/>
    <w:qFormat/>
    <w:uiPriority w:val="0"/>
    <w:rPr>
      <w:rFonts w:hint="default" w:ascii="黑体" w:hAnsi="宋体" w:eastAsia="黑体" w:cs="Times New Roman"/>
      <w:bCs/>
      <w:color w:val="000000"/>
      <w:kern w:val="44"/>
      <w:sz w:val="32"/>
      <w:szCs w:val="32"/>
      <w:u w:val="none"/>
      <w:lang w:val="en-US" w:eastAsia="zh-CN"/>
    </w:rPr>
  </w:style>
  <w:style w:type="character" w:customStyle="1" w:styleId="309">
    <w:name w:val="文本块 Char"/>
    <w:link w:val="310"/>
    <w:qFormat/>
    <w:uiPriority w:val="0"/>
    <w:rPr>
      <w:rFonts w:hint="default" w:ascii="仿宋_GB2312" w:hAnsi="Times New Roman" w:eastAsia="仿宋_GB2312" w:cs="Times New Roman"/>
      <w:color w:val="000000"/>
      <w:sz w:val="24"/>
      <w:szCs w:val="16"/>
      <w:u w:val="none"/>
    </w:rPr>
  </w:style>
  <w:style w:type="paragraph" w:customStyle="1" w:styleId="310">
    <w:name w:val="Block Text1"/>
    <w:basedOn w:val="1"/>
    <w:link w:val="309"/>
    <w:qFormat/>
    <w:uiPriority w:val="0"/>
    <w:pPr>
      <w:spacing w:after="120" w:line="312" w:lineRule="auto"/>
      <w:ind w:left="1440" w:leftChars="700" w:right="1440" w:rightChars="700"/>
    </w:pPr>
    <w:rPr>
      <w:rFonts w:ascii="仿宋_GB2312"/>
    </w:rPr>
  </w:style>
  <w:style w:type="character" w:customStyle="1" w:styleId="311">
    <w:name w:val="表格内字体 Char11"/>
    <w:qFormat/>
    <w:uiPriority w:val="0"/>
    <w:rPr>
      <w:rFonts w:hint="default" w:ascii="宋体" w:hAnsi="宋体" w:eastAsia="宋体" w:cs="Times New Roman"/>
      <w:color w:val="000000"/>
      <w:kern w:val="2"/>
      <w:sz w:val="21"/>
      <w:szCs w:val="24"/>
      <w:u w:val="none"/>
      <w:lang w:val="en-US" w:eastAsia="zh-CN"/>
    </w:rPr>
  </w:style>
  <w:style w:type="character" w:customStyle="1" w:styleId="312">
    <w:name w:val="Char Char56"/>
    <w:qFormat/>
    <w:uiPriority w:val="0"/>
    <w:rPr>
      <w:rFonts w:hint="default" w:ascii="黑体" w:hAnsi="宋体" w:eastAsia="黑体" w:cs="Times New Roman"/>
      <w:bCs/>
      <w:color w:val="000000"/>
      <w:kern w:val="2"/>
      <w:sz w:val="28"/>
      <w:szCs w:val="28"/>
      <w:u w:val="none"/>
      <w:lang w:val="en-US" w:eastAsia="zh-CN"/>
    </w:rPr>
  </w:style>
  <w:style w:type="character" w:customStyle="1" w:styleId="313">
    <w:name w:val="条标题1.1.1 Char3"/>
    <w:qFormat/>
    <w:uiPriority w:val="9"/>
    <w:rPr>
      <w:rFonts w:hint="default" w:ascii="Times New Roman" w:hAnsi="Times New Roman" w:eastAsia="仿宋_GB2312" w:cs="Times New Roman"/>
      <w:b/>
      <w:bCs/>
      <w:color w:val="000000"/>
      <w:kern w:val="2"/>
      <w:sz w:val="28"/>
      <w:szCs w:val="32"/>
      <w:u w:val="none"/>
      <w:lang w:val="en-US" w:eastAsia="zh-CN"/>
    </w:rPr>
  </w:style>
  <w:style w:type="character" w:customStyle="1" w:styleId="314">
    <w:name w:val="正文缩进 Char13"/>
    <w:qFormat/>
    <w:uiPriority w:val="0"/>
    <w:rPr>
      <w:rFonts w:hint="default" w:ascii="宋体" w:hAnsi="宋体" w:eastAsia="宋体" w:cs="宋体"/>
      <w:color w:val="000000"/>
      <w:kern w:val="2"/>
      <w:sz w:val="24"/>
      <w:szCs w:val="24"/>
      <w:u w:val="none"/>
      <w:lang w:val="en-US" w:eastAsia="zh-CN"/>
    </w:rPr>
  </w:style>
  <w:style w:type="character" w:customStyle="1" w:styleId="315">
    <w:name w:val="正文缩进 Char3"/>
    <w:link w:val="112"/>
    <w:qFormat/>
    <w:uiPriority w:val="0"/>
    <w:rPr>
      <w:rFonts w:hint="default" w:ascii="宋体" w:hAnsi="宋体" w:eastAsia="仿宋_GB2312" w:cs="Times New Roman"/>
      <w:color w:val="000000"/>
      <w:sz w:val="24"/>
      <w:szCs w:val="16"/>
      <w:u w:val="none"/>
    </w:rPr>
  </w:style>
  <w:style w:type="character" w:customStyle="1" w:styleId="316">
    <w:name w:val="环评正文 Char11"/>
    <w:qFormat/>
    <w:uiPriority w:val="0"/>
    <w:rPr>
      <w:rFonts w:hint="default" w:ascii="Times New Roman" w:hAnsi="Times New Roman" w:eastAsia="宋体" w:cs="Times New Roman"/>
      <w:bCs/>
      <w:color w:val="000000"/>
      <w:kern w:val="2"/>
      <w:sz w:val="24"/>
      <w:szCs w:val="24"/>
      <w:u w:val="none"/>
      <w:lang w:val="en-US" w:eastAsia="zh-CN"/>
    </w:rPr>
  </w:style>
  <w:style w:type="character" w:customStyle="1" w:styleId="317">
    <w:name w:val="正文修改 Char1411"/>
    <w:qFormat/>
    <w:uiPriority w:val="0"/>
    <w:rPr>
      <w:rFonts w:hint="default" w:ascii="宋体" w:hAnsi="Times New Roman" w:cs="宋体"/>
      <w:color w:val="000000"/>
      <w:kern w:val="2"/>
      <w:sz w:val="24"/>
      <w:szCs w:val="24"/>
      <w:u w:val="none"/>
    </w:rPr>
  </w:style>
  <w:style w:type="character" w:customStyle="1" w:styleId="318">
    <w:name w:val="表题1 Char613"/>
    <w:qFormat/>
    <w:uiPriority w:val="0"/>
    <w:rPr>
      <w:rFonts w:hint="default" w:ascii="黑体" w:hAnsi="Arial" w:eastAsia="黑体" w:cs="Arial"/>
      <w:b/>
      <w:color w:val="000000"/>
      <w:kern w:val="2"/>
      <w:sz w:val="24"/>
      <w:szCs w:val="24"/>
      <w:u w:val="none"/>
      <w:lang w:val="en-US" w:eastAsia="zh-CN"/>
    </w:rPr>
  </w:style>
  <w:style w:type="character" w:customStyle="1" w:styleId="319">
    <w:name w:val="金兰 Char Char"/>
    <w:link w:val="320"/>
    <w:qFormat/>
    <w:uiPriority w:val="0"/>
    <w:rPr>
      <w:rFonts w:hint="default" w:ascii="Times New Roman" w:hAnsi="Times New Roman" w:cs="Times New Roman"/>
      <w:color w:val="000000"/>
      <w:sz w:val="28"/>
      <w:szCs w:val="16"/>
      <w:u w:val="none"/>
    </w:rPr>
  </w:style>
  <w:style w:type="paragraph" w:customStyle="1" w:styleId="320">
    <w:name w:val="金兰"/>
    <w:basedOn w:val="1"/>
    <w:link w:val="319"/>
    <w:qFormat/>
    <w:uiPriority w:val="0"/>
    <w:pPr>
      <w:widowControl/>
      <w:topLinePunct/>
      <w:spacing w:line="480" w:lineRule="exact"/>
      <w:ind w:firstLine="560"/>
      <w:jc w:val="left"/>
    </w:pPr>
  </w:style>
  <w:style w:type="character" w:customStyle="1" w:styleId="321">
    <w:name w:val="图表文字 Char Char"/>
    <w:link w:val="322"/>
    <w:qFormat/>
    <w:uiPriority w:val="0"/>
    <w:rPr>
      <w:rFonts w:hint="default" w:ascii="Times New Roman" w:hAnsi="Times New Roman" w:cs="Times New Roman"/>
      <w:color w:val="000000"/>
      <w:sz w:val="16"/>
      <w:szCs w:val="16"/>
      <w:u w:val="none"/>
    </w:rPr>
  </w:style>
  <w:style w:type="paragraph" w:customStyle="1" w:styleId="322">
    <w:name w:val="图表文字"/>
    <w:basedOn w:val="1"/>
    <w:link w:val="321"/>
    <w:qFormat/>
    <w:uiPriority w:val="0"/>
    <w:pPr>
      <w:spacing w:line="300" w:lineRule="exact"/>
      <w:jc w:val="center"/>
    </w:pPr>
  </w:style>
  <w:style w:type="character" w:customStyle="1" w:styleId="323">
    <w:name w:val="Char Char418"/>
    <w:qFormat/>
    <w:uiPriority w:val="0"/>
    <w:rPr>
      <w:rFonts w:hint="default" w:ascii="黑体" w:hAnsi="Arial" w:eastAsia="黑体" w:cs="Times New Roman"/>
      <w:b/>
      <w:bCs/>
      <w:color w:val="000000"/>
      <w:kern w:val="2"/>
      <w:sz w:val="30"/>
      <w:szCs w:val="30"/>
      <w:u w:val="none"/>
      <w:lang w:val="en-US" w:eastAsia="zh-CN"/>
    </w:rPr>
  </w:style>
  <w:style w:type="character" w:customStyle="1" w:styleId="324">
    <w:name w:val="文档结构图 Char11"/>
    <w:qFormat/>
    <w:uiPriority w:val="0"/>
    <w:rPr>
      <w:rFonts w:hint="default" w:ascii="Times New Roman" w:hAnsi="Times New Roman" w:eastAsia="宋体" w:cs="Times New Roman"/>
      <w:color w:val="000000"/>
      <w:kern w:val="2"/>
      <w:sz w:val="24"/>
      <w:szCs w:val="24"/>
      <w:u w:val="none"/>
      <w:shd w:val="clear" w:color="auto" w:fill="000080"/>
      <w:lang w:val="en-US" w:eastAsia="zh-CN"/>
    </w:rPr>
  </w:style>
  <w:style w:type="character" w:customStyle="1" w:styleId="325">
    <w:name w:val="正文修改 Char1412"/>
    <w:qFormat/>
    <w:uiPriority w:val="0"/>
    <w:rPr>
      <w:rFonts w:hint="default" w:ascii="宋体" w:hAnsi="Times New Roman" w:eastAsia="宋体" w:cs="宋体"/>
      <w:color w:val="000000"/>
      <w:kern w:val="2"/>
      <w:sz w:val="24"/>
      <w:szCs w:val="24"/>
      <w:u w:val="none"/>
      <w:lang w:val="en-US" w:eastAsia="zh-CN"/>
    </w:rPr>
  </w:style>
  <w:style w:type="character" w:customStyle="1" w:styleId="326">
    <w:name w:val="表题1 Char9"/>
    <w:qFormat/>
    <w:uiPriority w:val="0"/>
    <w:rPr>
      <w:rFonts w:hint="default" w:ascii="黑体" w:hAnsi="Arial" w:eastAsia="黑体" w:cs="Arial"/>
      <w:b/>
      <w:color w:val="000000"/>
      <w:kern w:val="2"/>
      <w:sz w:val="24"/>
      <w:szCs w:val="24"/>
      <w:u w:val="none"/>
      <w:lang w:val="en-US" w:eastAsia="zh-CN"/>
    </w:rPr>
  </w:style>
  <w:style w:type="character" w:customStyle="1" w:styleId="327">
    <w:name w:val="正文文本 3 Char"/>
    <w:link w:val="328"/>
    <w:qFormat/>
    <w:uiPriority w:val="99"/>
    <w:rPr>
      <w:rFonts w:hint="default" w:ascii="Times New Roman" w:hAnsi="Times New Roman" w:eastAsia="仿宋_GB2312" w:cs="Times New Roman"/>
      <w:color w:val="000000"/>
      <w:sz w:val="24"/>
      <w:szCs w:val="16"/>
      <w:u w:val="none"/>
    </w:rPr>
  </w:style>
  <w:style w:type="paragraph" w:customStyle="1" w:styleId="328">
    <w:name w:val="Body Text 31"/>
    <w:basedOn w:val="1"/>
    <w:link w:val="327"/>
    <w:qFormat/>
    <w:uiPriority w:val="0"/>
  </w:style>
  <w:style w:type="character" w:customStyle="1" w:styleId="329">
    <w:name w:val="环标2 Char1"/>
    <w:link w:val="330"/>
    <w:qFormat/>
    <w:uiPriority w:val="0"/>
    <w:rPr>
      <w:rFonts w:ascii="黑体" w:hAnsi="Arial" w:eastAsia="黑体"/>
      <w:color w:val="000000"/>
      <w:kern w:val="2"/>
      <w:sz w:val="24"/>
      <w:szCs w:val="22"/>
    </w:rPr>
  </w:style>
  <w:style w:type="paragraph" w:customStyle="1" w:styleId="330">
    <w:name w:val="环标2"/>
    <w:basedOn w:val="3"/>
    <w:link w:val="329"/>
    <w:qFormat/>
    <w:uiPriority w:val="0"/>
    <w:rPr>
      <w:rFonts w:ascii="黑体" w:hAnsi="Arial" w:eastAsia="黑体"/>
      <w:b w:val="0"/>
      <w:bCs w:val="0"/>
      <w:kern w:val="2"/>
      <w:szCs w:val="22"/>
    </w:rPr>
  </w:style>
  <w:style w:type="character" w:customStyle="1" w:styleId="331">
    <w:name w:val="正文 段落4级 Char1"/>
    <w:link w:val="332"/>
    <w:qFormat/>
    <w:uiPriority w:val="0"/>
    <w:rPr>
      <w:rFonts w:hint="default" w:ascii="Times New Roman" w:hAnsi="Times New Roman" w:eastAsia="仿宋_GB2312" w:cs="Times New Roman"/>
      <w:b/>
      <w:color w:val="000000"/>
      <w:sz w:val="28"/>
      <w:szCs w:val="24"/>
      <w:u w:val="none"/>
    </w:rPr>
  </w:style>
  <w:style w:type="paragraph" w:customStyle="1" w:styleId="332">
    <w:name w:val="正文 段落4级"/>
    <w:basedOn w:val="98"/>
    <w:link w:val="331"/>
    <w:qFormat/>
    <w:uiPriority w:val="0"/>
    <w:pPr>
      <w:spacing w:line="500" w:lineRule="exact"/>
      <w:outlineLvl w:val="3"/>
    </w:pPr>
    <w:rPr>
      <w:rFonts w:ascii="Times New Roman" w:hAnsi="Times New Roman" w:eastAsia="仿宋_GB2312" w:cs="Times New Roman"/>
      <w:b/>
      <w:color w:val="000000"/>
      <w:sz w:val="28"/>
    </w:rPr>
  </w:style>
  <w:style w:type="character" w:customStyle="1" w:styleId="333">
    <w:name w:val="正文斜体 Char31"/>
    <w:qFormat/>
    <w:uiPriority w:val="0"/>
    <w:rPr>
      <w:rFonts w:hint="default" w:ascii="宋体" w:hAnsi="宋体" w:eastAsia="宋体" w:cs="Times New Roman"/>
      <w:i/>
      <w:iCs/>
      <w:color w:val="000000"/>
      <w:kern w:val="2"/>
      <w:sz w:val="24"/>
      <w:szCs w:val="24"/>
      <w:u w:val="none"/>
      <w:lang w:val="en-US" w:eastAsia="zh-CN"/>
    </w:rPr>
  </w:style>
  <w:style w:type="character" w:customStyle="1" w:styleId="334">
    <w:name w:val="apple-style-span"/>
    <w:qFormat/>
    <w:uiPriority w:val="0"/>
    <w:rPr>
      <w:rFonts w:hint="default" w:ascii="Times New Roman" w:hAnsi="Times New Roman" w:cs="Times New Roman"/>
      <w:color w:val="000000"/>
      <w:sz w:val="16"/>
      <w:szCs w:val="16"/>
      <w:u w:val="none"/>
    </w:rPr>
  </w:style>
  <w:style w:type="character" w:customStyle="1" w:styleId="335">
    <w:name w:val="列表项目符号 字符"/>
    <w:link w:val="19"/>
    <w:qFormat/>
    <w:uiPriority w:val="0"/>
    <w:rPr>
      <w:rFonts w:hint="default" w:ascii="Times New Roman" w:hAnsi="Times New Roman" w:cs="Times New Roman"/>
      <w:color w:val="000000"/>
      <w:sz w:val="24"/>
      <w:szCs w:val="16"/>
      <w:u w:val="none"/>
    </w:rPr>
  </w:style>
  <w:style w:type="character" w:customStyle="1" w:styleId="336">
    <w:name w:val="正文首行缩进 Char31"/>
    <w:qFormat/>
    <w:uiPriority w:val="0"/>
    <w:rPr>
      <w:rFonts w:hint="default" w:ascii="Times New Roman" w:hAnsi="Times New Roman" w:eastAsia="宋体" w:cs="Times New Roman"/>
      <w:color w:val="000000"/>
      <w:kern w:val="2"/>
      <w:sz w:val="21"/>
      <w:szCs w:val="24"/>
      <w:u w:val="none"/>
      <w:lang w:val="en-US" w:eastAsia="zh-CN"/>
    </w:rPr>
  </w:style>
  <w:style w:type="character" w:customStyle="1" w:styleId="337">
    <w:name w:val="题注 Char321"/>
    <w:qFormat/>
    <w:uiPriority w:val="0"/>
    <w:rPr>
      <w:rFonts w:hint="default" w:ascii="黑体" w:hAnsi="Arial" w:eastAsia="黑体" w:cs="Arial"/>
      <w:b/>
      <w:color w:val="000000"/>
      <w:kern w:val="2"/>
      <w:sz w:val="24"/>
      <w:szCs w:val="24"/>
      <w:u w:val="none"/>
      <w:lang w:val="en-US" w:eastAsia="zh-CN"/>
    </w:rPr>
  </w:style>
  <w:style w:type="character" w:customStyle="1" w:styleId="338">
    <w:name w:val="样式 样式 样式 宋体 小四 行距: 多倍行距 1.4 字行2 + 黑色 + Times New Roman2 Char Char"/>
    <w:link w:val="339"/>
    <w:qFormat/>
    <w:uiPriority w:val="0"/>
    <w:rPr>
      <w:rFonts w:hint="default" w:ascii="宋体" w:hAnsi="Times New Roman" w:cs="Times New Roman"/>
      <w:color w:val="000000"/>
      <w:sz w:val="24"/>
      <w:szCs w:val="16"/>
      <w:u w:val="none"/>
    </w:rPr>
  </w:style>
  <w:style w:type="paragraph" w:customStyle="1" w:styleId="339">
    <w:name w:val="样式 样式 样式 宋体 小四 行距: 多倍行距 1.4 字行2 + 黑色 + Times New Roman2"/>
    <w:basedOn w:val="179"/>
    <w:link w:val="338"/>
    <w:qFormat/>
    <w:uiPriority w:val="0"/>
    <w:pPr>
      <w:spacing w:line="360" w:lineRule="auto"/>
      <w:ind w:firstLine="200"/>
    </w:pPr>
  </w:style>
  <w:style w:type="character" w:customStyle="1" w:styleId="340">
    <w:name w:val="图题注 Char Char"/>
    <w:link w:val="341"/>
    <w:qFormat/>
    <w:uiPriority w:val="0"/>
    <w:rPr>
      <w:rFonts w:hint="default" w:ascii="黑体" w:hAnsi="Arial" w:eastAsia="黑体" w:cs="Times New Roman"/>
      <w:b/>
      <w:color w:val="000000"/>
      <w:sz w:val="24"/>
      <w:szCs w:val="16"/>
      <w:u w:val="none"/>
    </w:rPr>
  </w:style>
  <w:style w:type="paragraph" w:customStyle="1" w:styleId="341">
    <w:name w:val="图题注"/>
    <w:basedOn w:val="17"/>
    <w:link w:val="340"/>
    <w:qFormat/>
    <w:uiPriority w:val="0"/>
    <w:pPr>
      <w:widowControl/>
      <w:ind w:firstLine="0" w:firstLineChars="0"/>
      <w:jc w:val="center"/>
    </w:pPr>
    <w:rPr>
      <w:rFonts w:ascii="黑体"/>
      <w:b/>
    </w:rPr>
  </w:style>
  <w:style w:type="character" w:customStyle="1" w:styleId="342">
    <w:name w:val="文档结构图 Char21"/>
    <w:qFormat/>
    <w:uiPriority w:val="0"/>
    <w:rPr>
      <w:rFonts w:hint="default" w:ascii="Times New Roman" w:hAnsi="Times New Roman" w:eastAsia="宋体" w:cs="Times New Roman"/>
      <w:color w:val="000000"/>
      <w:kern w:val="2"/>
      <w:sz w:val="21"/>
      <w:szCs w:val="24"/>
      <w:u w:val="none"/>
      <w:shd w:val="clear" w:color="auto" w:fill="000080"/>
      <w:lang w:val="en-US" w:eastAsia="zh-CN"/>
    </w:rPr>
  </w:style>
  <w:style w:type="character" w:customStyle="1" w:styleId="343">
    <w:name w:val="图题 Char4"/>
    <w:qFormat/>
    <w:uiPriority w:val="0"/>
    <w:rPr>
      <w:rFonts w:hint="default" w:ascii="黑体" w:hAnsi="宋体" w:eastAsia="黑体" w:cs="宋体"/>
      <w:b/>
      <w:bCs/>
      <w:color w:val="000000"/>
      <w:kern w:val="2"/>
      <w:sz w:val="24"/>
      <w:szCs w:val="24"/>
      <w:u w:val="none"/>
      <w:lang w:val="en-US" w:eastAsia="zh-CN"/>
    </w:rPr>
  </w:style>
  <w:style w:type="character" w:customStyle="1" w:styleId="344">
    <w:name w:val="表题1 Char61"/>
    <w:qFormat/>
    <w:uiPriority w:val="0"/>
    <w:rPr>
      <w:rFonts w:hint="default" w:ascii="黑体" w:hAnsi="Arial" w:eastAsia="黑体" w:cs="Arial"/>
      <w:b/>
      <w:color w:val="000000"/>
      <w:kern w:val="2"/>
      <w:sz w:val="24"/>
      <w:szCs w:val="24"/>
      <w:u w:val="none"/>
      <w:lang w:val="en-US" w:eastAsia="zh-CN"/>
    </w:rPr>
  </w:style>
  <w:style w:type="character" w:customStyle="1" w:styleId="345">
    <w:name w:val="批注文字 字符"/>
    <w:link w:val="22"/>
    <w:qFormat/>
    <w:uiPriority w:val="99"/>
    <w:rPr>
      <w:rFonts w:hint="default" w:ascii="Calibri" w:hAnsi="Calibri" w:eastAsia="仿宋_GB2312" w:cs="Times New Roman"/>
      <w:color w:val="000000"/>
      <w:sz w:val="22"/>
      <w:szCs w:val="16"/>
      <w:u w:val="none"/>
    </w:rPr>
  </w:style>
  <w:style w:type="character" w:customStyle="1" w:styleId="346">
    <w:name w:val="样式 正文缩进 + 宋体 黑色 Char2"/>
    <w:qFormat/>
    <w:uiPriority w:val="0"/>
    <w:rPr>
      <w:rFonts w:hint="default" w:ascii="宋体" w:hAnsi="宋体" w:eastAsia="宋体" w:cs="Times New Roman"/>
      <w:color w:val="000000"/>
      <w:kern w:val="2"/>
      <w:sz w:val="24"/>
      <w:szCs w:val="24"/>
      <w:u w:val="none"/>
      <w:lang w:val="en-US" w:eastAsia="zh-CN"/>
    </w:rPr>
  </w:style>
  <w:style w:type="character" w:customStyle="1" w:styleId="347">
    <w:name w:val="Char Char15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348">
    <w:name w:val="环评正文 Char31"/>
    <w:qFormat/>
    <w:uiPriority w:val="0"/>
    <w:rPr>
      <w:rFonts w:hint="default" w:ascii="Times New Roman" w:hAnsi="Times New Roman" w:eastAsia="宋体" w:cs="Times New Roman"/>
      <w:bCs/>
      <w:color w:val="000000"/>
      <w:kern w:val="2"/>
      <w:sz w:val="24"/>
      <w:szCs w:val="24"/>
      <w:u w:val="none"/>
      <w:lang w:val="en-US" w:eastAsia="zh-CN"/>
    </w:rPr>
  </w:style>
  <w:style w:type="character" w:customStyle="1" w:styleId="349">
    <w:name w:val="正文文本缩进 3 字符"/>
    <w:link w:val="49"/>
    <w:qFormat/>
    <w:uiPriority w:val="0"/>
    <w:rPr>
      <w:rFonts w:hint="default" w:ascii="DFKai-SB" w:hAnsi="Times New Roman" w:eastAsia="DFKai-SB" w:cs="Times New Roman"/>
      <w:color w:val="000000"/>
      <w:sz w:val="28"/>
      <w:szCs w:val="24"/>
      <w:u w:val="none"/>
      <w:lang w:eastAsia="zh-TW"/>
    </w:rPr>
  </w:style>
  <w:style w:type="character" w:customStyle="1" w:styleId="350">
    <w:name w:val="Char Char52"/>
    <w:qFormat/>
    <w:uiPriority w:val="0"/>
    <w:rPr>
      <w:rFonts w:hint="default" w:ascii="黑体" w:hAnsi="宋体" w:eastAsia="黑体" w:cs="Times New Roman"/>
      <w:bCs/>
      <w:color w:val="000000"/>
      <w:kern w:val="2"/>
      <w:sz w:val="28"/>
      <w:szCs w:val="28"/>
      <w:u w:val="none"/>
      <w:lang w:val="en-US" w:eastAsia="zh-CN"/>
    </w:rPr>
  </w:style>
  <w:style w:type="character" w:customStyle="1" w:styleId="351">
    <w:name w:val="正文文本缩进 3 Char1"/>
    <w:qFormat/>
    <w:uiPriority w:val="0"/>
    <w:rPr>
      <w:rFonts w:hint="default" w:ascii="Times New Roman" w:hAnsi="Times New Roman" w:eastAsia="仿宋_GB2312" w:cs="Times New Roman"/>
      <w:color w:val="000000"/>
      <w:kern w:val="2"/>
      <w:sz w:val="16"/>
      <w:szCs w:val="16"/>
      <w:u w:val="none"/>
    </w:rPr>
  </w:style>
  <w:style w:type="character" w:customStyle="1" w:styleId="352">
    <w:name w:val="样式 表格内字体 + Char11"/>
    <w:qFormat/>
    <w:uiPriority w:val="0"/>
    <w:rPr>
      <w:rFonts w:hint="default" w:ascii="宋体" w:hAnsi="宋体" w:cs="Times New Roman"/>
      <w:color w:val="000000"/>
      <w:kern w:val="2"/>
      <w:sz w:val="21"/>
      <w:szCs w:val="24"/>
      <w:u w:val="none"/>
    </w:rPr>
  </w:style>
  <w:style w:type="character" w:customStyle="1" w:styleId="353">
    <w:name w:val="正文首行缩进 2 Char21"/>
    <w:qFormat/>
    <w:uiPriority w:val="0"/>
    <w:rPr>
      <w:rFonts w:hint="default" w:ascii="宋体" w:hAnsi="宋体" w:eastAsia="仿宋_GB2312" w:cs="宋体"/>
      <w:color w:val="000000"/>
      <w:kern w:val="2"/>
      <w:sz w:val="21"/>
      <w:szCs w:val="24"/>
      <w:u w:val="none"/>
      <w:lang w:val="en-US" w:eastAsia="zh-CN"/>
    </w:rPr>
  </w:style>
  <w:style w:type="character" w:customStyle="1" w:styleId="354">
    <w:name w:val="Char Char47"/>
    <w:qFormat/>
    <w:uiPriority w:val="0"/>
    <w:rPr>
      <w:rFonts w:hint="default" w:ascii="黑体" w:hAnsi="Arial" w:eastAsia="黑体" w:cs="Times New Roman"/>
      <w:b/>
      <w:bCs/>
      <w:color w:val="000000"/>
      <w:kern w:val="2"/>
      <w:sz w:val="30"/>
      <w:szCs w:val="30"/>
      <w:u w:val="none"/>
      <w:lang w:val="en-US" w:eastAsia="zh-CN"/>
    </w:rPr>
  </w:style>
  <w:style w:type="character" w:customStyle="1" w:styleId="355">
    <w:name w:val="标题 8 Char2"/>
    <w:qFormat/>
    <w:uiPriority w:val="0"/>
    <w:rPr>
      <w:rFonts w:hint="default" w:ascii="Arial" w:hAnsi="Arial" w:eastAsia="黑体" w:cs="Times New Roman"/>
      <w:color w:val="000000"/>
      <w:kern w:val="2"/>
      <w:sz w:val="24"/>
      <w:szCs w:val="24"/>
      <w:u w:val="none"/>
      <w:lang w:val="en-US" w:eastAsia="zh-CN"/>
    </w:rPr>
  </w:style>
  <w:style w:type="character" w:customStyle="1" w:styleId="356">
    <w:name w:val="表题1 Char8"/>
    <w:qFormat/>
    <w:uiPriority w:val="0"/>
    <w:rPr>
      <w:rFonts w:hint="default" w:ascii="黑体" w:hAnsi="Arial" w:eastAsia="黑体" w:cs="Arial"/>
      <w:b/>
      <w:color w:val="000000"/>
      <w:kern w:val="2"/>
      <w:sz w:val="24"/>
      <w:szCs w:val="24"/>
      <w:u w:val="none"/>
      <w:lang w:val="en-US" w:eastAsia="zh-CN"/>
    </w:rPr>
  </w:style>
  <w:style w:type="character" w:customStyle="1" w:styleId="357">
    <w:name w:val="Char Char2111"/>
    <w:qFormat/>
    <w:uiPriority w:val="0"/>
    <w:rPr>
      <w:rFonts w:hint="default" w:ascii="黑体" w:hAnsi="Times New Roman" w:eastAsia="宋体" w:cs="Times New Roman"/>
      <w:color w:val="000000"/>
      <w:kern w:val="2"/>
      <w:sz w:val="16"/>
      <w:szCs w:val="16"/>
      <w:u w:val="none"/>
      <w:lang w:val="en-US" w:eastAsia="zh-CN"/>
    </w:rPr>
  </w:style>
  <w:style w:type="character" w:customStyle="1" w:styleId="358">
    <w:name w:val="正文文本 Char3"/>
    <w:qFormat/>
    <w:uiPriority w:val="99"/>
    <w:rPr>
      <w:rFonts w:hint="default" w:ascii="Times New Roman" w:hAnsi="Times New Roman" w:eastAsia="宋体" w:cs="Times New Roman"/>
      <w:color w:val="000000"/>
      <w:kern w:val="2"/>
      <w:sz w:val="24"/>
      <w:szCs w:val="24"/>
      <w:u w:val="none"/>
      <w:lang w:val="en-US" w:eastAsia="zh-CN"/>
    </w:rPr>
  </w:style>
  <w:style w:type="character" w:customStyle="1" w:styleId="359">
    <w:name w:val="正文斜体 Char11"/>
    <w:qFormat/>
    <w:uiPriority w:val="0"/>
    <w:rPr>
      <w:rFonts w:hint="default" w:ascii="宋体" w:hAnsi="宋体" w:eastAsia="宋体" w:cs="Times New Roman"/>
      <w:i/>
      <w:iCs/>
      <w:color w:val="000000"/>
      <w:kern w:val="2"/>
      <w:sz w:val="24"/>
      <w:szCs w:val="24"/>
      <w:u w:val="none"/>
      <w:lang w:val="en-US" w:eastAsia="zh-CN"/>
    </w:rPr>
  </w:style>
  <w:style w:type="character" w:customStyle="1" w:styleId="360">
    <w:name w:val="标题 3 Char21"/>
    <w:qFormat/>
    <w:uiPriority w:val="0"/>
    <w:rPr>
      <w:rFonts w:hint="default" w:ascii="黑体" w:hAnsi="宋体" w:eastAsia="黑体" w:cs="Times New Roman"/>
      <w:b/>
      <w:bCs/>
      <w:color w:val="000000"/>
      <w:kern w:val="2"/>
      <w:sz w:val="28"/>
      <w:szCs w:val="28"/>
      <w:u w:val="none"/>
      <w:lang w:val="en-US" w:eastAsia="zh-CN"/>
    </w:rPr>
  </w:style>
  <w:style w:type="character" w:customStyle="1" w:styleId="361">
    <w:name w:val="HTML 缩写2"/>
    <w:qFormat/>
    <w:uiPriority w:val="0"/>
    <w:rPr>
      <w:rFonts w:hint="default" w:ascii="宋体" w:hAnsi="宋体" w:eastAsia="宋体" w:cs="Courier New"/>
      <w:color w:val="000000"/>
      <w:kern w:val="2"/>
      <w:sz w:val="32"/>
      <w:szCs w:val="32"/>
      <w:u w:val="none"/>
      <w:lang w:val="en-US" w:eastAsia="zh-CN"/>
    </w:rPr>
  </w:style>
  <w:style w:type="character" w:customStyle="1" w:styleId="362">
    <w:name w:val="正文首行缩进 Char1 Char Char2"/>
    <w:qFormat/>
    <w:uiPriority w:val="0"/>
    <w:rPr>
      <w:rFonts w:hint="default" w:ascii="Times New Roman" w:hAnsi="Times New Roman" w:eastAsia="宋体" w:cs="Times New Roman"/>
      <w:color w:val="000000"/>
      <w:kern w:val="2"/>
      <w:sz w:val="21"/>
      <w:szCs w:val="24"/>
      <w:u w:val="none"/>
      <w:lang w:val="en-US" w:eastAsia="zh-CN"/>
    </w:rPr>
  </w:style>
  <w:style w:type="character" w:customStyle="1" w:styleId="363">
    <w:name w:val="标题4 Char21"/>
    <w:qFormat/>
    <w:uiPriority w:val="0"/>
    <w:rPr>
      <w:rFonts w:hint="default" w:ascii="黑体" w:hAnsi="Arial" w:eastAsia="黑体" w:cs="Times New Roman"/>
      <w:b/>
      <w:bCs/>
      <w:color w:val="000000"/>
      <w:kern w:val="2"/>
      <w:sz w:val="24"/>
      <w:szCs w:val="28"/>
      <w:u w:val="none"/>
      <w:lang w:val="en-US" w:eastAsia="zh-CN"/>
    </w:rPr>
  </w:style>
  <w:style w:type="character" w:customStyle="1" w:styleId="364">
    <w:name w:val="Char Char512"/>
    <w:qFormat/>
    <w:uiPriority w:val="0"/>
    <w:rPr>
      <w:rFonts w:hint="default" w:ascii="黑体" w:hAnsi="宋体" w:eastAsia="黑体" w:cs="Times New Roman"/>
      <w:bCs/>
      <w:color w:val="000000"/>
      <w:kern w:val="2"/>
      <w:sz w:val="28"/>
      <w:szCs w:val="28"/>
      <w:u w:val="none"/>
      <w:lang w:val="en-US" w:eastAsia="zh-CN"/>
    </w:rPr>
  </w:style>
  <w:style w:type="character" w:customStyle="1" w:styleId="365">
    <w:name w:val="标题 2 Char1"/>
    <w:qFormat/>
    <w:uiPriority w:val="0"/>
    <w:rPr>
      <w:rFonts w:hint="default" w:ascii="Cambria" w:hAnsi="Cambria" w:eastAsia="仿宋_GB2312" w:cs="Times New Roman"/>
      <w:b/>
      <w:color w:val="000000"/>
      <w:sz w:val="32"/>
      <w:szCs w:val="16"/>
      <w:u w:val="none"/>
    </w:rPr>
  </w:style>
  <w:style w:type="character" w:customStyle="1" w:styleId="366">
    <w:name w:val="Char Char37"/>
    <w:qFormat/>
    <w:uiPriority w:val="0"/>
    <w:rPr>
      <w:rFonts w:hint="default" w:ascii="黑体" w:hAnsi="宋体" w:eastAsia="黑体" w:cs="Times New Roman"/>
      <w:b/>
      <w:bCs/>
      <w:color w:val="000000"/>
      <w:kern w:val="2"/>
      <w:sz w:val="28"/>
      <w:szCs w:val="28"/>
      <w:u w:val="none"/>
      <w:lang w:val="en-US" w:eastAsia="zh-CN"/>
    </w:rPr>
  </w:style>
  <w:style w:type="character" w:customStyle="1" w:styleId="367">
    <w:name w:val="表格 首行文字 Char"/>
    <w:qFormat/>
    <w:uiPriority w:val="0"/>
    <w:rPr>
      <w:rFonts w:hint="default" w:ascii="Times New Roman" w:hAnsi="Times New Roman" w:eastAsia="仿宋_GB2312" w:cs="Times New Roman"/>
      <w:b/>
      <w:color w:val="000000"/>
      <w:sz w:val="16"/>
      <w:szCs w:val="16"/>
      <w:u w:val="none"/>
    </w:rPr>
  </w:style>
  <w:style w:type="character" w:customStyle="1" w:styleId="368">
    <w:name w:val="font1"/>
    <w:qFormat/>
    <w:uiPriority w:val="0"/>
    <w:rPr>
      <w:rFonts w:hint="default" w:ascii="Times New Roman" w:hAnsi="Times New Roman" w:cs="Times New Roman"/>
      <w:color w:val="000000"/>
      <w:sz w:val="16"/>
      <w:szCs w:val="16"/>
      <w:u w:val="none"/>
    </w:rPr>
  </w:style>
  <w:style w:type="character" w:customStyle="1" w:styleId="369">
    <w:name w:val="Char Char3"/>
    <w:qFormat/>
    <w:uiPriority w:val="0"/>
    <w:rPr>
      <w:rFonts w:hint="default" w:ascii="宋体" w:hAnsi="宋体" w:eastAsia="华文楷体" w:cs="宋体"/>
      <w:color w:val="000000"/>
      <w:sz w:val="28"/>
      <w:szCs w:val="24"/>
      <w:u w:val="none"/>
    </w:rPr>
  </w:style>
  <w:style w:type="character" w:customStyle="1" w:styleId="370">
    <w:name w:val="批注文字 Char1"/>
    <w:qFormat/>
    <w:uiPriority w:val="99"/>
    <w:rPr>
      <w:rFonts w:hint="default" w:ascii="Times New Roman" w:hAnsi="Times New Roman" w:cs="Times New Roman"/>
      <w:color w:val="000000"/>
      <w:sz w:val="16"/>
      <w:szCs w:val="16"/>
      <w:u w:val="none"/>
    </w:rPr>
  </w:style>
  <w:style w:type="character" w:customStyle="1" w:styleId="371">
    <w:name w:val="样式 表内小5 + 黑体 加粗 倾斜 下划线 Char51"/>
    <w:qFormat/>
    <w:uiPriority w:val="0"/>
    <w:rPr>
      <w:rFonts w:hint="default" w:ascii="黑体" w:hAnsi="黑体" w:eastAsia="黑体" w:cs="Times New Roman"/>
      <w:b/>
      <w:bCs/>
      <w:i/>
      <w:iCs/>
      <w:color w:val="000000"/>
      <w:kern w:val="2"/>
      <w:sz w:val="18"/>
      <w:szCs w:val="24"/>
      <w:u w:val="single"/>
      <w:lang w:val="en-US" w:eastAsia="zh-CN"/>
    </w:rPr>
  </w:style>
  <w:style w:type="character" w:customStyle="1" w:styleId="372">
    <w:name w:val="表头 Char"/>
    <w:qFormat/>
    <w:uiPriority w:val="0"/>
    <w:rPr>
      <w:rFonts w:hint="default" w:ascii="Times New Roman" w:hAnsi="Times New Roman" w:eastAsia="楷体_GB2312" w:cs="Times New Roman"/>
      <w:color w:val="000000"/>
      <w:sz w:val="24"/>
      <w:szCs w:val="20"/>
      <w:u w:val="none"/>
    </w:rPr>
  </w:style>
  <w:style w:type="character" w:customStyle="1" w:styleId="373">
    <w:name w:val="表内5 Char31"/>
    <w:qFormat/>
    <w:uiPriority w:val="0"/>
    <w:rPr>
      <w:rFonts w:hint="default" w:ascii="宋体" w:hAnsi="宋体" w:eastAsia="宋体" w:cs="Times New Roman"/>
      <w:color w:val="000000"/>
      <w:kern w:val="2"/>
      <w:sz w:val="24"/>
      <w:szCs w:val="24"/>
      <w:u w:val="none"/>
      <w:lang w:val="en-US" w:eastAsia="zh-CN"/>
    </w:rPr>
  </w:style>
  <w:style w:type="character" w:customStyle="1" w:styleId="374">
    <w:name w:val="正文文本缩进 3 Char51"/>
    <w:qFormat/>
    <w:uiPriority w:val="0"/>
    <w:rPr>
      <w:rFonts w:hint="default" w:ascii="Times New Roman" w:hAnsi="Times New Roman" w:eastAsia="宋体" w:cs="Times New Roman"/>
      <w:color w:val="000000"/>
      <w:kern w:val="2"/>
      <w:sz w:val="16"/>
      <w:szCs w:val="16"/>
      <w:u w:val="none"/>
      <w:lang w:val="en-US" w:eastAsia="zh-CN"/>
    </w:rPr>
  </w:style>
  <w:style w:type="character" w:customStyle="1" w:styleId="375">
    <w:name w:val="font41"/>
    <w:qFormat/>
    <w:uiPriority w:val="0"/>
    <w:rPr>
      <w:rFonts w:hint="default" w:ascii="Times New Roman" w:hAnsi="Times New Roman" w:cs="Times New Roman"/>
      <w:color w:val="000000"/>
      <w:sz w:val="15"/>
      <w:szCs w:val="15"/>
      <w:u w:val="none"/>
    </w:rPr>
  </w:style>
  <w:style w:type="character" w:customStyle="1" w:styleId="376">
    <w:name w:val="行号1"/>
    <w:qFormat/>
    <w:uiPriority w:val="0"/>
    <w:rPr>
      <w:rFonts w:hint="default" w:ascii="宋体" w:hAnsi="宋体" w:eastAsia="宋体" w:cs="Courier New"/>
      <w:color w:val="000000"/>
      <w:kern w:val="2"/>
      <w:sz w:val="32"/>
      <w:szCs w:val="32"/>
      <w:u w:val="none"/>
      <w:lang w:val="en-US" w:eastAsia="zh-CN"/>
    </w:rPr>
  </w:style>
  <w:style w:type="character" w:customStyle="1" w:styleId="377">
    <w:name w:val="正文 公式 Char Char"/>
    <w:link w:val="378"/>
    <w:qFormat/>
    <w:uiPriority w:val="0"/>
    <w:rPr>
      <w:rFonts w:hint="default" w:ascii="Times New Roman" w:hAnsi="Times New Roman" w:eastAsia="仿宋_GB2312" w:cs="Times New Roman"/>
      <w:color w:val="000000"/>
      <w:sz w:val="24"/>
      <w:szCs w:val="16"/>
      <w:u w:val="none"/>
    </w:rPr>
  </w:style>
  <w:style w:type="paragraph" w:customStyle="1" w:styleId="378">
    <w:name w:val="正文 公式"/>
    <w:basedOn w:val="1"/>
    <w:link w:val="377"/>
    <w:qFormat/>
    <w:uiPriority w:val="0"/>
    <w:pPr>
      <w:spacing w:beforeLines="100" w:after="156"/>
      <w:jc w:val="center"/>
    </w:pPr>
  </w:style>
  <w:style w:type="character" w:customStyle="1" w:styleId="379">
    <w:name w:val="标题 7 Char11"/>
    <w:qFormat/>
    <w:uiPriority w:val="0"/>
    <w:rPr>
      <w:rFonts w:hint="default" w:ascii="Times New Roman" w:hAnsi="Times New Roman" w:eastAsia="宋体" w:cs="Times New Roman"/>
      <w:b/>
      <w:bCs/>
      <w:color w:val="000000"/>
      <w:kern w:val="2"/>
      <w:sz w:val="24"/>
      <w:szCs w:val="24"/>
      <w:u w:val="none"/>
      <w:lang w:val="en-US" w:eastAsia="zh-CN"/>
    </w:rPr>
  </w:style>
  <w:style w:type="character" w:customStyle="1" w:styleId="380">
    <w:name w:val="正文文本缩进 2 Char21"/>
    <w:qFormat/>
    <w:uiPriority w:val="0"/>
    <w:rPr>
      <w:rFonts w:hint="default" w:ascii="Times New Roman" w:hAnsi="Times New Roman" w:eastAsia="宋体" w:cs="Times New Roman"/>
      <w:color w:val="000000"/>
      <w:kern w:val="2"/>
      <w:sz w:val="21"/>
      <w:szCs w:val="24"/>
      <w:u w:val="none"/>
      <w:lang w:val="en-US" w:eastAsia="zh-CN"/>
    </w:rPr>
  </w:style>
  <w:style w:type="character" w:customStyle="1" w:styleId="381">
    <w:name w:val="正文文本缩进 3 Char3"/>
    <w:qFormat/>
    <w:uiPriority w:val="0"/>
    <w:rPr>
      <w:rFonts w:hint="default" w:ascii="Times New Roman" w:hAnsi="Times New Roman" w:eastAsia="宋体" w:cs="Times New Roman"/>
      <w:color w:val="000000"/>
      <w:kern w:val="2"/>
      <w:sz w:val="16"/>
      <w:szCs w:val="16"/>
      <w:u w:val="none"/>
      <w:lang w:val="en-US" w:eastAsia="zh-CN"/>
    </w:rPr>
  </w:style>
  <w:style w:type="character" w:customStyle="1" w:styleId="382">
    <w:name w:val="批注文字 Char"/>
    <w:basedOn w:val="79"/>
    <w:qFormat/>
    <w:uiPriority w:val="0"/>
  </w:style>
  <w:style w:type="character" w:customStyle="1" w:styleId="383">
    <w:name w:val="图表题 Char12"/>
    <w:qFormat/>
    <w:uiPriority w:val="0"/>
    <w:rPr>
      <w:rFonts w:hint="default" w:ascii="黑体" w:hAnsi="宋体" w:eastAsia="黑体" w:cs="宋体"/>
      <w:b/>
      <w:bCs/>
      <w:color w:val="000000"/>
      <w:kern w:val="2"/>
      <w:sz w:val="24"/>
      <w:szCs w:val="24"/>
      <w:u w:val="none"/>
      <w:lang w:val="en-US" w:eastAsia="zh-CN"/>
    </w:rPr>
  </w:style>
  <w:style w:type="character" w:customStyle="1" w:styleId="384">
    <w:name w:val="Char Char67"/>
    <w:qFormat/>
    <w:uiPriority w:val="0"/>
    <w:rPr>
      <w:rFonts w:hint="default" w:ascii="Times New Roman" w:hAnsi="Times New Roman" w:eastAsia="宋体" w:cs="Times New Roman"/>
      <w:b/>
      <w:bCs/>
      <w:color w:val="000000"/>
      <w:kern w:val="2"/>
      <w:sz w:val="28"/>
      <w:szCs w:val="28"/>
      <w:u w:val="none"/>
      <w:lang w:val="en-US" w:eastAsia="zh-CN"/>
    </w:rPr>
  </w:style>
  <w:style w:type="character" w:customStyle="1" w:styleId="385">
    <w:name w:val="Char Char48"/>
    <w:qFormat/>
    <w:uiPriority w:val="0"/>
    <w:rPr>
      <w:rFonts w:hint="default" w:ascii="黑体" w:hAnsi="Arial" w:eastAsia="黑体" w:cs="Times New Roman"/>
      <w:b/>
      <w:bCs/>
      <w:color w:val="000000"/>
      <w:kern w:val="2"/>
      <w:sz w:val="30"/>
      <w:szCs w:val="30"/>
      <w:u w:val="none"/>
      <w:lang w:val="en-US" w:eastAsia="zh-CN"/>
    </w:rPr>
  </w:style>
  <w:style w:type="character" w:customStyle="1" w:styleId="386">
    <w:name w:val="Char Char122"/>
    <w:qFormat/>
    <w:uiPriority w:val="0"/>
    <w:rPr>
      <w:rFonts w:hint="default" w:ascii="黑体" w:hAnsi="Arial" w:eastAsia="黑体" w:cs="Times New Roman"/>
      <w:b/>
      <w:bCs/>
      <w:color w:val="000000"/>
      <w:kern w:val="2"/>
      <w:sz w:val="30"/>
      <w:szCs w:val="30"/>
      <w:u w:val="none"/>
      <w:lang w:val="en-US" w:eastAsia="zh-CN"/>
    </w:rPr>
  </w:style>
  <w:style w:type="character" w:customStyle="1" w:styleId="387">
    <w:name w:val="副标题 字符"/>
    <w:link w:val="45"/>
    <w:qFormat/>
    <w:uiPriority w:val="0"/>
    <w:rPr>
      <w:rFonts w:hint="default" w:ascii="Arial" w:hAnsi="Arial" w:eastAsia="仿宋_GB2312" w:cs="Times New Roman"/>
      <w:b/>
      <w:color w:val="000000"/>
      <w:kern w:val="28"/>
      <w:sz w:val="32"/>
      <w:szCs w:val="16"/>
      <w:u w:val="none"/>
    </w:rPr>
  </w:style>
  <w:style w:type="character" w:customStyle="1" w:styleId="388">
    <w:name w:val="正文文本 3 Char11"/>
    <w:qFormat/>
    <w:uiPriority w:val="0"/>
    <w:rPr>
      <w:rFonts w:hint="default" w:ascii="Times New Roman" w:hAnsi="Times New Roman" w:eastAsia="宋体" w:cs="Times New Roman"/>
      <w:color w:val="000000"/>
      <w:kern w:val="2"/>
      <w:sz w:val="16"/>
      <w:szCs w:val="16"/>
      <w:u w:val="none"/>
      <w:lang w:val="en-US" w:eastAsia="zh-CN"/>
    </w:rPr>
  </w:style>
  <w:style w:type="character" w:customStyle="1" w:styleId="389">
    <w:name w:val="Char Char314"/>
    <w:qFormat/>
    <w:uiPriority w:val="0"/>
    <w:rPr>
      <w:rFonts w:hint="default" w:ascii="黑体" w:hAnsi="宋体" w:eastAsia="黑体" w:cs="Times New Roman"/>
      <w:b/>
      <w:bCs/>
      <w:color w:val="000000"/>
      <w:kern w:val="2"/>
      <w:sz w:val="28"/>
      <w:szCs w:val="28"/>
      <w:u w:val="none"/>
      <w:lang w:val="en-US" w:eastAsia="zh-CN"/>
    </w:rPr>
  </w:style>
  <w:style w:type="character" w:customStyle="1" w:styleId="390">
    <w:name w:val="表格 标题 Char"/>
    <w:qFormat/>
    <w:uiPriority w:val="0"/>
    <w:rPr>
      <w:rFonts w:hint="default" w:ascii="Times New Roman" w:hAnsi="Times New Roman" w:eastAsia="仿宋_GB2312" w:cs="Times New Roman"/>
      <w:b/>
      <w:color w:val="000000"/>
      <w:sz w:val="24"/>
      <w:szCs w:val="24"/>
      <w:u w:val="none"/>
    </w:rPr>
  </w:style>
  <w:style w:type="character" w:customStyle="1" w:styleId="391">
    <w:name w:val="Comment Subject Char1"/>
    <w:link w:val="392"/>
    <w:qFormat/>
    <w:uiPriority w:val="0"/>
    <w:rPr>
      <w:rFonts w:hint="default" w:ascii="宋体" w:hAnsi="Calibri" w:eastAsia="宋体" w:cs="Times New Roman"/>
      <w:b/>
      <w:color w:val="000000"/>
      <w:sz w:val="24"/>
      <w:szCs w:val="16"/>
      <w:u w:val="none"/>
    </w:rPr>
  </w:style>
  <w:style w:type="paragraph" w:customStyle="1" w:styleId="392">
    <w:name w:val="批注主题2"/>
    <w:basedOn w:val="22"/>
    <w:next w:val="22"/>
    <w:link w:val="391"/>
    <w:qFormat/>
    <w:uiPriority w:val="0"/>
    <w:pPr>
      <w:widowControl/>
      <w:spacing w:line="240" w:lineRule="auto"/>
      <w:ind w:firstLine="0" w:firstLineChars="0"/>
    </w:pPr>
    <w:rPr>
      <w:rFonts w:ascii="宋体"/>
      <w:b/>
      <w:sz w:val="24"/>
    </w:rPr>
  </w:style>
  <w:style w:type="character" w:customStyle="1" w:styleId="393">
    <w:name w:val="注释标题 Char1"/>
    <w:link w:val="394"/>
    <w:qFormat/>
    <w:uiPriority w:val="99"/>
    <w:rPr>
      <w:rFonts w:hint="default" w:ascii="宋体" w:hAnsi="Times New Roman" w:cs="Times New Roman"/>
      <w:color w:val="000000"/>
      <w:sz w:val="16"/>
      <w:szCs w:val="16"/>
      <w:u w:val="none"/>
    </w:rPr>
  </w:style>
  <w:style w:type="paragraph" w:customStyle="1" w:styleId="394">
    <w:name w:val="注释标题1"/>
    <w:basedOn w:val="1"/>
    <w:next w:val="1"/>
    <w:link w:val="393"/>
    <w:qFormat/>
    <w:uiPriority w:val="0"/>
    <w:pPr>
      <w:widowControl/>
      <w:jc w:val="center"/>
    </w:pPr>
    <w:rPr>
      <w:rFonts w:ascii="宋体"/>
    </w:rPr>
  </w:style>
  <w:style w:type="character" w:customStyle="1" w:styleId="395">
    <w:name w:val="hhcwt标题3 Char Char"/>
    <w:link w:val="396"/>
    <w:qFormat/>
    <w:uiPriority w:val="0"/>
    <w:rPr>
      <w:rFonts w:hint="default" w:ascii="Times New Roman" w:hAnsi="Times New Roman" w:eastAsia="楷体_GB2312" w:cs="Times New Roman"/>
      <w:color w:val="000000"/>
      <w:sz w:val="28"/>
      <w:szCs w:val="16"/>
      <w:u w:val="none"/>
    </w:rPr>
  </w:style>
  <w:style w:type="paragraph" w:customStyle="1" w:styleId="396">
    <w:name w:val="hhcwt标题3"/>
    <w:basedOn w:val="1"/>
    <w:link w:val="395"/>
    <w:qFormat/>
    <w:uiPriority w:val="0"/>
    <w:pPr>
      <w:keepNext/>
      <w:keepLines/>
      <w:spacing w:line="336" w:lineRule="auto"/>
      <w:outlineLvl w:val="2"/>
    </w:pPr>
    <w:rPr>
      <w:rFonts w:eastAsia="楷体_GB2312"/>
    </w:rPr>
  </w:style>
  <w:style w:type="character" w:customStyle="1" w:styleId="397">
    <w:name w:val="样式5 Char"/>
    <w:qFormat/>
    <w:uiPriority w:val="0"/>
    <w:rPr>
      <w:rFonts w:hint="default" w:ascii="Times New Roman" w:hAnsi="Times New Roman" w:eastAsia="宋体" w:cs="宋体"/>
      <w:snapToGrid w:val="0"/>
      <w:color w:val="000000"/>
      <w:kern w:val="0"/>
      <w:sz w:val="16"/>
      <w:szCs w:val="24"/>
      <w:u w:val="none"/>
    </w:rPr>
  </w:style>
  <w:style w:type="character" w:customStyle="1" w:styleId="398">
    <w:name w:val="节 Char13"/>
    <w:qFormat/>
    <w:uiPriority w:val="0"/>
    <w:rPr>
      <w:rFonts w:hint="default" w:ascii="黑体" w:hAnsi="Arial" w:eastAsia="黑体" w:cs="Times New Roman"/>
      <w:bCs/>
      <w:color w:val="000000"/>
      <w:kern w:val="2"/>
      <w:sz w:val="30"/>
      <w:szCs w:val="30"/>
      <w:u w:val="none"/>
      <w:lang w:val="en-US" w:eastAsia="zh-CN"/>
    </w:rPr>
  </w:style>
  <w:style w:type="character" w:customStyle="1" w:styleId="399">
    <w:name w:val="tpc_title1"/>
    <w:qFormat/>
    <w:uiPriority w:val="0"/>
    <w:rPr>
      <w:rFonts w:hint="default" w:ascii="Times New Roman" w:hAnsi="Times New Roman" w:cs="Times New Roman"/>
      <w:b/>
      <w:bCs/>
      <w:color w:val="000000"/>
      <w:sz w:val="24"/>
      <w:szCs w:val="24"/>
      <w:u w:val="none"/>
    </w:rPr>
  </w:style>
  <w:style w:type="character" w:customStyle="1" w:styleId="400">
    <w:name w:val="文本框五号1.5倍行距 Char Char"/>
    <w:qFormat/>
    <w:uiPriority w:val="0"/>
    <w:rPr>
      <w:rFonts w:hint="default" w:ascii="宋体" w:hAnsi="宋体" w:eastAsia="仿宋_GB2312" w:cs="Courier New"/>
      <w:color w:val="000000"/>
      <w:kern w:val="2"/>
      <w:sz w:val="21"/>
      <w:szCs w:val="21"/>
      <w:u w:val="none"/>
      <w:lang w:val="en-US" w:eastAsia="zh-CN"/>
    </w:rPr>
  </w:style>
  <w:style w:type="character" w:customStyle="1" w:styleId="401">
    <w:name w:val="表中文字 Char22"/>
    <w:qFormat/>
    <w:uiPriority w:val="0"/>
    <w:rPr>
      <w:rFonts w:hint="default" w:ascii="宋体" w:hAnsi="Times New Roman" w:eastAsia="宋体" w:cs="Times New Roman"/>
      <w:color w:val="000000"/>
      <w:kern w:val="2"/>
      <w:sz w:val="21"/>
      <w:szCs w:val="21"/>
      <w:u w:val="none"/>
      <w:lang w:val="en-US" w:eastAsia="zh-CN"/>
    </w:rPr>
  </w:style>
  <w:style w:type="character" w:customStyle="1" w:styleId="402">
    <w:name w:val="标题 3 Char Char Char1"/>
    <w:qFormat/>
    <w:uiPriority w:val="0"/>
    <w:rPr>
      <w:rFonts w:hint="default" w:ascii="Times New Roman" w:hAnsi="Times New Roman" w:cs="Times New Roman"/>
      <w:b/>
      <w:bCs/>
      <w:color w:val="000000"/>
      <w:kern w:val="2"/>
      <w:sz w:val="28"/>
      <w:szCs w:val="32"/>
      <w:u w:val="none"/>
    </w:rPr>
  </w:style>
  <w:style w:type="character" w:customStyle="1" w:styleId="403">
    <w:name w:val="正文 文字 Char"/>
    <w:qFormat/>
    <w:uiPriority w:val="0"/>
    <w:rPr>
      <w:rFonts w:hint="default" w:ascii="Times New Roman" w:hAnsi="Times New Roman" w:eastAsia="仿宋_GB2312" w:cs="Times New Roman"/>
      <w:color w:val="000000"/>
      <w:sz w:val="28"/>
      <w:szCs w:val="24"/>
      <w:u w:val="none"/>
    </w:rPr>
  </w:style>
  <w:style w:type="character" w:customStyle="1" w:styleId="404">
    <w:name w:val="题注 Char Char Char Char"/>
    <w:qFormat/>
    <w:uiPriority w:val="0"/>
    <w:rPr>
      <w:rFonts w:hint="default" w:ascii="Arial" w:hAnsi="Arial" w:eastAsia="黑体" w:cs="Arial"/>
      <w:color w:val="000000"/>
      <w:kern w:val="2"/>
      <w:sz w:val="16"/>
      <w:szCs w:val="16"/>
      <w:u w:val="none"/>
      <w:lang w:val="en-US" w:eastAsia="zh-CN"/>
    </w:rPr>
  </w:style>
  <w:style w:type="character" w:customStyle="1" w:styleId="405">
    <w:name w:val="正文格式 Char121"/>
    <w:qFormat/>
    <w:uiPriority w:val="0"/>
    <w:rPr>
      <w:rFonts w:hint="default" w:ascii="宋体" w:hAnsi="宋体" w:eastAsia="宋体" w:cs="Times New Roman"/>
      <w:color w:val="000000"/>
      <w:kern w:val="2"/>
      <w:sz w:val="24"/>
      <w:szCs w:val="24"/>
      <w:u w:val="none"/>
      <w:lang w:val="en-US" w:eastAsia="zh-CN"/>
    </w:rPr>
  </w:style>
  <w:style w:type="character" w:customStyle="1" w:styleId="406">
    <w:name w:val="正文文本缩进 2 Char31"/>
    <w:qFormat/>
    <w:uiPriority w:val="0"/>
    <w:rPr>
      <w:rFonts w:hint="default" w:ascii="Times New Roman" w:hAnsi="Times New Roman" w:eastAsia="宋体" w:cs="Times New Roman"/>
      <w:color w:val="000000"/>
      <w:kern w:val="2"/>
      <w:sz w:val="24"/>
      <w:szCs w:val="24"/>
      <w:u w:val="none"/>
      <w:lang w:val="en-US" w:eastAsia="zh-CN"/>
    </w:rPr>
  </w:style>
  <w:style w:type="character" w:customStyle="1" w:styleId="407">
    <w:name w:val="图题注 Char4"/>
    <w:qFormat/>
    <w:uiPriority w:val="0"/>
    <w:rPr>
      <w:rFonts w:hint="default" w:ascii="黑体" w:hAnsi="Arial" w:eastAsia="黑体" w:cs="宋体"/>
      <w:b/>
      <w:bCs/>
      <w:color w:val="000000"/>
      <w:kern w:val="2"/>
      <w:sz w:val="24"/>
      <w:szCs w:val="24"/>
      <w:u w:val="none"/>
      <w:lang w:val="en-US" w:eastAsia="zh-CN"/>
    </w:rPr>
  </w:style>
  <w:style w:type="character" w:customStyle="1" w:styleId="408">
    <w:name w:val="表题1 Char43"/>
    <w:qFormat/>
    <w:uiPriority w:val="0"/>
    <w:rPr>
      <w:rFonts w:hint="default" w:ascii="黑体" w:hAnsi="Arial" w:eastAsia="黑体" w:cs="Arial"/>
      <w:b/>
      <w:color w:val="000000"/>
      <w:kern w:val="2"/>
      <w:sz w:val="24"/>
      <w:szCs w:val="24"/>
      <w:u w:val="none"/>
      <w:lang w:val="en-US" w:eastAsia="zh-CN"/>
    </w:rPr>
  </w:style>
  <w:style w:type="character" w:customStyle="1" w:styleId="409">
    <w:name w:val="标题 字符"/>
    <w:link w:val="58"/>
    <w:qFormat/>
    <w:uiPriority w:val="0"/>
    <w:rPr>
      <w:rFonts w:hint="default" w:ascii="Times New Roman" w:hAnsi="Times New Roman" w:eastAsia="仿宋_GB2312" w:cs="Times New Roman"/>
      <w:b/>
      <w:color w:val="000000"/>
      <w:sz w:val="24"/>
      <w:szCs w:val="16"/>
      <w:u w:val="none"/>
    </w:rPr>
  </w:style>
  <w:style w:type="character" w:customStyle="1" w:styleId="410">
    <w:name w:val="标题 4 Char31"/>
    <w:qFormat/>
    <w:uiPriority w:val="0"/>
    <w:rPr>
      <w:rFonts w:hint="default" w:ascii="黑体" w:hAnsi="Arial" w:eastAsia="黑体" w:cs="Times New Roman"/>
      <w:b/>
      <w:bCs/>
      <w:color w:val="000000"/>
      <w:kern w:val="2"/>
      <w:sz w:val="24"/>
      <w:szCs w:val="24"/>
      <w:u w:val="none"/>
      <w:lang w:val="en-US" w:eastAsia="zh-CN"/>
    </w:rPr>
  </w:style>
  <w:style w:type="character" w:customStyle="1" w:styleId="411">
    <w:name w:val="A正文 Char11"/>
    <w:qFormat/>
    <w:uiPriority w:val="0"/>
    <w:rPr>
      <w:rFonts w:hint="default" w:ascii="Times New Roman" w:hAnsi="Times New Roman" w:eastAsia="仿宋_GB2312" w:cs="Times New Roman"/>
      <w:color w:val="000000"/>
      <w:kern w:val="2"/>
      <w:sz w:val="24"/>
      <w:szCs w:val="24"/>
      <w:u w:val="none"/>
      <w:lang w:val="en-US" w:eastAsia="zh-CN"/>
    </w:rPr>
  </w:style>
  <w:style w:type="character" w:customStyle="1" w:styleId="412">
    <w:name w:val="图题注 Char11"/>
    <w:qFormat/>
    <w:uiPriority w:val="0"/>
    <w:rPr>
      <w:rFonts w:hint="default" w:ascii="黑体" w:hAnsi="Arial" w:eastAsia="黑体" w:cs="宋体"/>
      <w:b/>
      <w:bCs/>
      <w:color w:val="000000"/>
      <w:kern w:val="2"/>
      <w:sz w:val="24"/>
      <w:szCs w:val="24"/>
      <w:u w:val="none"/>
      <w:lang w:val="en-US" w:eastAsia="zh-CN"/>
    </w:rPr>
  </w:style>
  <w:style w:type="character" w:customStyle="1" w:styleId="413">
    <w:name w:val="标题 1 Char51"/>
    <w:qFormat/>
    <w:uiPriority w:val="0"/>
    <w:rPr>
      <w:rFonts w:hint="default" w:ascii="黑体" w:hAnsi="宋体" w:eastAsia="黑体" w:cs="Times New Roman"/>
      <w:bCs/>
      <w:color w:val="000000"/>
      <w:kern w:val="44"/>
      <w:sz w:val="32"/>
      <w:szCs w:val="32"/>
      <w:u w:val="none"/>
      <w:lang w:val="en-US" w:eastAsia="zh-CN"/>
    </w:rPr>
  </w:style>
  <w:style w:type="character" w:customStyle="1" w:styleId="414">
    <w:name w:val="脚注文本 Char1"/>
    <w:qFormat/>
    <w:uiPriority w:val="0"/>
    <w:rPr>
      <w:rFonts w:hint="default" w:ascii="Times New Roman" w:hAnsi="Times New Roman" w:cs="Times New Roman"/>
      <w:color w:val="000000"/>
      <w:sz w:val="18"/>
      <w:szCs w:val="18"/>
      <w:u w:val="none"/>
    </w:rPr>
  </w:style>
  <w:style w:type="character" w:customStyle="1" w:styleId="415">
    <w:name w:val="Char Char183"/>
    <w:qFormat/>
    <w:uiPriority w:val="0"/>
    <w:rPr>
      <w:rFonts w:hint="default" w:ascii="宋体" w:hAnsi="Times New Roman" w:eastAsia="宋体" w:cs="Times New Roman"/>
      <w:color w:val="000000"/>
      <w:sz w:val="24"/>
      <w:szCs w:val="24"/>
      <w:u w:val="none"/>
    </w:rPr>
  </w:style>
  <w:style w:type="character" w:customStyle="1" w:styleId="416">
    <w:name w:val="正文斜体 Char Char"/>
    <w:link w:val="417"/>
    <w:qFormat/>
    <w:uiPriority w:val="0"/>
    <w:rPr>
      <w:rFonts w:hint="default" w:ascii="宋体" w:hAnsi="Times New Roman" w:cs="Times New Roman"/>
      <w:i/>
      <w:color w:val="000000"/>
      <w:sz w:val="24"/>
      <w:szCs w:val="16"/>
      <w:u w:val="none"/>
    </w:rPr>
  </w:style>
  <w:style w:type="paragraph" w:customStyle="1" w:styleId="417">
    <w:name w:val="正文斜体"/>
    <w:link w:val="416"/>
    <w:qFormat/>
    <w:uiPriority w:val="0"/>
    <w:rPr>
      <w:rFonts w:ascii="Times New Roman" w:hAnsi="Times New Roman" w:eastAsia="宋体" w:cs="Times New Roman"/>
      <w:i/>
      <w:lang w:val="en-US" w:eastAsia="zh-CN" w:bidi="ar-SA"/>
    </w:rPr>
  </w:style>
  <w:style w:type="paragraph" w:customStyle="1" w:styleId="418">
    <w:name w:val="正文格式"/>
    <w:basedOn w:val="1"/>
    <w:link w:val="727"/>
    <w:qFormat/>
    <w:uiPriority w:val="0"/>
    <w:pPr>
      <w:widowControl/>
      <w:ind w:firstLine="482"/>
      <w:jc w:val="left"/>
    </w:pPr>
    <w:rPr>
      <w:rFonts w:ascii="宋体"/>
    </w:rPr>
  </w:style>
  <w:style w:type="character" w:customStyle="1" w:styleId="419">
    <w:name w:val="图题 Char1"/>
    <w:qFormat/>
    <w:uiPriority w:val="0"/>
    <w:rPr>
      <w:rFonts w:hint="default" w:ascii="黑体" w:hAnsi="宋体" w:eastAsia="黑体" w:cs="宋体"/>
      <w:b/>
      <w:bCs/>
      <w:color w:val="000000"/>
      <w:kern w:val="2"/>
      <w:sz w:val="24"/>
      <w:szCs w:val="24"/>
      <w:u w:val="none"/>
      <w:lang w:val="en-US" w:eastAsia="zh-CN"/>
    </w:rPr>
  </w:style>
  <w:style w:type="character" w:customStyle="1" w:styleId="420">
    <w:name w:val="unnamed1"/>
    <w:qFormat/>
    <w:uiPriority w:val="0"/>
    <w:rPr>
      <w:rFonts w:hint="default" w:ascii="Times New Roman" w:hAnsi="Times New Roman" w:cs="Times New Roman"/>
      <w:color w:val="000000"/>
      <w:sz w:val="16"/>
      <w:szCs w:val="16"/>
      <w:u w:val="none"/>
    </w:rPr>
  </w:style>
  <w:style w:type="character" w:customStyle="1" w:styleId="421">
    <w:name w:val="正文 段落2级 Char"/>
    <w:link w:val="422"/>
    <w:qFormat/>
    <w:uiPriority w:val="0"/>
    <w:rPr>
      <w:rFonts w:hint="default" w:ascii="Times New Roman" w:hAnsi="Times New Roman" w:eastAsia="仿宋_GB2312" w:cs="Times New Roman"/>
      <w:b/>
      <w:bCs/>
      <w:color w:val="000000"/>
      <w:kern w:val="44"/>
      <w:sz w:val="32"/>
      <w:szCs w:val="44"/>
      <w:u w:val="none"/>
    </w:rPr>
  </w:style>
  <w:style w:type="paragraph" w:customStyle="1" w:styleId="422">
    <w:name w:val="正文 段落2级"/>
    <w:basedOn w:val="1"/>
    <w:link w:val="421"/>
    <w:qFormat/>
    <w:uiPriority w:val="0"/>
    <w:pPr>
      <w:keepNext/>
      <w:keepLines/>
      <w:widowControl/>
      <w:outlineLvl w:val="1"/>
    </w:pPr>
    <w:rPr>
      <w:b/>
      <w:bCs/>
      <w:kern w:val="44"/>
      <w:sz w:val="32"/>
      <w:szCs w:val="44"/>
    </w:rPr>
  </w:style>
  <w:style w:type="character" w:customStyle="1" w:styleId="423">
    <w:name w:val="标题 2 Char71"/>
    <w:qFormat/>
    <w:uiPriority w:val="0"/>
    <w:rPr>
      <w:rFonts w:hint="default" w:ascii="黑体" w:hAnsi="Arial" w:eastAsia="黑体" w:cs="Times New Roman"/>
      <w:bCs/>
      <w:color w:val="000000"/>
      <w:kern w:val="2"/>
      <w:sz w:val="30"/>
      <w:szCs w:val="30"/>
      <w:u w:val="none"/>
      <w:lang w:val="en-US" w:eastAsia="zh-CN"/>
    </w:rPr>
  </w:style>
  <w:style w:type="character" w:customStyle="1" w:styleId="424">
    <w:name w:val="样式 正文缩进 + 宋体 黑色 Char31"/>
    <w:qFormat/>
    <w:uiPriority w:val="0"/>
    <w:rPr>
      <w:rFonts w:hint="default" w:ascii="宋体" w:hAnsi="宋体" w:eastAsia="宋体" w:cs="Times New Roman"/>
      <w:color w:val="000000"/>
      <w:kern w:val="2"/>
      <w:sz w:val="24"/>
      <w:szCs w:val="24"/>
      <w:u w:val="none"/>
      <w:lang w:val="en-US" w:eastAsia="zh-CN"/>
    </w:rPr>
  </w:style>
  <w:style w:type="character" w:customStyle="1" w:styleId="425">
    <w:name w:val="题注 Char52"/>
    <w:qFormat/>
    <w:uiPriority w:val="0"/>
    <w:rPr>
      <w:rFonts w:hint="default" w:ascii="黑体" w:hAnsi="Arial" w:eastAsia="黑体" w:cs="Arial"/>
      <w:b/>
      <w:color w:val="000000"/>
      <w:kern w:val="2"/>
      <w:sz w:val="24"/>
      <w:szCs w:val="24"/>
      <w:u w:val="none"/>
      <w:lang w:val="en-US" w:eastAsia="zh-CN"/>
    </w:rPr>
  </w:style>
  <w:style w:type="character" w:customStyle="1" w:styleId="426">
    <w:name w:val="Char Char65"/>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427">
    <w:name w:val="批注框文本 Char4"/>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428">
    <w:name w:val="正文修改 Char1111"/>
    <w:qFormat/>
    <w:uiPriority w:val="0"/>
    <w:rPr>
      <w:rFonts w:hint="default" w:ascii="宋体" w:hAnsi="宋体" w:eastAsia="宋体" w:cs="宋体"/>
      <w:color w:val="000000"/>
      <w:kern w:val="2"/>
      <w:sz w:val="24"/>
      <w:szCs w:val="24"/>
      <w:u w:val="none"/>
      <w:lang w:val="en-US" w:eastAsia="zh-CN"/>
    </w:rPr>
  </w:style>
  <w:style w:type="character" w:customStyle="1" w:styleId="429">
    <w:name w:val="正文格式 Char101"/>
    <w:qFormat/>
    <w:uiPriority w:val="0"/>
    <w:rPr>
      <w:rFonts w:hint="default" w:ascii="宋体" w:hAnsi="宋体" w:eastAsia="宋体" w:cs="Times New Roman"/>
      <w:color w:val="000000"/>
      <w:kern w:val="2"/>
      <w:sz w:val="24"/>
      <w:szCs w:val="24"/>
      <w:u w:val="none"/>
      <w:lang w:val="en-US" w:eastAsia="zh-CN"/>
    </w:rPr>
  </w:style>
  <w:style w:type="character" w:customStyle="1" w:styleId="430">
    <w:name w:val="标题 2 Char51"/>
    <w:qFormat/>
    <w:uiPriority w:val="0"/>
    <w:rPr>
      <w:rFonts w:hint="default" w:ascii="黑体" w:hAnsi="Arial" w:eastAsia="黑体" w:cs="Times New Roman"/>
      <w:bCs/>
      <w:color w:val="000000"/>
      <w:kern w:val="2"/>
      <w:sz w:val="30"/>
      <w:szCs w:val="30"/>
      <w:u w:val="none"/>
      <w:lang w:val="en-US" w:eastAsia="zh-CN"/>
    </w:rPr>
  </w:style>
  <w:style w:type="character" w:customStyle="1" w:styleId="431">
    <w:name w:val="font101"/>
    <w:qFormat/>
    <w:uiPriority w:val="0"/>
    <w:rPr>
      <w:rFonts w:ascii="黑体" w:hAnsi="宋体" w:eastAsia="黑体" w:cs="黑体"/>
      <w:b/>
      <w:color w:val="000000"/>
      <w:sz w:val="21"/>
      <w:szCs w:val="21"/>
      <w:u w:val="none"/>
    </w:rPr>
  </w:style>
  <w:style w:type="character" w:customStyle="1" w:styleId="432">
    <w:name w:val="首页 评价单位 时间 Char"/>
    <w:link w:val="433"/>
    <w:qFormat/>
    <w:uiPriority w:val="0"/>
    <w:rPr>
      <w:rFonts w:hint="default" w:ascii="华文新魏" w:hAnsi="Times New Roman" w:eastAsia="华文新魏" w:cs="Times New Roman"/>
      <w:color w:val="000000"/>
      <w:sz w:val="32"/>
      <w:szCs w:val="32"/>
      <w:u w:val="none"/>
    </w:rPr>
  </w:style>
  <w:style w:type="paragraph" w:customStyle="1" w:styleId="433">
    <w:name w:val="首页 评价单位 时间"/>
    <w:basedOn w:val="98"/>
    <w:link w:val="432"/>
    <w:qFormat/>
    <w:uiPriority w:val="0"/>
    <w:pPr>
      <w:jc w:val="center"/>
    </w:pPr>
    <w:rPr>
      <w:rFonts w:ascii="华文新魏" w:hAnsi="Times New Roman" w:eastAsia="华文新魏" w:cs="Times New Roman"/>
      <w:color w:val="000000"/>
      <w:sz w:val="32"/>
      <w:szCs w:val="32"/>
    </w:rPr>
  </w:style>
  <w:style w:type="character" w:customStyle="1" w:styleId="434">
    <w:name w:val="1正文段落 Char Char"/>
    <w:link w:val="435"/>
    <w:qFormat/>
    <w:uiPriority w:val="0"/>
    <w:rPr>
      <w:rFonts w:hint="default" w:ascii="Times New Roman" w:hAnsi="Times New Roman" w:cs="Times New Roman"/>
      <w:color w:val="000000"/>
      <w:sz w:val="24"/>
      <w:szCs w:val="16"/>
      <w:u w:val="none"/>
    </w:rPr>
  </w:style>
  <w:style w:type="paragraph" w:customStyle="1" w:styleId="435">
    <w:name w:val="1正文段落"/>
    <w:basedOn w:val="1"/>
    <w:link w:val="434"/>
    <w:qFormat/>
    <w:uiPriority w:val="0"/>
    <w:pPr>
      <w:ind w:firstLine="480"/>
      <w:jc w:val="left"/>
    </w:pPr>
  </w:style>
  <w:style w:type="character" w:customStyle="1" w:styleId="436">
    <w:name w:val="环评正文 Char Char"/>
    <w:link w:val="437"/>
    <w:qFormat/>
    <w:uiPriority w:val="0"/>
    <w:rPr>
      <w:rFonts w:hint="default" w:ascii="仿宋_GB2312" w:hAnsi="Times New Roman" w:eastAsia="仿宋_GB2312" w:cs="Times New Roman"/>
      <w:color w:val="000000"/>
      <w:sz w:val="28"/>
      <w:szCs w:val="16"/>
      <w:u w:val="none"/>
    </w:rPr>
  </w:style>
  <w:style w:type="paragraph" w:customStyle="1" w:styleId="437">
    <w:name w:val="环评正文"/>
    <w:link w:val="436"/>
    <w:qFormat/>
    <w:uiPriority w:val="0"/>
    <w:pPr>
      <w:ind w:firstLine="560"/>
    </w:pPr>
    <w:rPr>
      <w:rFonts w:ascii="仿宋_GB2312" w:hAnsi="Times New Roman" w:eastAsia="宋体" w:cs="Times New Roman"/>
      <w:sz w:val="28"/>
      <w:lang w:val="en-US" w:eastAsia="zh-CN" w:bidi="ar-SA"/>
    </w:rPr>
  </w:style>
  <w:style w:type="paragraph" w:customStyle="1" w:styleId="438">
    <w:name w:val="日期1"/>
    <w:basedOn w:val="1"/>
    <w:next w:val="1"/>
    <w:qFormat/>
    <w:uiPriority w:val="0"/>
    <w:pPr>
      <w:jc w:val="left"/>
      <w:textAlignment w:val="baseline"/>
    </w:pPr>
    <w:rPr>
      <w:rFonts w:ascii="宋体"/>
    </w:rPr>
  </w:style>
  <w:style w:type="character" w:customStyle="1" w:styleId="439">
    <w:name w:val="样式 表格内字体 + Char12"/>
    <w:qFormat/>
    <w:uiPriority w:val="0"/>
    <w:rPr>
      <w:rFonts w:hint="default" w:ascii="宋体" w:hAnsi="宋体" w:eastAsia="宋体" w:cs="Times New Roman"/>
      <w:color w:val="000000"/>
      <w:kern w:val="2"/>
      <w:sz w:val="21"/>
      <w:szCs w:val="24"/>
      <w:u w:val="none"/>
      <w:lang w:val="en-US" w:eastAsia="zh-CN"/>
    </w:rPr>
  </w:style>
  <w:style w:type="character" w:customStyle="1" w:styleId="440">
    <w:name w:val="正文文字 21 Char"/>
    <w:qFormat/>
    <w:uiPriority w:val="0"/>
    <w:rPr>
      <w:rFonts w:hint="default" w:ascii="Times New Roman" w:hAnsi="Times New Roman" w:cs="Times New Roman"/>
      <w:color w:val="000000"/>
      <w:kern w:val="2"/>
      <w:sz w:val="24"/>
      <w:szCs w:val="24"/>
      <w:u w:val="none"/>
    </w:rPr>
  </w:style>
  <w:style w:type="character" w:customStyle="1" w:styleId="441">
    <w:name w:val="图表题 Char11"/>
    <w:qFormat/>
    <w:uiPriority w:val="0"/>
    <w:rPr>
      <w:rFonts w:hint="default" w:ascii="黑体" w:hAnsi="宋体" w:eastAsia="黑体" w:cs="宋体"/>
      <w:b/>
      <w:bCs/>
      <w:color w:val="000000"/>
      <w:kern w:val="2"/>
      <w:sz w:val="24"/>
      <w:szCs w:val="24"/>
      <w:u w:val="none"/>
      <w:lang w:val="en-US" w:eastAsia="zh-CN"/>
    </w:rPr>
  </w:style>
  <w:style w:type="character" w:customStyle="1" w:styleId="442">
    <w:name w:val="正文 方程式 Char"/>
    <w:link w:val="443"/>
    <w:qFormat/>
    <w:uiPriority w:val="0"/>
    <w:rPr>
      <w:rFonts w:hint="default" w:ascii="Cambria" w:hAnsi="Cambria" w:eastAsia="仿宋_GB2312" w:cs="Arial"/>
      <w:color w:val="000000"/>
      <w:sz w:val="28"/>
      <w:szCs w:val="24"/>
      <w:u w:val="none"/>
      <w:lang w:val="pl-PL"/>
    </w:rPr>
  </w:style>
  <w:style w:type="paragraph" w:customStyle="1" w:styleId="443">
    <w:name w:val="正文 方程式"/>
    <w:basedOn w:val="98"/>
    <w:link w:val="442"/>
    <w:qFormat/>
    <w:uiPriority w:val="0"/>
    <w:pPr>
      <w:spacing w:beforeLines="100" w:afterLines="100" w:line="500" w:lineRule="exact"/>
      <w:jc w:val="center"/>
    </w:pPr>
    <w:rPr>
      <w:rFonts w:ascii="Cambria" w:hAnsi="Cambria" w:eastAsia="仿宋_GB2312" w:cs="Arial"/>
      <w:color w:val="000000"/>
      <w:sz w:val="28"/>
      <w:lang w:val="pl-PL"/>
    </w:rPr>
  </w:style>
  <w:style w:type="character" w:customStyle="1" w:styleId="444">
    <w:name w:val="正文首行缩进 2 Char2"/>
    <w:qFormat/>
    <w:uiPriority w:val="99"/>
    <w:rPr>
      <w:rFonts w:hint="default" w:ascii="Times New Roman" w:hAnsi="Times New Roman" w:cs="Times New Roman"/>
      <w:color w:val="000000"/>
      <w:sz w:val="16"/>
      <w:szCs w:val="16"/>
      <w:u w:val="none"/>
    </w:rPr>
  </w:style>
  <w:style w:type="character" w:customStyle="1" w:styleId="445">
    <w:name w:val="正文文本缩进 2 Char2"/>
    <w:qFormat/>
    <w:uiPriority w:val="99"/>
    <w:rPr>
      <w:rFonts w:hint="default" w:ascii="Times New Roman" w:hAnsi="Times New Roman" w:eastAsia="宋体" w:cs="Times New Roman"/>
      <w:color w:val="000000"/>
      <w:kern w:val="2"/>
      <w:sz w:val="21"/>
      <w:szCs w:val="24"/>
      <w:u w:val="none"/>
      <w:lang w:val="en-US" w:eastAsia="zh-CN"/>
    </w:rPr>
  </w:style>
  <w:style w:type="character" w:customStyle="1" w:styleId="446">
    <w:name w:val="正文文本 Char31"/>
    <w:qFormat/>
    <w:uiPriority w:val="0"/>
    <w:rPr>
      <w:rFonts w:hint="default" w:ascii="Times New Roman" w:hAnsi="Times New Roman" w:eastAsia="宋体" w:cs="Times New Roman"/>
      <w:color w:val="000000"/>
      <w:kern w:val="2"/>
      <w:sz w:val="24"/>
      <w:szCs w:val="24"/>
      <w:u w:val="none"/>
      <w:lang w:val="en-US" w:eastAsia="zh-CN"/>
    </w:rPr>
  </w:style>
  <w:style w:type="character" w:customStyle="1" w:styleId="447">
    <w:name w:val="Char Char1132"/>
    <w:qFormat/>
    <w:uiPriority w:val="0"/>
    <w:rPr>
      <w:rFonts w:hint="default" w:ascii="黑体" w:hAnsi="Arial" w:eastAsia="黑体" w:cs="Times New Roman"/>
      <w:bCs/>
      <w:color w:val="000000"/>
      <w:kern w:val="2"/>
      <w:sz w:val="30"/>
      <w:szCs w:val="30"/>
      <w:u w:val="none"/>
      <w:lang w:val="en-US" w:eastAsia="zh-CN"/>
    </w:rPr>
  </w:style>
  <w:style w:type="character" w:customStyle="1" w:styleId="448">
    <w:name w:val="Char Char410"/>
    <w:qFormat/>
    <w:uiPriority w:val="0"/>
    <w:rPr>
      <w:rFonts w:hint="default" w:ascii="黑体" w:hAnsi="Arial" w:eastAsia="黑体" w:cs="Times New Roman"/>
      <w:b/>
      <w:bCs/>
      <w:color w:val="000000"/>
      <w:kern w:val="2"/>
      <w:sz w:val="30"/>
      <w:szCs w:val="30"/>
      <w:u w:val="none"/>
      <w:lang w:val="en-US" w:eastAsia="zh-CN"/>
    </w:rPr>
  </w:style>
  <w:style w:type="character" w:customStyle="1" w:styleId="449">
    <w:name w:val="标题 3 Char Char111"/>
    <w:qFormat/>
    <w:uiPriority w:val="0"/>
    <w:rPr>
      <w:rFonts w:hint="default" w:ascii="黑体" w:hAnsi="宋体" w:eastAsia="黑体" w:cs="Times New Roman"/>
      <w:bCs/>
      <w:color w:val="000000"/>
      <w:kern w:val="2"/>
      <w:sz w:val="28"/>
      <w:szCs w:val="28"/>
      <w:u w:val="none"/>
      <w:lang w:val="en-US" w:eastAsia="zh-CN"/>
    </w:rPr>
  </w:style>
  <w:style w:type="character" w:customStyle="1" w:styleId="450">
    <w:name w:val="redfont"/>
    <w:qFormat/>
    <w:uiPriority w:val="0"/>
    <w:rPr>
      <w:rFonts w:hint="default" w:ascii="宋体" w:hAnsi="宋体" w:eastAsia="黑体" w:cs="宋体"/>
      <w:color w:val="000000"/>
      <w:kern w:val="2"/>
      <w:sz w:val="28"/>
      <w:szCs w:val="24"/>
      <w:u w:val="none"/>
      <w:lang w:val="en-US" w:eastAsia="zh-CN"/>
    </w:rPr>
  </w:style>
  <w:style w:type="character" w:customStyle="1" w:styleId="451">
    <w:name w:val="Char Char661"/>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452">
    <w:name w:val="Char Char218"/>
    <w:qFormat/>
    <w:uiPriority w:val="0"/>
    <w:rPr>
      <w:rFonts w:hint="default" w:ascii="黑体" w:hAnsi="Times New Roman" w:eastAsia="宋体" w:cs="Times New Roman"/>
      <w:color w:val="000000"/>
      <w:kern w:val="2"/>
      <w:sz w:val="16"/>
      <w:szCs w:val="16"/>
      <w:u w:val="none"/>
      <w:lang w:val="en-US" w:eastAsia="zh-CN"/>
    </w:rPr>
  </w:style>
  <w:style w:type="character" w:customStyle="1" w:styleId="453">
    <w:name w:val="Char Char518"/>
    <w:qFormat/>
    <w:uiPriority w:val="0"/>
    <w:rPr>
      <w:rFonts w:hint="default" w:ascii="黑体" w:hAnsi="宋体" w:eastAsia="黑体" w:cs="Times New Roman"/>
      <w:bCs/>
      <w:color w:val="000000"/>
      <w:kern w:val="2"/>
      <w:sz w:val="28"/>
      <w:szCs w:val="28"/>
      <w:u w:val="none"/>
      <w:lang w:val="en-US" w:eastAsia="zh-CN"/>
    </w:rPr>
  </w:style>
  <w:style w:type="character" w:customStyle="1" w:styleId="454">
    <w:name w:val="正文格式 Char41"/>
    <w:qFormat/>
    <w:uiPriority w:val="0"/>
    <w:rPr>
      <w:rFonts w:hint="default" w:ascii="宋体" w:hAnsi="宋体" w:eastAsia="宋体" w:cs="Times New Roman"/>
      <w:color w:val="000000"/>
      <w:kern w:val="2"/>
      <w:sz w:val="24"/>
      <w:szCs w:val="24"/>
      <w:u w:val="none"/>
      <w:lang w:val="en-US" w:eastAsia="zh-CN"/>
    </w:rPr>
  </w:style>
  <w:style w:type="character" w:customStyle="1" w:styleId="455">
    <w:name w:val="HTML 预设格式 Char1"/>
    <w:qFormat/>
    <w:uiPriority w:val="0"/>
    <w:rPr>
      <w:rFonts w:hint="default" w:ascii="Courier New" w:hAnsi="Courier New" w:eastAsia="宋体" w:cs="Courier New"/>
      <w:color w:val="000000"/>
      <w:sz w:val="20"/>
      <w:szCs w:val="20"/>
      <w:u w:val="none"/>
    </w:rPr>
  </w:style>
  <w:style w:type="character" w:customStyle="1" w:styleId="456">
    <w:name w:val="表格内字体 Char10"/>
    <w:qFormat/>
    <w:uiPriority w:val="0"/>
    <w:rPr>
      <w:rFonts w:hint="default" w:ascii="宋体" w:hAnsi="宋体" w:eastAsia="宋体" w:cs="Times New Roman"/>
      <w:color w:val="000000"/>
      <w:kern w:val="2"/>
      <w:sz w:val="24"/>
      <w:szCs w:val="21"/>
      <w:u w:val="none"/>
      <w:lang w:val="en-US" w:eastAsia="zh-CN"/>
    </w:rPr>
  </w:style>
  <w:style w:type="character" w:customStyle="1" w:styleId="457">
    <w:name w:val="条标题1.1.1 Char5"/>
    <w:qFormat/>
    <w:uiPriority w:val="0"/>
    <w:rPr>
      <w:rFonts w:hint="default" w:ascii="Times New Roman" w:hAnsi="Times New Roman" w:eastAsia="仿宋_GB2312" w:cs="Times New Roman"/>
      <w:b/>
      <w:bCs/>
      <w:color w:val="000000"/>
      <w:kern w:val="2"/>
      <w:sz w:val="28"/>
      <w:szCs w:val="32"/>
      <w:u w:val="none"/>
      <w:lang w:val="en-US" w:eastAsia="zh-CN"/>
    </w:rPr>
  </w:style>
  <w:style w:type="character" w:customStyle="1" w:styleId="458">
    <w:name w:val="单学凯段落格式 Char Char"/>
    <w:link w:val="459"/>
    <w:qFormat/>
    <w:uiPriority w:val="0"/>
    <w:rPr>
      <w:rFonts w:hint="default" w:ascii="宋体" w:hAnsi="Times New Roman" w:cs="Times New Roman"/>
      <w:b/>
      <w:color w:val="000000"/>
      <w:sz w:val="28"/>
      <w:szCs w:val="16"/>
      <w:u w:val="none"/>
    </w:rPr>
  </w:style>
  <w:style w:type="paragraph" w:customStyle="1" w:styleId="459">
    <w:name w:val="单学凯段落格式"/>
    <w:basedOn w:val="1"/>
    <w:link w:val="458"/>
    <w:qFormat/>
    <w:uiPriority w:val="0"/>
    <w:pPr>
      <w:widowControl/>
      <w:ind w:firstLine="562"/>
      <w:jc w:val="left"/>
    </w:pPr>
    <w:rPr>
      <w:rFonts w:ascii="宋体"/>
      <w:b/>
    </w:rPr>
  </w:style>
  <w:style w:type="character" w:customStyle="1" w:styleId="460">
    <w:name w:val="KY-表格 Char Char"/>
    <w:link w:val="461"/>
    <w:qFormat/>
    <w:uiPriority w:val="0"/>
    <w:rPr>
      <w:rFonts w:hint="default" w:ascii="Times New Roman" w:hAnsi="Times New Roman" w:cs="Times New Roman"/>
      <w:color w:val="000000"/>
      <w:sz w:val="16"/>
      <w:szCs w:val="16"/>
      <w:u w:val="none"/>
    </w:rPr>
  </w:style>
  <w:style w:type="paragraph" w:customStyle="1" w:styleId="461">
    <w:name w:val="KY-表格"/>
    <w:basedOn w:val="1"/>
    <w:link w:val="460"/>
    <w:qFormat/>
    <w:uiPriority w:val="0"/>
    <w:pPr>
      <w:spacing w:beforeLines="20" w:afterLines="20"/>
      <w:jc w:val="center"/>
    </w:pPr>
  </w:style>
  <w:style w:type="character" w:customStyle="1" w:styleId="462">
    <w:name w:val="样式 报告正文 + 首行缩进:  2 字符 Char"/>
    <w:link w:val="463"/>
    <w:qFormat/>
    <w:uiPriority w:val="0"/>
    <w:rPr>
      <w:rFonts w:hint="default" w:ascii="Times New Roman" w:hAnsi="Times New Roman" w:eastAsia="宋体" w:cs="宋体"/>
      <w:color w:val="000000"/>
      <w:sz w:val="24"/>
      <w:szCs w:val="20"/>
      <w:u w:val="none"/>
    </w:rPr>
  </w:style>
  <w:style w:type="paragraph" w:customStyle="1" w:styleId="463">
    <w:name w:val="样式 报告正文 + 首行缩进:  2 字符"/>
    <w:basedOn w:val="1"/>
    <w:link w:val="462"/>
    <w:qFormat/>
    <w:uiPriority w:val="0"/>
    <w:pPr>
      <w:autoSpaceDE w:val="0"/>
      <w:autoSpaceDN w:val="0"/>
    </w:pPr>
    <w:rPr>
      <w:rFonts w:cs="宋体"/>
      <w:szCs w:val="20"/>
    </w:rPr>
  </w:style>
  <w:style w:type="character" w:customStyle="1" w:styleId="464">
    <w:name w:val="标题 4 Char21"/>
    <w:qFormat/>
    <w:uiPriority w:val="0"/>
    <w:rPr>
      <w:rFonts w:hint="default" w:ascii="黑体" w:hAnsi="Arial" w:eastAsia="黑体" w:cs="Times New Roman"/>
      <w:b/>
      <w:bCs/>
      <w:color w:val="000000"/>
      <w:kern w:val="2"/>
      <w:sz w:val="24"/>
      <w:szCs w:val="24"/>
      <w:u w:val="none"/>
      <w:lang w:val="en-US" w:eastAsia="zh-CN"/>
    </w:rPr>
  </w:style>
  <w:style w:type="character" w:customStyle="1" w:styleId="465">
    <w:name w:val="标题 1 Char3"/>
    <w:qFormat/>
    <w:uiPriority w:val="0"/>
    <w:rPr>
      <w:rFonts w:hint="default" w:ascii="黑体" w:hAnsi="宋体" w:eastAsia="黑体" w:cs="Times New Roman"/>
      <w:bCs/>
      <w:color w:val="000000"/>
      <w:kern w:val="44"/>
      <w:sz w:val="32"/>
      <w:szCs w:val="32"/>
      <w:u w:val="none"/>
      <w:lang w:val="en-US" w:eastAsia="zh-CN"/>
    </w:rPr>
  </w:style>
  <w:style w:type="character" w:customStyle="1" w:styleId="466">
    <w:name w:val="标题一一 Char"/>
    <w:link w:val="467"/>
    <w:qFormat/>
    <w:uiPriority w:val="0"/>
    <w:rPr>
      <w:rFonts w:hint="default" w:ascii="Times New Roman" w:hAnsi="Times New Roman" w:eastAsia="黑体" w:cs="Times New Roman"/>
      <w:color w:val="000000"/>
      <w:kern w:val="0"/>
      <w:sz w:val="44"/>
      <w:szCs w:val="21"/>
      <w:u w:val="none"/>
    </w:rPr>
  </w:style>
  <w:style w:type="paragraph" w:customStyle="1" w:styleId="467">
    <w:name w:val="标题一一"/>
    <w:basedOn w:val="1"/>
    <w:next w:val="1"/>
    <w:link w:val="466"/>
    <w:qFormat/>
    <w:uiPriority w:val="0"/>
    <w:pPr>
      <w:spacing w:before="960" w:after="480"/>
      <w:ind w:firstLine="0" w:firstLineChars="0"/>
      <w:jc w:val="left"/>
      <w:outlineLvl w:val="0"/>
    </w:pPr>
    <w:rPr>
      <w:rFonts w:eastAsia="黑体"/>
      <w:sz w:val="44"/>
    </w:rPr>
  </w:style>
  <w:style w:type="character" w:customStyle="1" w:styleId="468">
    <w:name w:val="图题注 Char31"/>
    <w:qFormat/>
    <w:uiPriority w:val="0"/>
    <w:rPr>
      <w:rFonts w:hint="default" w:ascii="黑体" w:hAnsi="Arial" w:eastAsia="黑体" w:cs="宋体"/>
      <w:b/>
      <w:bCs/>
      <w:color w:val="000000"/>
      <w:kern w:val="2"/>
      <w:sz w:val="24"/>
      <w:szCs w:val="24"/>
      <w:u w:val="none"/>
      <w:lang w:val="en-US" w:eastAsia="zh-CN"/>
    </w:rPr>
  </w:style>
  <w:style w:type="character" w:customStyle="1" w:styleId="469">
    <w:name w:val="环表头 Char2"/>
    <w:link w:val="470"/>
    <w:qFormat/>
    <w:uiPriority w:val="0"/>
    <w:rPr>
      <w:rFonts w:hint="default" w:ascii="Times New Roman" w:hAnsi="Times New Roman" w:eastAsia="仿宋_GB2312" w:cs="Times New Roman"/>
      <w:color w:val="000000"/>
      <w:sz w:val="24"/>
      <w:szCs w:val="16"/>
      <w:u w:val="none"/>
    </w:rPr>
  </w:style>
  <w:style w:type="paragraph" w:customStyle="1" w:styleId="470">
    <w:name w:val="环表头"/>
    <w:next w:val="1"/>
    <w:link w:val="469"/>
    <w:qFormat/>
    <w:uiPriority w:val="0"/>
    <w:pPr>
      <w:tabs>
        <w:tab w:val="left" w:pos="283"/>
        <w:tab w:val="left" w:pos="5094"/>
      </w:tabs>
      <w:spacing w:beforeLines="20" w:afterLines="10"/>
      <w:ind w:right="28"/>
    </w:pPr>
    <w:rPr>
      <w:rFonts w:ascii="Times New Roman" w:hAnsi="Times New Roman" w:eastAsia="宋体" w:cs="Times New Roman"/>
      <w:lang w:val="en-US" w:eastAsia="zh-CN" w:bidi="ar-SA"/>
    </w:rPr>
  </w:style>
  <w:style w:type="paragraph" w:customStyle="1" w:styleId="471">
    <w:name w:val="环正文"/>
    <w:basedOn w:val="1"/>
    <w:link w:val="615"/>
    <w:qFormat/>
    <w:uiPriority w:val="0"/>
    <w:pPr>
      <w:tabs>
        <w:tab w:val="left" w:pos="5094"/>
      </w:tabs>
      <w:ind w:firstLine="562"/>
      <w:jc w:val="center"/>
      <w:textAlignment w:val="baseline"/>
    </w:pPr>
    <w:rPr>
      <w:b/>
      <w:color w:val="0000CC"/>
    </w:rPr>
  </w:style>
  <w:style w:type="character" w:customStyle="1" w:styleId="472">
    <w:name w:val="题注 Char22"/>
    <w:qFormat/>
    <w:uiPriority w:val="0"/>
    <w:rPr>
      <w:rFonts w:hint="default" w:ascii="黑体" w:hAnsi="Arial" w:eastAsia="黑体" w:cs="Arial"/>
      <w:b/>
      <w:color w:val="000000"/>
      <w:kern w:val="2"/>
      <w:sz w:val="24"/>
      <w:szCs w:val="24"/>
      <w:u w:val="none"/>
      <w:lang w:val="en-US" w:eastAsia="zh-CN"/>
    </w:rPr>
  </w:style>
  <w:style w:type="character" w:customStyle="1" w:styleId="473">
    <w:name w:val="不明显强调1"/>
    <w:qFormat/>
    <w:uiPriority w:val="0"/>
    <w:rPr>
      <w:rFonts w:hint="default" w:ascii="Times New Roman" w:hAnsi="Times New Roman" w:cs="Times New Roman"/>
      <w:i/>
      <w:color w:val="808080"/>
      <w:sz w:val="16"/>
      <w:szCs w:val="16"/>
      <w:u w:val="none"/>
    </w:rPr>
  </w:style>
  <w:style w:type="character" w:customStyle="1" w:styleId="474">
    <w:name w:val="一级项 Char1"/>
    <w:qFormat/>
    <w:uiPriority w:val="0"/>
    <w:rPr>
      <w:rFonts w:hint="default" w:ascii="Times New Roman" w:hAnsi="Times New Roman" w:eastAsia="宋体" w:cs="Times New Roman"/>
      <w:b/>
      <w:bCs/>
      <w:color w:val="000000"/>
      <w:kern w:val="2"/>
      <w:sz w:val="28"/>
      <w:szCs w:val="28"/>
      <w:u w:val="none"/>
      <w:lang w:val="en-US" w:eastAsia="zh-CN"/>
    </w:rPr>
  </w:style>
  <w:style w:type="character" w:customStyle="1" w:styleId="475">
    <w:name w:val="图题注 Char3"/>
    <w:qFormat/>
    <w:uiPriority w:val="0"/>
    <w:rPr>
      <w:rFonts w:hint="default" w:ascii="黑体" w:hAnsi="Arial" w:eastAsia="黑体" w:cs="宋体"/>
      <w:b/>
      <w:bCs/>
      <w:color w:val="000000"/>
      <w:kern w:val="2"/>
      <w:sz w:val="24"/>
      <w:szCs w:val="24"/>
      <w:u w:val="none"/>
      <w:lang w:val="en-US" w:eastAsia="zh-CN"/>
    </w:rPr>
  </w:style>
  <w:style w:type="character" w:customStyle="1" w:styleId="476">
    <w:name w:val="题注 Char12"/>
    <w:qFormat/>
    <w:uiPriority w:val="0"/>
    <w:rPr>
      <w:rFonts w:hint="default" w:ascii="黑体" w:hAnsi="Arial" w:eastAsia="黑体" w:cs="Arial"/>
      <w:b/>
      <w:color w:val="000000"/>
      <w:kern w:val="2"/>
      <w:sz w:val="24"/>
      <w:szCs w:val="24"/>
      <w:u w:val="none"/>
      <w:lang w:val="en-US" w:eastAsia="zh-CN"/>
    </w:rPr>
  </w:style>
  <w:style w:type="character" w:customStyle="1" w:styleId="477">
    <w:name w:val="正文文本缩进 3 Char5"/>
    <w:qFormat/>
    <w:uiPriority w:val="0"/>
    <w:rPr>
      <w:rFonts w:hint="default" w:ascii="Times New Roman" w:hAnsi="Times New Roman" w:eastAsia="宋体" w:cs="Times New Roman"/>
      <w:color w:val="000000"/>
      <w:kern w:val="2"/>
      <w:sz w:val="16"/>
      <w:szCs w:val="16"/>
      <w:u w:val="none"/>
      <w:lang w:val="en-US" w:eastAsia="zh-CN"/>
    </w:rPr>
  </w:style>
  <w:style w:type="character" w:customStyle="1" w:styleId="478">
    <w:name w:val="Char Char39"/>
    <w:qFormat/>
    <w:uiPriority w:val="0"/>
    <w:rPr>
      <w:rFonts w:hint="default" w:ascii="黑体" w:hAnsi="宋体" w:eastAsia="黑体" w:cs="Times New Roman"/>
      <w:b/>
      <w:bCs/>
      <w:color w:val="000000"/>
      <w:kern w:val="2"/>
      <w:sz w:val="28"/>
      <w:szCs w:val="28"/>
      <w:u w:val="none"/>
      <w:lang w:val="en-US" w:eastAsia="zh-CN"/>
    </w:rPr>
  </w:style>
  <w:style w:type="character" w:customStyle="1" w:styleId="479">
    <w:name w:val="HTML 预设格式 Char"/>
    <w:link w:val="480"/>
    <w:qFormat/>
    <w:uiPriority w:val="99"/>
    <w:rPr>
      <w:rFonts w:hint="default" w:ascii="Courier New" w:hAnsi="Courier New" w:cs="Times New Roman"/>
      <w:color w:val="000000"/>
      <w:sz w:val="16"/>
      <w:szCs w:val="16"/>
      <w:u w:val="none"/>
    </w:rPr>
  </w:style>
  <w:style w:type="paragraph" w:customStyle="1" w:styleId="480">
    <w:name w:val="HTML 预设格式1"/>
    <w:basedOn w:val="1"/>
    <w:link w:val="479"/>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Courier New" w:hAnsi="Courier New"/>
    </w:rPr>
  </w:style>
  <w:style w:type="character" w:customStyle="1" w:styleId="481">
    <w:name w:val="正文首行缩进 Char"/>
    <w:link w:val="482"/>
    <w:qFormat/>
    <w:uiPriority w:val="99"/>
    <w:rPr>
      <w:rFonts w:hint="default" w:ascii="Times New Roman" w:hAnsi="Times New Roman" w:cs="Times New Roman"/>
      <w:color w:val="000000"/>
      <w:sz w:val="24"/>
      <w:szCs w:val="16"/>
      <w:u w:val="none"/>
    </w:rPr>
  </w:style>
  <w:style w:type="paragraph" w:customStyle="1" w:styleId="482">
    <w:name w:val="正文首行缩进1"/>
    <w:basedOn w:val="305"/>
    <w:link w:val="481"/>
    <w:qFormat/>
    <w:uiPriority w:val="0"/>
    <w:pPr>
      <w:widowControl/>
      <w:spacing w:after="120" w:line="240" w:lineRule="auto"/>
      <w:ind w:firstLine="420" w:firstLineChars="100"/>
    </w:pPr>
    <w:rPr>
      <w:kern w:val="2"/>
      <w:szCs w:val="22"/>
    </w:rPr>
  </w:style>
  <w:style w:type="character" w:customStyle="1" w:styleId="483">
    <w:name w:val="标题 7 Char21"/>
    <w:qFormat/>
    <w:uiPriority w:val="0"/>
    <w:rPr>
      <w:rFonts w:hint="default" w:ascii="Times New Roman" w:hAnsi="Times New Roman" w:eastAsia="宋体" w:cs="Times New Roman"/>
      <w:b/>
      <w:bCs/>
      <w:color w:val="000000"/>
      <w:kern w:val="2"/>
      <w:sz w:val="24"/>
      <w:szCs w:val="24"/>
      <w:u w:val="none"/>
      <w:lang w:val="en-US" w:eastAsia="zh-CN"/>
    </w:rPr>
  </w:style>
  <w:style w:type="character" w:customStyle="1" w:styleId="484">
    <w:name w:val="正文缩进 Char311"/>
    <w:qFormat/>
    <w:uiPriority w:val="0"/>
    <w:rPr>
      <w:rFonts w:hint="default" w:ascii="宋体" w:hAnsi="宋体" w:eastAsia="宋体" w:cs="宋体"/>
      <w:color w:val="000000"/>
      <w:kern w:val="2"/>
      <w:sz w:val="24"/>
      <w:szCs w:val="24"/>
      <w:u w:val="none"/>
      <w:lang w:val="en-US" w:eastAsia="zh-CN"/>
    </w:rPr>
  </w:style>
  <w:style w:type="character" w:customStyle="1" w:styleId="485">
    <w:name w:val="样式 标题 3标题 3 Char Char Char标题 3 Char Charh3H3level_3PIM 3L...2 Char Char"/>
    <w:link w:val="486"/>
    <w:qFormat/>
    <w:uiPriority w:val="0"/>
    <w:rPr>
      <w:rFonts w:ascii="宋体" w:hAnsi="宋体" w:eastAsia="黑体"/>
      <w:b/>
      <w:color w:val="000000"/>
      <w:kern w:val="2"/>
      <w:sz w:val="24"/>
      <w:szCs w:val="22"/>
    </w:rPr>
  </w:style>
  <w:style w:type="paragraph" w:customStyle="1" w:styleId="486">
    <w:name w:val="样式 标题 3标题 3 Char Char Char标题 3 Char Charh3H3level_3PIM 3L...2"/>
    <w:basedOn w:val="4"/>
    <w:link w:val="485"/>
    <w:qFormat/>
    <w:uiPriority w:val="0"/>
    <w:rPr>
      <w:rFonts w:ascii="宋体" w:hAnsi="宋体" w:eastAsia="黑体"/>
      <w:bCs w:val="0"/>
      <w:szCs w:val="22"/>
    </w:rPr>
  </w:style>
  <w:style w:type="character" w:customStyle="1" w:styleId="487">
    <w:name w:val="Char4 Char Char Char Char5"/>
    <w:link w:val="488"/>
    <w:qFormat/>
    <w:uiPriority w:val="0"/>
    <w:rPr>
      <w:rFonts w:hint="default" w:ascii="Times New Roman" w:hAnsi="Times New Roman" w:eastAsia="仿宋_GB2312" w:cs="Times New Roman"/>
      <w:color w:val="000000"/>
      <w:sz w:val="24"/>
      <w:szCs w:val="16"/>
      <w:u w:val="none"/>
    </w:rPr>
  </w:style>
  <w:style w:type="paragraph" w:customStyle="1" w:styleId="488">
    <w:name w:val="Char4 Char Char Char6"/>
    <w:basedOn w:val="1"/>
    <w:link w:val="487"/>
    <w:qFormat/>
    <w:uiPriority w:val="0"/>
    <w:pPr>
      <w:widowControl/>
      <w:jc w:val="left"/>
    </w:pPr>
  </w:style>
  <w:style w:type="character" w:customStyle="1" w:styleId="489">
    <w:name w:val="批注引用1"/>
    <w:qFormat/>
    <w:uiPriority w:val="0"/>
    <w:rPr>
      <w:rFonts w:hint="default" w:ascii="Times New Roman" w:hAnsi="Times New Roman" w:cs="Times New Roman"/>
      <w:color w:val="000000"/>
      <w:sz w:val="21"/>
      <w:szCs w:val="16"/>
      <w:u w:val="none"/>
    </w:rPr>
  </w:style>
  <w:style w:type="character" w:customStyle="1" w:styleId="490">
    <w:name w:val="注释标题 字符"/>
    <w:link w:val="12"/>
    <w:qFormat/>
    <w:uiPriority w:val="0"/>
    <w:rPr>
      <w:rFonts w:hint="default" w:ascii="Times New Roman" w:hAnsi="Times New Roman" w:eastAsia="宋体" w:cs="Times New Roman"/>
      <w:color w:val="000000"/>
      <w:sz w:val="16"/>
      <w:szCs w:val="20"/>
      <w:u w:val="none"/>
    </w:rPr>
  </w:style>
  <w:style w:type="character" w:customStyle="1" w:styleId="491">
    <w:name w:val="正文文本缩进 2 Char11"/>
    <w:qFormat/>
    <w:uiPriority w:val="0"/>
    <w:rPr>
      <w:rFonts w:hint="default" w:ascii="Times New Roman" w:hAnsi="Times New Roman" w:eastAsia="宋体" w:cs="Times New Roman"/>
      <w:color w:val="000000"/>
      <w:kern w:val="2"/>
      <w:sz w:val="24"/>
      <w:szCs w:val="24"/>
      <w:u w:val="none"/>
      <w:lang w:val="en-US" w:eastAsia="zh-CN"/>
    </w:rPr>
  </w:style>
  <w:style w:type="character" w:customStyle="1" w:styleId="492">
    <w:name w:val="标题 1 Char1"/>
    <w:qFormat/>
    <w:uiPriority w:val="0"/>
    <w:rPr>
      <w:rFonts w:hint="default" w:ascii="Times New Roman" w:hAnsi="Times New Roman" w:eastAsia="仿宋_GB2312" w:cs="Times New Roman"/>
      <w:b/>
      <w:color w:val="000000"/>
      <w:kern w:val="28"/>
      <w:sz w:val="30"/>
      <w:szCs w:val="16"/>
      <w:u w:val="none"/>
      <w:lang w:val="en-US" w:eastAsia="zh-CN" w:bidi="ar-SA"/>
    </w:rPr>
  </w:style>
  <w:style w:type="character" w:customStyle="1" w:styleId="493">
    <w:name w:val="Char Char Char Char Char Char Char12"/>
    <w:link w:val="494"/>
    <w:qFormat/>
    <w:uiPriority w:val="0"/>
    <w:rPr>
      <w:rFonts w:hint="default" w:ascii="Times New Roman" w:hAnsi="Times New Roman" w:cs="Times New Roman"/>
      <w:color w:val="000000"/>
      <w:sz w:val="24"/>
      <w:szCs w:val="16"/>
      <w:u w:val="none"/>
    </w:rPr>
  </w:style>
  <w:style w:type="paragraph" w:customStyle="1" w:styleId="494">
    <w:name w:val="Char Char Char Char Char Char6"/>
    <w:basedOn w:val="1"/>
    <w:link w:val="493"/>
    <w:qFormat/>
    <w:uiPriority w:val="0"/>
    <w:pPr>
      <w:widowControl/>
      <w:jc w:val="left"/>
    </w:pPr>
  </w:style>
  <w:style w:type="character" w:customStyle="1" w:styleId="495">
    <w:name w:val="纯文本 Char1"/>
    <w:qFormat/>
    <w:uiPriority w:val="99"/>
    <w:rPr>
      <w:rFonts w:hint="default" w:ascii="宋体" w:hAnsi="Courier New" w:cs="Times New Roman"/>
      <w:color w:val="000000"/>
      <w:sz w:val="21"/>
      <w:szCs w:val="16"/>
      <w:u w:val="none"/>
    </w:rPr>
  </w:style>
  <w:style w:type="character" w:customStyle="1" w:styleId="496">
    <w:name w:val="批注框文本 Char5"/>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497">
    <w:name w:val="题注 Char513"/>
    <w:qFormat/>
    <w:uiPriority w:val="0"/>
    <w:rPr>
      <w:rFonts w:hint="default" w:ascii="黑体" w:hAnsi="Arial" w:eastAsia="黑体" w:cs="Arial"/>
      <w:b/>
      <w:color w:val="000000"/>
      <w:kern w:val="2"/>
      <w:sz w:val="24"/>
      <w:szCs w:val="24"/>
      <w:u w:val="none"/>
      <w:lang w:val="en-US" w:eastAsia="zh-CN"/>
    </w:rPr>
  </w:style>
  <w:style w:type="character" w:customStyle="1" w:styleId="498">
    <w:name w:val="表格内容 Char11"/>
    <w:qFormat/>
    <w:uiPriority w:val="0"/>
    <w:rPr>
      <w:rFonts w:hint="default" w:ascii="Times New Roman" w:hAnsi="Times New Roman" w:eastAsia="宋体" w:cs="Times New Roman"/>
      <w:color w:val="000000"/>
      <w:kern w:val="2"/>
      <w:sz w:val="21"/>
      <w:szCs w:val="21"/>
      <w:u w:val="none"/>
      <w:lang w:val="en-US" w:eastAsia="zh-CN"/>
    </w:rPr>
  </w:style>
  <w:style w:type="character" w:customStyle="1" w:styleId="499">
    <w:name w:val="标题 1 Char11"/>
    <w:qFormat/>
    <w:uiPriority w:val="0"/>
    <w:rPr>
      <w:rFonts w:hint="default" w:ascii="黑体" w:hAnsi="宋体" w:eastAsia="黑体" w:cs="Times New Roman"/>
      <w:bCs/>
      <w:color w:val="000000"/>
      <w:kern w:val="44"/>
      <w:sz w:val="32"/>
      <w:szCs w:val="32"/>
      <w:u w:val="none"/>
      <w:lang w:val="en-US" w:eastAsia="zh-CN"/>
    </w:rPr>
  </w:style>
  <w:style w:type="character" w:customStyle="1" w:styleId="500">
    <w:name w:val="正文（首行缩进两字） Char Char Char Char Char Char Char Char Char Char"/>
    <w:qFormat/>
    <w:uiPriority w:val="0"/>
    <w:rPr>
      <w:rFonts w:hint="default" w:ascii="仿宋_GB2312" w:hAnsi="Times New Roman" w:eastAsia="仿宋_GB2312" w:cs="Times New Roman"/>
      <w:color w:val="000000"/>
      <w:kern w:val="2"/>
      <w:sz w:val="28"/>
      <w:szCs w:val="16"/>
      <w:u w:val="none"/>
      <w:lang w:val="en-US" w:eastAsia="zh-CN"/>
    </w:rPr>
  </w:style>
  <w:style w:type="character" w:customStyle="1" w:styleId="501">
    <w:name w:val="章标题 1 Char Char"/>
    <w:qFormat/>
    <w:uiPriority w:val="0"/>
    <w:rPr>
      <w:rFonts w:hint="default" w:ascii="Times New Roman" w:hAnsi="Times New Roman" w:cs="Times New Roman"/>
      <w:b/>
      <w:bCs/>
      <w:color w:val="000000"/>
      <w:kern w:val="44"/>
      <w:sz w:val="32"/>
      <w:szCs w:val="32"/>
      <w:u w:val="none"/>
    </w:rPr>
  </w:style>
  <w:style w:type="character" w:customStyle="1" w:styleId="502">
    <w:name w:val="正文格式 Char1"/>
    <w:qFormat/>
    <w:uiPriority w:val="0"/>
    <w:rPr>
      <w:rFonts w:hint="default" w:ascii="宋体" w:hAnsi="宋体" w:eastAsia="宋体" w:cs="Times New Roman"/>
      <w:color w:val="000000"/>
      <w:kern w:val="2"/>
      <w:sz w:val="24"/>
      <w:szCs w:val="24"/>
      <w:u w:val="none"/>
      <w:lang w:val="en-US" w:eastAsia="zh-CN"/>
    </w:rPr>
  </w:style>
  <w:style w:type="character" w:customStyle="1" w:styleId="503">
    <w:name w:val="标题正文黑 Char11"/>
    <w:qFormat/>
    <w:uiPriority w:val="0"/>
    <w:rPr>
      <w:rFonts w:hint="default" w:ascii="黑体" w:hAnsi="Times New Roman" w:eastAsia="黑体" w:cs="Times New Roman"/>
      <w:color w:val="000000"/>
      <w:kern w:val="2"/>
      <w:sz w:val="28"/>
      <w:szCs w:val="28"/>
      <w:u w:val="none"/>
      <w:lang w:val="en-US" w:eastAsia="zh-CN"/>
    </w:rPr>
  </w:style>
  <w:style w:type="character" w:customStyle="1" w:styleId="504">
    <w:name w:val="Char Char2118"/>
    <w:qFormat/>
    <w:uiPriority w:val="0"/>
    <w:rPr>
      <w:rFonts w:hint="default" w:ascii="黑体" w:hAnsi="Times New Roman" w:eastAsia="宋体" w:cs="Times New Roman"/>
      <w:color w:val="000000"/>
      <w:kern w:val="2"/>
      <w:sz w:val="16"/>
      <w:szCs w:val="16"/>
      <w:u w:val="none"/>
      <w:lang w:val="en-US" w:eastAsia="zh-CN"/>
    </w:rPr>
  </w:style>
  <w:style w:type="character" w:customStyle="1" w:styleId="505">
    <w:name w:val="正文修改 Char151"/>
    <w:qFormat/>
    <w:uiPriority w:val="0"/>
    <w:rPr>
      <w:rFonts w:hint="default" w:ascii="宋体" w:hAnsi="宋体" w:eastAsia="宋体" w:cs="宋体"/>
      <w:color w:val="000000"/>
      <w:kern w:val="2"/>
      <w:sz w:val="24"/>
      <w:szCs w:val="24"/>
      <w:u w:val="none"/>
      <w:lang w:val="en-US" w:eastAsia="zh-CN"/>
    </w:rPr>
  </w:style>
  <w:style w:type="character" w:customStyle="1" w:styleId="506">
    <w:name w:val="m_b21"/>
    <w:qFormat/>
    <w:uiPriority w:val="0"/>
    <w:rPr>
      <w:rFonts w:hint="default" w:ascii="Times New Roman" w:hAnsi="Times New Roman" w:cs="Times New Roman"/>
      <w:b/>
      <w:bCs/>
      <w:color w:val="000000"/>
      <w:spacing w:val="360"/>
      <w:sz w:val="26"/>
      <w:szCs w:val="26"/>
      <w:u w:val="none"/>
    </w:rPr>
  </w:style>
  <w:style w:type="character" w:customStyle="1" w:styleId="507">
    <w:name w:val="标题 3 Char14"/>
    <w:qFormat/>
    <w:uiPriority w:val="0"/>
    <w:rPr>
      <w:rFonts w:hint="default" w:ascii="黑体" w:hAnsi="宋体" w:eastAsia="黑体" w:cs="Times New Roman"/>
      <w:b/>
      <w:bCs/>
      <w:color w:val="000000"/>
      <w:kern w:val="2"/>
      <w:sz w:val="28"/>
      <w:szCs w:val="28"/>
      <w:u w:val="none"/>
      <w:lang w:val="en-US" w:eastAsia="zh-CN"/>
    </w:rPr>
  </w:style>
  <w:style w:type="character" w:customStyle="1" w:styleId="508">
    <w:name w:val="Char Char212"/>
    <w:qFormat/>
    <w:uiPriority w:val="0"/>
    <w:rPr>
      <w:rFonts w:hint="default" w:ascii="黑体" w:hAnsi="Times New Roman" w:eastAsia="宋体" w:cs="Times New Roman"/>
      <w:color w:val="000000"/>
      <w:kern w:val="2"/>
      <w:sz w:val="16"/>
      <w:szCs w:val="16"/>
      <w:u w:val="none"/>
      <w:lang w:val="en-US" w:eastAsia="zh-CN"/>
    </w:rPr>
  </w:style>
  <w:style w:type="character" w:customStyle="1" w:styleId="509">
    <w:name w:val="页脚 Char3"/>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510">
    <w:name w:val="环评正文 Char21"/>
    <w:qFormat/>
    <w:uiPriority w:val="0"/>
    <w:rPr>
      <w:rFonts w:hint="default" w:ascii="Times New Roman" w:hAnsi="Times New Roman" w:eastAsia="宋体" w:cs="Times New Roman"/>
      <w:bCs/>
      <w:color w:val="000000"/>
      <w:kern w:val="2"/>
      <w:sz w:val="24"/>
      <w:szCs w:val="24"/>
      <w:u w:val="none"/>
      <w:lang w:val="en-US" w:eastAsia="zh-CN"/>
    </w:rPr>
  </w:style>
  <w:style w:type="character" w:customStyle="1" w:styleId="511">
    <w:name w:val="article1"/>
    <w:qFormat/>
    <w:uiPriority w:val="0"/>
    <w:rPr>
      <w:rFonts w:hint="default" w:ascii="Times New Roman" w:hAnsi="Times New Roman" w:cs="Times New Roman"/>
      <w:color w:val="000000"/>
      <w:spacing w:val="600"/>
      <w:sz w:val="18"/>
      <w:szCs w:val="18"/>
      <w:u w:val="none"/>
    </w:rPr>
  </w:style>
  <w:style w:type="character" w:customStyle="1" w:styleId="512">
    <w:name w:val="报告正文1 Char"/>
    <w:link w:val="513"/>
    <w:qFormat/>
    <w:uiPriority w:val="0"/>
    <w:rPr>
      <w:rFonts w:hint="default" w:ascii="Times New Roman" w:hAnsi="Times New Roman" w:eastAsia="仿宋_GB2312" w:cs="Times New Roman"/>
      <w:color w:val="000000"/>
      <w:kern w:val="0"/>
      <w:sz w:val="28"/>
      <w:szCs w:val="20"/>
      <w:u w:val="none"/>
    </w:rPr>
  </w:style>
  <w:style w:type="paragraph" w:customStyle="1" w:styleId="513">
    <w:name w:val="报告正文1"/>
    <w:basedOn w:val="98"/>
    <w:link w:val="512"/>
    <w:qFormat/>
    <w:uiPriority w:val="0"/>
    <w:pPr>
      <w:widowControl w:val="0"/>
      <w:adjustRightInd w:val="0"/>
      <w:snapToGrid w:val="0"/>
      <w:spacing w:line="500" w:lineRule="exact"/>
      <w:ind w:firstLine="200" w:firstLineChars="200"/>
    </w:pPr>
    <w:rPr>
      <w:rFonts w:ascii="Times New Roman" w:hAnsi="Times New Roman" w:eastAsia="仿宋_GB2312" w:cs="Times New Roman"/>
      <w:color w:val="000000"/>
      <w:sz w:val="28"/>
    </w:rPr>
  </w:style>
  <w:style w:type="character" w:customStyle="1" w:styleId="514">
    <w:name w:val="Char Char121"/>
    <w:qFormat/>
    <w:uiPriority w:val="0"/>
    <w:rPr>
      <w:rFonts w:hint="default" w:ascii="黑体" w:hAnsi="Arial" w:eastAsia="黑体" w:cs="Times New Roman"/>
      <w:b/>
      <w:bCs/>
      <w:color w:val="000000"/>
      <w:kern w:val="2"/>
      <w:sz w:val="30"/>
      <w:szCs w:val="30"/>
      <w:u w:val="none"/>
      <w:lang w:val="en-US" w:eastAsia="zh-CN"/>
    </w:rPr>
  </w:style>
  <w:style w:type="character" w:customStyle="1" w:styleId="515">
    <w:name w:val="页眉 Char2"/>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516">
    <w:name w:val="我的样式（正文） Char Char"/>
    <w:qFormat/>
    <w:uiPriority w:val="0"/>
    <w:rPr>
      <w:rFonts w:hint="default" w:ascii="宋体" w:hAnsi="华文楷体" w:eastAsia="宋体" w:cs="宋体"/>
      <w:color w:val="000000"/>
      <w:kern w:val="2"/>
      <w:sz w:val="24"/>
      <w:szCs w:val="24"/>
      <w:u w:val="none"/>
      <w:lang w:val="en-US" w:eastAsia="zh-CN"/>
    </w:rPr>
  </w:style>
  <w:style w:type="character" w:customStyle="1" w:styleId="517">
    <w:name w:val="p141"/>
    <w:qFormat/>
    <w:uiPriority w:val="0"/>
    <w:rPr>
      <w:rFonts w:hint="default" w:ascii="Times New Roman" w:hAnsi="Times New Roman" w:eastAsia="宋体" w:cs="Times New Roman"/>
      <w:color w:val="000000"/>
      <w:kern w:val="2"/>
      <w:sz w:val="23"/>
      <w:szCs w:val="23"/>
      <w:u w:val="none"/>
      <w:lang w:val="en-US" w:eastAsia="zh-CN"/>
    </w:rPr>
  </w:style>
  <w:style w:type="character" w:customStyle="1" w:styleId="518">
    <w:name w:val="正文缩进 Char31"/>
    <w:qFormat/>
    <w:uiPriority w:val="0"/>
    <w:rPr>
      <w:rFonts w:hint="default" w:ascii="宋体" w:hAnsi="宋体" w:eastAsia="宋体" w:cs="宋体"/>
      <w:color w:val="000000"/>
      <w:kern w:val="2"/>
      <w:sz w:val="24"/>
      <w:szCs w:val="24"/>
      <w:u w:val="none"/>
      <w:lang w:val="en-US" w:eastAsia="zh-CN"/>
    </w:rPr>
  </w:style>
  <w:style w:type="character" w:customStyle="1" w:styleId="519">
    <w:name w:val="样式 (西文) 宋体 (中文) 仿宋_GB2312 黑色"/>
    <w:qFormat/>
    <w:uiPriority w:val="0"/>
    <w:rPr>
      <w:rFonts w:hint="default" w:ascii="Times New Roman" w:hAnsi="Times New Roman" w:eastAsia="仿宋_GB2312" w:cs="Courier New"/>
      <w:color w:val="000000"/>
      <w:kern w:val="2"/>
      <w:sz w:val="32"/>
      <w:szCs w:val="32"/>
      <w:u w:val="none"/>
      <w:lang w:val="en-US" w:eastAsia="zh-CN"/>
    </w:rPr>
  </w:style>
  <w:style w:type="character" w:customStyle="1" w:styleId="520">
    <w:name w:val="表中文字 Char221"/>
    <w:qFormat/>
    <w:uiPriority w:val="0"/>
    <w:rPr>
      <w:rFonts w:hint="default" w:ascii="宋体" w:hAnsi="Times New Roman" w:eastAsia="宋体" w:cs="Times New Roman"/>
      <w:color w:val="000000"/>
      <w:kern w:val="2"/>
      <w:sz w:val="21"/>
      <w:szCs w:val="21"/>
      <w:u w:val="none"/>
      <w:lang w:val="en-US" w:eastAsia="zh-CN"/>
    </w:rPr>
  </w:style>
  <w:style w:type="character" w:customStyle="1" w:styleId="521">
    <w:name w:val="HTML 缩写1"/>
    <w:qFormat/>
    <w:uiPriority w:val="0"/>
    <w:rPr>
      <w:rFonts w:hint="default" w:ascii="宋体" w:hAnsi="宋体" w:eastAsia="宋体" w:cs="Courier New"/>
      <w:color w:val="000000"/>
      <w:kern w:val="2"/>
      <w:sz w:val="32"/>
      <w:szCs w:val="32"/>
      <w:u w:val="none"/>
      <w:lang w:val="en-US" w:eastAsia="zh-CN"/>
    </w:rPr>
  </w:style>
  <w:style w:type="character" w:customStyle="1" w:styleId="522">
    <w:name w:val="attach-title1"/>
    <w:qFormat/>
    <w:uiPriority w:val="0"/>
    <w:rPr>
      <w:rFonts w:hint="default" w:ascii="Times New Roman" w:hAnsi="Times New Roman" w:cs="Times New Roman"/>
      <w:b/>
      <w:bCs/>
      <w:color w:val="008080"/>
      <w:sz w:val="27"/>
      <w:szCs w:val="27"/>
      <w:u w:val="none"/>
    </w:rPr>
  </w:style>
  <w:style w:type="character" w:customStyle="1" w:styleId="523">
    <w:name w:val="正文格式 Char91"/>
    <w:qFormat/>
    <w:uiPriority w:val="0"/>
    <w:rPr>
      <w:rFonts w:hint="default" w:ascii="宋体" w:hAnsi="宋体" w:eastAsia="宋体" w:cs="Times New Roman"/>
      <w:color w:val="000000"/>
      <w:kern w:val="2"/>
      <w:sz w:val="24"/>
      <w:szCs w:val="24"/>
      <w:u w:val="none"/>
      <w:lang w:val="en-US" w:eastAsia="zh-CN"/>
    </w:rPr>
  </w:style>
  <w:style w:type="character" w:customStyle="1" w:styleId="524">
    <w:name w:val="标题三三 Char"/>
    <w:link w:val="525"/>
    <w:qFormat/>
    <w:uiPriority w:val="0"/>
    <w:rPr>
      <w:rFonts w:hint="default" w:ascii="Times New Roman" w:hAnsi="Times New Roman" w:eastAsia="黑体" w:cs="Times New Roman"/>
      <w:color w:val="000000"/>
      <w:kern w:val="0"/>
      <w:sz w:val="28"/>
      <w:szCs w:val="21"/>
      <w:u w:val="none"/>
    </w:rPr>
  </w:style>
  <w:style w:type="paragraph" w:customStyle="1" w:styleId="525">
    <w:name w:val="标题三三"/>
    <w:next w:val="1"/>
    <w:link w:val="524"/>
    <w:qFormat/>
    <w:uiPriority w:val="0"/>
    <w:pPr>
      <w:outlineLvl w:val="2"/>
    </w:pPr>
    <w:rPr>
      <w:rFonts w:ascii="Times New Roman" w:hAnsi="Times New Roman" w:eastAsia="宋体" w:cs="Times New Roman"/>
      <w:sz w:val="24"/>
      <w:lang w:val="en-US" w:eastAsia="zh-CN" w:bidi="ar-SA"/>
    </w:rPr>
  </w:style>
  <w:style w:type="paragraph" w:customStyle="1" w:styleId="526">
    <w:name w:val="标题二二"/>
    <w:basedOn w:val="467"/>
    <w:next w:val="1"/>
    <w:link w:val="868"/>
    <w:qFormat/>
    <w:uiPriority w:val="0"/>
    <w:pPr>
      <w:spacing w:beforeLines="50" w:afterLines="50"/>
      <w:outlineLvl w:val="1"/>
    </w:pPr>
    <w:rPr>
      <w:sz w:val="28"/>
    </w:rPr>
  </w:style>
  <w:style w:type="character" w:customStyle="1" w:styleId="527">
    <w:name w:val="ourfont31"/>
    <w:qFormat/>
    <w:uiPriority w:val="0"/>
    <w:rPr>
      <w:rFonts w:hint="default" w:ascii="Times New Roman" w:hAnsi="Times New Roman" w:cs="Times New Roman"/>
      <w:color w:val="000000"/>
      <w:spacing w:val="20"/>
      <w:sz w:val="21"/>
      <w:szCs w:val="21"/>
      <w:u w:val="none"/>
    </w:rPr>
  </w:style>
  <w:style w:type="character" w:customStyle="1" w:styleId="528">
    <w:name w:val="表格内字体 Char6"/>
    <w:qFormat/>
    <w:uiPriority w:val="0"/>
    <w:rPr>
      <w:rFonts w:hint="default" w:ascii="宋体" w:hAnsi="宋体" w:eastAsia="宋体" w:cs="Times New Roman"/>
      <w:color w:val="000000"/>
      <w:kern w:val="2"/>
      <w:sz w:val="24"/>
      <w:szCs w:val="24"/>
      <w:u w:val="none"/>
      <w:lang w:val="en-US" w:eastAsia="zh-CN"/>
    </w:rPr>
  </w:style>
  <w:style w:type="character" w:customStyle="1" w:styleId="529">
    <w:name w:val="A正文 Char3"/>
    <w:qFormat/>
    <w:uiPriority w:val="0"/>
    <w:rPr>
      <w:rFonts w:hint="default" w:ascii="Times New Roman" w:hAnsi="Times New Roman" w:eastAsia="仿宋_GB2312" w:cs="Times New Roman"/>
      <w:color w:val="000000"/>
      <w:kern w:val="0"/>
      <w:sz w:val="24"/>
      <w:szCs w:val="24"/>
      <w:u w:val="none"/>
      <w:lang w:val="en-US" w:eastAsia="zh-CN"/>
    </w:rPr>
  </w:style>
  <w:style w:type="character" w:customStyle="1" w:styleId="530">
    <w:name w:val="标题 2 Char4"/>
    <w:qFormat/>
    <w:uiPriority w:val="0"/>
    <w:rPr>
      <w:rFonts w:hint="default" w:ascii="黑体" w:hAnsi="Arial" w:eastAsia="黑体" w:cs="Times New Roman"/>
      <w:bCs/>
      <w:color w:val="000000"/>
      <w:kern w:val="2"/>
      <w:sz w:val="30"/>
      <w:szCs w:val="30"/>
      <w:u w:val="none"/>
      <w:lang w:val="en-US" w:eastAsia="zh-CN"/>
    </w:rPr>
  </w:style>
  <w:style w:type="character" w:customStyle="1" w:styleId="531">
    <w:name w:val="Char Char5"/>
    <w:qFormat/>
    <w:uiPriority w:val="0"/>
    <w:rPr>
      <w:rFonts w:hint="default" w:ascii="Times New Roman" w:hAnsi="Times New Roman" w:cs="Times New Roman"/>
      <w:color w:val="000000"/>
      <w:kern w:val="2"/>
      <w:sz w:val="21"/>
      <w:szCs w:val="24"/>
      <w:u w:val="none"/>
    </w:rPr>
  </w:style>
  <w:style w:type="character" w:customStyle="1" w:styleId="532">
    <w:name w:val="注 Char3"/>
    <w:qFormat/>
    <w:uiPriority w:val="0"/>
    <w:rPr>
      <w:rFonts w:hint="default" w:ascii="Arial" w:hAnsi="Arial" w:eastAsia="黑体" w:cs="Times New Roman"/>
      <w:color w:val="000000"/>
      <w:kern w:val="2"/>
      <w:sz w:val="24"/>
      <w:szCs w:val="24"/>
      <w:u w:val="none"/>
      <w:lang w:val="en-US" w:eastAsia="zh-CN"/>
    </w:rPr>
  </w:style>
  <w:style w:type="character" w:customStyle="1" w:styleId="533">
    <w:name w:val="Char Char1214"/>
    <w:qFormat/>
    <w:uiPriority w:val="0"/>
    <w:rPr>
      <w:rFonts w:hint="default" w:ascii="黑体" w:hAnsi="Arial" w:eastAsia="黑体" w:cs="Times New Roman"/>
      <w:b/>
      <w:bCs/>
      <w:color w:val="000000"/>
      <w:kern w:val="2"/>
      <w:sz w:val="30"/>
      <w:szCs w:val="30"/>
      <w:u w:val="none"/>
      <w:lang w:val="en-US" w:eastAsia="zh-CN"/>
    </w:rPr>
  </w:style>
  <w:style w:type="character" w:customStyle="1" w:styleId="534">
    <w:name w:val="题注 Char6"/>
    <w:qFormat/>
    <w:uiPriority w:val="0"/>
    <w:rPr>
      <w:rFonts w:hint="default" w:ascii="黑体" w:hAnsi="Arial" w:eastAsia="黑体" w:cs="Arial"/>
      <w:b/>
      <w:color w:val="000000"/>
      <w:kern w:val="2"/>
      <w:sz w:val="24"/>
      <w:szCs w:val="24"/>
      <w:u w:val="none"/>
      <w:lang w:val="en-US" w:eastAsia="zh-CN"/>
    </w:rPr>
  </w:style>
  <w:style w:type="character" w:customStyle="1" w:styleId="535">
    <w:name w:val="正文格式 Char111"/>
    <w:qFormat/>
    <w:uiPriority w:val="0"/>
    <w:rPr>
      <w:rFonts w:hint="default" w:ascii="宋体" w:hAnsi="宋体" w:eastAsia="宋体" w:cs="Times New Roman"/>
      <w:color w:val="000000"/>
      <w:kern w:val="2"/>
      <w:sz w:val="24"/>
      <w:szCs w:val="24"/>
      <w:u w:val="none"/>
      <w:lang w:val="en-US" w:eastAsia="zh-CN"/>
    </w:rPr>
  </w:style>
  <w:style w:type="character" w:customStyle="1" w:styleId="536">
    <w:name w:val="表题1 Char421"/>
    <w:qFormat/>
    <w:uiPriority w:val="0"/>
    <w:rPr>
      <w:rFonts w:hint="default" w:ascii="黑体" w:hAnsi="Arial" w:eastAsia="黑体" w:cs="Arial"/>
      <w:b/>
      <w:color w:val="000000"/>
      <w:kern w:val="2"/>
      <w:sz w:val="24"/>
      <w:szCs w:val="24"/>
      <w:u w:val="none"/>
      <w:lang w:val="en-US" w:eastAsia="zh-CN"/>
    </w:rPr>
  </w:style>
  <w:style w:type="character" w:customStyle="1" w:styleId="537">
    <w:name w:val="签名 Char"/>
    <w:link w:val="538"/>
    <w:qFormat/>
    <w:uiPriority w:val="0"/>
    <w:rPr>
      <w:rFonts w:hint="default" w:ascii="Times New Roman" w:hAnsi="Times New Roman" w:cs="Times New Roman"/>
      <w:color w:val="000000"/>
      <w:sz w:val="24"/>
      <w:szCs w:val="16"/>
      <w:u w:val="none"/>
    </w:rPr>
  </w:style>
  <w:style w:type="paragraph" w:customStyle="1" w:styleId="538">
    <w:name w:val="签名1"/>
    <w:basedOn w:val="1"/>
    <w:link w:val="537"/>
    <w:qFormat/>
    <w:uiPriority w:val="0"/>
    <w:pPr>
      <w:widowControl/>
      <w:ind w:left="100" w:leftChars="2100"/>
      <w:jc w:val="left"/>
    </w:pPr>
  </w:style>
  <w:style w:type="character" w:customStyle="1" w:styleId="539">
    <w:name w:val="题注 Char81"/>
    <w:qFormat/>
    <w:uiPriority w:val="0"/>
    <w:rPr>
      <w:rFonts w:hint="default" w:ascii="黑体" w:hAnsi="Arial" w:eastAsia="黑体" w:cs="Arial"/>
      <w:b/>
      <w:color w:val="000000"/>
      <w:kern w:val="2"/>
      <w:sz w:val="24"/>
      <w:szCs w:val="24"/>
      <w:u w:val="none"/>
      <w:lang w:val="en-US" w:eastAsia="zh-CN"/>
    </w:rPr>
  </w:style>
  <w:style w:type="character" w:customStyle="1" w:styleId="540">
    <w:name w:val="Char Char315"/>
    <w:qFormat/>
    <w:uiPriority w:val="0"/>
    <w:rPr>
      <w:rFonts w:hint="default" w:ascii="黑体" w:hAnsi="宋体" w:eastAsia="黑体" w:cs="Times New Roman"/>
      <w:b/>
      <w:bCs/>
      <w:color w:val="000000"/>
      <w:kern w:val="2"/>
      <w:sz w:val="28"/>
      <w:szCs w:val="28"/>
      <w:u w:val="none"/>
      <w:lang w:val="en-US" w:eastAsia="zh-CN"/>
    </w:rPr>
  </w:style>
  <w:style w:type="character" w:customStyle="1" w:styleId="541">
    <w:name w:val="图表题 Char3"/>
    <w:qFormat/>
    <w:uiPriority w:val="0"/>
    <w:rPr>
      <w:rFonts w:hint="default" w:ascii="黑体" w:hAnsi="宋体" w:eastAsia="黑体" w:cs="宋体"/>
      <w:b/>
      <w:bCs/>
      <w:color w:val="000000"/>
      <w:kern w:val="2"/>
      <w:sz w:val="24"/>
      <w:szCs w:val="24"/>
      <w:u w:val="none"/>
      <w:lang w:val="en-US" w:eastAsia="zh-CN"/>
    </w:rPr>
  </w:style>
  <w:style w:type="character" w:customStyle="1" w:styleId="542">
    <w:name w:val="表题1 Char3"/>
    <w:qFormat/>
    <w:uiPriority w:val="0"/>
    <w:rPr>
      <w:rFonts w:hint="default" w:ascii="黑体" w:hAnsi="Arial" w:eastAsia="黑体" w:cs="Arial"/>
      <w:b/>
      <w:color w:val="000000"/>
      <w:kern w:val="2"/>
      <w:sz w:val="24"/>
      <w:szCs w:val="24"/>
      <w:u w:val="none"/>
      <w:lang w:val="en-US" w:eastAsia="zh-CN"/>
    </w:rPr>
  </w:style>
  <w:style w:type="character" w:customStyle="1" w:styleId="543">
    <w:name w:val="表中文字 Char31"/>
    <w:qFormat/>
    <w:uiPriority w:val="0"/>
    <w:rPr>
      <w:rFonts w:hint="default" w:ascii="Arial" w:hAnsi="Arial" w:eastAsia="宋体" w:cs="Times New Roman"/>
      <w:color w:val="000000"/>
      <w:kern w:val="2"/>
      <w:sz w:val="24"/>
      <w:szCs w:val="24"/>
      <w:u w:val="none"/>
      <w:lang w:val="en-US" w:eastAsia="zh-TW"/>
    </w:rPr>
  </w:style>
  <w:style w:type="character" w:customStyle="1" w:styleId="544">
    <w:name w:val="表题1 Char12"/>
    <w:qFormat/>
    <w:uiPriority w:val="0"/>
    <w:rPr>
      <w:rFonts w:hint="default" w:ascii="Times New Roman" w:hAnsi="Arial" w:eastAsia="宋体" w:cs="Arial"/>
      <w:color w:val="000000"/>
      <w:kern w:val="2"/>
      <w:sz w:val="24"/>
      <w:szCs w:val="24"/>
      <w:u w:val="none"/>
      <w:lang w:val="en-US" w:eastAsia="zh-CN"/>
    </w:rPr>
  </w:style>
  <w:style w:type="character" w:customStyle="1" w:styleId="545">
    <w:name w:val="Char Char419"/>
    <w:qFormat/>
    <w:uiPriority w:val="0"/>
    <w:rPr>
      <w:rFonts w:hint="default" w:ascii="黑体" w:hAnsi="Arial" w:eastAsia="黑体" w:cs="Times New Roman"/>
      <w:b/>
      <w:bCs/>
      <w:color w:val="000000"/>
      <w:kern w:val="2"/>
      <w:sz w:val="30"/>
      <w:szCs w:val="30"/>
      <w:u w:val="none"/>
      <w:lang w:val="en-US" w:eastAsia="zh-CN"/>
    </w:rPr>
  </w:style>
  <w:style w:type="character" w:customStyle="1" w:styleId="546">
    <w:name w:val="题注 Char7"/>
    <w:qFormat/>
    <w:uiPriority w:val="0"/>
    <w:rPr>
      <w:rFonts w:hint="default" w:ascii="黑体" w:hAnsi="Arial" w:eastAsia="黑体" w:cs="Arial"/>
      <w:b/>
      <w:color w:val="000000"/>
      <w:kern w:val="2"/>
      <w:sz w:val="24"/>
      <w:szCs w:val="24"/>
      <w:u w:val="none"/>
      <w:lang w:val="en-US" w:eastAsia="zh-CN"/>
    </w:rPr>
  </w:style>
  <w:style w:type="character" w:customStyle="1" w:styleId="547">
    <w:name w:val="正文修改 Char121"/>
    <w:qFormat/>
    <w:uiPriority w:val="0"/>
    <w:rPr>
      <w:rFonts w:hint="default" w:ascii="宋体" w:hAnsi="宋体" w:eastAsia="宋体" w:cs="宋体"/>
      <w:color w:val="000000"/>
      <w:kern w:val="2"/>
      <w:sz w:val="24"/>
      <w:szCs w:val="24"/>
      <w:u w:val="none"/>
      <w:lang w:val="en-US" w:eastAsia="zh-CN"/>
    </w:rPr>
  </w:style>
  <w:style w:type="character" w:customStyle="1" w:styleId="548">
    <w:name w:val="Document Map Char Char"/>
    <w:link w:val="549"/>
    <w:qFormat/>
    <w:uiPriority w:val="0"/>
    <w:rPr>
      <w:rFonts w:hint="default" w:ascii="Times New Roman" w:hAnsi="Times New Roman" w:eastAsia="仿宋_GB2312" w:cs="Times New Roman"/>
      <w:color w:val="000000"/>
      <w:sz w:val="22"/>
      <w:szCs w:val="16"/>
      <w:u w:val="none"/>
      <w:shd w:val="clear" w:color="auto" w:fill="000080"/>
    </w:rPr>
  </w:style>
  <w:style w:type="paragraph" w:customStyle="1" w:styleId="549">
    <w:name w:val="文档结构图2"/>
    <w:basedOn w:val="1"/>
    <w:link w:val="548"/>
    <w:qFormat/>
    <w:uiPriority w:val="0"/>
    <w:pPr>
      <w:shd w:val="clear" w:color="auto" w:fill="000080"/>
    </w:pPr>
    <w:rPr>
      <w:sz w:val="22"/>
      <w:shd w:val="clear" w:color="auto" w:fill="000080"/>
    </w:rPr>
  </w:style>
  <w:style w:type="character" w:customStyle="1" w:styleId="550">
    <w:name w:val="报告正文 Char2"/>
    <w:qFormat/>
    <w:uiPriority w:val="0"/>
    <w:rPr>
      <w:rFonts w:hint="default" w:ascii="Times New Roman" w:hAnsi="Times New Roman" w:cs="Times New Roman"/>
      <w:color w:val="000000"/>
      <w:sz w:val="24"/>
      <w:szCs w:val="16"/>
      <w:u w:val="none"/>
    </w:rPr>
  </w:style>
  <w:style w:type="character" w:customStyle="1" w:styleId="551">
    <w:name w:val="表题1 Char72"/>
    <w:qFormat/>
    <w:uiPriority w:val="0"/>
    <w:rPr>
      <w:rFonts w:hint="default" w:ascii="黑体" w:hAnsi="Arial" w:eastAsia="黑体" w:cs="Arial"/>
      <w:b/>
      <w:color w:val="000000"/>
      <w:kern w:val="2"/>
      <w:sz w:val="24"/>
      <w:szCs w:val="24"/>
      <w:u w:val="none"/>
      <w:lang w:val="en-US" w:eastAsia="zh-CN"/>
    </w:rPr>
  </w:style>
  <w:style w:type="character" w:customStyle="1" w:styleId="552">
    <w:name w:val="正文格式 Char7"/>
    <w:qFormat/>
    <w:uiPriority w:val="0"/>
    <w:rPr>
      <w:rFonts w:hint="default" w:ascii="宋体" w:hAnsi="宋体" w:eastAsia="宋体" w:cs="Times New Roman"/>
      <w:color w:val="000000"/>
      <w:kern w:val="2"/>
      <w:sz w:val="24"/>
      <w:szCs w:val="24"/>
      <w:u w:val="none"/>
      <w:lang w:val="en-US" w:eastAsia="zh-CN"/>
    </w:rPr>
  </w:style>
  <w:style w:type="character" w:customStyle="1" w:styleId="553">
    <w:name w:val="ourfont3"/>
    <w:qFormat/>
    <w:uiPriority w:val="0"/>
    <w:rPr>
      <w:rFonts w:hint="default" w:ascii="Times New Roman" w:hAnsi="Times New Roman" w:cs="Times New Roman"/>
      <w:color w:val="000000"/>
      <w:sz w:val="16"/>
      <w:szCs w:val="16"/>
      <w:u w:val="none"/>
    </w:rPr>
  </w:style>
  <w:style w:type="character" w:customStyle="1" w:styleId="554">
    <w:name w:val="Char Char111"/>
    <w:qFormat/>
    <w:uiPriority w:val="0"/>
    <w:rPr>
      <w:rFonts w:hint="default" w:ascii="黑体" w:hAnsi="Arial" w:eastAsia="黑体" w:cs="Times New Roman"/>
      <w:b/>
      <w:bCs/>
      <w:color w:val="000000"/>
      <w:kern w:val="2"/>
      <w:sz w:val="30"/>
      <w:szCs w:val="30"/>
      <w:u w:val="none"/>
      <w:lang w:val="en-US" w:eastAsia="zh-CN"/>
    </w:rPr>
  </w:style>
  <w:style w:type="character" w:customStyle="1" w:styleId="555">
    <w:name w:val="正文缩进 Char321"/>
    <w:qFormat/>
    <w:uiPriority w:val="0"/>
    <w:rPr>
      <w:rFonts w:hint="default" w:ascii="宋体" w:hAnsi="宋体" w:eastAsia="宋体" w:cs="宋体"/>
      <w:color w:val="000000"/>
      <w:kern w:val="0"/>
      <w:sz w:val="24"/>
      <w:szCs w:val="24"/>
      <w:u w:val="none"/>
      <w:lang w:val="en-US" w:eastAsia="zh-CN"/>
    </w:rPr>
  </w:style>
  <w:style w:type="character" w:customStyle="1" w:styleId="556">
    <w:name w:val="nota"/>
    <w:qFormat/>
    <w:uiPriority w:val="0"/>
    <w:rPr>
      <w:rFonts w:hint="default" w:ascii="Times New Roman" w:hAnsi="Times New Roman" w:cs="Times New Roman"/>
      <w:i/>
      <w:iCs/>
      <w:color w:val="000000"/>
      <w:sz w:val="20"/>
      <w:szCs w:val="16"/>
      <w:u w:val="none"/>
    </w:rPr>
  </w:style>
  <w:style w:type="character" w:customStyle="1" w:styleId="557">
    <w:name w:val="样式 表格内字体 + Char Char"/>
    <w:link w:val="558"/>
    <w:qFormat/>
    <w:uiPriority w:val="0"/>
    <w:rPr>
      <w:rFonts w:hint="default" w:ascii="宋体" w:hAnsi="Times New Roman" w:cs="Times New Roman"/>
      <w:color w:val="000000"/>
      <w:sz w:val="24"/>
      <w:szCs w:val="16"/>
      <w:u w:val="none"/>
    </w:rPr>
  </w:style>
  <w:style w:type="paragraph" w:customStyle="1" w:styleId="558">
    <w:name w:val="样式 表格内字体 +"/>
    <w:link w:val="557"/>
    <w:qFormat/>
    <w:uiPriority w:val="0"/>
    <w:pPr>
      <w:spacing w:line="280" w:lineRule="exact"/>
      <w:ind w:firstLine="36"/>
      <w:jc w:val="both"/>
    </w:pPr>
    <w:rPr>
      <w:rFonts w:ascii="Times New Roman" w:hAnsi="Times New Roman" w:eastAsia="宋体" w:cs="Times New Roman"/>
      <w:lang w:val="en-US" w:eastAsia="zh-CN" w:bidi="ar-SA"/>
    </w:rPr>
  </w:style>
  <w:style w:type="paragraph" w:customStyle="1" w:styleId="559">
    <w:name w:val="表格内字体"/>
    <w:basedOn w:val="418"/>
    <w:next w:val="418"/>
    <w:link w:val="565"/>
    <w:qFormat/>
    <w:uiPriority w:val="0"/>
    <w:pPr>
      <w:spacing w:line="240" w:lineRule="auto"/>
      <w:ind w:firstLine="0"/>
      <w:jc w:val="center"/>
    </w:pPr>
  </w:style>
  <w:style w:type="character" w:customStyle="1" w:styleId="560">
    <w:name w:val="Char Char10"/>
    <w:qFormat/>
    <w:uiPriority w:val="0"/>
    <w:rPr>
      <w:rFonts w:hint="default" w:ascii="宋体" w:hAnsi="宋体" w:cs="宋体"/>
      <w:color w:val="000000"/>
      <w:kern w:val="2"/>
      <w:sz w:val="18"/>
      <w:szCs w:val="18"/>
      <w:u w:val="none"/>
    </w:rPr>
  </w:style>
  <w:style w:type="character" w:customStyle="1" w:styleId="561">
    <w:name w:val="纯文本1 Char Char"/>
    <w:qFormat/>
    <w:uiPriority w:val="0"/>
    <w:rPr>
      <w:rFonts w:hint="default" w:ascii="宋体" w:hAnsi="Courier New" w:eastAsia="宋体" w:cs="Times New Roman"/>
      <w:color w:val="000000"/>
      <w:kern w:val="2"/>
      <w:sz w:val="21"/>
      <w:szCs w:val="16"/>
      <w:u w:val="none"/>
      <w:lang w:val="en-US" w:eastAsia="zh-CN"/>
    </w:rPr>
  </w:style>
  <w:style w:type="character" w:customStyle="1" w:styleId="562">
    <w:name w:val="批注框文本 Char4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563">
    <w:name w:val="标题1.1.1.1.1.1 Char"/>
    <w:qFormat/>
    <w:uiPriority w:val="0"/>
    <w:rPr>
      <w:rFonts w:hint="default" w:ascii="Arial" w:hAnsi="Arial" w:eastAsia="黑体" w:cs="Times New Roman"/>
      <w:b/>
      <w:bCs/>
      <w:color w:val="000000"/>
      <w:kern w:val="2"/>
      <w:sz w:val="24"/>
      <w:szCs w:val="24"/>
      <w:u w:val="none"/>
      <w:lang w:val="en-US" w:eastAsia="zh-CN"/>
    </w:rPr>
  </w:style>
  <w:style w:type="character" w:customStyle="1" w:styleId="564">
    <w:name w:val="Char Char1116"/>
    <w:qFormat/>
    <w:uiPriority w:val="0"/>
    <w:rPr>
      <w:rFonts w:hint="default" w:ascii="黑体" w:hAnsi="Arial" w:eastAsia="黑体" w:cs="Times New Roman"/>
      <w:bCs/>
      <w:color w:val="000000"/>
      <w:kern w:val="2"/>
      <w:sz w:val="30"/>
      <w:szCs w:val="30"/>
      <w:u w:val="none"/>
      <w:lang w:val="en-US" w:eastAsia="zh-CN"/>
    </w:rPr>
  </w:style>
  <w:style w:type="character" w:customStyle="1" w:styleId="565">
    <w:name w:val="表格内字体 Char Char"/>
    <w:link w:val="559"/>
    <w:qFormat/>
    <w:uiPriority w:val="0"/>
    <w:rPr>
      <w:rFonts w:hint="default" w:ascii="宋体" w:hAnsi="Times New Roman" w:cs="Times New Roman"/>
      <w:color w:val="000000"/>
      <w:sz w:val="24"/>
      <w:szCs w:val="16"/>
      <w:u w:val="none"/>
    </w:rPr>
  </w:style>
  <w:style w:type="character" w:customStyle="1" w:styleId="566">
    <w:name w:val="正文(首行缩进) Char2"/>
    <w:qFormat/>
    <w:uiPriority w:val="0"/>
    <w:rPr>
      <w:rFonts w:hint="default" w:ascii="Times New Roman" w:hAnsi="Times New Roman" w:eastAsia="黑体" w:cs="Times New Roman"/>
      <w:bCs/>
      <w:snapToGrid w:val="0"/>
      <w:color w:val="000000"/>
      <w:kern w:val="2"/>
      <w:sz w:val="24"/>
      <w:szCs w:val="16"/>
      <w:u w:val="none"/>
      <w:lang w:val="en-US" w:eastAsia="zh-CN"/>
    </w:rPr>
  </w:style>
  <w:style w:type="character" w:customStyle="1" w:styleId="567">
    <w:name w:val="表头 Char Char"/>
    <w:link w:val="568"/>
    <w:qFormat/>
    <w:uiPriority w:val="0"/>
    <w:rPr>
      <w:rFonts w:hint="default" w:ascii="Times New Roman" w:hAnsi="Times New Roman" w:eastAsia="黑体" w:cs="Times New Roman"/>
      <w:color w:val="000000"/>
      <w:spacing w:val="-10"/>
      <w:sz w:val="16"/>
      <w:szCs w:val="16"/>
      <w:u w:val="none"/>
    </w:rPr>
  </w:style>
  <w:style w:type="paragraph" w:customStyle="1" w:styleId="568">
    <w:name w:val="表头"/>
    <w:link w:val="567"/>
    <w:qFormat/>
    <w:uiPriority w:val="0"/>
    <w:pPr>
      <w:spacing w:line="320" w:lineRule="atLeast"/>
      <w:textAlignment w:val="baseline"/>
    </w:pPr>
    <w:rPr>
      <w:rFonts w:ascii="Times New Roman" w:hAnsi="Times New Roman" w:eastAsia="黑体" w:cs="Times New Roman"/>
      <w:spacing w:val="-10"/>
      <w:lang w:val="en-US" w:eastAsia="zh-CN" w:bidi="ar-SA"/>
    </w:rPr>
  </w:style>
  <w:style w:type="paragraph" w:customStyle="1" w:styleId="569">
    <w:name w:val="表格"/>
    <w:basedOn w:val="1"/>
    <w:link w:val="1311"/>
    <w:qFormat/>
    <w:uiPriority w:val="0"/>
    <w:pPr>
      <w:adjustRightInd/>
      <w:spacing w:line="240" w:lineRule="auto"/>
      <w:ind w:firstLine="0" w:firstLineChars="0"/>
      <w:jc w:val="center"/>
    </w:pPr>
    <w:rPr>
      <w:color w:val="auto"/>
      <w:sz w:val="21"/>
      <w:szCs w:val="21"/>
    </w:rPr>
  </w:style>
  <w:style w:type="character" w:customStyle="1" w:styleId="570">
    <w:name w:val="font111"/>
    <w:qFormat/>
    <w:uiPriority w:val="0"/>
    <w:rPr>
      <w:rFonts w:hint="default" w:ascii="Times New Roman" w:hAnsi="Times New Roman" w:cs="Times New Roman"/>
      <w:color w:val="000000"/>
      <w:sz w:val="18"/>
      <w:szCs w:val="18"/>
      <w:u w:val="none"/>
    </w:rPr>
  </w:style>
  <w:style w:type="character" w:customStyle="1" w:styleId="571">
    <w:name w:val="页眉 Char2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572">
    <w:name w:val="宏文本 Char"/>
    <w:link w:val="573"/>
    <w:qFormat/>
    <w:uiPriority w:val="0"/>
    <w:rPr>
      <w:rFonts w:hint="default" w:ascii="Courier New" w:hAnsi="Courier New" w:cs="Times New Roman"/>
      <w:color w:val="000000"/>
      <w:sz w:val="24"/>
      <w:szCs w:val="16"/>
      <w:u w:val="none"/>
    </w:rPr>
  </w:style>
  <w:style w:type="paragraph" w:customStyle="1" w:styleId="573">
    <w:name w:val="宏文本1"/>
    <w:basedOn w:val="98"/>
    <w:link w:val="572"/>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pPr>
    <w:rPr>
      <w:rFonts w:ascii="Courier New" w:hAnsi="Courier New" w:cs="Times New Roman"/>
      <w:color w:val="000000"/>
      <w:szCs w:val="22"/>
    </w:rPr>
  </w:style>
  <w:style w:type="character" w:customStyle="1" w:styleId="574">
    <w:name w:val="题注 Char113"/>
    <w:qFormat/>
    <w:uiPriority w:val="0"/>
    <w:rPr>
      <w:rFonts w:hint="default" w:ascii="黑体" w:hAnsi="Arial" w:eastAsia="黑体" w:cs="Arial"/>
      <w:b/>
      <w:color w:val="000000"/>
      <w:kern w:val="2"/>
      <w:sz w:val="24"/>
      <w:szCs w:val="24"/>
      <w:u w:val="none"/>
      <w:lang w:val="en-US" w:eastAsia="zh-CN"/>
    </w:rPr>
  </w:style>
  <w:style w:type="character" w:customStyle="1" w:styleId="575">
    <w:name w:val="正文首行缩进 Char1 Char Char1"/>
    <w:qFormat/>
    <w:uiPriority w:val="0"/>
    <w:rPr>
      <w:rFonts w:hint="default" w:ascii="Times New Roman" w:hAnsi="Times New Roman" w:eastAsia="宋体" w:cs="Times New Roman"/>
      <w:color w:val="000000"/>
      <w:kern w:val="2"/>
      <w:sz w:val="21"/>
      <w:szCs w:val="24"/>
      <w:u w:val="none"/>
      <w:lang w:val="en-US" w:eastAsia="zh-CN"/>
    </w:rPr>
  </w:style>
  <w:style w:type="character" w:customStyle="1" w:styleId="576">
    <w:name w:val="样式 表格内字体 + Char21"/>
    <w:qFormat/>
    <w:uiPriority w:val="0"/>
    <w:rPr>
      <w:rFonts w:hint="default" w:ascii="宋体" w:hAnsi="宋体" w:cs="Times New Roman"/>
      <w:color w:val="000000"/>
      <w:kern w:val="2"/>
      <w:sz w:val="21"/>
      <w:szCs w:val="24"/>
      <w:u w:val="none"/>
    </w:rPr>
  </w:style>
  <w:style w:type="character" w:customStyle="1" w:styleId="577">
    <w:name w:val="正文文本缩进 字符"/>
    <w:link w:val="26"/>
    <w:qFormat/>
    <w:uiPriority w:val="0"/>
    <w:rPr>
      <w:rFonts w:hint="default" w:ascii="Calibri" w:hAnsi="Calibri" w:eastAsia="仿宋_GB2312" w:cs="Times New Roman"/>
      <w:color w:val="000000"/>
      <w:sz w:val="28"/>
      <w:szCs w:val="16"/>
      <w:u w:val="none"/>
    </w:rPr>
  </w:style>
  <w:style w:type="character" w:customStyle="1" w:styleId="578">
    <w:name w:val="报告正文 Char"/>
    <w:qFormat/>
    <w:uiPriority w:val="0"/>
    <w:rPr>
      <w:rFonts w:hint="default" w:ascii="Times New Roman" w:hAnsi="Times New Roman" w:eastAsia="宋体" w:cs="宋体"/>
      <w:color w:val="000000"/>
      <w:sz w:val="24"/>
      <w:szCs w:val="24"/>
      <w:u w:val="none"/>
    </w:rPr>
  </w:style>
  <w:style w:type="character" w:customStyle="1" w:styleId="579">
    <w:name w:val="Footnote Text Char1"/>
    <w:qFormat/>
    <w:uiPriority w:val="99"/>
    <w:rPr>
      <w:rFonts w:hint="default" w:ascii="Times New Roman" w:hAnsi="Times New Roman" w:eastAsia="仿宋_GB2312" w:cs="Times New Roman"/>
      <w:color w:val="000000"/>
      <w:kern w:val="2"/>
      <w:sz w:val="18"/>
      <w:szCs w:val="18"/>
      <w:u w:val="none"/>
    </w:rPr>
  </w:style>
  <w:style w:type="character" w:customStyle="1" w:styleId="580">
    <w:name w:val="文本框五号 Char Char Char"/>
    <w:qFormat/>
    <w:uiPriority w:val="0"/>
    <w:rPr>
      <w:rFonts w:hint="default" w:ascii="宋体" w:hAnsi="宋体" w:eastAsia="仿宋_GB2312" w:cs="Courier New"/>
      <w:color w:val="000000"/>
      <w:kern w:val="2"/>
      <w:sz w:val="21"/>
      <w:szCs w:val="21"/>
      <w:u w:val="none"/>
      <w:lang w:val="en-US" w:eastAsia="zh-CN"/>
    </w:rPr>
  </w:style>
  <w:style w:type="character" w:customStyle="1" w:styleId="581">
    <w:name w:val="Char Char1112"/>
    <w:qFormat/>
    <w:uiPriority w:val="0"/>
    <w:rPr>
      <w:rFonts w:hint="default" w:ascii="黑体" w:hAnsi="Arial" w:eastAsia="黑体" w:cs="Times New Roman"/>
      <w:bCs/>
      <w:color w:val="000000"/>
      <w:kern w:val="2"/>
      <w:sz w:val="30"/>
      <w:szCs w:val="30"/>
      <w:u w:val="none"/>
      <w:lang w:val="en-US" w:eastAsia="zh-CN"/>
    </w:rPr>
  </w:style>
  <w:style w:type="character" w:customStyle="1" w:styleId="582">
    <w:name w:val="style61"/>
    <w:qFormat/>
    <w:uiPriority w:val="0"/>
    <w:rPr>
      <w:rFonts w:hint="default" w:ascii="Times New Roman" w:hAnsi="Times New Roman" w:cs="Times New Roman"/>
      <w:color w:val="000000"/>
      <w:sz w:val="45"/>
      <w:szCs w:val="45"/>
      <w:u w:val="none"/>
    </w:rPr>
  </w:style>
  <w:style w:type="character" w:customStyle="1" w:styleId="583">
    <w:name w:val="燕山正文 Char13"/>
    <w:qFormat/>
    <w:uiPriority w:val="0"/>
    <w:rPr>
      <w:rFonts w:hint="default" w:ascii="宋体" w:hAnsi="Times New Roman" w:eastAsia="宋体" w:cs="宋体"/>
      <w:color w:val="000000"/>
      <w:kern w:val="2"/>
      <w:sz w:val="24"/>
      <w:szCs w:val="24"/>
      <w:u w:val="none"/>
      <w:lang w:val="en-US" w:eastAsia="zh-CN"/>
    </w:rPr>
  </w:style>
  <w:style w:type="character" w:customStyle="1" w:styleId="584">
    <w:name w:val="Char Char216"/>
    <w:qFormat/>
    <w:uiPriority w:val="0"/>
    <w:rPr>
      <w:rFonts w:hint="default" w:ascii="黑体" w:hAnsi="Times New Roman" w:eastAsia="宋体" w:cs="Times New Roman"/>
      <w:color w:val="000000"/>
      <w:kern w:val="2"/>
      <w:sz w:val="16"/>
      <w:szCs w:val="16"/>
      <w:u w:val="none"/>
      <w:lang w:val="en-US" w:eastAsia="zh-CN"/>
    </w:rPr>
  </w:style>
  <w:style w:type="character" w:customStyle="1" w:styleId="585">
    <w:name w:val="正文（行首缩进2字） Char Char"/>
    <w:link w:val="586"/>
    <w:qFormat/>
    <w:uiPriority w:val="0"/>
    <w:rPr>
      <w:rFonts w:hint="default" w:ascii="Times New Roman" w:hAnsi="Times New Roman" w:cs="Times New Roman"/>
      <w:color w:val="000000"/>
      <w:sz w:val="24"/>
      <w:szCs w:val="16"/>
      <w:u w:val="none"/>
    </w:rPr>
  </w:style>
  <w:style w:type="paragraph" w:customStyle="1" w:styleId="586">
    <w:name w:val="正文（行首缩进2字）"/>
    <w:basedOn w:val="1"/>
    <w:link w:val="585"/>
    <w:qFormat/>
    <w:uiPriority w:val="0"/>
    <w:pPr>
      <w:widowControl/>
      <w:jc w:val="left"/>
    </w:pPr>
  </w:style>
  <w:style w:type="character" w:customStyle="1" w:styleId="587">
    <w:name w:val="Char Char1113"/>
    <w:qFormat/>
    <w:uiPriority w:val="0"/>
    <w:rPr>
      <w:rFonts w:hint="default" w:ascii="黑体" w:hAnsi="Arial" w:eastAsia="黑体" w:cs="Times New Roman"/>
      <w:bCs/>
      <w:color w:val="000000"/>
      <w:kern w:val="2"/>
      <w:sz w:val="30"/>
      <w:szCs w:val="30"/>
      <w:u w:val="none"/>
      <w:lang w:val="en-US" w:eastAsia="zh-CN"/>
    </w:rPr>
  </w:style>
  <w:style w:type="character" w:customStyle="1" w:styleId="588">
    <w:name w:val="批注框文本 Char6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589">
    <w:name w:val="页脚 Char4"/>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590">
    <w:name w:val="表内5 Char11"/>
    <w:qFormat/>
    <w:uiPriority w:val="0"/>
    <w:rPr>
      <w:rFonts w:hint="default" w:ascii="宋体" w:hAnsi="宋体" w:eastAsia="宋体" w:cs="Times New Roman"/>
      <w:color w:val="000000"/>
      <w:kern w:val="2"/>
      <w:sz w:val="24"/>
      <w:szCs w:val="24"/>
      <w:u w:val="none"/>
      <w:lang w:val="en-US" w:eastAsia="zh-CN"/>
    </w:rPr>
  </w:style>
  <w:style w:type="character" w:customStyle="1" w:styleId="591">
    <w:name w:val="正文修改 Char13"/>
    <w:qFormat/>
    <w:uiPriority w:val="0"/>
    <w:rPr>
      <w:rFonts w:hint="default" w:ascii="宋体" w:hAnsi="宋体" w:eastAsia="宋体" w:cs="宋体"/>
      <w:color w:val="000000"/>
      <w:kern w:val="2"/>
      <w:sz w:val="24"/>
      <w:szCs w:val="24"/>
      <w:u w:val="none"/>
      <w:lang w:val="en-US" w:eastAsia="zh-CN"/>
    </w:rPr>
  </w:style>
  <w:style w:type="character" w:customStyle="1" w:styleId="592">
    <w:name w:val="正文 公式 Char"/>
    <w:qFormat/>
    <w:uiPriority w:val="0"/>
    <w:rPr>
      <w:rFonts w:hint="default" w:ascii="Times New Roman" w:hAnsi="Times New Roman" w:cs="Times New Roman"/>
      <w:color w:val="000000"/>
      <w:sz w:val="16"/>
      <w:szCs w:val="16"/>
      <w:u w:val="none"/>
    </w:rPr>
  </w:style>
  <w:style w:type="character" w:customStyle="1" w:styleId="593">
    <w:name w:val="正文修改 Char1211"/>
    <w:qFormat/>
    <w:uiPriority w:val="0"/>
    <w:rPr>
      <w:rFonts w:hint="default" w:ascii="宋体" w:hAnsi="宋体" w:eastAsia="宋体" w:cs="宋体"/>
      <w:color w:val="000000"/>
      <w:kern w:val="2"/>
      <w:sz w:val="24"/>
      <w:szCs w:val="24"/>
      <w:u w:val="none"/>
      <w:lang w:val="en-US" w:eastAsia="zh-CN"/>
    </w:rPr>
  </w:style>
  <w:style w:type="character" w:customStyle="1" w:styleId="594">
    <w:name w:val="Char Char71"/>
    <w:qFormat/>
    <w:uiPriority w:val="0"/>
    <w:rPr>
      <w:rFonts w:hint="default" w:ascii="Times New Roman" w:hAnsi="Times New Roman" w:eastAsia="宋体" w:cs="Times New Roman"/>
      <w:color w:val="000000"/>
      <w:kern w:val="2"/>
      <w:sz w:val="21"/>
      <w:szCs w:val="24"/>
      <w:u w:val="none"/>
      <w:lang w:val="en-US" w:eastAsia="zh-CN"/>
    </w:rPr>
  </w:style>
  <w:style w:type="character" w:customStyle="1" w:styleId="595">
    <w:name w:val="标题 8 Char1"/>
    <w:qFormat/>
    <w:uiPriority w:val="0"/>
    <w:rPr>
      <w:rFonts w:hint="default" w:ascii="Arial" w:hAnsi="Arial" w:eastAsia="黑体" w:cs="Times New Roman"/>
      <w:color w:val="000000"/>
      <w:kern w:val="2"/>
      <w:sz w:val="24"/>
      <w:szCs w:val="24"/>
      <w:u w:val="none"/>
      <w:lang w:val="en-US" w:eastAsia="zh-CN"/>
    </w:rPr>
  </w:style>
  <w:style w:type="character" w:customStyle="1" w:styleId="596">
    <w:name w:val="Char Char624"/>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597">
    <w:name w:val="报告书正文 Char Char"/>
    <w:link w:val="598"/>
    <w:qFormat/>
    <w:uiPriority w:val="0"/>
    <w:rPr>
      <w:rFonts w:hint="default" w:ascii="Times New Roman" w:hAnsi="Times New Roman" w:cs="Times New Roman"/>
      <w:color w:val="000000"/>
      <w:sz w:val="24"/>
      <w:szCs w:val="16"/>
      <w:u w:val="none"/>
    </w:rPr>
  </w:style>
  <w:style w:type="paragraph" w:customStyle="1" w:styleId="598">
    <w:name w:val="报告书正文"/>
    <w:basedOn w:val="1"/>
    <w:link w:val="597"/>
    <w:qFormat/>
    <w:uiPriority w:val="0"/>
    <w:pPr>
      <w:ind w:firstLine="480"/>
    </w:pPr>
  </w:style>
  <w:style w:type="character" w:customStyle="1" w:styleId="599">
    <w:name w:val="表中文字 Char231"/>
    <w:qFormat/>
    <w:uiPriority w:val="0"/>
    <w:rPr>
      <w:rFonts w:hint="default" w:ascii="宋体" w:hAnsi="Times New Roman" w:eastAsia="宋体" w:cs="Times New Roman"/>
      <w:color w:val="000000"/>
      <w:kern w:val="2"/>
      <w:sz w:val="21"/>
      <w:szCs w:val="21"/>
      <w:u w:val="none"/>
      <w:lang w:val="en-US" w:eastAsia="zh-CN"/>
    </w:rPr>
  </w:style>
  <w:style w:type="character" w:customStyle="1" w:styleId="600">
    <w:name w:val="表内5 Char4"/>
    <w:qFormat/>
    <w:uiPriority w:val="0"/>
    <w:rPr>
      <w:rFonts w:hint="default" w:ascii="宋体" w:hAnsi="宋体" w:eastAsia="宋体" w:cs="Times New Roman"/>
      <w:color w:val="000000"/>
      <w:kern w:val="2"/>
      <w:sz w:val="24"/>
      <w:szCs w:val="21"/>
      <w:u w:val="none"/>
      <w:lang w:val="en-US" w:eastAsia="zh-CN"/>
    </w:rPr>
  </w:style>
  <w:style w:type="character" w:customStyle="1" w:styleId="601">
    <w:name w:val="正文修改 Char1113"/>
    <w:qFormat/>
    <w:uiPriority w:val="0"/>
    <w:rPr>
      <w:rFonts w:hint="default" w:ascii="宋体" w:hAnsi="宋体" w:eastAsia="宋体" w:cs="宋体"/>
      <w:color w:val="000000"/>
      <w:kern w:val="2"/>
      <w:sz w:val="24"/>
      <w:szCs w:val="24"/>
      <w:u w:val="none"/>
      <w:lang w:val="en-US" w:eastAsia="zh-CN"/>
    </w:rPr>
  </w:style>
  <w:style w:type="character" w:customStyle="1" w:styleId="602">
    <w:name w:val="样式A Char Char"/>
    <w:link w:val="603"/>
    <w:qFormat/>
    <w:uiPriority w:val="0"/>
    <w:rPr>
      <w:rFonts w:hint="default" w:ascii="幼圆" w:hAnsi="Times New Roman" w:eastAsia="幼圆" w:cs="Times New Roman"/>
      <w:color w:val="000000"/>
      <w:sz w:val="26"/>
      <w:szCs w:val="16"/>
      <w:u w:val="none"/>
    </w:rPr>
  </w:style>
  <w:style w:type="paragraph" w:customStyle="1" w:styleId="603">
    <w:name w:val="样式A"/>
    <w:basedOn w:val="1"/>
    <w:link w:val="602"/>
    <w:qFormat/>
    <w:uiPriority w:val="0"/>
    <w:pPr>
      <w:widowControl/>
      <w:topLinePunct/>
      <w:spacing w:line="530" w:lineRule="exact"/>
      <w:jc w:val="left"/>
    </w:pPr>
    <w:rPr>
      <w:rFonts w:ascii="幼圆" w:eastAsia="幼圆"/>
      <w:sz w:val="26"/>
    </w:rPr>
  </w:style>
  <w:style w:type="character" w:customStyle="1" w:styleId="604">
    <w:name w:val="正文文本缩进 3 Char11"/>
    <w:qFormat/>
    <w:uiPriority w:val="0"/>
    <w:rPr>
      <w:rFonts w:hint="default" w:ascii="Times New Roman" w:hAnsi="Times New Roman" w:eastAsia="宋体" w:cs="Times New Roman"/>
      <w:color w:val="000000"/>
      <w:kern w:val="2"/>
      <w:sz w:val="16"/>
      <w:szCs w:val="16"/>
      <w:u w:val="none"/>
      <w:lang w:val="en-US" w:eastAsia="zh-CN"/>
    </w:rPr>
  </w:style>
  <w:style w:type="character" w:customStyle="1" w:styleId="605">
    <w:name w:val="表格内字体 Char91"/>
    <w:qFormat/>
    <w:uiPriority w:val="0"/>
    <w:rPr>
      <w:rFonts w:hint="default" w:ascii="宋体" w:hAnsi="宋体" w:eastAsia="宋体" w:cs="Times New Roman"/>
      <w:color w:val="000000"/>
      <w:kern w:val="2"/>
      <w:sz w:val="21"/>
      <w:szCs w:val="24"/>
      <w:u w:val="none"/>
      <w:lang w:val="en-US" w:eastAsia="zh-CN"/>
    </w:rPr>
  </w:style>
  <w:style w:type="character" w:customStyle="1" w:styleId="606">
    <w:name w:val="HTML 地址 Char1"/>
    <w:qFormat/>
    <w:uiPriority w:val="0"/>
    <w:rPr>
      <w:rFonts w:hint="default" w:ascii="Times New Roman" w:hAnsi="Times New Roman" w:eastAsia="宋体" w:cs="Times New Roman"/>
      <w:i/>
      <w:iCs/>
      <w:color w:val="000000"/>
      <w:sz w:val="16"/>
      <w:szCs w:val="24"/>
      <w:u w:val="none"/>
    </w:rPr>
  </w:style>
  <w:style w:type="character" w:customStyle="1" w:styleId="607">
    <w:name w:val="Char Char1131"/>
    <w:qFormat/>
    <w:uiPriority w:val="0"/>
    <w:rPr>
      <w:rFonts w:hint="default" w:ascii="黑体" w:hAnsi="Arial" w:eastAsia="黑体" w:cs="Times New Roman"/>
      <w:bCs/>
      <w:color w:val="000000"/>
      <w:kern w:val="2"/>
      <w:sz w:val="30"/>
      <w:szCs w:val="30"/>
      <w:u w:val="none"/>
      <w:lang w:val="en-US" w:eastAsia="zh-CN"/>
    </w:rPr>
  </w:style>
  <w:style w:type="character" w:customStyle="1" w:styleId="608">
    <w:name w:val="Char Char616"/>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609">
    <w:name w:val="样式 表格内字体 + Char1"/>
    <w:qFormat/>
    <w:uiPriority w:val="0"/>
    <w:rPr>
      <w:rFonts w:hint="default" w:ascii="宋体" w:hAnsi="宋体" w:cs="Times New Roman"/>
      <w:color w:val="000000"/>
      <w:kern w:val="2"/>
      <w:sz w:val="21"/>
      <w:szCs w:val="24"/>
      <w:u w:val="none"/>
    </w:rPr>
  </w:style>
  <w:style w:type="character" w:customStyle="1" w:styleId="610">
    <w:name w:val="Char Char1115"/>
    <w:qFormat/>
    <w:uiPriority w:val="0"/>
    <w:rPr>
      <w:rFonts w:hint="default" w:ascii="黑体" w:hAnsi="Arial" w:eastAsia="黑体" w:cs="Times New Roman"/>
      <w:bCs/>
      <w:color w:val="000000"/>
      <w:kern w:val="2"/>
      <w:sz w:val="30"/>
      <w:szCs w:val="30"/>
      <w:u w:val="none"/>
      <w:lang w:val="en-US" w:eastAsia="zh-CN"/>
    </w:rPr>
  </w:style>
  <w:style w:type="character" w:customStyle="1" w:styleId="611">
    <w:name w:val="表格的文字 Char Char"/>
    <w:link w:val="612"/>
    <w:qFormat/>
    <w:uiPriority w:val="0"/>
    <w:rPr>
      <w:rFonts w:hint="default" w:ascii="仿宋_GB2312" w:hAnsi="Times New Roman" w:eastAsia="仿宋_GB2312" w:cs="Times New Roman"/>
      <w:color w:val="000000"/>
      <w:sz w:val="16"/>
      <w:szCs w:val="16"/>
      <w:u w:val="none"/>
    </w:rPr>
  </w:style>
  <w:style w:type="paragraph" w:customStyle="1" w:styleId="612">
    <w:name w:val="表格的文字"/>
    <w:basedOn w:val="1"/>
    <w:link w:val="611"/>
    <w:qFormat/>
    <w:uiPriority w:val="0"/>
    <w:pPr>
      <w:widowControl/>
      <w:spacing w:line="300" w:lineRule="exact"/>
      <w:jc w:val="center"/>
    </w:pPr>
    <w:rPr>
      <w:rFonts w:ascii="仿宋_GB2312"/>
    </w:rPr>
  </w:style>
  <w:style w:type="character" w:customStyle="1" w:styleId="613">
    <w:name w:val="hottext1"/>
    <w:qFormat/>
    <w:uiPriority w:val="0"/>
    <w:rPr>
      <w:rFonts w:hint="eastAsia" w:ascii="宋体" w:hAnsi="宋体" w:eastAsia="宋体" w:cs="Times New Roman"/>
      <w:strike/>
      <w:color w:val="000000"/>
      <w:sz w:val="22"/>
      <w:szCs w:val="16"/>
      <w:u w:val="none"/>
    </w:rPr>
  </w:style>
  <w:style w:type="character" w:customStyle="1" w:styleId="614">
    <w:name w:val="标题 2 Char3"/>
    <w:qFormat/>
    <w:uiPriority w:val="0"/>
    <w:rPr>
      <w:rFonts w:hint="default" w:ascii="黑体" w:hAnsi="Arial" w:eastAsia="黑体" w:cs="Times New Roman"/>
      <w:bCs/>
      <w:color w:val="000000"/>
      <w:kern w:val="2"/>
      <w:sz w:val="30"/>
      <w:szCs w:val="30"/>
      <w:u w:val="none"/>
      <w:lang w:val="en-US" w:eastAsia="zh-CN"/>
    </w:rPr>
  </w:style>
  <w:style w:type="character" w:customStyle="1" w:styleId="615">
    <w:name w:val="环正文 Char1"/>
    <w:link w:val="471"/>
    <w:qFormat/>
    <w:uiPriority w:val="0"/>
    <w:rPr>
      <w:rFonts w:hint="default" w:ascii="Times New Roman" w:hAnsi="Times New Roman" w:eastAsia="仿宋_GB2312" w:cs="Times New Roman"/>
      <w:b/>
      <w:color w:val="0000CC"/>
      <w:sz w:val="28"/>
      <w:szCs w:val="16"/>
      <w:u w:val="none"/>
    </w:rPr>
  </w:style>
  <w:style w:type="character" w:customStyle="1" w:styleId="616">
    <w:name w:val="标题4 Char11"/>
    <w:qFormat/>
    <w:uiPriority w:val="0"/>
    <w:rPr>
      <w:rFonts w:hint="default" w:ascii="黑体" w:hAnsi="Arial" w:eastAsia="黑体" w:cs="Times New Roman"/>
      <w:b/>
      <w:bCs/>
      <w:color w:val="000000"/>
      <w:kern w:val="2"/>
      <w:sz w:val="24"/>
      <w:szCs w:val="28"/>
      <w:u w:val="none"/>
      <w:lang w:val="en-US" w:eastAsia="zh-CN"/>
    </w:rPr>
  </w:style>
  <w:style w:type="character" w:customStyle="1" w:styleId="617">
    <w:name w:val="Char Char31"/>
    <w:qFormat/>
    <w:uiPriority w:val="0"/>
    <w:rPr>
      <w:rFonts w:hint="default" w:ascii="黑体" w:hAnsi="宋体" w:eastAsia="黑体" w:cs="Times New Roman"/>
      <w:b/>
      <w:bCs/>
      <w:color w:val="000000"/>
      <w:kern w:val="2"/>
      <w:sz w:val="28"/>
      <w:szCs w:val="28"/>
      <w:u w:val="none"/>
      <w:lang w:val="en-US" w:eastAsia="zh-CN"/>
    </w:rPr>
  </w:style>
  <w:style w:type="character" w:customStyle="1" w:styleId="618">
    <w:name w:val="批注框文本 Char3"/>
    <w:qFormat/>
    <w:uiPriority w:val="99"/>
    <w:rPr>
      <w:rFonts w:hint="default" w:ascii="Times New Roman" w:hAnsi="Times New Roman" w:eastAsia="宋体" w:cs="Times New Roman"/>
      <w:color w:val="000000"/>
      <w:kern w:val="2"/>
      <w:sz w:val="18"/>
      <w:szCs w:val="18"/>
      <w:u w:val="none"/>
      <w:lang w:val="en-US" w:eastAsia="zh-CN"/>
    </w:rPr>
  </w:style>
  <w:style w:type="character" w:customStyle="1" w:styleId="619">
    <w:name w:val="题注 Char5"/>
    <w:qFormat/>
    <w:uiPriority w:val="0"/>
    <w:rPr>
      <w:rFonts w:hint="default" w:ascii="黑体" w:hAnsi="Arial" w:eastAsia="黑体" w:cs="Arial"/>
      <w:b/>
      <w:color w:val="000000"/>
      <w:kern w:val="2"/>
      <w:sz w:val="24"/>
      <w:szCs w:val="24"/>
      <w:u w:val="none"/>
      <w:lang w:val="en-US" w:eastAsia="zh-CN"/>
    </w:rPr>
  </w:style>
  <w:style w:type="character" w:customStyle="1" w:styleId="620">
    <w:name w:val="Comment Subject Char"/>
    <w:qFormat/>
    <w:uiPriority w:val="0"/>
    <w:rPr>
      <w:rFonts w:hint="default" w:ascii="Times New Roman" w:hAnsi="Times New Roman" w:eastAsia="仿宋_GB2312" w:cs="Times New Roman"/>
      <w:b/>
      <w:bCs/>
      <w:color w:val="000000"/>
      <w:kern w:val="2"/>
      <w:sz w:val="28"/>
      <w:szCs w:val="22"/>
      <w:u w:val="none"/>
    </w:rPr>
  </w:style>
  <w:style w:type="character" w:customStyle="1" w:styleId="621">
    <w:name w:val="Char Char1122"/>
    <w:qFormat/>
    <w:uiPriority w:val="0"/>
    <w:rPr>
      <w:rFonts w:hint="default" w:ascii="黑体" w:hAnsi="Arial" w:eastAsia="黑体" w:cs="Times New Roman"/>
      <w:bCs/>
      <w:color w:val="000000"/>
      <w:kern w:val="2"/>
      <w:sz w:val="30"/>
      <w:szCs w:val="30"/>
      <w:u w:val="none"/>
      <w:lang w:val="en-US" w:eastAsia="zh-CN"/>
    </w:rPr>
  </w:style>
  <w:style w:type="character" w:customStyle="1" w:styleId="622">
    <w:name w:val="正文修改 Char1311"/>
    <w:qFormat/>
    <w:uiPriority w:val="0"/>
    <w:rPr>
      <w:rFonts w:hint="default" w:ascii="宋体" w:hAnsi="宋体" w:eastAsia="宋体" w:cs="宋体"/>
      <w:color w:val="000000"/>
      <w:kern w:val="2"/>
      <w:sz w:val="24"/>
      <w:szCs w:val="24"/>
      <w:u w:val="none"/>
      <w:lang w:val="en-US" w:eastAsia="zh-CN"/>
    </w:rPr>
  </w:style>
  <w:style w:type="character" w:customStyle="1" w:styleId="623">
    <w:name w:val="css-text3"/>
    <w:qFormat/>
    <w:uiPriority w:val="0"/>
    <w:rPr>
      <w:rFonts w:hint="default" w:ascii="Times New Roman" w:hAnsi="Times New Roman" w:cs="Times New Roman"/>
      <w:color w:val="000000"/>
      <w:sz w:val="16"/>
      <w:szCs w:val="16"/>
      <w:u w:val="none"/>
    </w:rPr>
  </w:style>
  <w:style w:type="character" w:customStyle="1" w:styleId="624">
    <w:name w:val="正文修改 Char14111"/>
    <w:qFormat/>
    <w:uiPriority w:val="0"/>
    <w:rPr>
      <w:rFonts w:hint="default" w:ascii="宋体" w:hAnsi="Times New Roman" w:cs="宋体"/>
      <w:color w:val="000000"/>
      <w:kern w:val="2"/>
      <w:sz w:val="24"/>
      <w:szCs w:val="24"/>
      <w:u w:val="none"/>
    </w:rPr>
  </w:style>
  <w:style w:type="character" w:customStyle="1" w:styleId="625">
    <w:name w:val="正文内容 Char Char"/>
    <w:link w:val="626"/>
    <w:qFormat/>
    <w:uiPriority w:val="0"/>
    <w:rPr>
      <w:rFonts w:hint="default" w:ascii="宋体" w:hAnsi="Times New Roman" w:cs="Times New Roman"/>
      <w:color w:val="000000"/>
      <w:spacing w:val="4"/>
      <w:sz w:val="24"/>
      <w:szCs w:val="16"/>
      <w:u w:val="none"/>
    </w:rPr>
  </w:style>
  <w:style w:type="paragraph" w:customStyle="1" w:styleId="626">
    <w:name w:val="正文内容"/>
    <w:basedOn w:val="1"/>
    <w:link w:val="625"/>
    <w:qFormat/>
    <w:uiPriority w:val="0"/>
    <w:pPr>
      <w:ind w:firstLine="496"/>
    </w:pPr>
    <w:rPr>
      <w:rFonts w:ascii="宋体"/>
      <w:spacing w:val="4"/>
    </w:rPr>
  </w:style>
  <w:style w:type="character" w:customStyle="1" w:styleId="627">
    <w:name w:val="题注 Char211"/>
    <w:qFormat/>
    <w:uiPriority w:val="0"/>
    <w:rPr>
      <w:rFonts w:hint="default" w:ascii="黑体" w:hAnsi="Arial" w:eastAsia="黑体" w:cs="Arial"/>
      <w:b/>
      <w:color w:val="000000"/>
      <w:kern w:val="2"/>
      <w:sz w:val="24"/>
      <w:szCs w:val="24"/>
      <w:u w:val="none"/>
      <w:lang w:val="en-US" w:eastAsia="zh-CN"/>
    </w:rPr>
  </w:style>
  <w:style w:type="character" w:customStyle="1" w:styleId="628">
    <w:name w:val="图表题 Char111"/>
    <w:qFormat/>
    <w:uiPriority w:val="0"/>
    <w:rPr>
      <w:rFonts w:hint="default" w:ascii="黑体" w:hAnsi="宋体" w:eastAsia="黑体" w:cs="宋体"/>
      <w:b/>
      <w:bCs/>
      <w:color w:val="000000"/>
      <w:kern w:val="2"/>
      <w:sz w:val="24"/>
      <w:szCs w:val="24"/>
      <w:u w:val="none"/>
      <w:lang w:val="en-US" w:eastAsia="zh-CN"/>
    </w:rPr>
  </w:style>
  <w:style w:type="character" w:customStyle="1" w:styleId="629">
    <w:name w:val="HTML 样本1"/>
    <w:qFormat/>
    <w:uiPriority w:val="0"/>
    <w:rPr>
      <w:rFonts w:hint="default" w:ascii="Courier New" w:hAnsi="Courier New" w:eastAsia="宋体" w:cs="Courier New"/>
      <w:color w:val="000000"/>
      <w:kern w:val="2"/>
      <w:sz w:val="32"/>
      <w:szCs w:val="32"/>
      <w:u w:val="none"/>
      <w:lang w:val="en-US" w:eastAsia="zh-CN"/>
    </w:rPr>
  </w:style>
  <w:style w:type="character" w:customStyle="1" w:styleId="630">
    <w:name w:val="批注主题 字符"/>
    <w:link w:val="59"/>
    <w:qFormat/>
    <w:uiPriority w:val="0"/>
    <w:rPr>
      <w:rFonts w:hint="default" w:ascii="Calibri" w:hAnsi="Calibri" w:eastAsia="仿宋_GB2312" w:cs="Times New Roman"/>
      <w:b/>
      <w:bCs/>
      <w:color w:val="000000"/>
      <w:sz w:val="28"/>
      <w:szCs w:val="16"/>
      <w:u w:val="none"/>
    </w:rPr>
  </w:style>
  <w:style w:type="character" w:customStyle="1" w:styleId="631">
    <w:name w:val="正文缩进 Char6"/>
    <w:qFormat/>
    <w:uiPriority w:val="0"/>
    <w:rPr>
      <w:rFonts w:hint="default" w:ascii="宋体" w:hAnsi="宋体" w:eastAsia="宋体" w:cs="Times New Roman"/>
      <w:color w:val="000000"/>
      <w:kern w:val="2"/>
      <w:sz w:val="24"/>
      <w:szCs w:val="24"/>
      <w:u w:val="none"/>
      <w:lang w:val="en-US" w:eastAsia="zh-CN"/>
    </w:rPr>
  </w:style>
  <w:style w:type="character" w:customStyle="1" w:styleId="632">
    <w:name w:val="表格内容 Char Char"/>
    <w:link w:val="633"/>
    <w:qFormat/>
    <w:uiPriority w:val="0"/>
    <w:rPr>
      <w:rFonts w:hint="default" w:ascii="Arial" w:hAnsi="Arial" w:eastAsia="仿宋_GB2312" w:cs="Times New Roman"/>
      <w:color w:val="000000"/>
      <w:sz w:val="24"/>
      <w:szCs w:val="16"/>
      <w:u w:val="none"/>
    </w:rPr>
  </w:style>
  <w:style w:type="paragraph" w:customStyle="1" w:styleId="633">
    <w:name w:val="表格内容"/>
    <w:next w:val="1"/>
    <w:link w:val="632"/>
    <w:qFormat/>
    <w:uiPriority w:val="0"/>
    <w:pPr>
      <w:overflowPunct w:val="0"/>
      <w:spacing w:before="40" w:after="60" w:line="200" w:lineRule="atLeast"/>
      <w:textAlignment w:val="baseline"/>
    </w:pPr>
    <w:rPr>
      <w:rFonts w:ascii="Arial" w:hAnsi="Arial" w:eastAsia="宋体" w:cs="Times New Roman"/>
      <w:lang w:val="en-US" w:eastAsia="zh-CN" w:bidi="ar-SA"/>
    </w:rPr>
  </w:style>
  <w:style w:type="paragraph" w:customStyle="1" w:styleId="634">
    <w:name w:val="表格标题"/>
    <w:next w:val="633"/>
    <w:qFormat/>
    <w:uiPriority w:val="0"/>
    <w:rPr>
      <w:rFonts w:ascii="Calibri" w:hAnsi="Calibri" w:eastAsia="黑体" w:cs="Times New Roman"/>
      <w:lang w:val="en-US" w:eastAsia="zh-CN" w:bidi="ar-SA"/>
    </w:rPr>
  </w:style>
  <w:style w:type="paragraph" w:customStyle="1" w:styleId="635">
    <w:name w:val="Y-B-K"/>
    <w:qFormat/>
    <w:uiPriority w:val="0"/>
    <w:pPr>
      <w:jc w:val="center"/>
    </w:pPr>
    <w:rPr>
      <w:rFonts w:ascii="Calibri" w:hAnsi="Calibri" w:eastAsia="宋体" w:cs="Times New Roman"/>
      <w:b/>
      <w:lang w:val="en-US" w:eastAsia="zh-CN" w:bidi="ar-SA"/>
    </w:rPr>
  </w:style>
  <w:style w:type="paragraph" w:customStyle="1" w:styleId="636">
    <w:name w:val="Y"/>
    <w:next w:val="33"/>
    <w:qFormat/>
    <w:uiPriority w:val="0"/>
    <w:pPr>
      <w:spacing w:line="360" w:lineRule="auto"/>
      <w:ind w:firstLine="1044" w:firstLineChars="200"/>
    </w:pPr>
    <w:rPr>
      <w:rFonts w:ascii="Times New Roman" w:hAnsi="Times New Roman" w:eastAsia="宋体" w:cs="Times New Roman"/>
      <w:sz w:val="24"/>
      <w:szCs w:val="22"/>
      <w:lang w:val="en-US" w:eastAsia="zh-CN" w:bidi="ar-SA"/>
    </w:rPr>
  </w:style>
  <w:style w:type="character" w:customStyle="1" w:styleId="637">
    <w:name w:val="Char Char7"/>
    <w:qFormat/>
    <w:uiPriority w:val="99"/>
    <w:rPr>
      <w:rFonts w:hint="default" w:ascii="宋体" w:hAnsi="Times New Roman" w:cs="Times New Roman"/>
      <w:color w:val="000000"/>
      <w:kern w:val="2"/>
      <w:sz w:val="24"/>
      <w:szCs w:val="16"/>
      <w:u w:val="none"/>
    </w:rPr>
  </w:style>
  <w:style w:type="character" w:customStyle="1" w:styleId="638">
    <w:name w:val="表题1 Char711"/>
    <w:qFormat/>
    <w:uiPriority w:val="0"/>
    <w:rPr>
      <w:rFonts w:hint="default" w:ascii="黑体" w:hAnsi="Arial" w:eastAsia="黑体" w:cs="Arial"/>
      <w:b/>
      <w:color w:val="000000"/>
      <w:kern w:val="2"/>
      <w:sz w:val="24"/>
      <w:szCs w:val="24"/>
      <w:u w:val="none"/>
      <w:lang w:val="en-US" w:eastAsia="zh-CN"/>
    </w:rPr>
  </w:style>
  <w:style w:type="character" w:customStyle="1" w:styleId="639">
    <w:name w:val="文本框五号 Char Char Char Char"/>
    <w:qFormat/>
    <w:uiPriority w:val="0"/>
    <w:rPr>
      <w:rFonts w:hint="default" w:ascii="宋体" w:hAnsi="宋体" w:eastAsia="仿宋_GB2312" w:cs="Courier New"/>
      <w:color w:val="000000"/>
      <w:kern w:val="2"/>
      <w:sz w:val="21"/>
      <w:szCs w:val="21"/>
      <w:u w:val="none"/>
      <w:lang w:val="en-US" w:eastAsia="zh-CN"/>
    </w:rPr>
  </w:style>
  <w:style w:type="character" w:customStyle="1" w:styleId="640">
    <w:name w:val="表题1 Char413"/>
    <w:qFormat/>
    <w:uiPriority w:val="0"/>
    <w:rPr>
      <w:rFonts w:hint="default" w:ascii="黑体" w:hAnsi="Arial" w:eastAsia="黑体" w:cs="Arial"/>
      <w:b/>
      <w:color w:val="000000"/>
      <w:kern w:val="2"/>
      <w:sz w:val="24"/>
      <w:szCs w:val="24"/>
      <w:u w:val="none"/>
      <w:lang w:val="en-US" w:eastAsia="zh-CN"/>
    </w:rPr>
  </w:style>
  <w:style w:type="character" w:customStyle="1" w:styleId="641">
    <w:name w:val="Char Char1118"/>
    <w:qFormat/>
    <w:uiPriority w:val="0"/>
    <w:rPr>
      <w:rFonts w:hint="default" w:ascii="黑体" w:hAnsi="Arial" w:eastAsia="黑体" w:cs="Times New Roman"/>
      <w:bCs/>
      <w:color w:val="000000"/>
      <w:kern w:val="2"/>
      <w:sz w:val="30"/>
      <w:szCs w:val="30"/>
      <w:u w:val="none"/>
      <w:lang w:val="en-US" w:eastAsia="zh-CN"/>
    </w:rPr>
  </w:style>
  <w:style w:type="character" w:customStyle="1" w:styleId="642">
    <w:name w:val="节标题1 Char Char"/>
    <w:link w:val="643"/>
    <w:qFormat/>
    <w:uiPriority w:val="0"/>
    <w:rPr>
      <w:rFonts w:hint="default" w:ascii="宋体" w:hAnsi="Times New Roman" w:cs="Times New Roman"/>
      <w:b/>
      <w:color w:val="000000"/>
      <w:sz w:val="24"/>
      <w:szCs w:val="16"/>
      <w:u w:val="none"/>
    </w:rPr>
  </w:style>
  <w:style w:type="paragraph" w:customStyle="1" w:styleId="643">
    <w:name w:val="节标题1"/>
    <w:basedOn w:val="1"/>
    <w:link w:val="642"/>
    <w:qFormat/>
    <w:uiPriority w:val="0"/>
    <w:pPr>
      <w:widowControl/>
      <w:spacing w:before="156"/>
      <w:jc w:val="left"/>
    </w:pPr>
    <w:rPr>
      <w:rFonts w:ascii="宋体"/>
      <w:b/>
    </w:rPr>
  </w:style>
  <w:style w:type="character" w:customStyle="1" w:styleId="644">
    <w:name w:val="Char Char413"/>
    <w:qFormat/>
    <w:uiPriority w:val="0"/>
    <w:rPr>
      <w:rFonts w:hint="default" w:ascii="黑体" w:hAnsi="Arial" w:eastAsia="黑体" w:cs="Times New Roman"/>
      <w:b/>
      <w:bCs/>
      <w:color w:val="000000"/>
      <w:kern w:val="2"/>
      <w:sz w:val="30"/>
      <w:szCs w:val="30"/>
      <w:u w:val="none"/>
      <w:lang w:val="en-US" w:eastAsia="zh-CN"/>
    </w:rPr>
  </w:style>
  <w:style w:type="character" w:customStyle="1" w:styleId="645">
    <w:name w:val="正文格式 Char13"/>
    <w:qFormat/>
    <w:uiPriority w:val="0"/>
    <w:rPr>
      <w:rFonts w:hint="default" w:ascii="宋体" w:hAnsi="宋体" w:eastAsia="宋体" w:cs="Times New Roman"/>
      <w:color w:val="000000"/>
      <w:kern w:val="2"/>
      <w:sz w:val="24"/>
      <w:szCs w:val="24"/>
      <w:u w:val="none"/>
      <w:lang w:val="en-US" w:eastAsia="zh-CN"/>
    </w:rPr>
  </w:style>
  <w:style w:type="character" w:customStyle="1" w:styleId="646">
    <w:name w:val="正文首行缩进 Char21"/>
    <w:qFormat/>
    <w:uiPriority w:val="0"/>
    <w:rPr>
      <w:rFonts w:hint="default" w:ascii="Times New Roman" w:hAnsi="Times New Roman" w:eastAsia="宋体" w:cs="Times New Roman"/>
      <w:color w:val="000000"/>
      <w:kern w:val="2"/>
      <w:sz w:val="24"/>
      <w:szCs w:val="24"/>
      <w:u w:val="none"/>
      <w:lang w:val="en-US" w:eastAsia="zh-CN"/>
    </w:rPr>
  </w:style>
  <w:style w:type="character" w:customStyle="1" w:styleId="647">
    <w:name w:val="正文缩进 Char41"/>
    <w:qFormat/>
    <w:uiPriority w:val="0"/>
    <w:rPr>
      <w:rFonts w:hint="default" w:ascii="宋体" w:hAnsi="宋体" w:eastAsia="宋体" w:cs="宋体"/>
      <w:color w:val="000000"/>
      <w:kern w:val="2"/>
      <w:sz w:val="24"/>
      <w:szCs w:val="24"/>
      <w:u w:val="none"/>
      <w:lang w:val="en-US" w:eastAsia="zh-CN"/>
    </w:rPr>
  </w:style>
  <w:style w:type="character" w:customStyle="1" w:styleId="648">
    <w:name w:val="正文首行缩进 2 Char111"/>
    <w:qFormat/>
    <w:uiPriority w:val="0"/>
    <w:rPr>
      <w:rFonts w:hint="default" w:ascii="宋体" w:hAnsi="宋体" w:eastAsia="仿宋_GB2312" w:cs="宋体"/>
      <w:color w:val="000000"/>
      <w:kern w:val="2"/>
      <w:sz w:val="21"/>
      <w:szCs w:val="24"/>
      <w:u w:val="none"/>
      <w:lang w:val="en-US" w:eastAsia="zh-CN"/>
    </w:rPr>
  </w:style>
  <w:style w:type="character" w:customStyle="1" w:styleId="649">
    <w:name w:val="Char Char38"/>
    <w:qFormat/>
    <w:uiPriority w:val="0"/>
    <w:rPr>
      <w:rFonts w:hint="default" w:ascii="黑体" w:hAnsi="宋体" w:eastAsia="黑体" w:cs="Times New Roman"/>
      <w:b/>
      <w:bCs/>
      <w:color w:val="000000"/>
      <w:kern w:val="2"/>
      <w:sz w:val="28"/>
      <w:szCs w:val="28"/>
      <w:u w:val="none"/>
      <w:lang w:val="en-US" w:eastAsia="zh-CN"/>
    </w:rPr>
  </w:style>
  <w:style w:type="character" w:customStyle="1" w:styleId="650">
    <w:name w:val="文档结构图 Char6"/>
    <w:link w:val="651"/>
    <w:qFormat/>
    <w:uiPriority w:val="0"/>
    <w:rPr>
      <w:rFonts w:hint="default" w:ascii="Times New Roman" w:hAnsi="Times New Roman" w:cs="Times New Roman"/>
      <w:color w:val="000000"/>
      <w:sz w:val="24"/>
      <w:szCs w:val="16"/>
      <w:u w:val="none"/>
      <w:shd w:val="clear" w:color="auto" w:fill="000080"/>
    </w:rPr>
  </w:style>
  <w:style w:type="paragraph" w:customStyle="1" w:styleId="651">
    <w:name w:val="Document Map1"/>
    <w:basedOn w:val="1"/>
    <w:link w:val="650"/>
    <w:qFormat/>
    <w:uiPriority w:val="0"/>
    <w:pPr>
      <w:shd w:val="clear" w:color="auto" w:fill="000080"/>
    </w:pPr>
    <w:rPr>
      <w:shd w:val="clear" w:color="auto" w:fill="000080"/>
    </w:rPr>
  </w:style>
  <w:style w:type="character" w:customStyle="1" w:styleId="652">
    <w:name w:val="结束语 Char"/>
    <w:link w:val="653"/>
    <w:qFormat/>
    <w:uiPriority w:val="0"/>
    <w:rPr>
      <w:rFonts w:hint="default" w:ascii="Times New Roman" w:hAnsi="Times New Roman" w:cs="Times New Roman"/>
      <w:color w:val="000000"/>
      <w:sz w:val="24"/>
      <w:szCs w:val="16"/>
      <w:u w:val="none"/>
    </w:rPr>
  </w:style>
  <w:style w:type="paragraph" w:customStyle="1" w:styleId="653">
    <w:name w:val="结束语1"/>
    <w:basedOn w:val="1"/>
    <w:link w:val="652"/>
    <w:qFormat/>
    <w:uiPriority w:val="0"/>
    <w:pPr>
      <w:widowControl/>
      <w:ind w:left="100" w:leftChars="2100"/>
      <w:jc w:val="left"/>
    </w:pPr>
  </w:style>
  <w:style w:type="character" w:customStyle="1" w:styleId="654">
    <w:name w:val="样式 黑体 小四"/>
    <w:qFormat/>
    <w:uiPriority w:val="0"/>
    <w:rPr>
      <w:rFonts w:hint="default" w:ascii="黑体" w:hAnsi="黑体" w:eastAsia="黑体" w:cs="Times New Roman"/>
      <w:color w:val="000000"/>
      <w:sz w:val="24"/>
      <w:szCs w:val="16"/>
      <w:u w:val="none"/>
    </w:rPr>
  </w:style>
  <w:style w:type="character" w:customStyle="1" w:styleId="655">
    <w:name w:val="Char Char1"/>
    <w:qFormat/>
    <w:uiPriority w:val="0"/>
    <w:rPr>
      <w:rFonts w:hint="default" w:ascii="宋体" w:hAnsi="宋体" w:cs="宋体"/>
      <w:b/>
      <w:bCs/>
      <w:color w:val="000000"/>
      <w:sz w:val="24"/>
      <w:szCs w:val="24"/>
      <w:u w:val="none"/>
    </w:rPr>
  </w:style>
  <w:style w:type="character" w:customStyle="1" w:styleId="656">
    <w:name w:val="题注 Char221"/>
    <w:qFormat/>
    <w:uiPriority w:val="0"/>
    <w:rPr>
      <w:rFonts w:hint="default" w:ascii="黑体" w:hAnsi="Arial" w:eastAsia="黑体" w:cs="Arial"/>
      <w:b/>
      <w:color w:val="000000"/>
      <w:kern w:val="2"/>
      <w:sz w:val="24"/>
      <w:szCs w:val="24"/>
      <w:u w:val="none"/>
      <w:lang w:val="en-US" w:eastAsia="zh-CN"/>
    </w:rPr>
  </w:style>
  <w:style w:type="character" w:customStyle="1" w:styleId="657">
    <w:name w:val="燕山正文 Char17"/>
    <w:qFormat/>
    <w:uiPriority w:val="0"/>
    <w:rPr>
      <w:rFonts w:hint="default" w:ascii="宋体" w:hAnsi="Times New Roman" w:eastAsia="宋体" w:cs="宋体"/>
      <w:color w:val="000000"/>
      <w:kern w:val="2"/>
      <w:sz w:val="24"/>
      <w:szCs w:val="24"/>
      <w:u w:val="none"/>
      <w:lang w:val="en-US" w:eastAsia="zh-CN"/>
    </w:rPr>
  </w:style>
  <w:style w:type="character" w:customStyle="1" w:styleId="658">
    <w:name w:val="正文修改 Char11"/>
    <w:qFormat/>
    <w:uiPriority w:val="0"/>
    <w:rPr>
      <w:rFonts w:hint="default" w:ascii="宋体" w:hAnsi="宋体" w:eastAsia="宋体" w:cs="宋体"/>
      <w:color w:val="000000"/>
      <w:kern w:val="2"/>
      <w:sz w:val="24"/>
      <w:szCs w:val="24"/>
      <w:u w:val="none"/>
      <w:lang w:val="en-US" w:eastAsia="zh-CN"/>
    </w:rPr>
  </w:style>
  <w:style w:type="character" w:customStyle="1" w:styleId="659">
    <w:name w:val="Char Char59"/>
    <w:qFormat/>
    <w:uiPriority w:val="0"/>
    <w:rPr>
      <w:rFonts w:hint="default" w:ascii="黑体" w:hAnsi="宋体" w:eastAsia="黑体" w:cs="Times New Roman"/>
      <w:bCs/>
      <w:color w:val="000000"/>
      <w:kern w:val="2"/>
      <w:sz w:val="28"/>
      <w:szCs w:val="28"/>
      <w:u w:val="none"/>
      <w:lang w:val="en-US" w:eastAsia="zh-CN"/>
    </w:rPr>
  </w:style>
  <w:style w:type="character" w:customStyle="1" w:styleId="660">
    <w:name w:val="javascript1"/>
    <w:qFormat/>
    <w:uiPriority w:val="0"/>
    <w:rPr>
      <w:rFonts w:hint="default" w:ascii="Tahoma" w:hAnsi="Tahoma" w:cs="Tahoma"/>
      <w:color w:val="000000"/>
      <w:sz w:val="21"/>
      <w:szCs w:val="21"/>
      <w:u w:val="none"/>
    </w:rPr>
  </w:style>
  <w:style w:type="character" w:customStyle="1" w:styleId="661">
    <w:name w:val="123YJ Char Char"/>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662">
    <w:name w:val="chen 正文字体 Char Char"/>
    <w:link w:val="663"/>
    <w:qFormat/>
    <w:uiPriority w:val="0"/>
    <w:rPr>
      <w:rFonts w:hint="default" w:ascii="宋体" w:hAnsi="Times New Roman" w:cs="Times New Roman"/>
      <w:color w:val="000000"/>
      <w:sz w:val="24"/>
      <w:szCs w:val="16"/>
      <w:u w:val="none"/>
    </w:rPr>
  </w:style>
  <w:style w:type="paragraph" w:customStyle="1" w:styleId="663">
    <w:name w:val="chen 正文字体"/>
    <w:basedOn w:val="1"/>
    <w:link w:val="662"/>
    <w:qFormat/>
    <w:uiPriority w:val="0"/>
    <w:rPr>
      <w:rFonts w:ascii="宋体"/>
    </w:rPr>
  </w:style>
  <w:style w:type="character" w:customStyle="1" w:styleId="664">
    <w:name w:val="标题四四 Char"/>
    <w:link w:val="665"/>
    <w:qFormat/>
    <w:uiPriority w:val="0"/>
    <w:rPr>
      <w:rFonts w:hint="default" w:ascii="Times New Roman" w:hAnsi="Times New Roman" w:eastAsia="仿宋_GB2312" w:cs="Times New Roman"/>
      <w:color w:val="000000"/>
      <w:kern w:val="0"/>
      <w:sz w:val="28"/>
      <w:szCs w:val="21"/>
      <w:u w:val="none"/>
    </w:rPr>
  </w:style>
  <w:style w:type="paragraph" w:customStyle="1" w:styleId="665">
    <w:name w:val="标题四四"/>
    <w:basedOn w:val="525"/>
    <w:next w:val="1"/>
    <w:link w:val="664"/>
    <w:qFormat/>
    <w:uiPriority w:val="0"/>
    <w:pPr>
      <w:outlineLvl w:val="3"/>
    </w:pPr>
  </w:style>
  <w:style w:type="character" w:customStyle="1" w:styleId="666">
    <w:name w:val="表中文字 Char271"/>
    <w:qFormat/>
    <w:uiPriority w:val="0"/>
    <w:rPr>
      <w:rFonts w:hint="default" w:ascii="宋体" w:hAnsi="Times New Roman" w:eastAsia="宋体" w:cs="Times New Roman"/>
      <w:color w:val="000000"/>
      <w:kern w:val="0"/>
      <w:sz w:val="24"/>
      <w:szCs w:val="21"/>
      <w:u w:val="none"/>
      <w:lang w:val="en-US" w:eastAsia="zh-CN"/>
    </w:rPr>
  </w:style>
  <w:style w:type="character" w:customStyle="1" w:styleId="667">
    <w:name w:val="表格 12 Char Char"/>
    <w:link w:val="668"/>
    <w:qFormat/>
    <w:uiPriority w:val="0"/>
    <w:rPr>
      <w:rFonts w:hint="default" w:ascii="Times New Roman" w:hAnsi="Times New Roman" w:eastAsia="仿宋_GB2312" w:cs="Times New Roman"/>
      <w:color w:val="0000CC"/>
      <w:sz w:val="24"/>
      <w:szCs w:val="16"/>
      <w:u w:val="none"/>
    </w:rPr>
  </w:style>
  <w:style w:type="paragraph" w:customStyle="1" w:styleId="668">
    <w:name w:val="表格 12"/>
    <w:basedOn w:val="1"/>
    <w:link w:val="667"/>
    <w:qFormat/>
    <w:uiPriority w:val="0"/>
    <w:pPr>
      <w:ind w:firstLine="480"/>
      <w:jc w:val="center"/>
    </w:pPr>
    <w:rPr>
      <w:color w:val="0000CC"/>
    </w:rPr>
  </w:style>
  <w:style w:type="character" w:customStyle="1" w:styleId="669">
    <w:name w:val="标题 9 Char1"/>
    <w:qFormat/>
    <w:uiPriority w:val="0"/>
    <w:rPr>
      <w:rFonts w:hint="default" w:ascii="Arial" w:hAnsi="Arial" w:eastAsia="黑体" w:cs="Times New Roman"/>
      <w:color w:val="000000"/>
      <w:kern w:val="2"/>
      <w:sz w:val="21"/>
      <w:szCs w:val="21"/>
      <w:u w:val="none"/>
      <w:lang w:val="en-US" w:eastAsia="zh-CN"/>
    </w:rPr>
  </w:style>
  <w:style w:type="character" w:customStyle="1" w:styleId="670">
    <w:name w:val="谏壁正文chen Char Char"/>
    <w:link w:val="671"/>
    <w:qFormat/>
    <w:uiPriority w:val="0"/>
    <w:rPr>
      <w:rFonts w:hint="default" w:ascii="Times New Roman" w:hAnsi="Times New Roman" w:cs="Times New Roman"/>
      <w:color w:val="000000"/>
      <w:sz w:val="24"/>
      <w:szCs w:val="16"/>
      <w:u w:val="none"/>
    </w:rPr>
  </w:style>
  <w:style w:type="paragraph" w:customStyle="1" w:styleId="671">
    <w:name w:val="谏壁正文chen"/>
    <w:basedOn w:val="1"/>
    <w:link w:val="670"/>
    <w:qFormat/>
    <w:uiPriority w:val="0"/>
  </w:style>
  <w:style w:type="character" w:customStyle="1" w:styleId="672">
    <w:name w:val="正文 文字 Char Char"/>
    <w:link w:val="673"/>
    <w:qFormat/>
    <w:uiPriority w:val="0"/>
    <w:rPr>
      <w:rFonts w:hint="default" w:ascii="Times New Roman" w:hAnsi="Times New Roman" w:eastAsia="仿宋_GB2312" w:cs="Times New Roman"/>
      <w:color w:val="000000"/>
      <w:sz w:val="24"/>
      <w:szCs w:val="16"/>
      <w:u w:val="none"/>
    </w:rPr>
  </w:style>
  <w:style w:type="paragraph" w:customStyle="1" w:styleId="673">
    <w:name w:val="正文 文字"/>
    <w:basedOn w:val="1"/>
    <w:link w:val="672"/>
    <w:qFormat/>
    <w:uiPriority w:val="0"/>
    <w:pPr>
      <w:jc w:val="left"/>
    </w:pPr>
  </w:style>
  <w:style w:type="character" w:customStyle="1" w:styleId="674">
    <w:name w:val="表中文字 Char27"/>
    <w:qFormat/>
    <w:uiPriority w:val="0"/>
    <w:rPr>
      <w:rFonts w:hint="default" w:ascii="宋体" w:hAnsi="Times New Roman" w:eastAsia="宋体" w:cs="Times New Roman"/>
      <w:color w:val="000000"/>
      <w:kern w:val="0"/>
      <w:sz w:val="24"/>
      <w:szCs w:val="21"/>
      <w:u w:val="none"/>
      <w:lang w:val="en-US" w:eastAsia="zh-CN"/>
    </w:rPr>
  </w:style>
  <w:style w:type="character" w:customStyle="1" w:styleId="675">
    <w:name w:val="正文修改 Char12111"/>
    <w:qFormat/>
    <w:uiPriority w:val="0"/>
    <w:rPr>
      <w:rFonts w:hint="default" w:ascii="宋体" w:hAnsi="宋体" w:eastAsia="宋体" w:cs="宋体"/>
      <w:color w:val="000000"/>
      <w:kern w:val="2"/>
      <w:sz w:val="24"/>
      <w:szCs w:val="24"/>
      <w:u w:val="none"/>
      <w:lang w:val="en-US" w:eastAsia="zh-CN"/>
    </w:rPr>
  </w:style>
  <w:style w:type="character" w:customStyle="1" w:styleId="676">
    <w:name w:val="样式 黑色1"/>
    <w:qFormat/>
    <w:uiPriority w:val="0"/>
    <w:rPr>
      <w:rFonts w:hint="default" w:ascii="Times New Roman" w:hAnsi="Times New Roman" w:eastAsia="宋体" w:cs="Times New Roman"/>
      <w:color w:val="auto"/>
      <w:kern w:val="2"/>
      <w:sz w:val="24"/>
      <w:szCs w:val="24"/>
      <w:u w:val="none"/>
      <w:lang w:val="en-US" w:eastAsia="zh-CN"/>
    </w:rPr>
  </w:style>
  <w:style w:type="character" w:customStyle="1" w:styleId="677">
    <w:name w:val="正文(首行缩进) Char1"/>
    <w:qFormat/>
    <w:uiPriority w:val="0"/>
    <w:rPr>
      <w:rFonts w:hint="default" w:ascii="Times New Roman" w:hAnsi="Times New Roman" w:eastAsia="宋体" w:cs="Times New Roman"/>
      <w:snapToGrid w:val="0"/>
      <w:color w:val="000000"/>
      <w:sz w:val="24"/>
      <w:szCs w:val="24"/>
      <w:u w:val="none"/>
      <w:lang w:val="en-US" w:eastAsia="zh-CN"/>
    </w:rPr>
  </w:style>
  <w:style w:type="character" w:customStyle="1" w:styleId="678">
    <w:name w:val="Char Char15"/>
    <w:qFormat/>
    <w:uiPriority w:val="0"/>
    <w:rPr>
      <w:rFonts w:hint="default" w:ascii="Arial" w:hAnsi="Arial" w:eastAsia="黑体" w:cs="宋体"/>
      <w:color w:val="000000"/>
      <w:kern w:val="2"/>
      <w:sz w:val="24"/>
      <w:szCs w:val="24"/>
      <w:u w:val="none"/>
    </w:rPr>
  </w:style>
  <w:style w:type="character" w:customStyle="1" w:styleId="679">
    <w:name w:val="正文修改 Char112"/>
    <w:qFormat/>
    <w:uiPriority w:val="0"/>
    <w:rPr>
      <w:rFonts w:hint="default" w:ascii="宋体" w:hAnsi="宋体" w:eastAsia="宋体" w:cs="宋体"/>
      <w:color w:val="000000"/>
      <w:kern w:val="2"/>
      <w:sz w:val="24"/>
      <w:szCs w:val="24"/>
      <w:u w:val="none"/>
      <w:lang w:val="en-US" w:eastAsia="zh-CN"/>
    </w:rPr>
  </w:style>
  <w:style w:type="character" w:customStyle="1" w:styleId="680">
    <w:name w:val="表题1 Char1"/>
    <w:qFormat/>
    <w:uiPriority w:val="0"/>
    <w:rPr>
      <w:rFonts w:hint="default" w:ascii="黑体" w:hAnsi="Arial" w:eastAsia="黑体" w:cs="Arial"/>
      <w:color w:val="000000"/>
      <w:kern w:val="2"/>
      <w:sz w:val="24"/>
      <w:szCs w:val="24"/>
      <w:u w:val="none"/>
      <w:lang w:val="en-US" w:eastAsia="zh-CN"/>
    </w:rPr>
  </w:style>
  <w:style w:type="character" w:customStyle="1" w:styleId="681">
    <w:name w:val="样式 正文缩进 + 宋体 黑色 Char11"/>
    <w:qFormat/>
    <w:uiPriority w:val="0"/>
    <w:rPr>
      <w:rFonts w:hint="default" w:ascii="宋体" w:hAnsi="宋体" w:eastAsia="宋体" w:cs="Times New Roman"/>
      <w:color w:val="000000"/>
      <w:kern w:val="2"/>
      <w:sz w:val="24"/>
      <w:szCs w:val="24"/>
      <w:u w:val="none"/>
      <w:lang w:val="en-US" w:eastAsia="zh-CN"/>
    </w:rPr>
  </w:style>
  <w:style w:type="character" w:customStyle="1" w:styleId="682">
    <w:name w:val="环正文 Char3"/>
    <w:qFormat/>
    <w:uiPriority w:val="0"/>
    <w:rPr>
      <w:rFonts w:hint="default" w:ascii="宋体" w:hAnsi="宋体" w:eastAsia="宋体" w:cs="Courier New"/>
      <w:color w:val="000000"/>
      <w:sz w:val="24"/>
      <w:szCs w:val="16"/>
      <w:u w:val="none"/>
      <w:lang w:val="en-US" w:eastAsia="zh-CN"/>
    </w:rPr>
  </w:style>
  <w:style w:type="character" w:customStyle="1" w:styleId="683">
    <w:name w:val="表中文字 Char25"/>
    <w:qFormat/>
    <w:uiPriority w:val="0"/>
    <w:rPr>
      <w:rFonts w:hint="default" w:ascii="宋体" w:hAnsi="Times New Roman" w:eastAsia="宋体" w:cs="Times New Roman"/>
      <w:color w:val="000000"/>
      <w:kern w:val="2"/>
      <w:sz w:val="21"/>
      <w:szCs w:val="21"/>
      <w:u w:val="none"/>
      <w:lang w:val="en-US" w:eastAsia="zh-CN"/>
    </w:rPr>
  </w:style>
  <w:style w:type="character" w:customStyle="1" w:styleId="684">
    <w:name w:val="题注 + 居中! Char Char"/>
    <w:link w:val="685"/>
    <w:qFormat/>
    <w:uiPriority w:val="0"/>
    <w:rPr>
      <w:rFonts w:hint="default" w:ascii="黑体" w:hAnsi="Arial" w:eastAsia="黑体" w:cs="Times New Roman"/>
      <w:color w:val="000000"/>
      <w:sz w:val="24"/>
      <w:szCs w:val="16"/>
      <w:u w:val="none"/>
    </w:rPr>
  </w:style>
  <w:style w:type="paragraph" w:customStyle="1" w:styleId="685">
    <w:name w:val="题注 + 居中!"/>
    <w:basedOn w:val="17"/>
    <w:link w:val="684"/>
    <w:qFormat/>
    <w:uiPriority w:val="0"/>
    <w:pPr>
      <w:ind w:firstLine="480"/>
      <w:jc w:val="center"/>
    </w:pPr>
    <w:rPr>
      <w:rFonts w:ascii="黑体"/>
    </w:rPr>
  </w:style>
  <w:style w:type="character" w:customStyle="1" w:styleId="686">
    <w:name w:val="正文修改 Char1331"/>
    <w:qFormat/>
    <w:uiPriority w:val="0"/>
    <w:rPr>
      <w:rFonts w:hint="default" w:ascii="宋体" w:hAnsi="宋体" w:eastAsia="宋体" w:cs="宋体"/>
      <w:color w:val="000000"/>
      <w:kern w:val="2"/>
      <w:sz w:val="24"/>
      <w:szCs w:val="24"/>
      <w:u w:val="none"/>
      <w:lang w:val="en-US" w:eastAsia="zh-CN"/>
    </w:rPr>
  </w:style>
  <w:style w:type="character" w:customStyle="1" w:styleId="687">
    <w:name w:val="正文文本 Char21"/>
    <w:qFormat/>
    <w:uiPriority w:val="0"/>
    <w:rPr>
      <w:rFonts w:hint="default" w:ascii="Times New Roman" w:hAnsi="Times New Roman" w:eastAsia="宋体" w:cs="Times New Roman"/>
      <w:color w:val="000000"/>
      <w:kern w:val="2"/>
      <w:sz w:val="21"/>
      <w:szCs w:val="24"/>
      <w:u w:val="none"/>
      <w:lang w:val="en-US" w:eastAsia="zh-CN"/>
    </w:rPr>
  </w:style>
  <w:style w:type="character" w:customStyle="1" w:styleId="688">
    <w:name w:val="Char Char58"/>
    <w:qFormat/>
    <w:uiPriority w:val="0"/>
    <w:rPr>
      <w:rFonts w:hint="default" w:ascii="黑体" w:hAnsi="宋体" w:eastAsia="黑体" w:cs="Times New Roman"/>
      <w:bCs/>
      <w:color w:val="000000"/>
      <w:kern w:val="2"/>
      <w:sz w:val="28"/>
      <w:szCs w:val="28"/>
      <w:u w:val="none"/>
      <w:lang w:val="en-US" w:eastAsia="zh-CN"/>
    </w:rPr>
  </w:style>
  <w:style w:type="character" w:customStyle="1" w:styleId="689">
    <w:name w:val="样式 表内小5 + 黑体 加粗 倾斜 下划线 Char3"/>
    <w:qFormat/>
    <w:uiPriority w:val="0"/>
    <w:rPr>
      <w:rFonts w:hint="default" w:ascii="黑体" w:hAnsi="黑体" w:eastAsia="黑体" w:cs="Times New Roman"/>
      <w:b/>
      <w:bCs/>
      <w:i/>
      <w:iCs/>
      <w:color w:val="000000"/>
      <w:kern w:val="2"/>
      <w:sz w:val="18"/>
      <w:szCs w:val="24"/>
      <w:u w:val="single"/>
      <w:lang w:val="en-US" w:eastAsia="zh-CN"/>
    </w:rPr>
  </w:style>
  <w:style w:type="character" w:customStyle="1" w:styleId="690">
    <w:name w:val="Char Char21"/>
    <w:qFormat/>
    <w:uiPriority w:val="99"/>
    <w:rPr>
      <w:rFonts w:hint="default" w:ascii="黑体" w:hAnsi="Times New Roman" w:eastAsia="宋体" w:cs="Times New Roman"/>
      <w:color w:val="000000"/>
      <w:kern w:val="2"/>
      <w:sz w:val="16"/>
      <w:szCs w:val="16"/>
      <w:u w:val="none"/>
      <w:lang w:val="en-US" w:eastAsia="zh-CN"/>
    </w:rPr>
  </w:style>
  <w:style w:type="character" w:customStyle="1" w:styleId="691">
    <w:name w:val="表题1 Char4111"/>
    <w:qFormat/>
    <w:uiPriority w:val="0"/>
    <w:rPr>
      <w:rFonts w:hint="default" w:ascii="黑体" w:hAnsi="Arial" w:eastAsia="黑体" w:cs="Arial"/>
      <w:b/>
      <w:color w:val="000000"/>
      <w:kern w:val="2"/>
      <w:sz w:val="24"/>
      <w:szCs w:val="24"/>
      <w:u w:val="none"/>
      <w:lang w:val="en-US" w:eastAsia="zh-CN"/>
    </w:rPr>
  </w:style>
  <w:style w:type="character" w:customStyle="1" w:styleId="692">
    <w:name w:val="表中文字 Char28"/>
    <w:qFormat/>
    <w:uiPriority w:val="0"/>
    <w:rPr>
      <w:rFonts w:hint="default" w:ascii="宋体" w:hAnsi="Times New Roman" w:eastAsia="宋体" w:cs="Times New Roman"/>
      <w:color w:val="000000"/>
      <w:kern w:val="2"/>
      <w:sz w:val="21"/>
      <w:szCs w:val="21"/>
      <w:u w:val="none"/>
      <w:lang w:val="en-US" w:eastAsia="zh-CN"/>
    </w:rPr>
  </w:style>
  <w:style w:type="character" w:customStyle="1" w:styleId="693">
    <w:name w:val="Char Char214"/>
    <w:qFormat/>
    <w:uiPriority w:val="0"/>
    <w:rPr>
      <w:rFonts w:hint="default" w:ascii="黑体" w:hAnsi="Times New Roman" w:eastAsia="宋体" w:cs="Times New Roman"/>
      <w:color w:val="000000"/>
      <w:kern w:val="2"/>
      <w:sz w:val="16"/>
      <w:szCs w:val="16"/>
      <w:u w:val="none"/>
      <w:lang w:val="en-US" w:eastAsia="zh-CN"/>
    </w:rPr>
  </w:style>
  <w:style w:type="character" w:customStyle="1" w:styleId="694">
    <w:name w:val="表格内字体 Char8"/>
    <w:qFormat/>
    <w:uiPriority w:val="0"/>
    <w:rPr>
      <w:rFonts w:hint="default" w:ascii="宋体" w:hAnsi="宋体" w:eastAsia="宋体" w:cs="Times New Roman"/>
      <w:color w:val="000000"/>
      <w:kern w:val="2"/>
      <w:sz w:val="21"/>
      <w:szCs w:val="24"/>
      <w:u w:val="none"/>
      <w:lang w:val="en-US" w:eastAsia="zh-CN"/>
    </w:rPr>
  </w:style>
  <w:style w:type="character" w:customStyle="1" w:styleId="695">
    <w:name w:val="样式 表格内字体 + Char111"/>
    <w:qFormat/>
    <w:uiPriority w:val="0"/>
    <w:rPr>
      <w:rFonts w:hint="default" w:ascii="宋体" w:hAnsi="宋体" w:cs="Times New Roman"/>
      <w:color w:val="000000"/>
      <w:kern w:val="2"/>
      <w:sz w:val="21"/>
      <w:szCs w:val="24"/>
      <w:u w:val="none"/>
    </w:rPr>
  </w:style>
  <w:style w:type="character" w:customStyle="1" w:styleId="696">
    <w:name w:val="标题 6 字符"/>
    <w:link w:val="7"/>
    <w:qFormat/>
    <w:uiPriority w:val="0"/>
    <w:rPr>
      <w:rFonts w:ascii="Arial" w:hAnsi="Arial" w:eastAsia="黑体"/>
      <w:b/>
      <w:color w:val="000000"/>
      <w:kern w:val="2"/>
      <w:sz w:val="24"/>
      <w:szCs w:val="22"/>
    </w:rPr>
  </w:style>
  <w:style w:type="character" w:customStyle="1" w:styleId="697">
    <w:name w:val="表题1 Char21"/>
    <w:qFormat/>
    <w:uiPriority w:val="0"/>
    <w:rPr>
      <w:rFonts w:hint="default" w:ascii="Times New Roman" w:hAnsi="Arial" w:eastAsia="宋体" w:cs="Arial"/>
      <w:color w:val="000000"/>
      <w:kern w:val="2"/>
      <w:sz w:val="24"/>
      <w:szCs w:val="24"/>
      <w:u w:val="none"/>
      <w:lang w:val="en-US" w:eastAsia="zh-CN"/>
    </w:rPr>
  </w:style>
  <w:style w:type="character" w:customStyle="1" w:styleId="698">
    <w:name w:val="样式 标题 1章标题 1h11st levelSection Headl1b1-*+标题 1章ChH1PI... Char Char"/>
    <w:link w:val="699"/>
    <w:qFormat/>
    <w:uiPriority w:val="0"/>
    <w:rPr>
      <w:rFonts w:ascii="宋体" w:hAnsi="宋体" w:eastAsia="黑体"/>
      <w:color w:val="000000"/>
      <w:kern w:val="44"/>
      <w:sz w:val="44"/>
      <w:szCs w:val="22"/>
    </w:rPr>
  </w:style>
  <w:style w:type="paragraph" w:customStyle="1" w:styleId="699">
    <w:name w:val="样式 标题 1章标题 1h11st levelSection Headl1b1-*+标题 1章ChH1PI..."/>
    <w:basedOn w:val="2"/>
    <w:link w:val="698"/>
    <w:qFormat/>
    <w:uiPriority w:val="0"/>
    <w:rPr>
      <w:rFonts w:ascii="宋体" w:hAnsi="宋体" w:eastAsia="黑体"/>
      <w:b w:val="0"/>
      <w:bCs w:val="0"/>
      <w:sz w:val="44"/>
      <w:szCs w:val="22"/>
    </w:rPr>
  </w:style>
  <w:style w:type="character" w:customStyle="1" w:styleId="700">
    <w:name w:val="题注 Char14"/>
    <w:qFormat/>
    <w:uiPriority w:val="0"/>
    <w:rPr>
      <w:rFonts w:hint="default" w:ascii="黑体" w:hAnsi="Arial" w:eastAsia="黑体" w:cs="Arial"/>
      <w:b/>
      <w:color w:val="000000"/>
      <w:kern w:val="2"/>
      <w:sz w:val="24"/>
      <w:szCs w:val="24"/>
      <w:u w:val="none"/>
      <w:lang w:val="en-US" w:eastAsia="zh-CN"/>
    </w:rPr>
  </w:style>
  <w:style w:type="character" w:customStyle="1" w:styleId="701">
    <w:name w:val="Char Char620"/>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702">
    <w:name w:val="Char Char318"/>
    <w:qFormat/>
    <w:uiPriority w:val="0"/>
    <w:rPr>
      <w:rFonts w:hint="default" w:ascii="黑体" w:hAnsi="宋体" w:eastAsia="黑体" w:cs="Times New Roman"/>
      <w:b/>
      <w:bCs/>
      <w:color w:val="000000"/>
      <w:kern w:val="2"/>
      <w:sz w:val="28"/>
      <w:szCs w:val="28"/>
      <w:u w:val="none"/>
      <w:lang w:val="en-US" w:eastAsia="zh-CN"/>
    </w:rPr>
  </w:style>
  <w:style w:type="character" w:customStyle="1" w:styleId="703">
    <w:name w:val="表中文字 Char21"/>
    <w:qFormat/>
    <w:uiPriority w:val="0"/>
    <w:rPr>
      <w:rFonts w:hint="default" w:ascii="宋体" w:hAnsi="Times New Roman" w:eastAsia="宋体" w:cs="Times New Roman"/>
      <w:color w:val="000000"/>
      <w:kern w:val="2"/>
      <w:sz w:val="21"/>
      <w:szCs w:val="21"/>
      <w:u w:val="none"/>
      <w:lang w:val="en-US" w:eastAsia="zh-CN"/>
    </w:rPr>
  </w:style>
  <w:style w:type="character" w:customStyle="1" w:styleId="704">
    <w:name w:val="正文首行缩进 Char3"/>
    <w:qFormat/>
    <w:uiPriority w:val="99"/>
    <w:rPr>
      <w:rFonts w:hint="default" w:ascii="Times New Roman" w:hAnsi="Times New Roman" w:eastAsia="宋体" w:cs="Times New Roman"/>
      <w:color w:val="000000"/>
      <w:kern w:val="2"/>
      <w:sz w:val="21"/>
      <w:szCs w:val="24"/>
      <w:u w:val="none"/>
      <w:lang w:val="en-US" w:eastAsia="zh-CN"/>
    </w:rPr>
  </w:style>
  <w:style w:type="character" w:customStyle="1" w:styleId="705">
    <w:name w:val="font31"/>
    <w:qFormat/>
    <w:uiPriority w:val="0"/>
    <w:rPr>
      <w:rFonts w:hint="eastAsia" w:ascii="宋体" w:hAnsi="宋体" w:eastAsia="宋体" w:cs="宋体"/>
      <w:b/>
      <w:color w:val="000000"/>
      <w:sz w:val="21"/>
      <w:szCs w:val="21"/>
      <w:u w:val="none"/>
    </w:rPr>
  </w:style>
  <w:style w:type="character" w:customStyle="1" w:styleId="706">
    <w:name w:val="燕山正文 Char121"/>
    <w:qFormat/>
    <w:uiPriority w:val="0"/>
    <w:rPr>
      <w:rFonts w:hint="default" w:ascii="宋体" w:hAnsi="Times New Roman" w:eastAsia="宋体" w:cs="宋体"/>
      <w:color w:val="000000"/>
      <w:kern w:val="2"/>
      <w:sz w:val="24"/>
      <w:szCs w:val="24"/>
      <w:u w:val="none"/>
      <w:lang w:val="en-US" w:eastAsia="zh-CN"/>
    </w:rPr>
  </w:style>
  <w:style w:type="character" w:customStyle="1" w:styleId="707">
    <w:name w:val="样式 五号 居中 行距: 单倍行距 Char"/>
    <w:qFormat/>
    <w:uiPriority w:val="0"/>
    <w:rPr>
      <w:rFonts w:hint="default" w:ascii="Times New Roman" w:hAnsi="Times New Roman" w:cs="宋体"/>
      <w:color w:val="000000"/>
      <w:kern w:val="2"/>
      <w:sz w:val="21"/>
      <w:szCs w:val="16"/>
      <w:u w:val="none"/>
    </w:rPr>
  </w:style>
  <w:style w:type="character" w:customStyle="1" w:styleId="708">
    <w:name w:val="题注 Char54"/>
    <w:qFormat/>
    <w:uiPriority w:val="0"/>
    <w:rPr>
      <w:rFonts w:hint="default" w:ascii="黑体" w:hAnsi="Arial" w:eastAsia="黑体" w:cs="Arial"/>
      <w:b/>
      <w:color w:val="000000"/>
      <w:kern w:val="2"/>
      <w:sz w:val="24"/>
      <w:szCs w:val="24"/>
      <w:u w:val="none"/>
      <w:lang w:val="en-US" w:eastAsia="zh-CN"/>
    </w:rPr>
  </w:style>
  <w:style w:type="character" w:customStyle="1" w:styleId="709">
    <w:name w:val="List Paragraph Char Char"/>
    <w:link w:val="710"/>
    <w:qFormat/>
    <w:uiPriority w:val="0"/>
    <w:rPr>
      <w:rFonts w:hint="default" w:ascii="Arial" w:hAnsi="Arial" w:eastAsia="仿宋_GB2312" w:cs="Times New Roman"/>
      <w:color w:val="000000"/>
      <w:sz w:val="28"/>
      <w:szCs w:val="16"/>
      <w:u w:val="none"/>
    </w:rPr>
  </w:style>
  <w:style w:type="paragraph" w:customStyle="1" w:styleId="710">
    <w:name w:val="列出段落1"/>
    <w:basedOn w:val="1"/>
    <w:link w:val="709"/>
    <w:qFormat/>
    <w:uiPriority w:val="34"/>
    <w:pPr>
      <w:overflowPunct w:val="0"/>
      <w:spacing w:line="480" w:lineRule="exact"/>
      <w:ind w:firstLine="420"/>
    </w:pPr>
    <w:rPr>
      <w:rFonts w:ascii="Arial" w:hAnsi="Arial"/>
    </w:rPr>
  </w:style>
  <w:style w:type="character" w:customStyle="1" w:styleId="711">
    <w:name w:val="Char Char115"/>
    <w:qFormat/>
    <w:uiPriority w:val="0"/>
    <w:rPr>
      <w:rFonts w:hint="default" w:ascii="黑体" w:hAnsi="Arial" w:eastAsia="黑体" w:cs="Times New Roman"/>
      <w:bCs/>
      <w:color w:val="000000"/>
      <w:kern w:val="2"/>
      <w:sz w:val="30"/>
      <w:szCs w:val="30"/>
      <w:u w:val="none"/>
      <w:lang w:val="en-US" w:eastAsia="zh-CN"/>
    </w:rPr>
  </w:style>
  <w:style w:type="character" w:customStyle="1" w:styleId="712">
    <w:name w:val="Char Char43"/>
    <w:qFormat/>
    <w:uiPriority w:val="0"/>
    <w:rPr>
      <w:rFonts w:hint="default" w:ascii="黑体" w:hAnsi="Arial" w:eastAsia="黑体" w:cs="Times New Roman"/>
      <w:b/>
      <w:bCs/>
      <w:color w:val="000000"/>
      <w:kern w:val="2"/>
      <w:sz w:val="30"/>
      <w:szCs w:val="30"/>
      <w:u w:val="none"/>
      <w:lang w:val="en-US" w:eastAsia="zh-CN"/>
    </w:rPr>
  </w:style>
  <w:style w:type="character" w:customStyle="1" w:styleId="713">
    <w:name w:val="Char Char311"/>
    <w:qFormat/>
    <w:uiPriority w:val="0"/>
    <w:rPr>
      <w:rFonts w:hint="default" w:ascii="黑体" w:hAnsi="宋体" w:eastAsia="黑体" w:cs="Times New Roman"/>
      <w:b/>
      <w:bCs/>
      <w:color w:val="000000"/>
      <w:kern w:val="2"/>
      <w:sz w:val="28"/>
      <w:szCs w:val="28"/>
      <w:u w:val="none"/>
      <w:lang w:val="en-US" w:eastAsia="zh-CN"/>
    </w:rPr>
  </w:style>
  <w:style w:type="character" w:customStyle="1" w:styleId="714">
    <w:name w:val="标题 8 Char11"/>
    <w:qFormat/>
    <w:uiPriority w:val="0"/>
    <w:rPr>
      <w:rFonts w:hint="default" w:ascii="Arial" w:hAnsi="Arial" w:eastAsia="黑体" w:cs="Times New Roman"/>
      <w:color w:val="000000"/>
      <w:kern w:val="2"/>
      <w:sz w:val="24"/>
      <w:szCs w:val="24"/>
      <w:u w:val="none"/>
      <w:lang w:val="en-US" w:eastAsia="zh-CN"/>
    </w:rPr>
  </w:style>
  <w:style w:type="character" w:customStyle="1" w:styleId="715">
    <w:name w:val="表题1 Char111"/>
    <w:qFormat/>
    <w:uiPriority w:val="0"/>
    <w:rPr>
      <w:rFonts w:hint="default" w:ascii="Times New Roman" w:hAnsi="Arial" w:eastAsia="宋体" w:cs="Arial"/>
      <w:color w:val="000000"/>
      <w:kern w:val="2"/>
      <w:sz w:val="24"/>
      <w:szCs w:val="24"/>
      <w:u w:val="none"/>
      <w:lang w:val="en-US" w:eastAsia="zh-CN"/>
    </w:rPr>
  </w:style>
  <w:style w:type="character" w:customStyle="1" w:styleId="716">
    <w:name w:val="font71"/>
    <w:qFormat/>
    <w:uiPriority w:val="0"/>
    <w:rPr>
      <w:rFonts w:hint="default" w:ascii="Times New Roman" w:hAnsi="Times New Roman" w:cs="Times New Roman"/>
      <w:b/>
      <w:color w:val="000000"/>
      <w:sz w:val="21"/>
      <w:szCs w:val="21"/>
      <w:u w:val="none"/>
    </w:rPr>
  </w:style>
  <w:style w:type="character" w:customStyle="1" w:styleId="717">
    <w:name w:val="福建正文缩进 Char31"/>
    <w:qFormat/>
    <w:uiPriority w:val="0"/>
    <w:rPr>
      <w:rFonts w:hint="default" w:ascii="宋体" w:hAnsi="宋体" w:eastAsia="宋体" w:cs="宋体"/>
      <w:color w:val="000000"/>
      <w:kern w:val="0"/>
      <w:sz w:val="24"/>
      <w:szCs w:val="24"/>
      <w:u w:val="none"/>
      <w:lang w:val="en-US" w:eastAsia="zh-CN"/>
    </w:rPr>
  </w:style>
  <w:style w:type="character" w:customStyle="1" w:styleId="718">
    <w:name w:val="表中文字 Char1"/>
    <w:qFormat/>
    <w:uiPriority w:val="0"/>
    <w:rPr>
      <w:rFonts w:hint="default" w:ascii="Arial" w:hAnsi="Arial" w:eastAsia="宋体" w:cs="Times New Roman"/>
      <w:color w:val="000000"/>
      <w:kern w:val="2"/>
      <w:sz w:val="24"/>
      <w:szCs w:val="24"/>
      <w:u w:val="none"/>
      <w:lang w:val="en-US" w:eastAsia="zh-TW"/>
    </w:rPr>
  </w:style>
  <w:style w:type="character" w:customStyle="1" w:styleId="719">
    <w:name w:val="正文修改 Char161"/>
    <w:qFormat/>
    <w:uiPriority w:val="0"/>
    <w:rPr>
      <w:rFonts w:hint="default" w:ascii="宋体" w:hAnsi="宋体" w:eastAsia="宋体" w:cs="宋体"/>
      <w:color w:val="000000"/>
      <w:kern w:val="2"/>
      <w:sz w:val="24"/>
      <w:szCs w:val="24"/>
      <w:u w:val="none"/>
      <w:lang w:val="en-US" w:eastAsia="zh-CN"/>
    </w:rPr>
  </w:style>
  <w:style w:type="character" w:customStyle="1" w:styleId="720">
    <w:name w:val="标题 6 Char2"/>
    <w:qFormat/>
    <w:uiPriority w:val="0"/>
    <w:rPr>
      <w:rFonts w:hint="default" w:ascii="Arial" w:hAnsi="Arial" w:eastAsia="黑体" w:cs="Times New Roman"/>
      <w:b/>
      <w:bCs/>
      <w:color w:val="000000"/>
      <w:kern w:val="2"/>
      <w:sz w:val="24"/>
      <w:szCs w:val="24"/>
      <w:u w:val="none"/>
      <w:lang w:val="en-US" w:eastAsia="zh-CN"/>
    </w:rPr>
  </w:style>
  <w:style w:type="character" w:customStyle="1" w:styleId="721">
    <w:name w:val="正文修改 Char132"/>
    <w:qFormat/>
    <w:uiPriority w:val="0"/>
    <w:rPr>
      <w:rFonts w:hint="default" w:ascii="宋体" w:hAnsi="宋体" w:eastAsia="宋体" w:cs="宋体"/>
      <w:color w:val="000000"/>
      <w:kern w:val="2"/>
      <w:sz w:val="24"/>
      <w:szCs w:val="24"/>
      <w:u w:val="none"/>
      <w:lang w:val="en-US" w:eastAsia="zh-CN"/>
    </w:rPr>
  </w:style>
  <w:style w:type="character" w:customStyle="1" w:styleId="722">
    <w:name w:val="正文文本 2 Char2"/>
    <w:link w:val="723"/>
    <w:qFormat/>
    <w:uiPriority w:val="99"/>
    <w:rPr>
      <w:rFonts w:hint="default" w:ascii="仿宋_GB2312" w:hAnsi="Times New Roman" w:eastAsia="仿宋_GB2312" w:cs="Times New Roman"/>
      <w:color w:val="000000"/>
      <w:sz w:val="24"/>
      <w:szCs w:val="16"/>
      <w:u w:val="none"/>
    </w:rPr>
  </w:style>
  <w:style w:type="paragraph" w:customStyle="1" w:styleId="723">
    <w:name w:val="Body Text 22"/>
    <w:basedOn w:val="1"/>
    <w:link w:val="722"/>
    <w:qFormat/>
    <w:uiPriority w:val="0"/>
    <w:pPr>
      <w:jc w:val="center"/>
    </w:pPr>
    <w:rPr>
      <w:rFonts w:ascii="仿宋_GB2312"/>
    </w:rPr>
  </w:style>
  <w:style w:type="character" w:customStyle="1" w:styleId="724">
    <w:name w:val="批注框文本 Char7"/>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725">
    <w:name w:val="表格内字体 Char1"/>
    <w:qFormat/>
    <w:uiPriority w:val="0"/>
    <w:rPr>
      <w:rFonts w:hint="default" w:ascii="宋体" w:hAnsi="宋体" w:eastAsia="宋体" w:cs="Times New Roman"/>
      <w:color w:val="000000"/>
      <w:kern w:val="2"/>
      <w:sz w:val="21"/>
      <w:szCs w:val="24"/>
      <w:u w:val="none"/>
      <w:lang w:val="en-US" w:eastAsia="zh-CN"/>
    </w:rPr>
  </w:style>
  <w:style w:type="character" w:customStyle="1" w:styleId="726">
    <w:name w:val="正文格式 Char2"/>
    <w:qFormat/>
    <w:uiPriority w:val="0"/>
    <w:rPr>
      <w:rFonts w:hint="default" w:ascii="宋体" w:hAnsi="宋体" w:eastAsia="宋体" w:cs="Times New Roman"/>
      <w:color w:val="000000"/>
      <w:kern w:val="2"/>
      <w:sz w:val="24"/>
      <w:szCs w:val="24"/>
      <w:u w:val="none"/>
      <w:lang w:val="en-US" w:eastAsia="zh-CN"/>
    </w:rPr>
  </w:style>
  <w:style w:type="character" w:customStyle="1" w:styleId="727">
    <w:name w:val="正文格式 Char Char"/>
    <w:link w:val="418"/>
    <w:qFormat/>
    <w:uiPriority w:val="0"/>
    <w:rPr>
      <w:rFonts w:hint="default" w:ascii="宋体" w:hAnsi="Calibri" w:eastAsia="宋体" w:cs="Times New Roman"/>
      <w:color w:val="000000"/>
      <w:sz w:val="24"/>
      <w:szCs w:val="16"/>
      <w:u w:val="none"/>
    </w:rPr>
  </w:style>
  <w:style w:type="character" w:customStyle="1" w:styleId="728">
    <w:name w:val="样式 表格标题新 + (西文) Times New Roman Char"/>
    <w:link w:val="729"/>
    <w:qFormat/>
    <w:uiPriority w:val="0"/>
    <w:rPr>
      <w:rFonts w:hint="default" w:ascii="Times New Roman" w:hAnsi="Times New Roman" w:eastAsia="黑体" w:cs="Times New Roman"/>
      <w:b/>
      <w:bCs/>
      <w:snapToGrid w:val="0"/>
      <w:color w:val="000000"/>
      <w:spacing w:val="4"/>
      <w:w w:val="90"/>
      <w:kern w:val="0"/>
      <w:sz w:val="24"/>
      <w:szCs w:val="24"/>
      <w:u w:val="none"/>
    </w:rPr>
  </w:style>
  <w:style w:type="paragraph" w:customStyle="1" w:styleId="729">
    <w:name w:val="样式 表格标题新 + (西文) Times New Roman"/>
    <w:basedOn w:val="1"/>
    <w:link w:val="728"/>
    <w:qFormat/>
    <w:uiPriority w:val="0"/>
    <w:pPr>
      <w:tabs>
        <w:tab w:val="left" w:pos="0"/>
      </w:tabs>
      <w:ind w:firstLine="561"/>
      <w:jc w:val="center"/>
    </w:pPr>
    <w:rPr>
      <w:rFonts w:eastAsia="黑体"/>
      <w:b/>
      <w:bCs/>
      <w:snapToGrid w:val="0"/>
      <w:spacing w:val="4"/>
      <w:w w:val="90"/>
      <w:kern w:val="0"/>
      <w:szCs w:val="24"/>
    </w:rPr>
  </w:style>
  <w:style w:type="character" w:customStyle="1" w:styleId="730">
    <w:name w:val="标题 3 Char121"/>
    <w:qFormat/>
    <w:uiPriority w:val="0"/>
    <w:rPr>
      <w:rFonts w:hint="default" w:ascii="黑体" w:hAnsi="宋体" w:eastAsia="黑体" w:cs="Times New Roman"/>
      <w:b/>
      <w:bCs/>
      <w:color w:val="000000"/>
      <w:kern w:val="2"/>
      <w:sz w:val="28"/>
      <w:szCs w:val="28"/>
      <w:u w:val="none"/>
      <w:lang w:val="en-US" w:eastAsia="zh-CN"/>
    </w:rPr>
  </w:style>
  <w:style w:type="character" w:customStyle="1" w:styleId="731">
    <w:name w:val="正文修改 Char143"/>
    <w:qFormat/>
    <w:uiPriority w:val="0"/>
    <w:rPr>
      <w:rFonts w:hint="default" w:ascii="宋体" w:hAnsi="Times New Roman" w:eastAsia="宋体" w:cs="宋体"/>
      <w:color w:val="000000"/>
      <w:kern w:val="2"/>
      <w:sz w:val="24"/>
      <w:szCs w:val="24"/>
      <w:u w:val="none"/>
      <w:lang w:val="en-US" w:eastAsia="zh-CN"/>
    </w:rPr>
  </w:style>
  <w:style w:type="character" w:customStyle="1" w:styleId="732">
    <w:name w:val="福建正文缩进 Char11"/>
    <w:qFormat/>
    <w:uiPriority w:val="0"/>
    <w:rPr>
      <w:rFonts w:hint="default" w:ascii="宋体" w:hAnsi="Times New Roman" w:eastAsia="宋体" w:cs="Times New Roman"/>
      <w:color w:val="000000"/>
      <w:kern w:val="2"/>
      <w:sz w:val="24"/>
      <w:szCs w:val="24"/>
      <w:u w:val="none"/>
      <w:lang w:val="en-US" w:eastAsia="zh-CN"/>
    </w:rPr>
  </w:style>
  <w:style w:type="character" w:customStyle="1" w:styleId="733">
    <w:name w:val="普通(网站) Char1"/>
    <w:link w:val="734"/>
    <w:qFormat/>
    <w:uiPriority w:val="0"/>
    <w:rPr>
      <w:rFonts w:hint="default" w:ascii="Times New Roman" w:hAnsi="Times New Roman" w:cs="Times New Roman"/>
      <w:color w:val="000000"/>
      <w:sz w:val="24"/>
      <w:szCs w:val="16"/>
      <w:u w:val="none"/>
    </w:rPr>
  </w:style>
  <w:style w:type="paragraph" w:customStyle="1" w:styleId="734">
    <w:name w:val="普通(网站)1"/>
    <w:basedOn w:val="1"/>
    <w:link w:val="733"/>
    <w:qFormat/>
    <w:uiPriority w:val="0"/>
    <w:pPr>
      <w:widowControl/>
      <w:jc w:val="left"/>
    </w:pPr>
  </w:style>
  <w:style w:type="character" w:customStyle="1" w:styleId="735">
    <w:name w:val="正文修改 Char15"/>
    <w:qFormat/>
    <w:uiPriority w:val="0"/>
    <w:rPr>
      <w:rFonts w:hint="default" w:ascii="宋体" w:hAnsi="宋体" w:eastAsia="宋体" w:cs="宋体"/>
      <w:color w:val="000000"/>
      <w:kern w:val="2"/>
      <w:sz w:val="24"/>
      <w:szCs w:val="24"/>
      <w:u w:val="none"/>
      <w:lang w:val="en-US" w:eastAsia="zh-CN"/>
    </w:rPr>
  </w:style>
  <w:style w:type="character" w:customStyle="1" w:styleId="736">
    <w:name w:val="纯文本 Char11"/>
    <w:qFormat/>
    <w:uiPriority w:val="0"/>
    <w:rPr>
      <w:rFonts w:hint="default" w:ascii="宋体" w:hAnsi="Courier New" w:eastAsia="宋体" w:cs="Courier New"/>
      <w:color w:val="000000"/>
      <w:kern w:val="2"/>
      <w:sz w:val="21"/>
      <w:szCs w:val="21"/>
      <w:u w:val="none"/>
      <w:lang w:val="en-US" w:eastAsia="zh-CN"/>
    </w:rPr>
  </w:style>
  <w:style w:type="character" w:customStyle="1" w:styleId="737">
    <w:name w:val="正文缩进 Char71"/>
    <w:qFormat/>
    <w:uiPriority w:val="0"/>
    <w:rPr>
      <w:rFonts w:hint="default" w:ascii="宋体" w:hAnsi="宋体" w:eastAsia="宋体" w:cs="Times New Roman"/>
      <w:color w:val="000000"/>
      <w:kern w:val="2"/>
      <w:sz w:val="24"/>
      <w:szCs w:val="24"/>
      <w:u w:val="none"/>
      <w:lang w:val="en-US" w:eastAsia="zh-CN"/>
    </w:rPr>
  </w:style>
  <w:style w:type="character" w:customStyle="1" w:styleId="738">
    <w:name w:val="报告 Char Char"/>
    <w:link w:val="739"/>
    <w:qFormat/>
    <w:uiPriority w:val="0"/>
    <w:rPr>
      <w:rFonts w:hint="default" w:ascii="Times New Roman" w:hAnsi="Times New Roman" w:cs="Times New Roman"/>
      <w:color w:val="000000"/>
      <w:sz w:val="24"/>
      <w:szCs w:val="16"/>
      <w:u w:val="none"/>
    </w:rPr>
  </w:style>
  <w:style w:type="paragraph" w:customStyle="1" w:styleId="739">
    <w:name w:val="报告"/>
    <w:basedOn w:val="1"/>
    <w:link w:val="738"/>
    <w:qFormat/>
    <w:uiPriority w:val="0"/>
    <w:pPr>
      <w:overflowPunct w:val="0"/>
      <w:autoSpaceDE w:val="0"/>
      <w:autoSpaceDN w:val="0"/>
      <w:spacing w:beforeLines="20" w:afterLines="20" w:line="440" w:lineRule="atLeast"/>
      <w:ind w:right="-100" w:rightChars="-100"/>
    </w:pPr>
  </w:style>
  <w:style w:type="character" w:customStyle="1" w:styleId="740">
    <w:name w:val="Char Char641"/>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741">
    <w:name w:val="尾注文本 Char1"/>
    <w:qFormat/>
    <w:uiPriority w:val="0"/>
    <w:rPr>
      <w:rFonts w:hint="default" w:ascii="Times New Roman" w:hAnsi="Times New Roman" w:eastAsia="仿宋_GB2312" w:cs="Times New Roman"/>
      <w:color w:val="000000"/>
      <w:kern w:val="2"/>
      <w:sz w:val="22"/>
      <w:szCs w:val="16"/>
      <w:u w:val="none"/>
    </w:rPr>
  </w:style>
  <w:style w:type="character" w:customStyle="1" w:styleId="742">
    <w:name w:val="题注 Char2111"/>
    <w:qFormat/>
    <w:uiPriority w:val="0"/>
    <w:rPr>
      <w:rFonts w:hint="default" w:ascii="黑体" w:hAnsi="Arial" w:eastAsia="黑体" w:cs="Arial"/>
      <w:b/>
      <w:color w:val="000000"/>
      <w:kern w:val="2"/>
      <w:sz w:val="24"/>
      <w:szCs w:val="24"/>
      <w:u w:val="none"/>
      <w:lang w:val="en-US" w:eastAsia="zh-CN"/>
    </w:rPr>
  </w:style>
  <w:style w:type="character" w:customStyle="1" w:styleId="743">
    <w:name w:val="题注 字符"/>
    <w:link w:val="17"/>
    <w:qFormat/>
    <w:uiPriority w:val="0"/>
    <w:rPr>
      <w:rFonts w:hint="default" w:ascii="Arial" w:hAnsi="Arial" w:eastAsia="黑体" w:cs="Times New Roman"/>
      <w:color w:val="000000"/>
      <w:sz w:val="28"/>
      <w:szCs w:val="16"/>
      <w:u w:val="none"/>
    </w:rPr>
  </w:style>
  <w:style w:type="character" w:customStyle="1" w:styleId="744">
    <w:name w:val="Heading 6 Char"/>
    <w:qFormat/>
    <w:uiPriority w:val="0"/>
    <w:rPr>
      <w:rFonts w:hint="default" w:ascii="Cambria" w:hAnsi="Cambria" w:eastAsia="宋体" w:cs="黑体"/>
      <w:b/>
      <w:bCs/>
      <w:color w:val="000000"/>
      <w:kern w:val="2"/>
      <w:sz w:val="24"/>
      <w:szCs w:val="24"/>
      <w:u w:val="none"/>
    </w:rPr>
  </w:style>
  <w:style w:type="character" w:customStyle="1" w:styleId="745">
    <w:name w:val="正文修改 Char133"/>
    <w:qFormat/>
    <w:uiPriority w:val="0"/>
    <w:rPr>
      <w:rFonts w:hint="default" w:ascii="宋体" w:hAnsi="宋体" w:eastAsia="宋体" w:cs="宋体"/>
      <w:color w:val="000000"/>
      <w:kern w:val="2"/>
      <w:sz w:val="24"/>
      <w:szCs w:val="24"/>
      <w:u w:val="none"/>
      <w:lang w:val="en-US" w:eastAsia="zh-CN"/>
    </w:rPr>
  </w:style>
  <w:style w:type="character" w:customStyle="1" w:styleId="746">
    <w:name w:val="font51"/>
    <w:qFormat/>
    <w:uiPriority w:val="0"/>
    <w:rPr>
      <w:rFonts w:hint="eastAsia" w:ascii="宋体" w:hAnsi="宋体" w:eastAsia="宋体" w:cs="Times New Roman"/>
      <w:color w:val="000000"/>
      <w:sz w:val="15"/>
      <w:szCs w:val="15"/>
      <w:u w:val="none"/>
    </w:rPr>
  </w:style>
  <w:style w:type="character" w:customStyle="1" w:styleId="747">
    <w:name w:val="正文文本缩进 3 Char21"/>
    <w:qFormat/>
    <w:uiPriority w:val="0"/>
    <w:rPr>
      <w:rFonts w:hint="default" w:ascii="Times New Roman" w:hAnsi="Times New Roman" w:eastAsia="宋体" w:cs="Times New Roman"/>
      <w:color w:val="000000"/>
      <w:kern w:val="2"/>
      <w:sz w:val="16"/>
      <w:szCs w:val="16"/>
      <w:u w:val="none"/>
      <w:lang w:val="en-US" w:eastAsia="zh-CN"/>
    </w:rPr>
  </w:style>
  <w:style w:type="character" w:customStyle="1" w:styleId="748">
    <w:name w:val="样式 表内小5 + 黑体 加粗 倾斜 下划线 Char52"/>
    <w:qFormat/>
    <w:uiPriority w:val="0"/>
    <w:rPr>
      <w:rFonts w:hint="default" w:ascii="黑体" w:hAnsi="黑体" w:eastAsia="黑体" w:cs="Times New Roman"/>
      <w:b/>
      <w:bCs/>
      <w:i/>
      <w:iCs/>
      <w:color w:val="000000"/>
      <w:kern w:val="2"/>
      <w:sz w:val="18"/>
      <w:szCs w:val="24"/>
      <w:u w:val="single"/>
      <w:lang w:val="en-US" w:eastAsia="zh-CN"/>
    </w:rPr>
  </w:style>
  <w:style w:type="character" w:customStyle="1" w:styleId="749">
    <w:name w:val="px141"/>
    <w:qFormat/>
    <w:uiPriority w:val="0"/>
    <w:rPr>
      <w:rFonts w:hint="default" w:ascii="Times New Roman" w:hAnsi="Times New Roman" w:eastAsia="宋体" w:cs="Times New Roman"/>
      <w:color w:val="000000"/>
      <w:kern w:val="2"/>
      <w:sz w:val="25"/>
      <w:szCs w:val="25"/>
      <w:u w:val="none"/>
      <w:lang w:val="en-US" w:eastAsia="zh-CN"/>
    </w:rPr>
  </w:style>
  <w:style w:type="character" w:customStyle="1" w:styleId="750">
    <w:name w:val="正文首行缩进 2 Char3"/>
    <w:link w:val="751"/>
    <w:qFormat/>
    <w:uiPriority w:val="0"/>
    <w:rPr>
      <w:rFonts w:hint="default" w:ascii="Times New Roman" w:hAnsi="Times New Roman" w:eastAsia="仿宋_GB2312" w:cs="Times New Roman"/>
      <w:color w:val="000000"/>
      <w:sz w:val="28"/>
      <w:szCs w:val="16"/>
      <w:u w:val="none"/>
    </w:rPr>
  </w:style>
  <w:style w:type="paragraph" w:customStyle="1" w:styleId="751">
    <w:name w:val="正文首行缩进 22"/>
    <w:link w:val="750"/>
    <w:qFormat/>
    <w:uiPriority w:val="0"/>
    <w:pPr>
      <w:tabs>
        <w:tab w:val="left" w:pos="420"/>
        <w:tab w:val="left" w:pos="870"/>
        <w:tab w:val="left" w:pos="3150"/>
      </w:tabs>
      <w:autoSpaceDE w:val="0"/>
      <w:autoSpaceDN w:val="0"/>
      <w:spacing w:beforeLines="25" w:line="336" w:lineRule="auto"/>
      <w:ind w:firstLine="527"/>
      <w:textAlignment w:val="baseline"/>
    </w:pPr>
    <w:rPr>
      <w:rFonts w:ascii="Times New Roman" w:hAnsi="Times New Roman" w:eastAsia="宋体" w:cs="Times New Roman"/>
      <w:sz w:val="28"/>
      <w:lang w:val="en-US" w:eastAsia="zh-CN" w:bidi="ar-SA"/>
    </w:rPr>
  </w:style>
  <w:style w:type="paragraph" w:customStyle="1" w:styleId="752">
    <w:name w:val="正文文本缩进1"/>
    <w:basedOn w:val="1"/>
    <w:link w:val="1256"/>
    <w:qFormat/>
    <w:uiPriority w:val="0"/>
    <w:pPr>
      <w:spacing w:after="120"/>
      <w:ind w:left="420" w:leftChars="200"/>
    </w:pPr>
    <w:rPr>
      <w:sz w:val="22"/>
    </w:rPr>
  </w:style>
  <w:style w:type="character" w:customStyle="1" w:styleId="753">
    <w:name w:val="和桥报告正文 Char Char"/>
    <w:link w:val="754"/>
    <w:qFormat/>
    <w:uiPriority w:val="0"/>
    <w:rPr>
      <w:rFonts w:hint="default" w:ascii="Times New Roman" w:hAnsi="Times New Roman" w:cs="Times New Roman"/>
      <w:color w:val="000000"/>
      <w:kern w:val="24"/>
      <w:sz w:val="16"/>
      <w:szCs w:val="16"/>
      <w:u w:val="none"/>
    </w:rPr>
  </w:style>
  <w:style w:type="paragraph" w:customStyle="1" w:styleId="754">
    <w:name w:val="和桥报告正文"/>
    <w:basedOn w:val="1"/>
    <w:link w:val="753"/>
    <w:qFormat/>
    <w:uiPriority w:val="0"/>
    <w:pPr>
      <w:widowControl/>
      <w:ind w:firstLine="482"/>
      <w:jc w:val="left"/>
      <w:textAlignment w:val="baseline"/>
    </w:pPr>
    <w:rPr>
      <w:kern w:val="24"/>
    </w:rPr>
  </w:style>
  <w:style w:type="character" w:customStyle="1" w:styleId="755">
    <w:name w:val="Char Char1117"/>
    <w:qFormat/>
    <w:uiPriority w:val="0"/>
    <w:rPr>
      <w:rFonts w:hint="default" w:ascii="黑体" w:hAnsi="Arial" w:eastAsia="黑体" w:cs="Times New Roman"/>
      <w:bCs/>
      <w:color w:val="000000"/>
      <w:kern w:val="2"/>
      <w:sz w:val="30"/>
      <w:szCs w:val="30"/>
      <w:u w:val="none"/>
      <w:lang w:val="en-US" w:eastAsia="zh-CN"/>
    </w:rPr>
  </w:style>
  <w:style w:type="character" w:customStyle="1" w:styleId="756">
    <w:name w:val="font01"/>
    <w:qFormat/>
    <w:uiPriority w:val="0"/>
    <w:rPr>
      <w:rFonts w:hint="eastAsia" w:ascii="宋体" w:hAnsi="宋体" w:eastAsia="宋体" w:cs="宋体"/>
      <w:color w:val="000000"/>
      <w:sz w:val="21"/>
      <w:szCs w:val="21"/>
      <w:u w:val="none"/>
    </w:rPr>
  </w:style>
  <w:style w:type="character" w:customStyle="1" w:styleId="757">
    <w:name w:val="标题4 Char4"/>
    <w:qFormat/>
    <w:uiPriority w:val="0"/>
    <w:rPr>
      <w:rFonts w:hint="default" w:ascii="黑体" w:hAnsi="Arial" w:eastAsia="黑体" w:cs="Times New Roman"/>
      <w:b/>
      <w:bCs/>
      <w:color w:val="000000"/>
      <w:kern w:val="2"/>
      <w:sz w:val="24"/>
      <w:szCs w:val="28"/>
      <w:u w:val="none"/>
      <w:lang w:val="en-US" w:eastAsia="zh-CN"/>
    </w:rPr>
  </w:style>
  <w:style w:type="character" w:customStyle="1" w:styleId="758">
    <w:name w:val="表蕊居中 Char Char"/>
    <w:link w:val="759"/>
    <w:qFormat/>
    <w:uiPriority w:val="0"/>
    <w:rPr>
      <w:rFonts w:hint="default" w:ascii="宋体" w:hAnsi="Times New Roman" w:cs="Times New Roman"/>
      <w:color w:val="FF0000"/>
      <w:sz w:val="24"/>
      <w:szCs w:val="16"/>
      <w:u w:val="none"/>
    </w:rPr>
  </w:style>
  <w:style w:type="paragraph" w:customStyle="1" w:styleId="759">
    <w:name w:val="表蕊居中"/>
    <w:basedOn w:val="1"/>
    <w:link w:val="758"/>
    <w:qFormat/>
    <w:uiPriority w:val="0"/>
    <w:pPr>
      <w:widowControl/>
      <w:suppressAutoHyphens/>
      <w:spacing w:line="280" w:lineRule="exact"/>
      <w:ind w:right="31" w:rightChars="15"/>
      <w:jc w:val="center"/>
      <w:textAlignment w:val="baseline"/>
    </w:pPr>
    <w:rPr>
      <w:rFonts w:ascii="宋体"/>
      <w:color w:val="FF0000"/>
    </w:rPr>
  </w:style>
  <w:style w:type="character" w:customStyle="1" w:styleId="760">
    <w:name w:val="正文首行缩进 2 Char31"/>
    <w:qFormat/>
    <w:uiPriority w:val="0"/>
    <w:rPr>
      <w:rFonts w:hint="default" w:ascii="仿宋_GB2312" w:hAnsi="Times New Roman" w:eastAsia="仿宋_GB2312" w:cs="Times New Roman"/>
      <w:color w:val="000000"/>
      <w:kern w:val="2"/>
      <w:sz w:val="24"/>
      <w:szCs w:val="24"/>
      <w:u w:val="none"/>
      <w:lang w:val="en-US" w:eastAsia="zh-CN"/>
    </w:rPr>
  </w:style>
  <w:style w:type="character" w:customStyle="1" w:styleId="761">
    <w:name w:val="环正文 Char4"/>
    <w:qFormat/>
    <w:uiPriority w:val="0"/>
    <w:rPr>
      <w:rFonts w:hint="default" w:ascii="Times New Roman" w:hAnsi="宋体" w:eastAsia="宋体" w:cs="Times New Roman"/>
      <w:color w:val="000000"/>
      <w:sz w:val="28"/>
      <w:szCs w:val="28"/>
      <w:u w:val="none"/>
      <w:lang w:val="en-US" w:eastAsia="zh-CN"/>
    </w:rPr>
  </w:style>
  <w:style w:type="character" w:customStyle="1" w:styleId="762">
    <w:name w:val="Char Char68"/>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763">
    <w:name w:val="Heading 7 Char"/>
    <w:qFormat/>
    <w:uiPriority w:val="0"/>
    <w:rPr>
      <w:rFonts w:hint="default" w:ascii="Times New Roman" w:hAnsi="Times New Roman" w:eastAsia="仿宋_GB2312" w:cs="Times New Roman"/>
      <w:b/>
      <w:bCs/>
      <w:color w:val="000000"/>
      <w:kern w:val="2"/>
      <w:sz w:val="24"/>
      <w:szCs w:val="24"/>
      <w:u w:val="none"/>
    </w:rPr>
  </w:style>
  <w:style w:type="character" w:customStyle="1" w:styleId="764">
    <w:name w:val="标题4 Char3"/>
    <w:qFormat/>
    <w:uiPriority w:val="0"/>
    <w:rPr>
      <w:rFonts w:hint="default" w:ascii="黑体" w:hAnsi="Arial" w:eastAsia="黑体" w:cs="Times New Roman"/>
      <w:b/>
      <w:bCs/>
      <w:color w:val="000000"/>
      <w:kern w:val="2"/>
      <w:sz w:val="24"/>
      <w:szCs w:val="28"/>
      <w:u w:val="none"/>
      <w:lang w:val="en-US" w:eastAsia="zh-CN"/>
    </w:rPr>
  </w:style>
  <w:style w:type="character" w:customStyle="1" w:styleId="765">
    <w:name w:val="环评正文 Char4"/>
    <w:qFormat/>
    <w:uiPriority w:val="0"/>
    <w:rPr>
      <w:rFonts w:hint="default" w:ascii="Times New Roman" w:hAnsi="Times New Roman" w:eastAsia="宋体" w:cs="Times New Roman"/>
      <w:bCs/>
      <w:color w:val="000000"/>
      <w:kern w:val="2"/>
      <w:sz w:val="24"/>
      <w:szCs w:val="24"/>
      <w:u w:val="none"/>
      <w:lang w:val="en-US" w:eastAsia="zh-CN"/>
    </w:rPr>
  </w:style>
  <w:style w:type="character" w:customStyle="1" w:styleId="766">
    <w:name w:val="Char Char125"/>
    <w:qFormat/>
    <w:uiPriority w:val="0"/>
    <w:rPr>
      <w:rFonts w:hint="default" w:ascii="黑体" w:hAnsi="Arial" w:eastAsia="黑体" w:cs="Times New Roman"/>
      <w:b/>
      <w:bCs/>
      <w:color w:val="000000"/>
      <w:kern w:val="2"/>
      <w:sz w:val="30"/>
      <w:szCs w:val="30"/>
      <w:u w:val="none"/>
      <w:lang w:val="en-US" w:eastAsia="zh-CN"/>
    </w:rPr>
  </w:style>
  <w:style w:type="character" w:customStyle="1" w:styleId="767">
    <w:name w:val="无级项 Char3"/>
    <w:qFormat/>
    <w:uiPriority w:val="0"/>
    <w:rPr>
      <w:rFonts w:hint="default" w:ascii="Times New Roman" w:hAnsi="Times New Roman" w:eastAsia="宋体" w:cs="Times New Roman"/>
      <w:b/>
      <w:bCs/>
      <w:color w:val="000000"/>
      <w:kern w:val="2"/>
      <w:sz w:val="24"/>
      <w:szCs w:val="24"/>
      <w:u w:val="none"/>
      <w:lang w:val="en-US" w:eastAsia="zh-CN"/>
    </w:rPr>
  </w:style>
  <w:style w:type="character" w:customStyle="1" w:styleId="768">
    <w:name w:val="样式 (中文) 黑体 五号 加粗 居中 行距: 单倍行距 Char"/>
    <w:qFormat/>
    <w:uiPriority w:val="0"/>
    <w:rPr>
      <w:rFonts w:hint="default" w:ascii="Times New Roman" w:hAnsi="Times New Roman" w:eastAsia="黑体" w:cs="宋体"/>
      <w:b/>
      <w:bCs/>
      <w:color w:val="000000"/>
      <w:kern w:val="2"/>
      <w:sz w:val="21"/>
      <w:szCs w:val="16"/>
      <w:u w:val="none"/>
    </w:rPr>
  </w:style>
  <w:style w:type="character" w:customStyle="1" w:styleId="769">
    <w:name w:val="Char Char22"/>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770">
    <w:name w:val="图表题 Char13"/>
    <w:qFormat/>
    <w:uiPriority w:val="0"/>
    <w:rPr>
      <w:rFonts w:hint="default" w:ascii="黑体" w:hAnsi="宋体" w:eastAsia="黑体" w:cs="宋体"/>
      <w:b/>
      <w:bCs/>
      <w:color w:val="000000"/>
      <w:kern w:val="2"/>
      <w:sz w:val="24"/>
      <w:szCs w:val="24"/>
      <w:u w:val="none"/>
      <w:lang w:val="en-US" w:eastAsia="zh-CN"/>
    </w:rPr>
  </w:style>
  <w:style w:type="character" w:customStyle="1" w:styleId="771">
    <w:name w:val="干标题(a) Char1"/>
    <w:qFormat/>
    <w:uiPriority w:val="0"/>
    <w:rPr>
      <w:rFonts w:hint="default" w:ascii="Arial" w:hAnsi="Arial" w:eastAsia="黑体" w:cs="Times New Roman"/>
      <w:color w:val="000000"/>
      <w:kern w:val="2"/>
      <w:sz w:val="21"/>
      <w:szCs w:val="21"/>
      <w:u w:val="none"/>
      <w:lang w:val="en-US" w:eastAsia="zh-CN"/>
    </w:rPr>
  </w:style>
  <w:style w:type="character" w:customStyle="1" w:styleId="772">
    <w:name w:val="Char Char32"/>
    <w:qFormat/>
    <w:uiPriority w:val="0"/>
    <w:rPr>
      <w:rFonts w:hint="default" w:ascii="黑体" w:hAnsi="宋体" w:eastAsia="黑体" w:cs="Times New Roman"/>
      <w:b/>
      <w:bCs/>
      <w:color w:val="000000"/>
      <w:kern w:val="2"/>
      <w:sz w:val="28"/>
      <w:szCs w:val="28"/>
      <w:u w:val="none"/>
      <w:lang w:val="en-US" w:eastAsia="zh-CN"/>
    </w:rPr>
  </w:style>
  <w:style w:type="character" w:customStyle="1" w:styleId="773">
    <w:name w:val="正文格式 Char31"/>
    <w:qFormat/>
    <w:uiPriority w:val="0"/>
    <w:rPr>
      <w:rFonts w:hint="default" w:ascii="宋体" w:hAnsi="宋体" w:eastAsia="宋体" w:cs="Times New Roman"/>
      <w:color w:val="000000"/>
      <w:kern w:val="2"/>
      <w:sz w:val="24"/>
      <w:szCs w:val="24"/>
      <w:u w:val="none"/>
      <w:lang w:val="en-US" w:eastAsia="zh-CN"/>
    </w:rPr>
  </w:style>
  <w:style w:type="character" w:customStyle="1" w:styleId="774">
    <w:name w:val="页眉 Char4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775">
    <w:name w:val="Char Char613"/>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776">
    <w:name w:val="表题1 Char6"/>
    <w:qFormat/>
    <w:uiPriority w:val="0"/>
    <w:rPr>
      <w:rFonts w:hint="default" w:ascii="黑体" w:hAnsi="Arial" w:eastAsia="黑体" w:cs="Arial"/>
      <w:b/>
      <w:color w:val="000000"/>
      <w:kern w:val="2"/>
      <w:sz w:val="24"/>
      <w:szCs w:val="24"/>
      <w:u w:val="none"/>
      <w:lang w:val="en-US" w:eastAsia="zh-CN"/>
    </w:rPr>
  </w:style>
  <w:style w:type="character" w:customStyle="1" w:styleId="777">
    <w:name w:val="正文修改 Char141"/>
    <w:qFormat/>
    <w:uiPriority w:val="0"/>
    <w:rPr>
      <w:rFonts w:hint="default" w:ascii="宋体" w:hAnsi="Times New Roman" w:cs="宋体"/>
      <w:color w:val="000000"/>
      <w:kern w:val="2"/>
      <w:sz w:val="24"/>
      <w:szCs w:val="24"/>
      <w:u w:val="none"/>
    </w:rPr>
  </w:style>
  <w:style w:type="character" w:customStyle="1" w:styleId="778">
    <w:name w:val="燕山正文 Char16"/>
    <w:qFormat/>
    <w:uiPriority w:val="0"/>
    <w:rPr>
      <w:rFonts w:hint="default" w:ascii="宋体" w:hAnsi="Times New Roman" w:eastAsia="宋体" w:cs="宋体"/>
      <w:color w:val="000000"/>
      <w:kern w:val="2"/>
      <w:sz w:val="24"/>
      <w:szCs w:val="24"/>
      <w:u w:val="none"/>
      <w:lang w:val="en-US" w:eastAsia="zh-CN"/>
    </w:rPr>
  </w:style>
  <w:style w:type="character" w:customStyle="1" w:styleId="779">
    <w:name w:val="正文修改 Char1213"/>
    <w:qFormat/>
    <w:uiPriority w:val="0"/>
    <w:rPr>
      <w:rFonts w:hint="default" w:ascii="宋体" w:hAnsi="宋体" w:eastAsia="宋体" w:cs="宋体"/>
      <w:color w:val="000000"/>
      <w:kern w:val="2"/>
      <w:sz w:val="24"/>
      <w:szCs w:val="24"/>
      <w:u w:val="none"/>
      <w:lang w:val="en-US" w:eastAsia="zh-CN"/>
    </w:rPr>
  </w:style>
  <w:style w:type="character" w:customStyle="1" w:styleId="780">
    <w:name w:val="福建正文缩进 Char1"/>
    <w:qFormat/>
    <w:uiPriority w:val="0"/>
    <w:rPr>
      <w:rFonts w:hint="default" w:ascii="宋体" w:hAnsi="Times New Roman" w:eastAsia="宋体" w:cs="Times New Roman"/>
      <w:color w:val="000000"/>
      <w:kern w:val="2"/>
      <w:sz w:val="24"/>
      <w:szCs w:val="24"/>
      <w:u w:val="none"/>
      <w:lang w:val="en-US" w:eastAsia="zh-CN"/>
    </w:rPr>
  </w:style>
  <w:style w:type="character" w:customStyle="1" w:styleId="781">
    <w:name w:val="正文文本缩进 2 Char1"/>
    <w:link w:val="782"/>
    <w:qFormat/>
    <w:uiPriority w:val="99"/>
    <w:rPr>
      <w:rFonts w:hint="default" w:ascii="Times New Roman" w:hAnsi="Times New Roman" w:cs="Times New Roman"/>
      <w:color w:val="000000"/>
      <w:sz w:val="22"/>
      <w:szCs w:val="16"/>
      <w:u w:val="none"/>
    </w:rPr>
  </w:style>
  <w:style w:type="paragraph" w:customStyle="1" w:styleId="782">
    <w:name w:val="正文文本缩进 21"/>
    <w:basedOn w:val="1"/>
    <w:link w:val="781"/>
    <w:qFormat/>
    <w:uiPriority w:val="0"/>
    <w:pPr>
      <w:widowControl/>
      <w:ind w:firstLine="480"/>
      <w:jc w:val="left"/>
      <w:textAlignment w:val="baseline"/>
    </w:pPr>
    <w:rPr>
      <w:sz w:val="22"/>
    </w:rPr>
  </w:style>
  <w:style w:type="character" w:customStyle="1" w:styleId="783">
    <w:name w:val="标题 5 Char2"/>
    <w:qFormat/>
    <w:uiPriority w:val="0"/>
    <w:rPr>
      <w:rFonts w:hint="default" w:ascii="Times New Roman" w:hAnsi="Times New Roman" w:eastAsia="宋体" w:cs="Times New Roman"/>
      <w:b/>
      <w:bCs/>
      <w:color w:val="000000"/>
      <w:kern w:val="2"/>
      <w:sz w:val="28"/>
      <w:szCs w:val="28"/>
      <w:u w:val="none"/>
      <w:lang w:val="en-US" w:eastAsia="zh-CN"/>
    </w:rPr>
  </w:style>
  <w:style w:type="character" w:customStyle="1" w:styleId="784">
    <w:name w:val="正文修改 Char1"/>
    <w:link w:val="785"/>
    <w:qFormat/>
    <w:uiPriority w:val="0"/>
    <w:rPr>
      <w:rFonts w:hint="default" w:ascii="宋体" w:hAnsi="Times New Roman" w:cs="Times New Roman"/>
      <w:color w:val="000000"/>
      <w:sz w:val="24"/>
      <w:szCs w:val="16"/>
      <w:u w:val="none"/>
    </w:rPr>
  </w:style>
  <w:style w:type="paragraph" w:customStyle="1" w:styleId="785">
    <w:name w:val="正文修改"/>
    <w:link w:val="784"/>
    <w:qFormat/>
    <w:uiPriority w:val="0"/>
    <w:pPr>
      <w:tabs>
        <w:tab w:val="left" w:pos="4680"/>
      </w:tabs>
    </w:pPr>
    <w:rPr>
      <w:rFonts w:ascii="Times New Roman" w:hAnsi="Times New Roman" w:eastAsia="宋体" w:cs="Times New Roman"/>
      <w:lang w:val="en-US" w:eastAsia="zh-CN" w:bidi="ar-SA"/>
    </w:rPr>
  </w:style>
  <w:style w:type="paragraph" w:customStyle="1" w:styleId="786">
    <w:name w:val="燕山正文"/>
    <w:basedOn w:val="1"/>
    <w:link w:val="1453"/>
    <w:qFormat/>
    <w:uiPriority w:val="0"/>
    <w:pPr>
      <w:widowControl/>
      <w:tabs>
        <w:tab w:val="left" w:pos="4680"/>
      </w:tabs>
      <w:spacing w:line="480" w:lineRule="exact"/>
      <w:jc w:val="left"/>
    </w:pPr>
    <w:rPr>
      <w:rFonts w:ascii="宋体" w:eastAsia="Times New Roman"/>
    </w:rPr>
  </w:style>
  <w:style w:type="character" w:customStyle="1" w:styleId="787">
    <w:name w:val="表题1 Char73"/>
    <w:qFormat/>
    <w:uiPriority w:val="0"/>
    <w:rPr>
      <w:rFonts w:hint="default" w:ascii="黑体" w:hAnsi="Arial" w:eastAsia="黑体" w:cs="Arial"/>
      <w:b/>
      <w:color w:val="000000"/>
      <w:kern w:val="2"/>
      <w:sz w:val="24"/>
      <w:szCs w:val="24"/>
      <w:u w:val="none"/>
      <w:lang w:val="en-US" w:eastAsia="zh-CN"/>
    </w:rPr>
  </w:style>
  <w:style w:type="character" w:customStyle="1" w:styleId="788">
    <w:name w:val="题注 Char121"/>
    <w:qFormat/>
    <w:uiPriority w:val="0"/>
    <w:rPr>
      <w:rFonts w:hint="default" w:ascii="黑体" w:hAnsi="Arial" w:eastAsia="黑体" w:cs="Arial"/>
      <w:b/>
      <w:color w:val="000000"/>
      <w:kern w:val="2"/>
      <w:sz w:val="24"/>
      <w:szCs w:val="24"/>
      <w:u w:val="none"/>
      <w:lang w:val="en-US" w:eastAsia="zh-CN"/>
    </w:rPr>
  </w:style>
  <w:style w:type="character" w:customStyle="1" w:styleId="789">
    <w:name w:val="表内5 Char5"/>
    <w:qFormat/>
    <w:uiPriority w:val="0"/>
    <w:rPr>
      <w:rFonts w:hint="default" w:ascii="宋体" w:hAnsi="宋体" w:eastAsia="宋体" w:cs="Times New Roman"/>
      <w:color w:val="000000"/>
      <w:kern w:val="2"/>
      <w:sz w:val="24"/>
      <w:szCs w:val="24"/>
      <w:u w:val="none"/>
      <w:lang w:val="en-US" w:eastAsia="zh-CN"/>
    </w:rPr>
  </w:style>
  <w:style w:type="character" w:customStyle="1" w:styleId="790">
    <w:name w:val="Char Char312"/>
    <w:qFormat/>
    <w:uiPriority w:val="0"/>
    <w:rPr>
      <w:rFonts w:hint="default" w:ascii="黑体" w:hAnsi="宋体" w:eastAsia="黑体" w:cs="Times New Roman"/>
      <w:b/>
      <w:bCs/>
      <w:color w:val="000000"/>
      <w:kern w:val="2"/>
      <w:sz w:val="28"/>
      <w:szCs w:val="28"/>
      <w:u w:val="none"/>
      <w:lang w:val="en-US" w:eastAsia="zh-CN"/>
    </w:rPr>
  </w:style>
  <w:style w:type="character" w:customStyle="1" w:styleId="791">
    <w:name w:val="样式 黑色"/>
    <w:qFormat/>
    <w:uiPriority w:val="0"/>
    <w:rPr>
      <w:rFonts w:hint="default" w:ascii="Times New Roman" w:hAnsi="Times New Roman" w:eastAsia="宋体" w:cs="Times New Roman"/>
      <w:color w:val="auto"/>
      <w:kern w:val="2"/>
      <w:sz w:val="24"/>
      <w:szCs w:val="24"/>
      <w:u w:val="none"/>
      <w:lang w:val="en-US" w:eastAsia="zh-CN"/>
    </w:rPr>
  </w:style>
  <w:style w:type="character" w:customStyle="1" w:styleId="792">
    <w:name w:val="标题 2 Char11"/>
    <w:qFormat/>
    <w:uiPriority w:val="0"/>
    <w:rPr>
      <w:rFonts w:hint="default" w:ascii="Times New Roman" w:hAnsi="Arial" w:eastAsia="宋体" w:cs="Times New Roman"/>
      <w:bCs/>
      <w:color w:val="000000"/>
      <w:kern w:val="2"/>
      <w:sz w:val="30"/>
      <w:szCs w:val="30"/>
      <w:u w:val="none"/>
      <w:lang w:val="en-US" w:eastAsia="zh-CN"/>
    </w:rPr>
  </w:style>
  <w:style w:type="character" w:customStyle="1" w:styleId="793">
    <w:name w:val="正文修改 Char11111"/>
    <w:qFormat/>
    <w:uiPriority w:val="0"/>
    <w:rPr>
      <w:rFonts w:hint="default" w:ascii="宋体" w:hAnsi="宋体" w:eastAsia="宋体" w:cs="宋体"/>
      <w:color w:val="000000"/>
      <w:kern w:val="2"/>
      <w:sz w:val="24"/>
      <w:szCs w:val="24"/>
      <w:u w:val="none"/>
      <w:lang w:val="en-US" w:eastAsia="zh-CN"/>
    </w:rPr>
  </w:style>
  <w:style w:type="character" w:customStyle="1" w:styleId="794">
    <w:name w:val="框图正文 Char"/>
    <w:qFormat/>
    <w:uiPriority w:val="0"/>
    <w:rPr>
      <w:rFonts w:hint="default" w:ascii="Times New Roman" w:hAnsi="Times New Roman" w:eastAsia="宋体" w:cs="Times New Roman"/>
      <w:color w:val="000000"/>
      <w:kern w:val="2"/>
      <w:sz w:val="21"/>
      <w:szCs w:val="24"/>
      <w:u w:val="none"/>
      <w:lang w:val="en-US" w:eastAsia="zh-CN"/>
    </w:rPr>
  </w:style>
  <w:style w:type="character" w:customStyle="1" w:styleId="795">
    <w:name w:val="z-Top of Form Char"/>
    <w:qFormat/>
    <w:uiPriority w:val="0"/>
    <w:rPr>
      <w:rFonts w:hint="default" w:ascii="Arial" w:hAnsi="Arial" w:eastAsia="仿宋_GB2312" w:cs="Arial"/>
      <w:vanish/>
      <w:color w:val="000000"/>
      <w:kern w:val="2"/>
      <w:sz w:val="16"/>
      <w:szCs w:val="16"/>
      <w:u w:val="none"/>
    </w:rPr>
  </w:style>
  <w:style w:type="character" w:customStyle="1" w:styleId="796">
    <w:name w:val="正文格式 Char6"/>
    <w:qFormat/>
    <w:uiPriority w:val="0"/>
    <w:rPr>
      <w:rFonts w:hint="default" w:ascii="宋体" w:hAnsi="宋体" w:eastAsia="宋体" w:cs="Times New Roman"/>
      <w:color w:val="000000"/>
      <w:kern w:val="2"/>
      <w:sz w:val="24"/>
      <w:szCs w:val="24"/>
      <w:u w:val="none"/>
      <w:lang w:val="en-US" w:eastAsia="zh-CN"/>
    </w:rPr>
  </w:style>
  <w:style w:type="character" w:customStyle="1" w:styleId="797">
    <w:name w:val="d1"/>
    <w:qFormat/>
    <w:uiPriority w:val="0"/>
    <w:rPr>
      <w:rFonts w:hint="default" w:ascii="Times New Roman" w:hAnsi="Times New Roman" w:cs="Times New Roman"/>
      <w:color w:val="333333"/>
      <w:spacing w:val="31680"/>
      <w:sz w:val="16"/>
      <w:szCs w:val="16"/>
      <w:u w:val="none"/>
    </w:rPr>
  </w:style>
  <w:style w:type="character" w:customStyle="1" w:styleId="798">
    <w:name w:val="Char Char1210"/>
    <w:qFormat/>
    <w:uiPriority w:val="0"/>
    <w:rPr>
      <w:rFonts w:hint="default" w:ascii="黑体" w:hAnsi="Arial" w:eastAsia="黑体" w:cs="Times New Roman"/>
      <w:b/>
      <w:bCs/>
      <w:color w:val="000000"/>
      <w:kern w:val="2"/>
      <w:sz w:val="30"/>
      <w:szCs w:val="30"/>
      <w:u w:val="none"/>
      <w:lang w:val="en-US" w:eastAsia="zh-CN"/>
    </w:rPr>
  </w:style>
  <w:style w:type="character" w:customStyle="1" w:styleId="799">
    <w:name w:val="正文缩进 Char5"/>
    <w:link w:val="800"/>
    <w:qFormat/>
    <w:uiPriority w:val="0"/>
    <w:rPr>
      <w:rFonts w:hint="default" w:ascii="宋体" w:hAnsi="Times New Roman" w:cs="Times New Roman"/>
      <w:color w:val="000000"/>
      <w:sz w:val="28"/>
      <w:szCs w:val="16"/>
      <w:u w:val="none"/>
      <w:vertAlign w:val="superscript"/>
    </w:rPr>
  </w:style>
  <w:style w:type="paragraph" w:customStyle="1" w:styleId="800">
    <w:name w:val="Normal Indent1"/>
    <w:basedOn w:val="1"/>
    <w:link w:val="799"/>
    <w:qFormat/>
    <w:uiPriority w:val="0"/>
    <w:pPr>
      <w:widowControl/>
      <w:ind w:firstLine="420"/>
      <w:jc w:val="left"/>
    </w:pPr>
    <w:rPr>
      <w:rFonts w:ascii="宋体"/>
      <w:vertAlign w:val="superscript"/>
    </w:rPr>
  </w:style>
  <w:style w:type="character" w:customStyle="1" w:styleId="801">
    <w:name w:val="正文斜体 Char1"/>
    <w:qFormat/>
    <w:uiPriority w:val="0"/>
    <w:rPr>
      <w:rFonts w:hint="default" w:ascii="宋体" w:hAnsi="宋体" w:eastAsia="宋体" w:cs="Times New Roman"/>
      <w:i/>
      <w:iCs/>
      <w:color w:val="000000"/>
      <w:kern w:val="2"/>
      <w:sz w:val="24"/>
      <w:szCs w:val="24"/>
      <w:u w:val="none"/>
      <w:lang w:val="en-US" w:eastAsia="zh-CN"/>
    </w:rPr>
  </w:style>
  <w:style w:type="character" w:customStyle="1" w:styleId="802">
    <w:name w:val="正文首行缩进 Char1 Char Char4"/>
    <w:qFormat/>
    <w:uiPriority w:val="0"/>
    <w:rPr>
      <w:rFonts w:hint="default" w:ascii="Times New Roman" w:hAnsi="Times New Roman" w:eastAsia="宋体" w:cs="Times New Roman"/>
      <w:color w:val="000000"/>
      <w:kern w:val="2"/>
      <w:sz w:val="21"/>
      <w:szCs w:val="24"/>
      <w:u w:val="none"/>
      <w:lang w:val="en-US" w:eastAsia="zh-CN"/>
    </w:rPr>
  </w:style>
  <w:style w:type="character" w:customStyle="1" w:styleId="803">
    <w:name w:val="文档结构图 Char5"/>
    <w:qFormat/>
    <w:uiPriority w:val="0"/>
    <w:rPr>
      <w:rFonts w:hint="default" w:ascii="Times New Roman" w:hAnsi="Times New Roman" w:cs="Times New Roman"/>
      <w:color w:val="000000"/>
      <w:sz w:val="24"/>
      <w:szCs w:val="16"/>
      <w:u w:val="none"/>
      <w:shd w:val="clear" w:color="auto" w:fill="000080"/>
    </w:rPr>
  </w:style>
  <w:style w:type="character" w:customStyle="1" w:styleId="804">
    <w:name w:val="表内5 Char Char"/>
    <w:link w:val="805"/>
    <w:qFormat/>
    <w:uiPriority w:val="0"/>
    <w:rPr>
      <w:rFonts w:hint="default" w:ascii="宋体" w:hAnsi="Times New Roman" w:cs="Times New Roman"/>
      <w:color w:val="000000"/>
      <w:sz w:val="16"/>
      <w:szCs w:val="16"/>
      <w:u w:val="none"/>
    </w:rPr>
  </w:style>
  <w:style w:type="paragraph" w:customStyle="1" w:styleId="805">
    <w:name w:val="表内51"/>
    <w:basedOn w:val="1"/>
    <w:link w:val="804"/>
    <w:qFormat/>
    <w:uiPriority w:val="0"/>
    <w:pPr>
      <w:widowControl/>
      <w:jc w:val="center"/>
    </w:pPr>
    <w:rPr>
      <w:rFonts w:ascii="宋体"/>
    </w:rPr>
  </w:style>
  <w:style w:type="character" w:customStyle="1" w:styleId="806">
    <w:name w:val="题注 Char63"/>
    <w:qFormat/>
    <w:uiPriority w:val="0"/>
    <w:rPr>
      <w:rFonts w:hint="default" w:ascii="黑体" w:hAnsi="Arial" w:eastAsia="黑体" w:cs="Arial"/>
      <w:b/>
      <w:color w:val="000000"/>
      <w:kern w:val="2"/>
      <w:sz w:val="24"/>
      <w:szCs w:val="24"/>
      <w:u w:val="none"/>
      <w:lang w:val="en-US" w:eastAsia="zh-CN"/>
    </w:rPr>
  </w:style>
  <w:style w:type="character" w:customStyle="1" w:styleId="807">
    <w:name w:val="正文缩进 字符"/>
    <w:qFormat/>
    <w:uiPriority w:val="0"/>
    <w:rPr>
      <w:rFonts w:hint="default" w:ascii="Times New Roman" w:hAnsi="Times New Roman" w:eastAsia="仿宋_GB2312" w:cs="Times New Roman"/>
      <w:color w:val="000000"/>
      <w:sz w:val="28"/>
      <w:szCs w:val="16"/>
      <w:u w:val="none"/>
    </w:rPr>
  </w:style>
  <w:style w:type="character" w:customStyle="1" w:styleId="808">
    <w:name w:val="Char Char64"/>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809">
    <w:name w:val="Char Char112"/>
    <w:qFormat/>
    <w:uiPriority w:val="0"/>
    <w:rPr>
      <w:rFonts w:hint="default" w:ascii="黑体" w:hAnsi="Arial" w:eastAsia="黑体" w:cs="Times New Roman"/>
      <w:bCs/>
      <w:color w:val="000000"/>
      <w:kern w:val="2"/>
      <w:sz w:val="30"/>
      <w:szCs w:val="30"/>
      <w:u w:val="none"/>
      <w:lang w:val="en-US" w:eastAsia="zh-CN"/>
    </w:rPr>
  </w:style>
  <w:style w:type="character" w:customStyle="1" w:styleId="810">
    <w:name w:val="TOC 1 字符"/>
    <w:link w:val="43"/>
    <w:qFormat/>
    <w:uiPriority w:val="39"/>
    <w:rPr>
      <w:rFonts w:hint="default" w:ascii="Calibri" w:hAnsi="Calibri" w:eastAsia="仿宋_GB2312" w:cs="Times New Roman"/>
      <w:b/>
      <w:color w:val="000000"/>
      <w:sz w:val="24"/>
      <w:szCs w:val="16"/>
      <w:u w:val="none"/>
    </w:rPr>
  </w:style>
  <w:style w:type="character" w:customStyle="1" w:styleId="811">
    <w:name w:val="样式 正文 + 首行缩进:  2 字符 Char Char"/>
    <w:qFormat/>
    <w:uiPriority w:val="0"/>
    <w:rPr>
      <w:rFonts w:hint="default" w:ascii="Times New Roman" w:hAnsi="Times New Roman" w:eastAsia="华文宋体" w:cs="Times New Roman"/>
      <w:snapToGrid/>
      <w:color w:val="000000"/>
      <w:sz w:val="28"/>
      <w:szCs w:val="28"/>
      <w:u w:val="none"/>
      <w:lang w:val="en-US" w:eastAsia="zh-CN"/>
    </w:rPr>
  </w:style>
  <w:style w:type="character" w:customStyle="1" w:styleId="812">
    <w:name w:val="text1"/>
    <w:qFormat/>
    <w:uiPriority w:val="0"/>
    <w:rPr>
      <w:rFonts w:hint="default" w:ascii="ˎ̥" w:hAnsi="ˎ̥" w:eastAsia="宋体" w:cs="Times New Roman"/>
      <w:color w:val="000000"/>
      <w:kern w:val="2"/>
      <w:sz w:val="18"/>
      <w:szCs w:val="18"/>
      <w:u w:val="none"/>
      <w:lang w:val="en-US" w:eastAsia="zh-CN"/>
    </w:rPr>
  </w:style>
  <w:style w:type="character" w:customStyle="1" w:styleId="813">
    <w:name w:val="样式 表内小5 + 黑体 加粗 倾斜 下划线 Char4"/>
    <w:qFormat/>
    <w:uiPriority w:val="0"/>
    <w:rPr>
      <w:rFonts w:hint="default" w:ascii="黑体" w:hAnsi="黑体" w:eastAsia="黑体" w:cs="Times New Roman"/>
      <w:b/>
      <w:bCs/>
      <w:i/>
      <w:iCs/>
      <w:color w:val="000000"/>
      <w:kern w:val="2"/>
      <w:sz w:val="18"/>
      <w:szCs w:val="24"/>
      <w:u w:val="single"/>
      <w:lang w:val="en-US" w:eastAsia="zh-CN"/>
    </w:rPr>
  </w:style>
  <w:style w:type="character" w:customStyle="1" w:styleId="814">
    <w:name w:val="Char Char416"/>
    <w:qFormat/>
    <w:uiPriority w:val="0"/>
    <w:rPr>
      <w:rFonts w:hint="default" w:ascii="黑体" w:hAnsi="Arial" w:eastAsia="黑体" w:cs="Times New Roman"/>
      <w:b/>
      <w:bCs/>
      <w:color w:val="000000"/>
      <w:kern w:val="2"/>
      <w:sz w:val="30"/>
      <w:szCs w:val="30"/>
      <w:u w:val="none"/>
      <w:lang w:val="en-US" w:eastAsia="zh-CN"/>
    </w:rPr>
  </w:style>
  <w:style w:type="character" w:customStyle="1" w:styleId="815">
    <w:name w:val="Footer1 Char"/>
    <w:qFormat/>
    <w:uiPriority w:val="0"/>
    <w:rPr>
      <w:rFonts w:hint="default" w:ascii="Times New Roman" w:hAnsi="Times New Roman" w:eastAsia="仿宋_GB2312" w:cs="Times New Roman"/>
      <w:color w:val="000000"/>
      <w:sz w:val="18"/>
      <w:szCs w:val="18"/>
      <w:u w:val="none"/>
    </w:rPr>
  </w:style>
  <w:style w:type="character" w:customStyle="1" w:styleId="816">
    <w:name w:val="纯文本 Char31"/>
    <w:qFormat/>
    <w:uiPriority w:val="0"/>
    <w:rPr>
      <w:rFonts w:hint="default" w:ascii="宋体" w:hAnsi="Courier New" w:eastAsia="宋体" w:cs="Courier New"/>
      <w:color w:val="000000"/>
      <w:kern w:val="2"/>
      <w:sz w:val="24"/>
      <w:szCs w:val="21"/>
      <w:u w:val="none"/>
      <w:lang w:val="en-US" w:eastAsia="zh-CN"/>
    </w:rPr>
  </w:style>
  <w:style w:type="character" w:customStyle="1" w:styleId="817">
    <w:name w:val="标题 5 字符"/>
    <w:link w:val="6"/>
    <w:qFormat/>
    <w:uiPriority w:val="0"/>
    <w:rPr>
      <w:rFonts w:ascii="Calibri" w:hAnsi="Calibri"/>
      <w:b/>
      <w:bCs/>
      <w:color w:val="000000"/>
      <w:kern w:val="2"/>
      <w:sz w:val="24"/>
      <w:szCs w:val="28"/>
    </w:rPr>
  </w:style>
  <w:style w:type="character" w:customStyle="1" w:styleId="818">
    <w:name w:val="z-窗体底端 Char"/>
    <w:link w:val="819"/>
    <w:qFormat/>
    <w:uiPriority w:val="0"/>
    <w:rPr>
      <w:rFonts w:hint="default" w:ascii="Arial" w:hAnsi="Arial" w:cs="Times New Roman"/>
      <w:vanish/>
      <w:color w:val="000000"/>
      <w:sz w:val="24"/>
      <w:szCs w:val="16"/>
      <w:u w:val="none"/>
    </w:rPr>
  </w:style>
  <w:style w:type="paragraph" w:customStyle="1" w:styleId="819">
    <w:name w:val="z-窗体底端1"/>
    <w:basedOn w:val="1"/>
    <w:next w:val="1"/>
    <w:link w:val="818"/>
    <w:qFormat/>
    <w:uiPriority w:val="0"/>
    <w:pPr>
      <w:widowControl/>
      <w:pBdr>
        <w:top w:val="single" w:color="auto" w:sz="6" w:space="1"/>
      </w:pBdr>
      <w:jc w:val="center"/>
    </w:pPr>
    <w:rPr>
      <w:rFonts w:ascii="Arial" w:hAnsi="Arial"/>
      <w:vanish/>
    </w:rPr>
  </w:style>
  <w:style w:type="character" w:customStyle="1" w:styleId="820">
    <w:name w:val="标题 8 Char21"/>
    <w:qFormat/>
    <w:uiPriority w:val="0"/>
    <w:rPr>
      <w:rFonts w:hint="default" w:ascii="Arial" w:hAnsi="Arial" w:eastAsia="黑体" w:cs="Times New Roman"/>
      <w:color w:val="000000"/>
      <w:kern w:val="2"/>
      <w:sz w:val="24"/>
      <w:szCs w:val="24"/>
      <w:u w:val="none"/>
      <w:lang w:val="en-US" w:eastAsia="zh-CN"/>
    </w:rPr>
  </w:style>
  <w:style w:type="character" w:customStyle="1" w:styleId="821">
    <w:name w:val="正文文字 3 Char Char4"/>
    <w:qFormat/>
    <w:uiPriority w:val="0"/>
    <w:rPr>
      <w:rFonts w:hint="default" w:ascii="Times New Roman" w:hAnsi="Times New Roman" w:eastAsia="仿宋_GB2312" w:cs="Times New Roman"/>
      <w:color w:val="000000"/>
      <w:kern w:val="2"/>
      <w:sz w:val="28"/>
      <w:szCs w:val="24"/>
      <w:u w:val="none"/>
      <w:lang w:val="en-US" w:eastAsia="zh-CN"/>
    </w:rPr>
  </w:style>
  <w:style w:type="character" w:customStyle="1" w:styleId="822">
    <w:name w:val="表题1 Char2"/>
    <w:qFormat/>
    <w:uiPriority w:val="0"/>
    <w:rPr>
      <w:rFonts w:hint="default" w:ascii="Times New Roman" w:hAnsi="Arial" w:eastAsia="宋体" w:cs="Arial"/>
      <w:color w:val="000000"/>
      <w:kern w:val="2"/>
      <w:sz w:val="24"/>
      <w:szCs w:val="24"/>
      <w:u w:val="none"/>
      <w:lang w:val="en-US" w:eastAsia="zh-CN"/>
    </w:rPr>
  </w:style>
  <w:style w:type="character" w:customStyle="1" w:styleId="823">
    <w:name w:val="标题 3 Char10"/>
    <w:qFormat/>
    <w:uiPriority w:val="0"/>
    <w:rPr>
      <w:rFonts w:hint="default" w:ascii="黑体" w:hAnsi="宋体" w:eastAsia="黑体" w:cs="Times New Roman"/>
      <w:b/>
      <w:bCs/>
      <w:color w:val="000000"/>
      <w:kern w:val="2"/>
      <w:sz w:val="28"/>
      <w:szCs w:val="28"/>
      <w:u w:val="none"/>
      <w:lang w:val="en-US" w:eastAsia="zh-CN"/>
    </w:rPr>
  </w:style>
  <w:style w:type="character" w:customStyle="1" w:styleId="824">
    <w:name w:val="ll1"/>
    <w:qFormat/>
    <w:uiPriority w:val="0"/>
    <w:rPr>
      <w:rFonts w:hint="default" w:ascii="Times New Roman" w:hAnsi="Times New Roman" w:cs="Times New Roman"/>
      <w:color w:val="000000"/>
      <w:sz w:val="16"/>
      <w:szCs w:val="16"/>
      <w:u w:val="none"/>
    </w:rPr>
  </w:style>
  <w:style w:type="character" w:customStyle="1" w:styleId="825">
    <w:name w:val="表题1 Char63"/>
    <w:qFormat/>
    <w:uiPriority w:val="0"/>
    <w:rPr>
      <w:rFonts w:hint="default" w:ascii="黑体" w:hAnsi="Arial" w:eastAsia="黑体" w:cs="Arial"/>
      <w:b/>
      <w:color w:val="000000"/>
      <w:kern w:val="2"/>
      <w:sz w:val="24"/>
      <w:szCs w:val="24"/>
      <w:u w:val="none"/>
      <w:lang w:val="en-US" w:eastAsia="zh-CN"/>
    </w:rPr>
  </w:style>
  <w:style w:type="character" w:customStyle="1" w:styleId="826">
    <w:name w:val="表格内字体 Char61"/>
    <w:qFormat/>
    <w:uiPriority w:val="0"/>
    <w:rPr>
      <w:rFonts w:hint="default" w:ascii="宋体" w:hAnsi="宋体" w:eastAsia="宋体" w:cs="Times New Roman"/>
      <w:color w:val="000000"/>
      <w:kern w:val="2"/>
      <w:sz w:val="24"/>
      <w:szCs w:val="24"/>
      <w:u w:val="none"/>
      <w:lang w:val="en-US" w:eastAsia="zh-CN"/>
    </w:rPr>
  </w:style>
  <w:style w:type="character" w:customStyle="1" w:styleId="827">
    <w:name w:val="正文文本缩进 3 Char41"/>
    <w:qFormat/>
    <w:uiPriority w:val="0"/>
    <w:rPr>
      <w:rFonts w:hint="default" w:ascii="Times New Roman" w:hAnsi="Times New Roman" w:eastAsia="宋体" w:cs="Times New Roman"/>
      <w:color w:val="000000"/>
      <w:kern w:val="2"/>
      <w:sz w:val="16"/>
      <w:szCs w:val="16"/>
      <w:u w:val="none"/>
      <w:lang w:val="en-US" w:eastAsia="zh-CN"/>
    </w:rPr>
  </w:style>
  <w:style w:type="character" w:customStyle="1" w:styleId="828">
    <w:name w:val="表中文字 Char3"/>
    <w:qFormat/>
    <w:uiPriority w:val="0"/>
    <w:rPr>
      <w:rFonts w:hint="default" w:ascii="Arial" w:hAnsi="Arial" w:eastAsia="宋体" w:cs="Times New Roman"/>
      <w:color w:val="000000"/>
      <w:kern w:val="2"/>
      <w:sz w:val="24"/>
      <w:szCs w:val="24"/>
      <w:u w:val="none"/>
      <w:lang w:val="en-US" w:eastAsia="zh-TW"/>
    </w:rPr>
  </w:style>
  <w:style w:type="character" w:customStyle="1" w:styleId="829">
    <w:name w:val="样式 表格内字体 + Char13"/>
    <w:qFormat/>
    <w:uiPriority w:val="0"/>
    <w:rPr>
      <w:rFonts w:hint="default" w:ascii="宋体" w:hAnsi="宋体" w:cs="Times New Roman"/>
      <w:color w:val="000000"/>
      <w:kern w:val="2"/>
      <w:sz w:val="21"/>
      <w:szCs w:val="24"/>
      <w:u w:val="none"/>
    </w:rPr>
  </w:style>
  <w:style w:type="character" w:customStyle="1" w:styleId="830">
    <w:name w:val="font171"/>
    <w:qFormat/>
    <w:uiPriority w:val="0"/>
    <w:rPr>
      <w:rFonts w:hint="eastAsia" w:ascii="宋体" w:hAnsi="宋体" w:eastAsia="宋体" w:cs="宋体"/>
      <w:color w:val="000000"/>
      <w:sz w:val="18"/>
      <w:szCs w:val="18"/>
      <w:u w:val="none"/>
    </w:rPr>
  </w:style>
  <w:style w:type="character" w:customStyle="1" w:styleId="831">
    <w:name w:val="纯文本 字符"/>
    <w:link w:val="33"/>
    <w:qFormat/>
    <w:uiPriority w:val="0"/>
    <w:rPr>
      <w:rFonts w:hint="default" w:ascii="宋体" w:hAnsi="Courier New" w:eastAsia="宋体" w:cs="Times New Roman"/>
      <w:color w:val="000000"/>
      <w:sz w:val="16"/>
      <w:szCs w:val="20"/>
      <w:u w:val="none"/>
    </w:rPr>
  </w:style>
  <w:style w:type="character" w:customStyle="1" w:styleId="832">
    <w:name w:val="纯文本 Char21"/>
    <w:qFormat/>
    <w:uiPriority w:val="0"/>
    <w:rPr>
      <w:rFonts w:hint="default" w:ascii="宋体" w:hAnsi="Courier New" w:eastAsia="宋体" w:cs="Times New Roman"/>
      <w:color w:val="000000"/>
      <w:kern w:val="2"/>
      <w:sz w:val="21"/>
      <w:szCs w:val="24"/>
      <w:u w:val="none"/>
      <w:lang w:val="en-US" w:eastAsia="zh-CN"/>
    </w:rPr>
  </w:style>
  <w:style w:type="character" w:customStyle="1" w:styleId="833">
    <w:name w:val="表题1 Char91"/>
    <w:qFormat/>
    <w:uiPriority w:val="0"/>
    <w:rPr>
      <w:rFonts w:hint="default" w:ascii="黑体" w:hAnsi="Arial" w:eastAsia="黑体" w:cs="Arial"/>
      <w:b/>
      <w:color w:val="000000"/>
      <w:kern w:val="2"/>
      <w:sz w:val="24"/>
      <w:szCs w:val="24"/>
      <w:u w:val="none"/>
      <w:lang w:val="en-US" w:eastAsia="zh-CN"/>
    </w:rPr>
  </w:style>
  <w:style w:type="character" w:customStyle="1" w:styleId="834">
    <w:name w:val="表格内字体 Char5"/>
    <w:qFormat/>
    <w:uiPriority w:val="0"/>
    <w:rPr>
      <w:rFonts w:hint="default" w:ascii="宋体" w:hAnsi="宋体" w:eastAsia="宋体" w:cs="Times New Roman"/>
      <w:color w:val="000000"/>
      <w:kern w:val="2"/>
      <w:sz w:val="21"/>
      <w:szCs w:val="24"/>
      <w:u w:val="none"/>
      <w:lang w:val="en-US" w:eastAsia="zh-CN"/>
    </w:rPr>
  </w:style>
  <w:style w:type="character" w:customStyle="1" w:styleId="835">
    <w:name w:val="样式 仿宋_GB2312 小四2"/>
    <w:qFormat/>
    <w:uiPriority w:val="0"/>
    <w:rPr>
      <w:rFonts w:hint="default" w:ascii="Times New Roman" w:hAnsi="Times New Roman" w:eastAsia="仿宋_GB2312" w:cs="Courier New"/>
      <w:color w:val="000000"/>
      <w:kern w:val="2"/>
      <w:sz w:val="24"/>
      <w:szCs w:val="24"/>
      <w:u w:val="none"/>
      <w:lang w:val="en-US" w:eastAsia="zh-CN"/>
    </w:rPr>
  </w:style>
  <w:style w:type="character" w:customStyle="1" w:styleId="836">
    <w:name w:val="样式 正文缩进 + 宋体 黑色 Char3"/>
    <w:qFormat/>
    <w:uiPriority w:val="0"/>
    <w:rPr>
      <w:rFonts w:hint="default" w:ascii="宋体" w:hAnsi="宋体" w:eastAsia="宋体" w:cs="Times New Roman"/>
      <w:color w:val="000000"/>
      <w:kern w:val="2"/>
      <w:sz w:val="24"/>
      <w:szCs w:val="24"/>
      <w:u w:val="none"/>
      <w:lang w:val="en-US" w:eastAsia="zh-CN"/>
    </w:rPr>
  </w:style>
  <w:style w:type="character" w:customStyle="1" w:styleId="837">
    <w:name w:val="燕山正文 Char171"/>
    <w:qFormat/>
    <w:uiPriority w:val="0"/>
    <w:rPr>
      <w:rFonts w:hint="default" w:ascii="宋体" w:hAnsi="Times New Roman" w:eastAsia="宋体" w:cs="宋体"/>
      <w:color w:val="000000"/>
      <w:kern w:val="2"/>
      <w:sz w:val="24"/>
      <w:szCs w:val="24"/>
      <w:u w:val="none"/>
      <w:lang w:val="en-US" w:eastAsia="zh-CN"/>
    </w:rPr>
  </w:style>
  <w:style w:type="character" w:customStyle="1" w:styleId="838">
    <w:name w:val="正文修改 Char122"/>
    <w:qFormat/>
    <w:uiPriority w:val="0"/>
    <w:rPr>
      <w:rFonts w:hint="default" w:ascii="宋体" w:hAnsi="宋体" w:eastAsia="宋体" w:cs="宋体"/>
      <w:color w:val="000000"/>
      <w:kern w:val="2"/>
      <w:sz w:val="24"/>
      <w:szCs w:val="24"/>
      <w:u w:val="none"/>
      <w:lang w:val="en-US" w:eastAsia="zh-CN"/>
    </w:rPr>
  </w:style>
  <w:style w:type="character" w:customStyle="1" w:styleId="839">
    <w:name w:val="正文斜体 Char2"/>
    <w:qFormat/>
    <w:uiPriority w:val="0"/>
    <w:rPr>
      <w:rFonts w:hint="default" w:ascii="宋体" w:hAnsi="宋体" w:eastAsia="宋体" w:cs="Times New Roman"/>
      <w:i/>
      <w:iCs/>
      <w:color w:val="000000"/>
      <w:kern w:val="2"/>
      <w:sz w:val="24"/>
      <w:szCs w:val="24"/>
      <w:u w:val="none"/>
      <w:lang w:val="en-US" w:eastAsia="zh-CN"/>
    </w:rPr>
  </w:style>
  <w:style w:type="character" w:customStyle="1" w:styleId="840">
    <w:name w:val="标题2 Char1"/>
    <w:qFormat/>
    <w:uiPriority w:val="9"/>
    <w:rPr>
      <w:rFonts w:hint="default" w:ascii="宋体" w:hAnsi="宋体" w:eastAsia="宋体" w:cs="宋体"/>
      <w:color w:val="000000"/>
      <w:kern w:val="2"/>
      <w:sz w:val="24"/>
      <w:szCs w:val="24"/>
      <w:u w:val="none"/>
      <w:lang w:val="en-US" w:eastAsia="zh-CN"/>
    </w:rPr>
  </w:style>
  <w:style w:type="character" w:customStyle="1" w:styleId="841">
    <w:name w:val="文档结构图 Char Char"/>
    <w:link w:val="842"/>
    <w:qFormat/>
    <w:uiPriority w:val="0"/>
    <w:rPr>
      <w:rFonts w:hint="default" w:ascii="Times New Roman" w:hAnsi="Times New Roman" w:cs="Times New Roman"/>
      <w:color w:val="000000"/>
      <w:sz w:val="24"/>
      <w:szCs w:val="16"/>
      <w:u w:val="none"/>
      <w:shd w:val="clear" w:color="auto" w:fill="000080"/>
    </w:rPr>
  </w:style>
  <w:style w:type="paragraph" w:customStyle="1" w:styleId="842">
    <w:name w:val="文档结构图1"/>
    <w:basedOn w:val="1"/>
    <w:link w:val="841"/>
    <w:qFormat/>
    <w:uiPriority w:val="99"/>
    <w:pPr>
      <w:widowControl/>
      <w:shd w:val="clear" w:color="auto" w:fill="000080"/>
      <w:jc w:val="left"/>
    </w:pPr>
    <w:rPr>
      <w:shd w:val="clear" w:color="auto" w:fill="000080"/>
    </w:rPr>
  </w:style>
  <w:style w:type="character" w:customStyle="1" w:styleId="843">
    <w:name w:val="Char Char128"/>
    <w:qFormat/>
    <w:uiPriority w:val="0"/>
    <w:rPr>
      <w:rFonts w:hint="default" w:ascii="黑体" w:hAnsi="Arial" w:eastAsia="黑体" w:cs="Times New Roman"/>
      <w:b/>
      <w:bCs/>
      <w:color w:val="000000"/>
      <w:kern w:val="2"/>
      <w:sz w:val="30"/>
      <w:szCs w:val="30"/>
      <w:u w:val="none"/>
      <w:lang w:val="en-US" w:eastAsia="zh-CN"/>
    </w:rPr>
  </w:style>
  <w:style w:type="character" w:customStyle="1" w:styleId="844">
    <w:name w:val="Char Char126"/>
    <w:qFormat/>
    <w:uiPriority w:val="0"/>
    <w:rPr>
      <w:rFonts w:hint="default" w:ascii="黑体" w:hAnsi="Arial" w:eastAsia="黑体" w:cs="Times New Roman"/>
      <w:b/>
      <w:bCs/>
      <w:color w:val="000000"/>
      <w:kern w:val="2"/>
      <w:sz w:val="30"/>
      <w:szCs w:val="30"/>
      <w:u w:val="none"/>
      <w:lang w:val="en-US" w:eastAsia="zh-CN"/>
    </w:rPr>
  </w:style>
  <w:style w:type="character" w:customStyle="1" w:styleId="845">
    <w:name w:val="Char Char11"/>
    <w:qFormat/>
    <w:uiPriority w:val="99"/>
    <w:rPr>
      <w:rFonts w:hint="default" w:ascii="Times New Roman" w:hAnsi="Times New Roman" w:cs="Times New Roman"/>
      <w:color w:val="000000"/>
      <w:kern w:val="2"/>
      <w:sz w:val="18"/>
      <w:szCs w:val="18"/>
      <w:u w:val="none"/>
    </w:rPr>
  </w:style>
  <w:style w:type="character" w:customStyle="1" w:styleId="846">
    <w:name w:val="首页 建设单位 Char"/>
    <w:link w:val="847"/>
    <w:qFormat/>
    <w:uiPriority w:val="0"/>
    <w:rPr>
      <w:rFonts w:hint="default" w:ascii="华文新魏" w:hAnsi="黑体" w:eastAsia="华文新魏" w:cs="宋体"/>
      <w:bCs/>
      <w:color w:val="000000"/>
      <w:sz w:val="60"/>
      <w:szCs w:val="60"/>
      <w:u w:val="none"/>
    </w:rPr>
  </w:style>
  <w:style w:type="paragraph" w:customStyle="1" w:styleId="847">
    <w:name w:val="首页 建设单位"/>
    <w:basedOn w:val="98"/>
    <w:link w:val="846"/>
    <w:qFormat/>
    <w:uiPriority w:val="0"/>
    <w:pPr>
      <w:spacing w:after="20" w:line="480" w:lineRule="auto"/>
      <w:jc w:val="center"/>
    </w:pPr>
    <w:rPr>
      <w:rFonts w:ascii="华文新魏" w:hAnsi="黑体" w:eastAsia="华文新魏" w:cs="宋体"/>
      <w:bCs/>
      <w:color w:val="000000"/>
      <w:sz w:val="60"/>
      <w:szCs w:val="60"/>
    </w:rPr>
  </w:style>
  <w:style w:type="character" w:customStyle="1" w:styleId="848">
    <w:name w:val="批注框文本 Char1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849">
    <w:name w:val="highlight1"/>
    <w:qFormat/>
    <w:uiPriority w:val="0"/>
    <w:rPr>
      <w:rFonts w:hint="default" w:ascii="Times New Roman" w:hAnsi="Times New Roman" w:cs="Times New Roman"/>
      <w:color w:val="000000"/>
      <w:sz w:val="18"/>
      <w:szCs w:val="18"/>
      <w:u w:val="none"/>
    </w:rPr>
  </w:style>
  <w:style w:type="character" w:customStyle="1" w:styleId="850">
    <w:name w:val="表中文字 Char211"/>
    <w:qFormat/>
    <w:uiPriority w:val="0"/>
    <w:rPr>
      <w:rFonts w:hint="default" w:ascii="宋体" w:hAnsi="Times New Roman" w:eastAsia="宋体" w:cs="Times New Roman"/>
      <w:color w:val="000000"/>
      <w:kern w:val="2"/>
      <w:sz w:val="21"/>
      <w:szCs w:val="21"/>
      <w:u w:val="none"/>
      <w:lang w:val="en-US" w:eastAsia="zh-CN"/>
    </w:rPr>
  </w:style>
  <w:style w:type="character" w:customStyle="1" w:styleId="851">
    <w:name w:val="标题2 Char21"/>
    <w:qFormat/>
    <w:uiPriority w:val="0"/>
    <w:rPr>
      <w:rFonts w:hint="default" w:ascii="宋体" w:hAnsi="宋体" w:eastAsia="宋体" w:cs="宋体"/>
      <w:color w:val="000000"/>
      <w:kern w:val="2"/>
      <w:sz w:val="24"/>
      <w:szCs w:val="24"/>
      <w:u w:val="none"/>
      <w:lang w:val="en-US" w:eastAsia="zh-CN"/>
    </w:rPr>
  </w:style>
  <w:style w:type="character" w:customStyle="1" w:styleId="852">
    <w:name w:val="正文斜体 Char3"/>
    <w:qFormat/>
    <w:uiPriority w:val="0"/>
    <w:rPr>
      <w:rFonts w:hint="default" w:ascii="宋体" w:hAnsi="宋体" w:eastAsia="宋体" w:cs="Times New Roman"/>
      <w:i/>
      <w:iCs/>
      <w:color w:val="000000"/>
      <w:kern w:val="2"/>
      <w:sz w:val="24"/>
      <w:szCs w:val="24"/>
      <w:u w:val="none"/>
      <w:lang w:val="en-US" w:eastAsia="zh-CN"/>
    </w:rPr>
  </w:style>
  <w:style w:type="character" w:customStyle="1" w:styleId="853">
    <w:name w:val="text31"/>
    <w:qFormat/>
    <w:uiPriority w:val="0"/>
    <w:rPr>
      <w:rFonts w:hint="eastAsia" w:ascii="宋体" w:hAnsi="宋体" w:eastAsia="宋体" w:cs="Times New Roman"/>
      <w:color w:val="673434"/>
      <w:kern w:val="2"/>
      <w:sz w:val="22"/>
      <w:szCs w:val="22"/>
      <w:u w:val="none"/>
      <w:lang w:val="en-US" w:eastAsia="zh-CN"/>
    </w:rPr>
  </w:style>
  <w:style w:type="character" w:customStyle="1" w:styleId="854">
    <w:name w:val="正文文本 Char1"/>
    <w:qFormat/>
    <w:uiPriority w:val="99"/>
    <w:rPr>
      <w:rFonts w:hint="default" w:ascii="Times New Roman" w:hAnsi="Times New Roman" w:eastAsia="仿宋_GB2312" w:cs="Times New Roman"/>
      <w:color w:val="000000"/>
      <w:sz w:val="28"/>
      <w:szCs w:val="16"/>
      <w:u w:val="none"/>
    </w:rPr>
  </w:style>
  <w:style w:type="character" w:customStyle="1" w:styleId="855">
    <w:name w:val="图表题 Char21"/>
    <w:qFormat/>
    <w:uiPriority w:val="0"/>
    <w:rPr>
      <w:rFonts w:hint="default" w:ascii="黑体" w:hAnsi="宋体" w:eastAsia="黑体" w:cs="宋体"/>
      <w:b/>
      <w:bCs/>
      <w:color w:val="000000"/>
      <w:kern w:val="2"/>
      <w:sz w:val="24"/>
      <w:szCs w:val="24"/>
      <w:u w:val="none"/>
      <w:lang w:val="en-US" w:eastAsia="zh-CN"/>
    </w:rPr>
  </w:style>
  <w:style w:type="character" w:customStyle="1" w:styleId="856">
    <w:name w:val="题注 Char62"/>
    <w:qFormat/>
    <w:uiPriority w:val="0"/>
    <w:rPr>
      <w:rFonts w:hint="default" w:ascii="黑体" w:hAnsi="Arial" w:eastAsia="黑体" w:cs="Arial"/>
      <w:b/>
      <w:color w:val="000000"/>
      <w:kern w:val="2"/>
      <w:sz w:val="24"/>
      <w:szCs w:val="24"/>
      <w:u w:val="none"/>
      <w:lang w:val="en-US" w:eastAsia="zh-CN"/>
    </w:rPr>
  </w:style>
  <w:style w:type="character" w:customStyle="1" w:styleId="857">
    <w:name w:val="题注 Char313"/>
    <w:qFormat/>
    <w:uiPriority w:val="0"/>
    <w:rPr>
      <w:rFonts w:hint="default" w:ascii="黑体" w:hAnsi="Arial" w:eastAsia="黑体" w:cs="Arial"/>
      <w:b/>
      <w:color w:val="000000"/>
      <w:kern w:val="2"/>
      <w:sz w:val="24"/>
      <w:szCs w:val="24"/>
      <w:u w:val="none"/>
      <w:lang w:val="en-US" w:eastAsia="zh-CN"/>
    </w:rPr>
  </w:style>
  <w:style w:type="character" w:customStyle="1" w:styleId="858">
    <w:name w:val="正文修改 Char114"/>
    <w:qFormat/>
    <w:uiPriority w:val="0"/>
    <w:rPr>
      <w:rFonts w:hint="default" w:ascii="宋体" w:hAnsi="宋体" w:eastAsia="宋体" w:cs="宋体"/>
      <w:color w:val="000000"/>
      <w:kern w:val="2"/>
      <w:sz w:val="24"/>
      <w:szCs w:val="24"/>
      <w:u w:val="none"/>
      <w:lang w:val="en-US" w:eastAsia="zh-CN"/>
    </w:rPr>
  </w:style>
  <w:style w:type="character" w:customStyle="1" w:styleId="859">
    <w:name w:val="标题 1 Char31"/>
    <w:qFormat/>
    <w:uiPriority w:val="0"/>
    <w:rPr>
      <w:rFonts w:hint="default" w:ascii="黑体" w:hAnsi="宋体" w:eastAsia="黑体" w:cs="Times New Roman"/>
      <w:bCs/>
      <w:color w:val="000000"/>
      <w:kern w:val="44"/>
      <w:sz w:val="32"/>
      <w:szCs w:val="32"/>
      <w:u w:val="none"/>
      <w:lang w:val="en-US" w:eastAsia="zh-CN"/>
    </w:rPr>
  </w:style>
  <w:style w:type="character" w:customStyle="1" w:styleId="860">
    <w:name w:val="表格正文 Char1"/>
    <w:link w:val="861"/>
    <w:qFormat/>
    <w:uiPriority w:val="0"/>
    <w:rPr>
      <w:rFonts w:hint="default" w:ascii="Times New Roman" w:hAnsi="Times New Roman" w:cs="Times New Roman"/>
      <w:color w:val="auto"/>
      <w:kern w:val="0"/>
      <w:sz w:val="18"/>
      <w:szCs w:val="20"/>
      <w:u w:val="none"/>
    </w:rPr>
  </w:style>
  <w:style w:type="paragraph" w:customStyle="1" w:styleId="861">
    <w:name w:val="表格正文"/>
    <w:basedOn w:val="16"/>
    <w:link w:val="860"/>
    <w:qFormat/>
    <w:uiPriority w:val="0"/>
    <w:pPr>
      <w:widowControl/>
      <w:tabs>
        <w:tab w:val="left" w:pos="995"/>
      </w:tabs>
      <w:ind w:firstLine="0" w:firstLineChars="0"/>
      <w:jc w:val="center"/>
    </w:pPr>
    <w:rPr>
      <w:color w:val="auto"/>
      <w:kern w:val="0"/>
      <w:sz w:val="18"/>
      <w:szCs w:val="20"/>
    </w:rPr>
  </w:style>
  <w:style w:type="character" w:customStyle="1" w:styleId="862">
    <w:name w:val="占位符文本1"/>
    <w:qFormat/>
    <w:uiPriority w:val="0"/>
    <w:rPr>
      <w:rFonts w:hint="default" w:ascii="Times New Roman" w:hAnsi="Times New Roman" w:eastAsia="宋体" w:cs="Times New Roman"/>
      <w:color w:val="808080"/>
      <w:kern w:val="2"/>
      <w:sz w:val="24"/>
      <w:szCs w:val="24"/>
      <w:u w:val="none"/>
      <w:lang w:val="en-US" w:eastAsia="zh-CN"/>
    </w:rPr>
  </w:style>
  <w:style w:type="character" w:customStyle="1" w:styleId="863">
    <w:name w:val="Char Char623"/>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864">
    <w:name w:val="Char Char2114"/>
    <w:qFormat/>
    <w:uiPriority w:val="0"/>
    <w:rPr>
      <w:rFonts w:hint="default" w:ascii="黑体" w:hAnsi="Times New Roman" w:eastAsia="宋体" w:cs="Times New Roman"/>
      <w:color w:val="000000"/>
      <w:kern w:val="2"/>
      <w:sz w:val="16"/>
      <w:szCs w:val="16"/>
      <w:u w:val="none"/>
      <w:lang w:val="en-US" w:eastAsia="zh-CN"/>
    </w:rPr>
  </w:style>
  <w:style w:type="character" w:customStyle="1" w:styleId="865">
    <w:name w:val="标题 2 Char61"/>
    <w:qFormat/>
    <w:uiPriority w:val="0"/>
    <w:rPr>
      <w:rFonts w:hint="default" w:ascii="黑体" w:hAnsi="Arial" w:eastAsia="黑体" w:cs="Times New Roman"/>
      <w:b/>
      <w:bCs/>
      <w:color w:val="000000"/>
      <w:kern w:val="2"/>
      <w:sz w:val="30"/>
      <w:szCs w:val="30"/>
      <w:u w:val="none"/>
      <w:lang w:val="en-US" w:eastAsia="zh-CN"/>
    </w:rPr>
  </w:style>
  <w:style w:type="character" w:customStyle="1" w:styleId="866">
    <w:name w:val="表格内字体 Char41"/>
    <w:qFormat/>
    <w:uiPriority w:val="0"/>
    <w:rPr>
      <w:rFonts w:hint="default" w:ascii="宋体" w:hAnsi="宋体" w:eastAsia="宋体" w:cs="Times New Roman"/>
      <w:color w:val="000000"/>
      <w:kern w:val="2"/>
      <w:sz w:val="21"/>
      <w:szCs w:val="24"/>
      <w:u w:val="none"/>
      <w:lang w:val="en-US" w:eastAsia="zh-CN"/>
    </w:rPr>
  </w:style>
  <w:style w:type="character" w:customStyle="1" w:styleId="867">
    <w:name w:val="表中文字 Char26"/>
    <w:qFormat/>
    <w:uiPriority w:val="0"/>
    <w:rPr>
      <w:rFonts w:hint="default" w:ascii="宋体" w:hAnsi="Times New Roman" w:eastAsia="宋体" w:cs="Times New Roman"/>
      <w:color w:val="000000"/>
      <w:kern w:val="2"/>
      <w:sz w:val="21"/>
      <w:szCs w:val="21"/>
      <w:u w:val="none"/>
      <w:lang w:val="en-US" w:eastAsia="zh-CN"/>
    </w:rPr>
  </w:style>
  <w:style w:type="character" w:customStyle="1" w:styleId="868">
    <w:name w:val="标题二二 Char"/>
    <w:link w:val="526"/>
    <w:qFormat/>
    <w:uiPriority w:val="0"/>
    <w:rPr>
      <w:rFonts w:hint="default" w:ascii="Times New Roman" w:hAnsi="Times New Roman" w:eastAsia="黑体" w:cs="Times New Roman"/>
      <w:color w:val="000000"/>
      <w:kern w:val="0"/>
      <w:sz w:val="28"/>
      <w:szCs w:val="21"/>
      <w:u w:val="none"/>
    </w:rPr>
  </w:style>
  <w:style w:type="character" w:customStyle="1" w:styleId="869">
    <w:name w:val="Char Char517"/>
    <w:qFormat/>
    <w:uiPriority w:val="0"/>
    <w:rPr>
      <w:rFonts w:hint="default" w:ascii="黑体" w:hAnsi="宋体" w:eastAsia="黑体" w:cs="Times New Roman"/>
      <w:bCs/>
      <w:color w:val="000000"/>
      <w:kern w:val="2"/>
      <w:sz w:val="28"/>
      <w:szCs w:val="28"/>
      <w:u w:val="none"/>
      <w:lang w:val="en-US" w:eastAsia="zh-CN"/>
    </w:rPr>
  </w:style>
  <w:style w:type="character" w:customStyle="1" w:styleId="870">
    <w:name w:val="正文斜体 Char13"/>
    <w:qFormat/>
    <w:uiPriority w:val="0"/>
    <w:rPr>
      <w:rFonts w:hint="default" w:ascii="宋体" w:hAnsi="宋体" w:eastAsia="宋体" w:cs="Times New Roman"/>
      <w:i/>
      <w:iCs/>
      <w:color w:val="000000"/>
      <w:kern w:val="2"/>
      <w:sz w:val="24"/>
      <w:szCs w:val="24"/>
      <w:u w:val="none"/>
      <w:lang w:val="en-US" w:eastAsia="zh-CN"/>
    </w:rPr>
  </w:style>
  <w:style w:type="character" w:customStyle="1" w:styleId="871">
    <w:name w:val="环评正文 Char3"/>
    <w:qFormat/>
    <w:uiPriority w:val="0"/>
    <w:rPr>
      <w:rFonts w:hint="default" w:ascii="Times New Roman" w:hAnsi="Times New Roman" w:eastAsia="宋体" w:cs="Times New Roman"/>
      <w:bCs/>
      <w:color w:val="000000"/>
      <w:kern w:val="2"/>
      <w:sz w:val="24"/>
      <w:szCs w:val="24"/>
      <w:u w:val="none"/>
      <w:lang w:val="en-US" w:eastAsia="zh-CN"/>
    </w:rPr>
  </w:style>
  <w:style w:type="character" w:customStyle="1" w:styleId="872">
    <w:name w:val="Char Char2116"/>
    <w:qFormat/>
    <w:uiPriority w:val="0"/>
    <w:rPr>
      <w:rFonts w:hint="default" w:ascii="黑体" w:hAnsi="Times New Roman" w:eastAsia="宋体" w:cs="Times New Roman"/>
      <w:color w:val="000000"/>
      <w:kern w:val="2"/>
      <w:sz w:val="16"/>
      <w:szCs w:val="16"/>
      <w:u w:val="none"/>
      <w:lang w:val="en-US" w:eastAsia="zh-CN"/>
    </w:rPr>
  </w:style>
  <w:style w:type="character" w:customStyle="1" w:styleId="873">
    <w:name w:val="hhcwt标题4 Char Char"/>
    <w:link w:val="874"/>
    <w:qFormat/>
    <w:uiPriority w:val="0"/>
    <w:rPr>
      <w:rFonts w:ascii="Calibri" w:hAnsi="Calibri"/>
      <w:color w:val="000000"/>
      <w:kern w:val="2"/>
      <w:sz w:val="24"/>
      <w:szCs w:val="22"/>
    </w:rPr>
  </w:style>
  <w:style w:type="paragraph" w:customStyle="1" w:styleId="874">
    <w:name w:val="hhcwt标题4"/>
    <w:basedOn w:val="5"/>
    <w:link w:val="873"/>
    <w:qFormat/>
    <w:uiPriority w:val="0"/>
    <w:rPr>
      <w:rFonts w:eastAsia="宋体"/>
      <w:b w:val="0"/>
      <w:bCs w:val="0"/>
      <w:kern w:val="2"/>
      <w:sz w:val="24"/>
      <w:szCs w:val="22"/>
    </w:rPr>
  </w:style>
  <w:style w:type="character" w:customStyle="1" w:styleId="875">
    <w:name w:val="Char Char611"/>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876">
    <w:name w:val="Char Char18"/>
    <w:qFormat/>
    <w:uiPriority w:val="0"/>
    <w:rPr>
      <w:rFonts w:hint="default" w:ascii="宋体" w:hAnsi="Times New Roman" w:eastAsia="宋体" w:cs="Times New Roman"/>
      <w:color w:val="000000"/>
      <w:sz w:val="24"/>
      <w:szCs w:val="24"/>
      <w:u w:val="none"/>
    </w:rPr>
  </w:style>
  <w:style w:type="character" w:customStyle="1" w:styleId="877">
    <w:name w:val="正文 段落1级 Char"/>
    <w:link w:val="878"/>
    <w:qFormat/>
    <w:uiPriority w:val="0"/>
    <w:rPr>
      <w:rFonts w:hint="default" w:ascii="Times New Roman" w:hAnsi="Times New Roman" w:eastAsia="仿宋_GB2312" w:cs="Arial"/>
      <w:b/>
      <w:bCs/>
      <w:color w:val="000000"/>
      <w:kern w:val="44"/>
      <w:sz w:val="36"/>
      <w:szCs w:val="44"/>
      <w:u w:val="none"/>
    </w:rPr>
  </w:style>
  <w:style w:type="paragraph" w:customStyle="1" w:styleId="878">
    <w:name w:val="正文 段落1级"/>
    <w:basedOn w:val="1"/>
    <w:link w:val="877"/>
    <w:qFormat/>
    <w:uiPriority w:val="0"/>
    <w:pPr>
      <w:keepNext/>
      <w:keepLines/>
      <w:pageBreakBefore/>
      <w:widowControl/>
      <w:outlineLvl w:val="0"/>
    </w:pPr>
    <w:rPr>
      <w:rFonts w:cs="Arial"/>
      <w:b/>
      <w:bCs/>
      <w:kern w:val="44"/>
      <w:sz w:val="36"/>
      <w:szCs w:val="44"/>
    </w:rPr>
  </w:style>
  <w:style w:type="character" w:customStyle="1" w:styleId="879">
    <w:name w:val="批注框文本 Char1"/>
    <w:qFormat/>
    <w:uiPriority w:val="99"/>
    <w:rPr>
      <w:rFonts w:hint="default" w:ascii="Times New Roman" w:hAnsi="Times New Roman" w:eastAsia="宋体" w:cs="Times New Roman"/>
      <w:color w:val="000000"/>
      <w:sz w:val="18"/>
      <w:szCs w:val="18"/>
      <w:u w:val="none"/>
    </w:rPr>
  </w:style>
  <w:style w:type="character" w:customStyle="1" w:styleId="880">
    <w:name w:val="环评标题3 Char"/>
    <w:link w:val="881"/>
    <w:semiHidden/>
    <w:qFormat/>
    <w:uiPriority w:val="0"/>
    <w:rPr>
      <w:b/>
      <w:snapToGrid/>
      <w:color w:val="000000"/>
      <w:spacing w:val="12"/>
      <w:kern w:val="24"/>
      <w:sz w:val="24"/>
      <w:szCs w:val="28"/>
    </w:rPr>
  </w:style>
  <w:style w:type="paragraph" w:customStyle="1" w:styleId="881">
    <w:name w:val="环评标题3"/>
    <w:basedOn w:val="1"/>
    <w:next w:val="1"/>
    <w:link w:val="880"/>
    <w:semiHidden/>
    <w:qFormat/>
    <w:uiPriority w:val="0"/>
    <w:pPr>
      <w:numPr>
        <w:ilvl w:val="2"/>
        <w:numId w:val="2"/>
      </w:numPr>
      <w:spacing w:before="120" w:after="120"/>
      <w:ind w:firstLine="0"/>
      <w:outlineLvl w:val="2"/>
    </w:pPr>
    <w:rPr>
      <w:b/>
      <w:snapToGrid w:val="0"/>
      <w:spacing w:val="12"/>
      <w:kern w:val="24"/>
      <w:szCs w:val="28"/>
    </w:rPr>
  </w:style>
  <w:style w:type="character" w:customStyle="1" w:styleId="882">
    <w:name w:val="表内5 Char2"/>
    <w:qFormat/>
    <w:uiPriority w:val="0"/>
    <w:rPr>
      <w:rFonts w:hint="default" w:ascii="宋体" w:hAnsi="宋体" w:eastAsia="宋体" w:cs="宋体"/>
      <w:color w:val="000000"/>
      <w:kern w:val="2"/>
      <w:sz w:val="21"/>
      <w:szCs w:val="24"/>
      <w:u w:val="none"/>
      <w:lang w:val="en-US" w:eastAsia="zh-CN"/>
    </w:rPr>
  </w:style>
  <w:style w:type="character" w:customStyle="1" w:styleId="883">
    <w:name w:val="正文修改 Char1511"/>
    <w:qFormat/>
    <w:uiPriority w:val="0"/>
    <w:rPr>
      <w:rFonts w:hint="default" w:ascii="宋体" w:hAnsi="宋体" w:eastAsia="宋体" w:cs="宋体"/>
      <w:color w:val="000000"/>
      <w:kern w:val="2"/>
      <w:sz w:val="24"/>
      <w:szCs w:val="24"/>
      <w:u w:val="none"/>
      <w:lang w:val="en-US" w:eastAsia="zh-CN"/>
    </w:rPr>
  </w:style>
  <w:style w:type="character" w:customStyle="1" w:styleId="884">
    <w:name w:val="Char Char55"/>
    <w:qFormat/>
    <w:uiPriority w:val="0"/>
    <w:rPr>
      <w:rFonts w:hint="default" w:ascii="黑体" w:hAnsi="宋体" w:eastAsia="黑体" w:cs="Times New Roman"/>
      <w:bCs/>
      <w:color w:val="000000"/>
      <w:kern w:val="2"/>
      <w:sz w:val="28"/>
      <w:szCs w:val="28"/>
      <w:u w:val="none"/>
      <w:lang w:val="en-US" w:eastAsia="zh-CN"/>
    </w:rPr>
  </w:style>
  <w:style w:type="character" w:customStyle="1" w:styleId="885">
    <w:name w:val="图题 Char31"/>
    <w:qFormat/>
    <w:uiPriority w:val="0"/>
    <w:rPr>
      <w:rFonts w:hint="default" w:ascii="黑体" w:hAnsi="宋体" w:eastAsia="黑体" w:cs="宋体"/>
      <w:b/>
      <w:bCs/>
      <w:color w:val="000000"/>
      <w:kern w:val="2"/>
      <w:sz w:val="24"/>
      <w:szCs w:val="24"/>
      <w:u w:val="none"/>
      <w:lang w:val="en-US" w:eastAsia="zh-CN"/>
    </w:rPr>
  </w:style>
  <w:style w:type="character" w:customStyle="1" w:styleId="886">
    <w:name w:val="无间隔 Char"/>
    <w:qFormat/>
    <w:uiPriority w:val="0"/>
    <w:rPr>
      <w:rFonts w:hint="default" w:ascii="Times New Roman" w:hAnsi="Times New Roman" w:cs="Times New Roman"/>
      <w:color w:val="000000"/>
      <w:sz w:val="22"/>
      <w:szCs w:val="16"/>
      <w:u w:val="none"/>
    </w:rPr>
  </w:style>
  <w:style w:type="character" w:customStyle="1" w:styleId="887">
    <w:name w:val="信息标题 Char"/>
    <w:link w:val="888"/>
    <w:qFormat/>
    <w:uiPriority w:val="0"/>
    <w:rPr>
      <w:rFonts w:hint="default" w:ascii="Arial" w:hAnsi="Arial" w:cs="Times New Roman"/>
      <w:color w:val="000000"/>
      <w:sz w:val="24"/>
      <w:szCs w:val="16"/>
      <w:u w:val="none"/>
      <w:shd w:val="pct20" w:color="auto" w:fill="auto"/>
    </w:rPr>
  </w:style>
  <w:style w:type="paragraph" w:customStyle="1" w:styleId="888">
    <w:name w:val="信息标题1"/>
    <w:basedOn w:val="1"/>
    <w:link w:val="887"/>
    <w:qFormat/>
    <w:uiPriority w:val="0"/>
    <w:pPr>
      <w:widowControl/>
      <w:pBdr>
        <w:top w:val="single" w:color="auto" w:sz="6" w:space="1"/>
        <w:left w:val="single" w:color="auto" w:sz="6" w:space="1"/>
        <w:bottom w:val="single" w:color="auto" w:sz="6" w:space="1"/>
        <w:right w:val="single" w:color="auto" w:sz="6" w:space="1"/>
      </w:pBdr>
      <w:shd w:val="pct20" w:color="auto" w:fill="auto"/>
      <w:ind w:left="1080" w:leftChars="500" w:hanging="1080" w:hangingChars="500"/>
      <w:jc w:val="left"/>
    </w:pPr>
    <w:rPr>
      <w:rFonts w:ascii="Arial" w:hAnsi="Arial"/>
      <w:shd w:val="pct20" w:color="auto" w:fill="auto"/>
    </w:rPr>
  </w:style>
  <w:style w:type="character" w:customStyle="1" w:styleId="889">
    <w:name w:val="Char Char1114"/>
    <w:qFormat/>
    <w:uiPriority w:val="0"/>
    <w:rPr>
      <w:rFonts w:hint="default" w:ascii="黑体" w:hAnsi="Arial" w:eastAsia="黑体" w:cs="Times New Roman"/>
      <w:bCs/>
      <w:color w:val="000000"/>
      <w:kern w:val="2"/>
      <w:sz w:val="30"/>
      <w:szCs w:val="30"/>
      <w:u w:val="none"/>
      <w:lang w:val="en-US" w:eastAsia="zh-CN"/>
    </w:rPr>
  </w:style>
  <w:style w:type="character" w:customStyle="1" w:styleId="890">
    <w:name w:val="Char Char614"/>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891">
    <w:name w:val="正文格式 Char61"/>
    <w:qFormat/>
    <w:uiPriority w:val="0"/>
    <w:rPr>
      <w:rFonts w:hint="default" w:ascii="宋体" w:hAnsi="宋体" w:eastAsia="宋体" w:cs="Times New Roman"/>
      <w:color w:val="000000"/>
      <w:kern w:val="2"/>
      <w:sz w:val="24"/>
      <w:szCs w:val="24"/>
      <w:u w:val="none"/>
      <w:lang w:val="en-US" w:eastAsia="zh-CN"/>
    </w:rPr>
  </w:style>
  <w:style w:type="character" w:customStyle="1" w:styleId="892">
    <w:name w:val="Char Char1141"/>
    <w:qFormat/>
    <w:uiPriority w:val="0"/>
    <w:rPr>
      <w:rFonts w:hint="default" w:ascii="黑体" w:hAnsi="Arial" w:eastAsia="黑体" w:cs="Times New Roman"/>
      <w:bCs/>
      <w:color w:val="000000"/>
      <w:kern w:val="2"/>
      <w:sz w:val="30"/>
      <w:szCs w:val="30"/>
      <w:u w:val="none"/>
      <w:lang w:val="en-US" w:eastAsia="zh-CN"/>
    </w:rPr>
  </w:style>
  <w:style w:type="character" w:customStyle="1" w:styleId="893">
    <w:name w:val="Char Char117"/>
    <w:qFormat/>
    <w:uiPriority w:val="0"/>
    <w:rPr>
      <w:rFonts w:hint="default" w:ascii="黑体" w:hAnsi="Arial" w:eastAsia="黑体" w:cs="Times New Roman"/>
      <w:bCs/>
      <w:color w:val="000000"/>
      <w:kern w:val="2"/>
      <w:sz w:val="30"/>
      <w:szCs w:val="30"/>
      <w:u w:val="none"/>
      <w:lang w:val="en-US" w:eastAsia="zh-CN"/>
    </w:rPr>
  </w:style>
  <w:style w:type="character" w:customStyle="1" w:styleId="894">
    <w:name w:val="表格内字体 Char12"/>
    <w:qFormat/>
    <w:uiPriority w:val="0"/>
    <w:rPr>
      <w:rFonts w:hint="default" w:ascii="宋体" w:hAnsi="宋体" w:eastAsia="宋体" w:cs="Times New Roman"/>
      <w:color w:val="000000"/>
      <w:kern w:val="2"/>
      <w:sz w:val="21"/>
      <w:szCs w:val="24"/>
      <w:u w:val="none"/>
      <w:lang w:val="en-US" w:eastAsia="zh-CN"/>
    </w:rPr>
  </w:style>
  <w:style w:type="character" w:customStyle="1" w:styleId="895">
    <w:name w:val="正文缩进 Char32"/>
    <w:qFormat/>
    <w:uiPriority w:val="0"/>
    <w:rPr>
      <w:rFonts w:hint="default" w:ascii="宋体" w:hAnsi="宋体" w:eastAsia="宋体" w:cs="宋体"/>
      <w:color w:val="000000"/>
      <w:kern w:val="0"/>
      <w:sz w:val="24"/>
      <w:szCs w:val="24"/>
      <w:u w:val="none"/>
      <w:lang w:val="en-US" w:eastAsia="zh-CN"/>
    </w:rPr>
  </w:style>
  <w:style w:type="character" w:customStyle="1" w:styleId="896">
    <w:name w:val="文档结构图 字符"/>
    <w:link w:val="20"/>
    <w:qFormat/>
    <w:uiPriority w:val="0"/>
    <w:rPr>
      <w:rFonts w:hint="default" w:ascii="Calibri" w:hAnsi="Calibri" w:eastAsia="仿宋_GB2312" w:cs="Times New Roman"/>
      <w:color w:val="000000"/>
      <w:sz w:val="28"/>
      <w:szCs w:val="16"/>
      <w:u w:val="none"/>
      <w:shd w:val="clear" w:color="auto" w:fill="000080"/>
    </w:rPr>
  </w:style>
  <w:style w:type="character" w:customStyle="1" w:styleId="897">
    <w:name w:val="文字缩进 Char4"/>
    <w:qFormat/>
    <w:uiPriority w:val="0"/>
    <w:rPr>
      <w:rFonts w:hint="default" w:ascii="宋体" w:hAnsi="Courier New" w:eastAsia="宋体" w:cs="Times New Roman"/>
      <w:color w:val="000000"/>
      <w:kern w:val="2"/>
      <w:sz w:val="21"/>
      <w:szCs w:val="16"/>
      <w:u w:val="none"/>
      <w:lang w:val="en-US" w:eastAsia="zh-CN"/>
    </w:rPr>
  </w:style>
  <w:style w:type="character" w:customStyle="1" w:styleId="898">
    <w:name w:val="Char Char1126"/>
    <w:qFormat/>
    <w:uiPriority w:val="0"/>
    <w:rPr>
      <w:rFonts w:hint="default" w:ascii="黑体" w:hAnsi="Arial" w:eastAsia="黑体" w:cs="Times New Roman"/>
      <w:bCs/>
      <w:color w:val="000000"/>
      <w:kern w:val="2"/>
      <w:sz w:val="30"/>
      <w:szCs w:val="30"/>
      <w:u w:val="none"/>
      <w:lang w:val="en-US" w:eastAsia="zh-CN"/>
    </w:rPr>
  </w:style>
  <w:style w:type="character" w:customStyle="1" w:styleId="899">
    <w:name w:val="正文修改 Char18"/>
    <w:qFormat/>
    <w:uiPriority w:val="0"/>
    <w:rPr>
      <w:rFonts w:hint="default" w:ascii="宋体" w:hAnsi="宋体" w:eastAsia="宋体" w:cs="宋体"/>
      <w:color w:val="000000"/>
      <w:kern w:val="2"/>
      <w:sz w:val="24"/>
      <w:szCs w:val="24"/>
      <w:u w:val="none"/>
      <w:lang w:val="en-US" w:eastAsia="zh-CN"/>
    </w:rPr>
  </w:style>
  <w:style w:type="character" w:customStyle="1" w:styleId="900">
    <w:name w:val="。"/>
    <w:qFormat/>
    <w:uiPriority w:val="0"/>
    <w:rPr>
      <w:rFonts w:hint="default" w:ascii="宋体" w:hAnsi="Times New Roman" w:eastAsia="宋体" w:cs="Times New Roman"/>
      <w:color w:val="000000"/>
      <w:kern w:val="2"/>
      <w:sz w:val="24"/>
      <w:szCs w:val="16"/>
      <w:u w:val="none"/>
      <w:lang w:val="en-US" w:eastAsia="zh-CN"/>
    </w:rPr>
  </w:style>
  <w:style w:type="character" w:customStyle="1" w:styleId="901">
    <w:name w:val="样式 正文 + Char Char"/>
    <w:link w:val="902"/>
    <w:qFormat/>
    <w:uiPriority w:val="0"/>
    <w:rPr>
      <w:rFonts w:hint="default" w:ascii="Arial" w:hAnsi="Arial" w:cs="Times New Roman"/>
      <w:color w:val="000000"/>
      <w:sz w:val="28"/>
      <w:szCs w:val="16"/>
      <w:u w:val="none"/>
    </w:rPr>
  </w:style>
  <w:style w:type="paragraph" w:customStyle="1" w:styleId="902">
    <w:name w:val="样式 正文 +"/>
    <w:basedOn w:val="1"/>
    <w:link w:val="901"/>
    <w:qFormat/>
    <w:uiPriority w:val="0"/>
    <w:pPr>
      <w:widowControl/>
      <w:jc w:val="left"/>
    </w:pPr>
    <w:rPr>
      <w:rFonts w:ascii="Arial" w:hAnsi="Arial"/>
    </w:rPr>
  </w:style>
  <w:style w:type="character" w:customStyle="1" w:styleId="903">
    <w:name w:val="标题 3 Char101"/>
    <w:qFormat/>
    <w:uiPriority w:val="0"/>
    <w:rPr>
      <w:rFonts w:hint="default" w:ascii="黑体" w:hAnsi="宋体" w:eastAsia="黑体" w:cs="Times New Roman"/>
      <w:b/>
      <w:bCs/>
      <w:color w:val="000000"/>
      <w:kern w:val="2"/>
      <w:sz w:val="28"/>
      <w:szCs w:val="28"/>
      <w:u w:val="none"/>
      <w:lang w:val="en-US" w:eastAsia="zh-CN"/>
    </w:rPr>
  </w:style>
  <w:style w:type="character" w:customStyle="1" w:styleId="904">
    <w:name w:val="Char Char49"/>
    <w:qFormat/>
    <w:uiPriority w:val="0"/>
    <w:rPr>
      <w:rFonts w:hint="default" w:ascii="黑体" w:hAnsi="Arial" w:eastAsia="黑体" w:cs="Times New Roman"/>
      <w:b/>
      <w:bCs/>
      <w:color w:val="000000"/>
      <w:kern w:val="2"/>
      <w:sz w:val="30"/>
      <w:szCs w:val="30"/>
      <w:u w:val="none"/>
      <w:lang w:val="en-US" w:eastAsia="zh-CN"/>
    </w:rPr>
  </w:style>
  <w:style w:type="character" w:customStyle="1" w:styleId="905">
    <w:name w:val="正文修改 Char13111"/>
    <w:qFormat/>
    <w:uiPriority w:val="0"/>
    <w:rPr>
      <w:rFonts w:hint="default" w:ascii="宋体" w:hAnsi="宋体" w:eastAsia="宋体" w:cs="宋体"/>
      <w:color w:val="000000"/>
      <w:kern w:val="2"/>
      <w:sz w:val="24"/>
      <w:szCs w:val="24"/>
      <w:u w:val="none"/>
      <w:lang w:val="en-US" w:eastAsia="zh-CN"/>
    </w:rPr>
  </w:style>
  <w:style w:type="character" w:customStyle="1" w:styleId="906">
    <w:name w:val="正文张阳 Char Char"/>
    <w:link w:val="907"/>
    <w:qFormat/>
    <w:uiPriority w:val="0"/>
    <w:rPr>
      <w:rFonts w:hint="default" w:ascii="宋体" w:hAnsi="Times New Roman" w:cs="Times New Roman"/>
      <w:color w:val="000000"/>
      <w:sz w:val="28"/>
      <w:szCs w:val="16"/>
      <w:u w:val="none"/>
    </w:rPr>
  </w:style>
  <w:style w:type="paragraph" w:customStyle="1" w:styleId="907">
    <w:name w:val="正文张阳"/>
    <w:basedOn w:val="1"/>
    <w:link w:val="906"/>
    <w:qFormat/>
    <w:uiPriority w:val="0"/>
    <w:pPr>
      <w:widowControl/>
      <w:ind w:firstLine="560"/>
      <w:jc w:val="left"/>
    </w:pPr>
    <w:rPr>
      <w:rFonts w:ascii="宋体"/>
    </w:rPr>
  </w:style>
  <w:style w:type="character" w:customStyle="1" w:styleId="908">
    <w:name w:val="HTML 预设格式 字符"/>
    <w:link w:val="55"/>
    <w:qFormat/>
    <w:uiPriority w:val="0"/>
    <w:rPr>
      <w:rFonts w:hint="default" w:ascii="宋体" w:hAnsi="宋体" w:eastAsia="宋体" w:cs="宋体"/>
      <w:color w:val="000000"/>
      <w:kern w:val="0"/>
      <w:sz w:val="16"/>
      <w:szCs w:val="21"/>
      <w:u w:val="none"/>
    </w:rPr>
  </w:style>
  <w:style w:type="character" w:customStyle="1" w:styleId="909">
    <w:name w:val="样式 样式 首行缩进:  2 字符 + 首行缩进:  2 字符2 Char Char"/>
    <w:link w:val="910"/>
    <w:qFormat/>
    <w:uiPriority w:val="0"/>
    <w:rPr>
      <w:rFonts w:hint="default" w:ascii="Times New Roman" w:hAnsi="Times New Roman" w:eastAsia="楷体_GB2312" w:cs="Times New Roman"/>
      <w:color w:val="000000"/>
      <w:spacing w:val="6"/>
      <w:sz w:val="28"/>
      <w:szCs w:val="16"/>
      <w:u w:val="none"/>
    </w:rPr>
  </w:style>
  <w:style w:type="paragraph" w:customStyle="1" w:styleId="910">
    <w:name w:val="样式 样式 首行缩进:  2 字符 + 首行缩进:  2 字符2"/>
    <w:basedOn w:val="1"/>
    <w:link w:val="909"/>
    <w:qFormat/>
    <w:uiPriority w:val="0"/>
    <w:pPr>
      <w:widowControl/>
      <w:spacing w:line="440" w:lineRule="exact"/>
      <w:ind w:firstLine="584"/>
      <w:jc w:val="left"/>
    </w:pPr>
    <w:rPr>
      <w:rFonts w:eastAsia="楷体_GB2312"/>
      <w:spacing w:val="6"/>
    </w:rPr>
  </w:style>
  <w:style w:type="character" w:customStyle="1" w:styleId="911">
    <w:name w:val="条标题1.1.1 Char2"/>
    <w:qFormat/>
    <w:uiPriority w:val="0"/>
    <w:rPr>
      <w:rFonts w:hint="default" w:ascii="Times New Roman" w:hAnsi="Times New Roman" w:eastAsia="仿宋_GB2312" w:cs="Times New Roman"/>
      <w:b/>
      <w:bCs/>
      <w:color w:val="000000"/>
      <w:kern w:val="2"/>
      <w:sz w:val="28"/>
      <w:szCs w:val="32"/>
      <w:u w:val="none"/>
      <w:lang w:val="en-US" w:eastAsia="zh-CN"/>
    </w:rPr>
  </w:style>
  <w:style w:type="character" w:customStyle="1" w:styleId="912">
    <w:name w:val="正文斜体 Char4"/>
    <w:qFormat/>
    <w:uiPriority w:val="0"/>
    <w:rPr>
      <w:rFonts w:hint="default" w:ascii="宋体" w:hAnsi="宋体" w:eastAsia="宋体" w:cs="Times New Roman"/>
      <w:i/>
      <w:iCs/>
      <w:color w:val="000000"/>
      <w:kern w:val="2"/>
      <w:sz w:val="24"/>
      <w:szCs w:val="24"/>
      <w:u w:val="none"/>
      <w:lang w:val="en-US" w:eastAsia="zh-CN"/>
    </w:rPr>
  </w:style>
  <w:style w:type="character" w:customStyle="1" w:styleId="913">
    <w:name w:val="正文格式 Char5"/>
    <w:qFormat/>
    <w:uiPriority w:val="0"/>
    <w:rPr>
      <w:rFonts w:hint="default" w:ascii="宋体" w:hAnsi="宋体" w:eastAsia="宋体" w:cs="Times New Roman"/>
      <w:color w:val="000000"/>
      <w:kern w:val="2"/>
      <w:sz w:val="24"/>
      <w:szCs w:val="24"/>
      <w:u w:val="none"/>
      <w:lang w:val="en-US" w:eastAsia="zh-CN"/>
    </w:rPr>
  </w:style>
  <w:style w:type="character" w:customStyle="1" w:styleId="914">
    <w:name w:val="HTML 定义1"/>
    <w:qFormat/>
    <w:uiPriority w:val="0"/>
    <w:rPr>
      <w:rFonts w:hint="default" w:ascii="宋体" w:hAnsi="宋体" w:eastAsia="宋体" w:cs="Courier New"/>
      <w:i/>
      <w:iCs/>
      <w:color w:val="000000"/>
      <w:kern w:val="2"/>
      <w:sz w:val="32"/>
      <w:szCs w:val="32"/>
      <w:u w:val="none"/>
      <w:lang w:val="en-US" w:eastAsia="zh-CN"/>
    </w:rPr>
  </w:style>
  <w:style w:type="character" w:customStyle="1" w:styleId="915">
    <w:name w:val="样式 表内小5 + 黑体 加粗 倾斜 下划线 Char511"/>
    <w:qFormat/>
    <w:uiPriority w:val="0"/>
    <w:rPr>
      <w:rFonts w:hint="default" w:ascii="黑体" w:hAnsi="黑体" w:eastAsia="黑体" w:cs="Times New Roman"/>
      <w:b/>
      <w:bCs/>
      <w:i/>
      <w:iCs/>
      <w:color w:val="000000"/>
      <w:kern w:val="2"/>
      <w:sz w:val="18"/>
      <w:szCs w:val="24"/>
      <w:u w:val="single"/>
      <w:lang w:val="en-US" w:eastAsia="zh-CN"/>
    </w:rPr>
  </w:style>
  <w:style w:type="character" w:customStyle="1" w:styleId="916">
    <w:name w:val="图题注 Char1"/>
    <w:qFormat/>
    <w:uiPriority w:val="0"/>
    <w:rPr>
      <w:rFonts w:hint="default" w:ascii="黑体" w:hAnsi="Arial" w:eastAsia="黑体" w:cs="宋体"/>
      <w:b/>
      <w:bCs/>
      <w:color w:val="000000"/>
      <w:kern w:val="2"/>
      <w:sz w:val="24"/>
      <w:szCs w:val="24"/>
      <w:u w:val="none"/>
      <w:lang w:val="en-US" w:eastAsia="zh-CN"/>
    </w:rPr>
  </w:style>
  <w:style w:type="character" w:customStyle="1" w:styleId="917">
    <w:name w:val="样式 表格内字体 + Char3"/>
    <w:qFormat/>
    <w:uiPriority w:val="0"/>
    <w:rPr>
      <w:rFonts w:hint="default" w:ascii="宋体" w:hAnsi="宋体" w:eastAsia="宋体" w:cs="Times New Roman"/>
      <w:color w:val="000000"/>
      <w:kern w:val="0"/>
      <w:sz w:val="21"/>
      <w:szCs w:val="24"/>
      <w:u w:val="none"/>
      <w:lang w:val="en-US" w:eastAsia="zh-CN"/>
    </w:rPr>
  </w:style>
  <w:style w:type="character" w:customStyle="1" w:styleId="918">
    <w:name w:val="正文修改 Char16"/>
    <w:qFormat/>
    <w:uiPriority w:val="0"/>
    <w:rPr>
      <w:rFonts w:hint="default" w:ascii="宋体" w:hAnsi="宋体" w:eastAsia="宋体" w:cs="宋体"/>
      <w:color w:val="000000"/>
      <w:kern w:val="2"/>
      <w:sz w:val="24"/>
      <w:szCs w:val="24"/>
      <w:u w:val="none"/>
      <w:lang w:val="en-US" w:eastAsia="zh-CN"/>
    </w:rPr>
  </w:style>
  <w:style w:type="character" w:customStyle="1" w:styleId="919">
    <w:name w:val="正文文本 2 Char1"/>
    <w:qFormat/>
    <w:uiPriority w:val="99"/>
    <w:rPr>
      <w:rFonts w:hint="default" w:ascii="Times New Roman" w:hAnsi="Times New Roman" w:eastAsia="仿宋_GB2312" w:cs="Times New Roman"/>
      <w:color w:val="000000"/>
      <w:kern w:val="2"/>
      <w:sz w:val="22"/>
      <w:szCs w:val="16"/>
      <w:u w:val="none"/>
    </w:rPr>
  </w:style>
  <w:style w:type="character" w:customStyle="1" w:styleId="920">
    <w:name w:val="题注 Char231"/>
    <w:qFormat/>
    <w:uiPriority w:val="0"/>
    <w:rPr>
      <w:rFonts w:hint="default" w:ascii="黑体" w:hAnsi="Arial" w:eastAsia="黑体" w:cs="Arial"/>
      <w:b/>
      <w:color w:val="000000"/>
      <w:kern w:val="2"/>
      <w:sz w:val="24"/>
      <w:szCs w:val="24"/>
      <w:u w:val="none"/>
      <w:lang w:val="en-US" w:eastAsia="zh-CN"/>
    </w:rPr>
  </w:style>
  <w:style w:type="character" w:customStyle="1" w:styleId="921">
    <w:name w:val="四号 正文 Char Char"/>
    <w:link w:val="922"/>
    <w:qFormat/>
    <w:uiPriority w:val="0"/>
    <w:rPr>
      <w:rFonts w:hint="default" w:ascii="Times New Roman" w:hAnsi="Times New Roman" w:cs="Times New Roman"/>
      <w:color w:val="000000"/>
      <w:spacing w:val="6"/>
      <w:sz w:val="28"/>
      <w:szCs w:val="16"/>
      <w:u w:val="none"/>
    </w:rPr>
  </w:style>
  <w:style w:type="paragraph" w:customStyle="1" w:styleId="922">
    <w:name w:val="四号 正文"/>
    <w:basedOn w:val="1"/>
    <w:link w:val="921"/>
    <w:qFormat/>
    <w:uiPriority w:val="0"/>
    <w:pPr>
      <w:widowControl/>
      <w:ind w:firstLine="584"/>
      <w:jc w:val="left"/>
    </w:pPr>
    <w:rPr>
      <w:spacing w:val="6"/>
    </w:rPr>
  </w:style>
  <w:style w:type="character" w:customStyle="1" w:styleId="923">
    <w:name w:val="font161"/>
    <w:qFormat/>
    <w:uiPriority w:val="0"/>
    <w:rPr>
      <w:rFonts w:hint="default" w:ascii="Times New Roman" w:hAnsi="Times New Roman" w:cs="Times New Roman"/>
      <w:b/>
      <w:color w:val="000000"/>
      <w:sz w:val="18"/>
      <w:szCs w:val="18"/>
      <w:u w:val="none"/>
      <w:vertAlign w:val="superscript"/>
    </w:rPr>
  </w:style>
  <w:style w:type="character" w:customStyle="1" w:styleId="924">
    <w:name w:val="Heading 1 Char"/>
    <w:qFormat/>
    <w:uiPriority w:val="0"/>
    <w:rPr>
      <w:rFonts w:hint="default" w:ascii="Times New Roman" w:hAnsi="Times New Roman" w:eastAsia="仿宋_GB2312" w:cs="Times New Roman"/>
      <w:b/>
      <w:color w:val="000000"/>
      <w:kern w:val="44"/>
      <w:sz w:val="44"/>
      <w:szCs w:val="16"/>
      <w:u w:val="none"/>
    </w:rPr>
  </w:style>
  <w:style w:type="character" w:customStyle="1" w:styleId="925">
    <w:name w:val="正文修改 Char144"/>
    <w:qFormat/>
    <w:uiPriority w:val="0"/>
    <w:rPr>
      <w:rFonts w:hint="default" w:ascii="宋体" w:hAnsi="Times New Roman" w:cs="宋体"/>
      <w:color w:val="000000"/>
      <w:kern w:val="2"/>
      <w:sz w:val="24"/>
      <w:szCs w:val="24"/>
      <w:u w:val="none"/>
    </w:rPr>
  </w:style>
  <w:style w:type="character" w:customStyle="1" w:styleId="926">
    <w:name w:val="表蕊左对齐 Char Char"/>
    <w:link w:val="927"/>
    <w:qFormat/>
    <w:uiPriority w:val="0"/>
    <w:rPr>
      <w:rFonts w:hint="default" w:ascii="Times New Roman" w:hAnsi="Times New Roman" w:cs="Times New Roman"/>
      <w:color w:val="000000"/>
      <w:sz w:val="16"/>
      <w:szCs w:val="16"/>
      <w:u w:val="none"/>
    </w:rPr>
  </w:style>
  <w:style w:type="paragraph" w:customStyle="1" w:styleId="927">
    <w:name w:val="表蕊左对齐"/>
    <w:basedOn w:val="759"/>
    <w:link w:val="926"/>
    <w:qFormat/>
    <w:uiPriority w:val="0"/>
    <w:pPr>
      <w:suppressAutoHyphens w:val="0"/>
      <w:adjustRightInd/>
      <w:spacing w:line="300" w:lineRule="exact"/>
      <w:ind w:left="57" w:right="0" w:rightChars="0"/>
      <w:jc w:val="left"/>
      <w:textAlignment w:val="auto"/>
    </w:pPr>
    <w:rPr>
      <w:rFonts w:ascii="Calibri"/>
      <w:color w:val="000000"/>
      <w:sz w:val="21"/>
    </w:rPr>
  </w:style>
  <w:style w:type="character" w:customStyle="1" w:styleId="928">
    <w:name w:val="批注框文本 Char6"/>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929">
    <w:name w:val="正文修改 Char1521"/>
    <w:qFormat/>
    <w:uiPriority w:val="0"/>
    <w:rPr>
      <w:rFonts w:hint="default" w:ascii="宋体" w:hAnsi="宋体" w:eastAsia="宋体" w:cs="宋体"/>
      <w:color w:val="000000"/>
      <w:kern w:val="2"/>
      <w:sz w:val="24"/>
      <w:szCs w:val="24"/>
      <w:u w:val="none"/>
      <w:lang w:val="en-US" w:eastAsia="zh-CN"/>
    </w:rPr>
  </w:style>
  <w:style w:type="character" w:customStyle="1" w:styleId="930">
    <w:name w:val="样式 楷体_GB2312 四号"/>
    <w:qFormat/>
    <w:uiPriority w:val="0"/>
    <w:rPr>
      <w:rFonts w:hint="default" w:ascii="Times New Roman" w:hAnsi="Times New Roman" w:eastAsia="楷体_GB2312" w:cs="Times New Roman"/>
      <w:color w:val="000000"/>
      <w:sz w:val="28"/>
      <w:szCs w:val="28"/>
      <w:u w:val="none"/>
    </w:rPr>
  </w:style>
  <w:style w:type="character" w:customStyle="1" w:styleId="931">
    <w:name w:val="日期 字符"/>
    <w:link w:val="37"/>
    <w:qFormat/>
    <w:uiPriority w:val="0"/>
    <w:rPr>
      <w:rFonts w:hint="default" w:ascii="Times New Roman" w:hAnsi="Times New Roman" w:eastAsia="仿宋_GB2312" w:cs="Times New Roman"/>
      <w:color w:val="000000"/>
      <w:sz w:val="28"/>
      <w:szCs w:val="16"/>
      <w:u w:val="none"/>
    </w:rPr>
  </w:style>
  <w:style w:type="character" w:customStyle="1" w:styleId="932">
    <w:name w:val="HTML 地址 Char"/>
    <w:link w:val="933"/>
    <w:qFormat/>
    <w:uiPriority w:val="0"/>
    <w:rPr>
      <w:rFonts w:hint="default" w:ascii="Times New Roman" w:hAnsi="Times New Roman" w:cs="Times New Roman"/>
      <w:i/>
      <w:color w:val="000000"/>
      <w:sz w:val="24"/>
      <w:szCs w:val="16"/>
      <w:u w:val="none"/>
    </w:rPr>
  </w:style>
  <w:style w:type="paragraph" w:customStyle="1" w:styleId="933">
    <w:name w:val="HTML 地址1"/>
    <w:basedOn w:val="1"/>
    <w:link w:val="932"/>
    <w:qFormat/>
    <w:uiPriority w:val="0"/>
    <w:pPr>
      <w:widowControl/>
      <w:spacing w:before="60"/>
      <w:ind w:firstLine="482"/>
      <w:jc w:val="left"/>
    </w:pPr>
    <w:rPr>
      <w:i/>
    </w:rPr>
  </w:style>
  <w:style w:type="character" w:customStyle="1" w:styleId="934">
    <w:name w:val="燕山正文 Char12"/>
    <w:qFormat/>
    <w:uiPriority w:val="0"/>
    <w:rPr>
      <w:rFonts w:hint="default" w:ascii="宋体" w:hAnsi="Times New Roman" w:eastAsia="宋体" w:cs="宋体"/>
      <w:color w:val="000000"/>
      <w:kern w:val="2"/>
      <w:sz w:val="24"/>
      <w:szCs w:val="24"/>
      <w:u w:val="none"/>
      <w:lang w:val="en-US" w:eastAsia="zh-CN"/>
    </w:rPr>
  </w:style>
  <w:style w:type="character" w:customStyle="1" w:styleId="935">
    <w:name w:val="表题1 Char44"/>
    <w:qFormat/>
    <w:uiPriority w:val="0"/>
    <w:rPr>
      <w:rFonts w:hint="default" w:ascii="黑体" w:hAnsi="Arial" w:eastAsia="黑体" w:cs="Arial"/>
      <w:b/>
      <w:color w:val="000000"/>
      <w:kern w:val="2"/>
      <w:sz w:val="24"/>
      <w:szCs w:val="24"/>
      <w:u w:val="none"/>
      <w:lang w:val="en-US" w:eastAsia="zh-CN"/>
    </w:rPr>
  </w:style>
  <w:style w:type="character" w:customStyle="1" w:styleId="936">
    <w:name w:val="题注 Char112"/>
    <w:qFormat/>
    <w:uiPriority w:val="0"/>
    <w:rPr>
      <w:rFonts w:hint="default" w:ascii="黑体" w:hAnsi="Arial" w:eastAsia="黑体" w:cs="Arial"/>
      <w:b/>
      <w:color w:val="000000"/>
      <w:kern w:val="2"/>
      <w:sz w:val="24"/>
      <w:szCs w:val="24"/>
      <w:u w:val="none"/>
      <w:lang w:val="en-US" w:eastAsia="zh-CN"/>
    </w:rPr>
  </w:style>
  <w:style w:type="character" w:customStyle="1" w:styleId="937">
    <w:name w:val="Char4 Char Char Char Char Char"/>
    <w:link w:val="938"/>
    <w:qFormat/>
    <w:uiPriority w:val="0"/>
    <w:rPr>
      <w:rFonts w:hint="default" w:ascii="Times New Roman" w:hAnsi="Times New Roman" w:eastAsia="仿宋_GB2312" w:cs="Times New Roman"/>
      <w:color w:val="000000"/>
      <w:sz w:val="24"/>
      <w:szCs w:val="16"/>
      <w:u w:val="none"/>
    </w:rPr>
  </w:style>
  <w:style w:type="paragraph" w:customStyle="1" w:styleId="938">
    <w:name w:val="Char4 Char Char Char"/>
    <w:basedOn w:val="1"/>
    <w:link w:val="937"/>
    <w:qFormat/>
    <w:uiPriority w:val="0"/>
  </w:style>
  <w:style w:type="character" w:customStyle="1" w:styleId="939">
    <w:name w:val="正文文本 Char41"/>
    <w:qFormat/>
    <w:uiPriority w:val="0"/>
    <w:rPr>
      <w:rFonts w:hint="default" w:ascii="Times New Roman" w:hAnsi="Times New Roman" w:eastAsia="宋体" w:cs="Times New Roman"/>
      <w:color w:val="000000"/>
      <w:kern w:val="2"/>
      <w:sz w:val="24"/>
      <w:szCs w:val="24"/>
      <w:u w:val="none"/>
      <w:lang w:val="en-US" w:eastAsia="zh-CN"/>
    </w:rPr>
  </w:style>
  <w:style w:type="character" w:customStyle="1" w:styleId="940">
    <w:name w:val="单学凯小节标题 Char Char"/>
    <w:link w:val="941"/>
    <w:qFormat/>
    <w:uiPriority w:val="0"/>
    <w:rPr>
      <w:rFonts w:hint="default" w:ascii="宋体" w:hAnsi="Times New Roman" w:cs="Times New Roman"/>
      <w:color w:val="000000"/>
      <w:sz w:val="24"/>
      <w:szCs w:val="16"/>
      <w:u w:val="none"/>
    </w:rPr>
  </w:style>
  <w:style w:type="paragraph" w:customStyle="1" w:styleId="941">
    <w:name w:val="单学凯小节标题"/>
    <w:basedOn w:val="1"/>
    <w:link w:val="940"/>
    <w:qFormat/>
    <w:uiPriority w:val="0"/>
    <w:pPr>
      <w:widowControl/>
      <w:tabs>
        <w:tab w:val="left" w:pos="5094"/>
      </w:tabs>
      <w:spacing w:before="156" w:after="156"/>
      <w:ind w:firstLine="480"/>
      <w:jc w:val="left"/>
      <w:textAlignment w:val="baseline"/>
    </w:pPr>
    <w:rPr>
      <w:rFonts w:ascii="宋体"/>
    </w:rPr>
  </w:style>
  <w:style w:type="character" w:customStyle="1" w:styleId="942">
    <w:name w:val="正文修改 Char124"/>
    <w:qFormat/>
    <w:uiPriority w:val="0"/>
    <w:rPr>
      <w:rFonts w:hint="default" w:ascii="宋体" w:hAnsi="宋体" w:eastAsia="宋体" w:cs="宋体"/>
      <w:color w:val="000000"/>
      <w:kern w:val="2"/>
      <w:sz w:val="24"/>
      <w:szCs w:val="24"/>
      <w:u w:val="none"/>
      <w:lang w:val="en-US" w:eastAsia="zh-CN"/>
    </w:rPr>
  </w:style>
  <w:style w:type="character" w:customStyle="1" w:styleId="943">
    <w:name w:val="正文改 Char Char"/>
    <w:link w:val="944"/>
    <w:qFormat/>
    <w:uiPriority w:val="0"/>
    <w:rPr>
      <w:rFonts w:hint="default" w:ascii="宋体" w:hAnsi="Times New Roman" w:cs="Times New Roman"/>
      <w:color w:val="000000"/>
      <w:sz w:val="28"/>
      <w:szCs w:val="16"/>
      <w:u w:val="none"/>
    </w:rPr>
  </w:style>
  <w:style w:type="paragraph" w:customStyle="1" w:styleId="944">
    <w:name w:val="正文改"/>
    <w:basedOn w:val="1"/>
    <w:link w:val="943"/>
    <w:qFormat/>
    <w:uiPriority w:val="0"/>
    <w:pPr>
      <w:widowControl/>
      <w:spacing w:line="560" w:lineRule="exact"/>
      <w:ind w:firstLine="560"/>
      <w:jc w:val="left"/>
    </w:pPr>
    <w:rPr>
      <w:rFonts w:ascii="宋体"/>
    </w:rPr>
  </w:style>
  <w:style w:type="character" w:customStyle="1" w:styleId="945">
    <w:name w:val="表题1 Char42"/>
    <w:qFormat/>
    <w:uiPriority w:val="0"/>
    <w:rPr>
      <w:rFonts w:hint="default" w:ascii="黑体" w:hAnsi="Arial" w:eastAsia="黑体" w:cs="Arial"/>
      <w:b/>
      <w:color w:val="000000"/>
      <w:kern w:val="2"/>
      <w:sz w:val="24"/>
      <w:szCs w:val="24"/>
      <w:u w:val="none"/>
      <w:lang w:val="en-US" w:eastAsia="zh-CN"/>
    </w:rPr>
  </w:style>
  <w:style w:type="character" w:customStyle="1" w:styleId="946">
    <w:name w:val="表格内文字 Char Char"/>
    <w:link w:val="947"/>
    <w:qFormat/>
    <w:uiPriority w:val="0"/>
    <w:rPr>
      <w:rFonts w:hint="default" w:ascii="宋体" w:hAnsi="Times New Roman" w:cs="Times New Roman"/>
      <w:color w:val="000000"/>
      <w:w w:val="90"/>
      <w:sz w:val="16"/>
      <w:szCs w:val="16"/>
      <w:u w:val="none"/>
    </w:rPr>
  </w:style>
  <w:style w:type="paragraph" w:customStyle="1" w:styleId="947">
    <w:name w:val="表格内文字"/>
    <w:basedOn w:val="98"/>
    <w:link w:val="946"/>
    <w:qFormat/>
    <w:uiPriority w:val="0"/>
    <w:pPr>
      <w:keepNext/>
      <w:widowControl w:val="0"/>
      <w:spacing w:line="240" w:lineRule="atLeast"/>
      <w:jc w:val="center"/>
    </w:pPr>
    <w:rPr>
      <w:rFonts w:ascii="宋体" w:hAnsi="Times New Roman" w:cs="Times New Roman"/>
      <w:color w:val="000000"/>
      <w:w w:val="90"/>
      <w:szCs w:val="22"/>
    </w:rPr>
  </w:style>
  <w:style w:type="character" w:customStyle="1" w:styleId="948">
    <w:name w:val="页脚 Char2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949">
    <w:name w:val="环评标题2 Char"/>
    <w:link w:val="950"/>
    <w:semiHidden/>
    <w:qFormat/>
    <w:uiPriority w:val="0"/>
    <w:rPr>
      <w:b/>
      <w:color w:val="000000"/>
      <w:spacing w:val="12"/>
      <w:kern w:val="2"/>
      <w:sz w:val="32"/>
      <w:szCs w:val="32"/>
    </w:rPr>
  </w:style>
  <w:style w:type="paragraph" w:customStyle="1" w:styleId="950">
    <w:name w:val="环评标题2"/>
    <w:basedOn w:val="1"/>
    <w:next w:val="1"/>
    <w:link w:val="949"/>
    <w:semiHidden/>
    <w:qFormat/>
    <w:uiPriority w:val="0"/>
    <w:pPr>
      <w:numPr>
        <w:ilvl w:val="1"/>
        <w:numId w:val="2"/>
      </w:numPr>
      <w:spacing w:before="120" w:after="240"/>
      <w:ind w:firstLine="0"/>
      <w:outlineLvl w:val="1"/>
    </w:pPr>
    <w:rPr>
      <w:b/>
      <w:spacing w:val="12"/>
      <w:sz w:val="32"/>
      <w:szCs w:val="32"/>
    </w:rPr>
  </w:style>
  <w:style w:type="character" w:customStyle="1" w:styleId="951">
    <w:name w:val="正文文字 3 Char Char1"/>
    <w:qFormat/>
    <w:uiPriority w:val="0"/>
    <w:rPr>
      <w:rFonts w:hint="default" w:ascii="Times New Roman" w:hAnsi="Times New Roman" w:eastAsia="仿宋_GB2312" w:cs="Times New Roman"/>
      <w:color w:val="000000"/>
      <w:kern w:val="2"/>
      <w:sz w:val="28"/>
      <w:szCs w:val="24"/>
      <w:u w:val="none"/>
      <w:lang w:val="en-US" w:eastAsia="zh-CN"/>
    </w:rPr>
  </w:style>
  <w:style w:type="character" w:customStyle="1" w:styleId="952">
    <w:name w:val="样式 表内小5 + 黑体 加粗 倾斜 下划线 Char11"/>
    <w:qFormat/>
    <w:uiPriority w:val="0"/>
    <w:rPr>
      <w:rFonts w:hint="default" w:ascii="黑体" w:hAnsi="黑体" w:eastAsia="黑体" w:cs="Times New Roman"/>
      <w:b/>
      <w:bCs/>
      <w:i/>
      <w:iCs/>
      <w:color w:val="000000"/>
      <w:kern w:val="2"/>
      <w:sz w:val="18"/>
      <w:szCs w:val="24"/>
      <w:u w:val="single"/>
      <w:lang w:val="en-US" w:eastAsia="zh-CN"/>
    </w:rPr>
  </w:style>
  <w:style w:type="character" w:customStyle="1" w:styleId="953">
    <w:name w:val="Char Char511"/>
    <w:qFormat/>
    <w:uiPriority w:val="0"/>
    <w:rPr>
      <w:rFonts w:hint="default" w:ascii="黑体" w:hAnsi="宋体" w:eastAsia="黑体" w:cs="Times New Roman"/>
      <w:bCs/>
      <w:color w:val="000000"/>
      <w:kern w:val="2"/>
      <w:sz w:val="28"/>
      <w:szCs w:val="28"/>
      <w:u w:val="none"/>
      <w:lang w:val="en-US" w:eastAsia="zh-CN"/>
    </w:rPr>
  </w:style>
  <w:style w:type="character" w:customStyle="1" w:styleId="954">
    <w:name w:val="Char Char1123"/>
    <w:qFormat/>
    <w:uiPriority w:val="0"/>
    <w:rPr>
      <w:rFonts w:hint="default" w:ascii="黑体" w:hAnsi="Arial" w:eastAsia="黑体" w:cs="Times New Roman"/>
      <w:bCs/>
      <w:color w:val="000000"/>
      <w:kern w:val="2"/>
      <w:sz w:val="30"/>
      <w:szCs w:val="30"/>
      <w:u w:val="none"/>
      <w:lang w:val="en-US" w:eastAsia="zh-CN"/>
    </w:rPr>
  </w:style>
  <w:style w:type="character" w:customStyle="1" w:styleId="955">
    <w:name w:val="正文格式 Char11"/>
    <w:qFormat/>
    <w:uiPriority w:val="0"/>
    <w:rPr>
      <w:rFonts w:hint="default" w:ascii="宋体" w:hAnsi="宋体" w:eastAsia="宋体" w:cs="Times New Roman"/>
      <w:color w:val="000000"/>
      <w:kern w:val="2"/>
      <w:sz w:val="24"/>
      <w:szCs w:val="24"/>
      <w:u w:val="none"/>
      <w:lang w:val="en-US" w:eastAsia="zh-CN"/>
    </w:rPr>
  </w:style>
  <w:style w:type="character" w:customStyle="1" w:styleId="956">
    <w:name w:val="电子邮件签名 Char1"/>
    <w:qFormat/>
    <w:uiPriority w:val="0"/>
    <w:rPr>
      <w:rFonts w:hint="default" w:ascii="Times New Roman" w:hAnsi="Times New Roman" w:eastAsia="宋体" w:cs="Times New Roman"/>
      <w:color w:val="000000"/>
      <w:sz w:val="16"/>
      <w:szCs w:val="24"/>
      <w:u w:val="none"/>
    </w:rPr>
  </w:style>
  <w:style w:type="character" w:customStyle="1" w:styleId="957">
    <w:name w:val="样式 标题 3标题 3 Char + 字距调整二号 Char Char"/>
    <w:link w:val="958"/>
    <w:qFormat/>
    <w:uiPriority w:val="0"/>
    <w:rPr>
      <w:rFonts w:ascii="Calibri" w:hAnsi="Calibri"/>
      <w:b/>
      <w:color w:val="000000"/>
      <w:kern w:val="44"/>
      <w:sz w:val="32"/>
      <w:szCs w:val="22"/>
    </w:rPr>
  </w:style>
  <w:style w:type="paragraph" w:customStyle="1" w:styleId="958">
    <w:name w:val="样式 标题 3标题 3 Char + 字距调整二号"/>
    <w:basedOn w:val="4"/>
    <w:link w:val="957"/>
    <w:qFormat/>
    <w:uiPriority w:val="0"/>
    <w:rPr>
      <w:bCs w:val="0"/>
      <w:kern w:val="44"/>
      <w:sz w:val="32"/>
      <w:szCs w:val="22"/>
    </w:rPr>
  </w:style>
  <w:style w:type="character" w:customStyle="1" w:styleId="959">
    <w:name w:val="表格内字体 Char2"/>
    <w:qFormat/>
    <w:uiPriority w:val="0"/>
    <w:rPr>
      <w:rFonts w:hint="default" w:ascii="宋体" w:hAnsi="宋体" w:eastAsia="宋体" w:cs="Times New Roman"/>
      <w:color w:val="000000"/>
      <w:kern w:val="2"/>
      <w:sz w:val="21"/>
      <w:szCs w:val="24"/>
      <w:u w:val="none"/>
      <w:lang w:val="en-US" w:eastAsia="zh-CN"/>
    </w:rPr>
  </w:style>
  <w:style w:type="character" w:customStyle="1" w:styleId="960">
    <w:name w:val="题注 Char13"/>
    <w:qFormat/>
    <w:uiPriority w:val="0"/>
    <w:rPr>
      <w:rFonts w:hint="default" w:ascii="黑体" w:hAnsi="Arial" w:eastAsia="黑体" w:cs="Arial"/>
      <w:b/>
      <w:color w:val="000000"/>
      <w:kern w:val="2"/>
      <w:sz w:val="24"/>
      <w:szCs w:val="24"/>
      <w:u w:val="none"/>
      <w:lang w:val="en-US" w:eastAsia="zh-CN"/>
    </w:rPr>
  </w:style>
  <w:style w:type="character" w:customStyle="1" w:styleId="961">
    <w:name w:val="HP3 Char Char"/>
    <w:link w:val="962"/>
    <w:qFormat/>
    <w:uiPriority w:val="0"/>
    <w:rPr>
      <w:rFonts w:ascii="黑体" w:hAnsi="黑体" w:eastAsia="黑体"/>
      <w:color w:val="000000"/>
      <w:kern w:val="2"/>
      <w:sz w:val="24"/>
      <w:szCs w:val="22"/>
    </w:rPr>
  </w:style>
  <w:style w:type="paragraph" w:customStyle="1" w:styleId="962">
    <w:name w:val="HP3"/>
    <w:basedOn w:val="4"/>
    <w:link w:val="961"/>
    <w:qFormat/>
    <w:uiPriority w:val="0"/>
    <w:rPr>
      <w:rFonts w:ascii="黑体" w:hAnsi="黑体" w:eastAsia="黑体"/>
      <w:b w:val="0"/>
      <w:bCs w:val="0"/>
      <w:szCs w:val="22"/>
    </w:rPr>
  </w:style>
  <w:style w:type="character" w:customStyle="1" w:styleId="963">
    <w:name w:val="正文(首行缩进2字) Char Char"/>
    <w:link w:val="964"/>
    <w:qFormat/>
    <w:uiPriority w:val="0"/>
    <w:rPr>
      <w:rFonts w:hint="default" w:ascii="Times New Roman" w:hAnsi="Times New Roman" w:cs="Times New Roman"/>
      <w:color w:val="000000"/>
      <w:sz w:val="24"/>
      <w:szCs w:val="16"/>
      <w:u w:val="none"/>
    </w:rPr>
  </w:style>
  <w:style w:type="paragraph" w:customStyle="1" w:styleId="964">
    <w:name w:val="正文(首行缩进2字)"/>
    <w:basedOn w:val="1"/>
    <w:next w:val="1"/>
    <w:link w:val="963"/>
    <w:qFormat/>
    <w:uiPriority w:val="0"/>
    <w:pPr>
      <w:widowControl/>
      <w:spacing w:after="156" w:line="300" w:lineRule="auto"/>
      <w:jc w:val="left"/>
      <w:textAlignment w:val="baseline"/>
    </w:pPr>
  </w:style>
  <w:style w:type="character" w:customStyle="1" w:styleId="965">
    <w:name w:val="表题1 Char Char"/>
    <w:link w:val="966"/>
    <w:qFormat/>
    <w:uiPriority w:val="0"/>
    <w:rPr>
      <w:rFonts w:hint="default" w:ascii="黑体" w:hAnsi="Arial" w:eastAsia="黑体" w:cs="Times New Roman"/>
      <w:b/>
      <w:color w:val="000000"/>
      <w:sz w:val="24"/>
      <w:szCs w:val="16"/>
      <w:u w:val="none"/>
    </w:rPr>
  </w:style>
  <w:style w:type="paragraph" w:customStyle="1" w:styleId="966">
    <w:name w:val="表题1"/>
    <w:basedOn w:val="17"/>
    <w:link w:val="965"/>
    <w:qFormat/>
    <w:uiPriority w:val="0"/>
    <w:pPr>
      <w:widowControl/>
      <w:ind w:firstLine="0" w:firstLineChars="0"/>
      <w:jc w:val="center"/>
    </w:pPr>
    <w:rPr>
      <w:rFonts w:ascii="黑体"/>
      <w:b/>
    </w:rPr>
  </w:style>
  <w:style w:type="character" w:customStyle="1" w:styleId="967">
    <w:name w:val="正文修改 Char1212"/>
    <w:qFormat/>
    <w:uiPriority w:val="0"/>
    <w:rPr>
      <w:rFonts w:hint="default" w:ascii="宋体" w:hAnsi="宋体" w:eastAsia="宋体" w:cs="宋体"/>
      <w:color w:val="000000"/>
      <w:kern w:val="2"/>
      <w:sz w:val="24"/>
      <w:szCs w:val="24"/>
      <w:u w:val="none"/>
      <w:lang w:val="en-US" w:eastAsia="zh-CN"/>
    </w:rPr>
  </w:style>
  <w:style w:type="character" w:customStyle="1" w:styleId="968">
    <w:name w:val="font81"/>
    <w:qFormat/>
    <w:uiPriority w:val="0"/>
    <w:rPr>
      <w:rFonts w:hint="eastAsia" w:ascii="宋体" w:hAnsi="宋体" w:eastAsia="宋体" w:cs="宋体"/>
      <w:b/>
      <w:color w:val="000000"/>
      <w:sz w:val="21"/>
      <w:szCs w:val="21"/>
      <w:u w:val="none"/>
    </w:rPr>
  </w:style>
  <w:style w:type="character" w:customStyle="1" w:styleId="969">
    <w:name w:val="正文 段落5级 Char"/>
    <w:link w:val="970"/>
    <w:qFormat/>
    <w:uiPriority w:val="0"/>
    <w:rPr>
      <w:rFonts w:hint="default" w:ascii="Times New Roman" w:hAnsi="Times New Roman" w:eastAsia="仿宋_GB2312" w:cs="Times New Roman"/>
      <w:b/>
      <w:color w:val="000000"/>
      <w:sz w:val="28"/>
      <w:szCs w:val="24"/>
      <w:u w:val="none"/>
    </w:rPr>
  </w:style>
  <w:style w:type="paragraph" w:customStyle="1" w:styleId="970">
    <w:name w:val="正文 段落5级"/>
    <w:basedOn w:val="98"/>
    <w:link w:val="969"/>
    <w:qFormat/>
    <w:uiPriority w:val="0"/>
    <w:pPr>
      <w:widowControl w:val="0"/>
      <w:spacing w:line="500" w:lineRule="exact"/>
      <w:ind w:firstLine="200" w:firstLineChars="200"/>
      <w:outlineLvl w:val="4"/>
    </w:pPr>
    <w:rPr>
      <w:rFonts w:ascii="Times New Roman" w:hAnsi="Times New Roman" w:eastAsia="仿宋_GB2312" w:cs="Times New Roman"/>
      <w:b/>
      <w:color w:val="000000"/>
      <w:sz w:val="28"/>
    </w:rPr>
  </w:style>
  <w:style w:type="character" w:customStyle="1" w:styleId="971">
    <w:name w:val="图表题 Char Char"/>
    <w:link w:val="972"/>
    <w:qFormat/>
    <w:uiPriority w:val="0"/>
    <w:rPr>
      <w:rFonts w:hint="default" w:ascii="黑体" w:hAnsi="宋体" w:eastAsia="黑体" w:cs="Times New Roman"/>
      <w:b/>
      <w:color w:val="000000"/>
      <w:sz w:val="24"/>
      <w:szCs w:val="16"/>
      <w:u w:val="none"/>
    </w:rPr>
  </w:style>
  <w:style w:type="paragraph" w:customStyle="1" w:styleId="972">
    <w:name w:val="图表题"/>
    <w:basedOn w:val="418"/>
    <w:next w:val="418"/>
    <w:link w:val="971"/>
    <w:qFormat/>
    <w:uiPriority w:val="0"/>
    <w:pPr>
      <w:ind w:firstLine="0"/>
      <w:jc w:val="center"/>
    </w:pPr>
    <w:rPr>
      <w:rFonts w:ascii="黑体" w:hAnsi="宋体" w:eastAsia="黑体"/>
      <w:b/>
    </w:rPr>
  </w:style>
  <w:style w:type="character" w:customStyle="1" w:styleId="973">
    <w:name w:val="表题1 Char631"/>
    <w:qFormat/>
    <w:uiPriority w:val="0"/>
    <w:rPr>
      <w:rFonts w:hint="default" w:ascii="黑体" w:hAnsi="Arial" w:eastAsia="黑体" w:cs="Arial"/>
      <w:b/>
      <w:color w:val="000000"/>
      <w:kern w:val="2"/>
      <w:sz w:val="24"/>
      <w:szCs w:val="24"/>
      <w:u w:val="none"/>
      <w:lang w:val="en-US" w:eastAsia="zh-CN"/>
    </w:rPr>
  </w:style>
  <w:style w:type="character" w:customStyle="1" w:styleId="974">
    <w:name w:val="环评正文 Char2"/>
    <w:qFormat/>
    <w:uiPriority w:val="0"/>
    <w:rPr>
      <w:rFonts w:hint="default" w:ascii="Times New Roman" w:hAnsi="Times New Roman" w:eastAsia="宋体" w:cs="Times New Roman"/>
      <w:bCs/>
      <w:color w:val="000000"/>
      <w:kern w:val="2"/>
      <w:sz w:val="24"/>
      <w:szCs w:val="24"/>
      <w:u w:val="none"/>
      <w:lang w:val="en-US" w:eastAsia="zh-CN"/>
    </w:rPr>
  </w:style>
  <w:style w:type="character" w:customStyle="1" w:styleId="975">
    <w:name w:val="Char Char1110"/>
    <w:qFormat/>
    <w:uiPriority w:val="0"/>
    <w:rPr>
      <w:rFonts w:hint="default" w:ascii="黑体" w:hAnsi="Arial" w:eastAsia="黑体" w:cs="Times New Roman"/>
      <w:bCs/>
      <w:color w:val="000000"/>
      <w:kern w:val="2"/>
      <w:sz w:val="30"/>
      <w:szCs w:val="30"/>
      <w:u w:val="none"/>
      <w:lang w:val="en-US" w:eastAsia="zh-CN"/>
    </w:rPr>
  </w:style>
  <w:style w:type="character" w:customStyle="1" w:styleId="976">
    <w:name w:val="Char Char63"/>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977">
    <w:name w:val="表中文字 Char4"/>
    <w:qFormat/>
    <w:uiPriority w:val="0"/>
    <w:rPr>
      <w:rFonts w:hint="default" w:ascii="Arial" w:hAnsi="Arial" w:eastAsia="宋体" w:cs="Times New Roman"/>
      <w:color w:val="000000"/>
      <w:kern w:val="0"/>
      <w:sz w:val="20"/>
      <w:szCs w:val="24"/>
      <w:u w:val="none"/>
      <w:lang w:val="en-US" w:eastAsia="zh-TW"/>
    </w:rPr>
  </w:style>
  <w:style w:type="character" w:customStyle="1" w:styleId="978">
    <w:name w:val="单学凯环表头 Char Char"/>
    <w:link w:val="979"/>
    <w:qFormat/>
    <w:uiPriority w:val="0"/>
    <w:rPr>
      <w:rFonts w:hint="default" w:ascii="宋体" w:hAnsi="Times New Roman" w:cs="Times New Roman"/>
      <w:b/>
      <w:color w:val="000000"/>
      <w:sz w:val="28"/>
      <w:szCs w:val="16"/>
      <w:u w:val="none"/>
    </w:rPr>
  </w:style>
  <w:style w:type="paragraph" w:customStyle="1" w:styleId="979">
    <w:name w:val="单学凯环表头"/>
    <w:basedOn w:val="1"/>
    <w:link w:val="978"/>
    <w:qFormat/>
    <w:uiPriority w:val="0"/>
    <w:pPr>
      <w:widowControl/>
      <w:tabs>
        <w:tab w:val="left" w:pos="-1008"/>
        <w:tab w:val="left" w:pos="4873"/>
      </w:tabs>
      <w:ind w:right="-11" w:firstLine="1813" w:firstLineChars="645"/>
      <w:jc w:val="left"/>
      <w:textAlignment w:val="baseline"/>
    </w:pPr>
    <w:rPr>
      <w:rFonts w:ascii="宋体"/>
      <w:b/>
    </w:rPr>
  </w:style>
  <w:style w:type="character" w:customStyle="1" w:styleId="980">
    <w:name w:val="Plain Text Char4"/>
    <w:link w:val="981"/>
    <w:qFormat/>
    <w:uiPriority w:val="0"/>
    <w:rPr>
      <w:rFonts w:hint="default" w:ascii="宋体" w:hAnsi="Courier New" w:eastAsia="仿宋_GB2312" w:cs="Times New Roman"/>
      <w:color w:val="000000"/>
      <w:sz w:val="16"/>
      <w:szCs w:val="16"/>
      <w:u w:val="none"/>
    </w:rPr>
  </w:style>
  <w:style w:type="paragraph" w:customStyle="1" w:styleId="981">
    <w:name w:val="纯文本1"/>
    <w:basedOn w:val="1"/>
    <w:link w:val="980"/>
    <w:qFormat/>
    <w:uiPriority w:val="0"/>
    <w:rPr>
      <w:rFonts w:ascii="宋体" w:hAnsi="Courier New"/>
    </w:rPr>
  </w:style>
  <w:style w:type="character" w:customStyle="1" w:styleId="982">
    <w:name w:val="正文缩进4"/>
    <w:qFormat/>
    <w:uiPriority w:val="0"/>
    <w:rPr>
      <w:rFonts w:hint="default" w:ascii="仿宋_GB2312" w:hAnsi="Times New Roman" w:eastAsia="仿宋_GB2312" w:cs="Times New Roman"/>
      <w:color w:val="000000"/>
      <w:kern w:val="2"/>
      <w:sz w:val="28"/>
      <w:szCs w:val="16"/>
      <w:u w:val="none"/>
      <w:lang w:val="en-US" w:eastAsia="zh-CN"/>
    </w:rPr>
  </w:style>
  <w:style w:type="character" w:customStyle="1" w:styleId="983">
    <w:name w:val="正文文本缩进 Char4"/>
    <w:link w:val="984"/>
    <w:qFormat/>
    <w:uiPriority w:val="99"/>
    <w:rPr>
      <w:rFonts w:hint="default" w:ascii="宋体" w:hAnsi="Times New Roman" w:cs="Times New Roman"/>
      <w:color w:val="000000"/>
      <w:sz w:val="24"/>
      <w:szCs w:val="16"/>
      <w:u w:val="none"/>
    </w:rPr>
  </w:style>
  <w:style w:type="paragraph" w:customStyle="1" w:styleId="984">
    <w:name w:val="正文文本缩进2"/>
    <w:basedOn w:val="1"/>
    <w:link w:val="983"/>
    <w:qFormat/>
    <w:uiPriority w:val="0"/>
    <w:pPr>
      <w:widowControl/>
      <w:spacing w:after="120"/>
      <w:ind w:left="420" w:leftChars="200"/>
      <w:jc w:val="left"/>
    </w:pPr>
    <w:rPr>
      <w:rFonts w:ascii="宋体"/>
    </w:rPr>
  </w:style>
  <w:style w:type="character" w:customStyle="1" w:styleId="985">
    <w:name w:val="Char Char631"/>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986">
    <w:name w:val="燕山正文 Char111"/>
    <w:qFormat/>
    <w:uiPriority w:val="0"/>
    <w:rPr>
      <w:rFonts w:hint="default" w:ascii="宋体" w:hAnsi="Times New Roman" w:eastAsia="宋体" w:cs="宋体"/>
      <w:color w:val="000000"/>
      <w:kern w:val="2"/>
      <w:sz w:val="24"/>
      <w:szCs w:val="24"/>
      <w:u w:val="none"/>
      <w:lang w:val="en-US" w:eastAsia="zh-CN"/>
    </w:rPr>
  </w:style>
  <w:style w:type="character" w:customStyle="1" w:styleId="987">
    <w:name w:val="表题 Char9"/>
    <w:qFormat/>
    <w:uiPriority w:val="0"/>
    <w:rPr>
      <w:rFonts w:hint="default" w:ascii="黑体" w:hAnsi="Arial" w:eastAsia="黑体" w:cs="Arial"/>
      <w:b/>
      <w:color w:val="000000"/>
      <w:kern w:val="2"/>
      <w:sz w:val="24"/>
      <w:szCs w:val="24"/>
      <w:u w:val="none"/>
      <w:lang w:val="en-US" w:eastAsia="zh-CN"/>
    </w:rPr>
  </w:style>
  <w:style w:type="character" w:customStyle="1" w:styleId="988">
    <w:name w:val="题注 Char521"/>
    <w:qFormat/>
    <w:uiPriority w:val="0"/>
    <w:rPr>
      <w:rFonts w:hint="default" w:ascii="黑体" w:hAnsi="Arial" w:eastAsia="黑体" w:cs="Arial"/>
      <w:b/>
      <w:color w:val="000000"/>
      <w:kern w:val="2"/>
      <w:sz w:val="24"/>
      <w:szCs w:val="24"/>
      <w:u w:val="none"/>
      <w:lang w:val="en-US" w:eastAsia="zh-CN"/>
    </w:rPr>
  </w:style>
  <w:style w:type="character" w:customStyle="1" w:styleId="989">
    <w:name w:val="表题1 Char11"/>
    <w:qFormat/>
    <w:uiPriority w:val="0"/>
    <w:rPr>
      <w:rFonts w:hint="default" w:ascii="Times New Roman" w:hAnsi="Arial" w:eastAsia="宋体" w:cs="Arial"/>
      <w:color w:val="000000"/>
      <w:kern w:val="2"/>
      <w:sz w:val="24"/>
      <w:szCs w:val="24"/>
      <w:u w:val="none"/>
      <w:lang w:val="en-US" w:eastAsia="zh-CN"/>
    </w:rPr>
  </w:style>
  <w:style w:type="character" w:customStyle="1" w:styleId="990">
    <w:name w:val="日期 Char2"/>
    <w:link w:val="991"/>
    <w:qFormat/>
    <w:uiPriority w:val="0"/>
    <w:rPr>
      <w:rFonts w:hint="default" w:ascii="宋体" w:hAnsi="Times New Roman" w:cs="Times New Roman"/>
      <w:color w:val="000000"/>
      <w:sz w:val="24"/>
      <w:szCs w:val="16"/>
      <w:u w:val="none"/>
    </w:rPr>
  </w:style>
  <w:style w:type="paragraph" w:customStyle="1" w:styleId="991">
    <w:name w:val="Date1"/>
    <w:basedOn w:val="1"/>
    <w:next w:val="1"/>
    <w:link w:val="990"/>
    <w:qFormat/>
    <w:uiPriority w:val="0"/>
    <w:pPr>
      <w:widowControl/>
      <w:jc w:val="left"/>
    </w:pPr>
    <w:rPr>
      <w:rFonts w:ascii="宋体"/>
    </w:rPr>
  </w:style>
  <w:style w:type="character" w:customStyle="1" w:styleId="992">
    <w:name w:val="Heading 8 Char"/>
    <w:qFormat/>
    <w:uiPriority w:val="0"/>
    <w:rPr>
      <w:rFonts w:hint="default" w:ascii="Cambria" w:hAnsi="Cambria" w:eastAsia="宋体" w:cs="黑体"/>
      <w:color w:val="000000"/>
      <w:kern w:val="2"/>
      <w:sz w:val="24"/>
      <w:szCs w:val="24"/>
      <w:u w:val="none"/>
    </w:rPr>
  </w:style>
  <w:style w:type="character" w:customStyle="1" w:styleId="993">
    <w:name w:val="Char Char14"/>
    <w:qFormat/>
    <w:uiPriority w:val="0"/>
    <w:rPr>
      <w:rFonts w:hint="default" w:ascii="Arial" w:hAnsi="Arial" w:eastAsia="黑体" w:cs="宋体"/>
      <w:color w:val="000000"/>
      <w:kern w:val="2"/>
      <w:sz w:val="24"/>
      <w:szCs w:val="21"/>
      <w:u w:val="none"/>
    </w:rPr>
  </w:style>
  <w:style w:type="character" w:customStyle="1" w:styleId="994">
    <w:name w:val="节标题2 Char Char"/>
    <w:link w:val="995"/>
    <w:qFormat/>
    <w:uiPriority w:val="0"/>
    <w:rPr>
      <w:rFonts w:hint="default" w:ascii="Times New Roman" w:hAnsi="Times New Roman" w:cs="Times New Roman"/>
      <w:color w:val="000000"/>
      <w:sz w:val="28"/>
      <w:szCs w:val="16"/>
      <w:u w:val="none"/>
    </w:rPr>
  </w:style>
  <w:style w:type="paragraph" w:customStyle="1" w:styleId="995">
    <w:name w:val="节标题2"/>
    <w:basedOn w:val="1"/>
    <w:link w:val="994"/>
    <w:qFormat/>
    <w:uiPriority w:val="0"/>
    <w:pPr>
      <w:widowControl/>
      <w:autoSpaceDE w:val="0"/>
      <w:autoSpaceDN w:val="0"/>
      <w:jc w:val="left"/>
    </w:pPr>
  </w:style>
  <w:style w:type="character" w:customStyle="1" w:styleId="996">
    <w:name w:val="正文格式 Char14"/>
    <w:qFormat/>
    <w:uiPriority w:val="0"/>
    <w:rPr>
      <w:rFonts w:hint="default" w:ascii="宋体" w:hAnsi="宋体" w:eastAsia="宋体" w:cs="Times New Roman"/>
      <w:color w:val="000000"/>
      <w:kern w:val="2"/>
      <w:sz w:val="24"/>
      <w:szCs w:val="24"/>
      <w:u w:val="none"/>
      <w:lang w:val="en-US" w:eastAsia="zh-CN"/>
    </w:rPr>
  </w:style>
  <w:style w:type="character" w:customStyle="1" w:styleId="997">
    <w:name w:val="正文 + 楷体_GB2312 Char"/>
    <w:link w:val="998"/>
    <w:qFormat/>
    <w:uiPriority w:val="0"/>
    <w:rPr>
      <w:rFonts w:ascii="Calibri" w:hAnsi="Calibri"/>
      <w:b/>
      <w:color w:val="000000"/>
      <w:kern w:val="2"/>
      <w:sz w:val="30"/>
      <w:szCs w:val="22"/>
    </w:rPr>
  </w:style>
  <w:style w:type="paragraph" w:customStyle="1" w:styleId="998">
    <w:name w:val="标题 4 + (西文) Times New Roman"/>
    <w:basedOn w:val="3"/>
    <w:link w:val="997"/>
    <w:qFormat/>
    <w:uiPriority w:val="0"/>
    <w:rPr>
      <w:bCs w:val="0"/>
      <w:kern w:val="2"/>
      <w:sz w:val="30"/>
      <w:szCs w:val="22"/>
    </w:rPr>
  </w:style>
  <w:style w:type="character" w:customStyle="1" w:styleId="999">
    <w:name w:val="Char Char35"/>
    <w:qFormat/>
    <w:uiPriority w:val="0"/>
    <w:rPr>
      <w:rFonts w:hint="default" w:ascii="黑体" w:hAnsi="宋体" w:eastAsia="黑体" w:cs="Times New Roman"/>
      <w:b/>
      <w:bCs/>
      <w:color w:val="000000"/>
      <w:kern w:val="2"/>
      <w:sz w:val="28"/>
      <w:szCs w:val="28"/>
      <w:u w:val="none"/>
      <w:lang w:val="en-US" w:eastAsia="zh-CN"/>
    </w:rPr>
  </w:style>
  <w:style w:type="character" w:customStyle="1" w:styleId="1000">
    <w:name w:val="Char Char44"/>
    <w:qFormat/>
    <w:uiPriority w:val="0"/>
    <w:rPr>
      <w:rFonts w:hint="default" w:ascii="黑体" w:hAnsi="Arial" w:eastAsia="黑体" w:cs="Times New Roman"/>
      <w:b/>
      <w:bCs/>
      <w:color w:val="000000"/>
      <w:kern w:val="2"/>
      <w:sz w:val="30"/>
      <w:szCs w:val="30"/>
      <w:u w:val="none"/>
      <w:lang w:val="en-US" w:eastAsia="zh-CN"/>
    </w:rPr>
  </w:style>
  <w:style w:type="character" w:customStyle="1" w:styleId="1001">
    <w:name w:val="正文格式 Char9"/>
    <w:qFormat/>
    <w:uiPriority w:val="0"/>
    <w:rPr>
      <w:rFonts w:hint="default" w:ascii="宋体" w:hAnsi="宋体" w:eastAsia="宋体" w:cs="Times New Roman"/>
      <w:color w:val="000000"/>
      <w:kern w:val="2"/>
      <w:sz w:val="24"/>
      <w:szCs w:val="24"/>
      <w:u w:val="none"/>
      <w:lang w:val="en-US" w:eastAsia="zh-CN"/>
    </w:rPr>
  </w:style>
  <w:style w:type="character" w:customStyle="1" w:styleId="1002">
    <w:name w:val="正文文本缩进 Char21"/>
    <w:qFormat/>
    <w:uiPriority w:val="0"/>
    <w:rPr>
      <w:rFonts w:hint="default" w:ascii="宋体" w:hAnsi="宋体" w:eastAsia="宋体" w:cs="宋体"/>
      <w:color w:val="000000"/>
      <w:kern w:val="2"/>
      <w:sz w:val="24"/>
      <w:szCs w:val="24"/>
      <w:u w:val="none"/>
      <w:lang w:val="en-US" w:eastAsia="zh-CN"/>
    </w:rPr>
  </w:style>
  <w:style w:type="character" w:customStyle="1" w:styleId="1003">
    <w:name w:val="文档结构图 Char4"/>
    <w:qFormat/>
    <w:uiPriority w:val="0"/>
    <w:rPr>
      <w:rFonts w:hint="default" w:ascii="Times New Roman" w:hAnsi="Times New Roman" w:eastAsia="宋体" w:cs="Times New Roman"/>
      <w:color w:val="000000"/>
      <w:kern w:val="2"/>
      <w:sz w:val="24"/>
      <w:szCs w:val="24"/>
      <w:u w:val="none"/>
      <w:shd w:val="clear" w:color="auto" w:fill="000080"/>
      <w:lang w:val="en-US" w:eastAsia="zh-CN"/>
    </w:rPr>
  </w:style>
  <w:style w:type="character" w:customStyle="1" w:styleId="1004">
    <w:name w:val="Char4 Char Char Char Char11"/>
    <w:qFormat/>
    <w:uiPriority w:val="0"/>
    <w:rPr>
      <w:rFonts w:hint="default" w:ascii="Times New Roman" w:hAnsi="Times New Roman" w:eastAsia="仿宋_GB2312" w:cs="Times New Roman"/>
      <w:color w:val="000000"/>
      <w:kern w:val="2"/>
      <w:sz w:val="28"/>
      <w:szCs w:val="24"/>
      <w:u w:val="none"/>
      <w:lang w:val="en-US" w:eastAsia="zh-CN"/>
    </w:rPr>
  </w:style>
  <w:style w:type="character" w:customStyle="1" w:styleId="1005">
    <w:name w:val="正文修改 Char1321"/>
    <w:qFormat/>
    <w:uiPriority w:val="0"/>
    <w:rPr>
      <w:rFonts w:hint="default" w:ascii="宋体" w:hAnsi="宋体" w:eastAsia="宋体" w:cs="宋体"/>
      <w:color w:val="000000"/>
      <w:kern w:val="2"/>
      <w:sz w:val="24"/>
      <w:szCs w:val="24"/>
      <w:u w:val="none"/>
      <w:lang w:val="en-US" w:eastAsia="zh-CN"/>
    </w:rPr>
  </w:style>
  <w:style w:type="character" w:customStyle="1" w:styleId="1006">
    <w:name w:val="样式 表格内字体 + Char4"/>
    <w:qFormat/>
    <w:uiPriority w:val="0"/>
    <w:rPr>
      <w:rFonts w:hint="default" w:ascii="宋体" w:hAnsi="宋体" w:cs="Times New Roman"/>
      <w:color w:val="000000"/>
      <w:kern w:val="2"/>
      <w:sz w:val="21"/>
      <w:szCs w:val="24"/>
      <w:u w:val="none"/>
    </w:rPr>
  </w:style>
  <w:style w:type="character" w:customStyle="1" w:styleId="1007">
    <w:name w:val="列出段落 Char Char"/>
    <w:qFormat/>
    <w:uiPriority w:val="0"/>
    <w:rPr>
      <w:rFonts w:hint="default" w:ascii="Times New Roman" w:hAnsi="Times New Roman" w:cs="Times New Roman"/>
      <w:color w:val="000000"/>
      <w:sz w:val="24"/>
      <w:szCs w:val="16"/>
      <w:u w:val="none"/>
    </w:rPr>
  </w:style>
  <w:style w:type="character" w:customStyle="1" w:styleId="1008">
    <w:name w:val="z-窗体顶端 Char"/>
    <w:link w:val="1009"/>
    <w:qFormat/>
    <w:uiPriority w:val="0"/>
    <w:rPr>
      <w:rFonts w:hint="default" w:ascii="Arial" w:hAnsi="Arial" w:cs="Times New Roman"/>
      <w:vanish/>
      <w:color w:val="000000"/>
      <w:sz w:val="24"/>
      <w:szCs w:val="16"/>
      <w:u w:val="none"/>
    </w:rPr>
  </w:style>
  <w:style w:type="paragraph" w:customStyle="1" w:styleId="1009">
    <w:name w:val="z-窗体顶端1"/>
    <w:basedOn w:val="1"/>
    <w:next w:val="1"/>
    <w:link w:val="1008"/>
    <w:qFormat/>
    <w:uiPriority w:val="0"/>
    <w:pPr>
      <w:widowControl/>
      <w:pBdr>
        <w:bottom w:val="single" w:color="auto" w:sz="6" w:space="1"/>
      </w:pBdr>
      <w:jc w:val="center"/>
    </w:pPr>
    <w:rPr>
      <w:rFonts w:ascii="Arial" w:hAnsi="Arial"/>
      <w:vanish/>
    </w:rPr>
  </w:style>
  <w:style w:type="character" w:customStyle="1" w:styleId="1010">
    <w:name w:val="Char Char310"/>
    <w:qFormat/>
    <w:uiPriority w:val="0"/>
    <w:rPr>
      <w:rFonts w:hint="default" w:ascii="黑体" w:hAnsi="宋体" w:eastAsia="黑体" w:cs="Times New Roman"/>
      <w:b/>
      <w:bCs/>
      <w:color w:val="000000"/>
      <w:kern w:val="2"/>
      <w:sz w:val="28"/>
      <w:szCs w:val="28"/>
      <w:u w:val="none"/>
      <w:lang w:val="en-US" w:eastAsia="zh-CN"/>
    </w:rPr>
  </w:style>
  <w:style w:type="character" w:customStyle="1" w:styleId="1011">
    <w:name w:val="正文格式 Char3"/>
    <w:qFormat/>
    <w:uiPriority w:val="0"/>
    <w:rPr>
      <w:rFonts w:hint="default" w:ascii="宋体" w:hAnsi="宋体" w:eastAsia="宋体" w:cs="Times New Roman"/>
      <w:color w:val="000000"/>
      <w:kern w:val="2"/>
      <w:sz w:val="24"/>
      <w:szCs w:val="24"/>
      <w:u w:val="none"/>
      <w:lang w:val="en-US" w:eastAsia="zh-CN"/>
    </w:rPr>
  </w:style>
  <w:style w:type="character" w:customStyle="1" w:styleId="1012">
    <w:name w:val="图题 Char11"/>
    <w:qFormat/>
    <w:uiPriority w:val="0"/>
    <w:rPr>
      <w:rFonts w:hint="default" w:ascii="黑体" w:hAnsi="宋体" w:eastAsia="黑体" w:cs="宋体"/>
      <w:b/>
      <w:bCs/>
      <w:color w:val="000000"/>
      <w:kern w:val="2"/>
      <w:sz w:val="24"/>
      <w:szCs w:val="24"/>
      <w:u w:val="none"/>
      <w:lang w:val="en-US" w:eastAsia="zh-CN"/>
    </w:rPr>
  </w:style>
  <w:style w:type="character" w:customStyle="1" w:styleId="1013">
    <w:name w:val="正文斜体 Char12"/>
    <w:qFormat/>
    <w:uiPriority w:val="0"/>
    <w:rPr>
      <w:rFonts w:hint="default" w:ascii="宋体" w:hAnsi="宋体" w:eastAsia="宋体" w:cs="Times New Roman"/>
      <w:i/>
      <w:iCs/>
      <w:color w:val="000000"/>
      <w:kern w:val="2"/>
      <w:sz w:val="24"/>
      <w:szCs w:val="24"/>
      <w:u w:val="none"/>
      <w:lang w:val="en-US" w:eastAsia="zh-CN"/>
    </w:rPr>
  </w:style>
  <w:style w:type="character" w:customStyle="1" w:styleId="1014">
    <w:name w:val="small14"/>
    <w:qFormat/>
    <w:uiPriority w:val="0"/>
    <w:rPr>
      <w:rFonts w:hint="default" w:ascii="Times New Roman" w:hAnsi="Times New Roman" w:cs="Times New Roman"/>
      <w:color w:val="000000"/>
      <w:sz w:val="16"/>
      <w:szCs w:val="16"/>
      <w:u w:val="none"/>
    </w:rPr>
  </w:style>
  <w:style w:type="character" w:customStyle="1" w:styleId="1015">
    <w:name w:val="textsy"/>
    <w:qFormat/>
    <w:uiPriority w:val="0"/>
    <w:rPr>
      <w:rFonts w:hint="default" w:ascii="Times New Roman" w:hAnsi="Times New Roman" w:cs="Times New Roman"/>
      <w:color w:val="000000"/>
      <w:sz w:val="16"/>
      <w:szCs w:val="16"/>
      <w:u w:val="none"/>
    </w:rPr>
  </w:style>
  <w:style w:type="character" w:customStyle="1" w:styleId="1016">
    <w:name w:val="表格 普通文字 Char Char"/>
    <w:link w:val="1017"/>
    <w:qFormat/>
    <w:uiPriority w:val="0"/>
    <w:rPr>
      <w:rFonts w:hint="default" w:ascii="Times New Roman" w:hAnsi="Times New Roman" w:eastAsia="仿宋_GB2312" w:cs="Times New Roman"/>
      <w:color w:val="000000"/>
      <w:sz w:val="16"/>
      <w:szCs w:val="16"/>
      <w:u w:val="none"/>
    </w:rPr>
  </w:style>
  <w:style w:type="paragraph" w:customStyle="1" w:styleId="1017">
    <w:name w:val="表格 普通文字"/>
    <w:basedOn w:val="673"/>
    <w:link w:val="1016"/>
    <w:qFormat/>
    <w:uiPriority w:val="0"/>
    <w:pPr>
      <w:spacing w:line="240" w:lineRule="auto"/>
      <w:ind w:firstLine="0" w:firstLineChars="0"/>
      <w:jc w:val="center"/>
    </w:pPr>
    <w:rPr>
      <w:sz w:val="21"/>
    </w:rPr>
  </w:style>
  <w:style w:type="character" w:customStyle="1" w:styleId="1018">
    <w:name w:val="标题2 Char2"/>
    <w:qFormat/>
    <w:uiPriority w:val="0"/>
    <w:rPr>
      <w:rFonts w:hint="default" w:ascii="宋体" w:hAnsi="宋体" w:eastAsia="宋体" w:cs="宋体"/>
      <w:color w:val="000000"/>
      <w:kern w:val="2"/>
      <w:sz w:val="24"/>
      <w:szCs w:val="24"/>
      <w:u w:val="none"/>
      <w:lang w:val="en-US" w:eastAsia="zh-CN"/>
    </w:rPr>
  </w:style>
  <w:style w:type="character" w:customStyle="1" w:styleId="1019">
    <w:name w:val="表内5 Char41"/>
    <w:qFormat/>
    <w:uiPriority w:val="0"/>
    <w:rPr>
      <w:rFonts w:hint="default" w:ascii="宋体" w:hAnsi="宋体" w:eastAsia="宋体" w:cs="Times New Roman"/>
      <w:color w:val="000000"/>
      <w:kern w:val="2"/>
      <w:sz w:val="24"/>
      <w:szCs w:val="21"/>
      <w:u w:val="none"/>
      <w:lang w:val="en-US" w:eastAsia="zh-CN"/>
    </w:rPr>
  </w:style>
  <w:style w:type="character" w:customStyle="1" w:styleId="1020">
    <w:name w:val="contents"/>
    <w:qFormat/>
    <w:uiPriority w:val="0"/>
    <w:rPr>
      <w:rFonts w:hint="default" w:ascii="Times New Roman" w:hAnsi="Times New Roman" w:cs="Times New Roman"/>
      <w:color w:val="000000"/>
      <w:sz w:val="16"/>
      <w:szCs w:val="16"/>
      <w:u w:val="none"/>
    </w:rPr>
  </w:style>
  <w:style w:type="character" w:customStyle="1" w:styleId="1021">
    <w:name w:val="表格 Char"/>
    <w:qFormat/>
    <w:uiPriority w:val="0"/>
    <w:rPr>
      <w:rFonts w:hint="default" w:ascii="宋体" w:hAnsi="宋体" w:eastAsia="宋体" w:cs="宋体"/>
      <w:color w:val="000000"/>
      <w:spacing w:val="4"/>
      <w:w w:val="90"/>
      <w:sz w:val="24"/>
      <w:szCs w:val="24"/>
      <w:u w:val="none"/>
      <w:lang w:val="en-US" w:eastAsia="zh-CN" w:bidi="ar-SA"/>
    </w:rPr>
  </w:style>
  <w:style w:type="character" w:customStyle="1" w:styleId="1022">
    <w:name w:val="Char Char2117"/>
    <w:qFormat/>
    <w:uiPriority w:val="0"/>
    <w:rPr>
      <w:rFonts w:hint="default" w:ascii="黑体" w:hAnsi="Times New Roman" w:eastAsia="宋体" w:cs="Times New Roman"/>
      <w:color w:val="000000"/>
      <w:kern w:val="2"/>
      <w:sz w:val="16"/>
      <w:szCs w:val="16"/>
      <w:u w:val="none"/>
      <w:lang w:val="en-US" w:eastAsia="zh-CN"/>
    </w:rPr>
  </w:style>
  <w:style w:type="character" w:customStyle="1" w:styleId="1023">
    <w:name w:val="正文修改 Char134"/>
    <w:qFormat/>
    <w:uiPriority w:val="0"/>
    <w:rPr>
      <w:rFonts w:hint="default" w:ascii="宋体" w:hAnsi="宋体" w:eastAsia="宋体" w:cs="宋体"/>
      <w:color w:val="000000"/>
      <w:kern w:val="2"/>
      <w:sz w:val="24"/>
      <w:szCs w:val="24"/>
      <w:u w:val="none"/>
      <w:lang w:val="en-US" w:eastAsia="zh-CN"/>
    </w:rPr>
  </w:style>
  <w:style w:type="character" w:customStyle="1" w:styleId="1024">
    <w:name w:val="文字缩进 Char5"/>
    <w:qFormat/>
    <w:uiPriority w:val="0"/>
    <w:rPr>
      <w:rFonts w:hint="default" w:ascii="宋体" w:hAnsi="Courier New" w:eastAsia="宋体" w:cs="Times New Roman"/>
      <w:color w:val="000000"/>
      <w:kern w:val="2"/>
      <w:sz w:val="21"/>
      <w:szCs w:val="16"/>
      <w:u w:val="none"/>
      <w:lang w:val="en-US" w:eastAsia="zh-CN"/>
    </w:rPr>
  </w:style>
  <w:style w:type="character" w:customStyle="1" w:styleId="1025">
    <w:name w:val="题注 Char611"/>
    <w:qFormat/>
    <w:uiPriority w:val="0"/>
    <w:rPr>
      <w:rFonts w:hint="default" w:ascii="黑体" w:hAnsi="Arial" w:eastAsia="黑体" w:cs="Arial"/>
      <w:b/>
      <w:color w:val="000000"/>
      <w:kern w:val="2"/>
      <w:sz w:val="24"/>
      <w:szCs w:val="24"/>
      <w:u w:val="none"/>
      <w:lang w:val="en-US" w:eastAsia="zh-CN"/>
    </w:rPr>
  </w:style>
  <w:style w:type="character" w:customStyle="1" w:styleId="1026">
    <w:name w:val="+正文 Char2"/>
    <w:link w:val="1027"/>
    <w:qFormat/>
    <w:uiPriority w:val="0"/>
    <w:rPr>
      <w:rFonts w:hint="default" w:ascii="Times New Roman" w:hAnsi="Times New Roman" w:cs="Times New Roman"/>
      <w:color w:val="000000"/>
      <w:sz w:val="28"/>
      <w:szCs w:val="16"/>
      <w:u w:val="none"/>
    </w:rPr>
  </w:style>
  <w:style w:type="paragraph" w:customStyle="1" w:styleId="1027">
    <w:name w:val="+正文"/>
    <w:basedOn w:val="1"/>
    <w:link w:val="1026"/>
    <w:qFormat/>
    <w:uiPriority w:val="0"/>
    <w:pPr>
      <w:widowControl/>
      <w:jc w:val="left"/>
    </w:pPr>
  </w:style>
  <w:style w:type="character" w:customStyle="1" w:styleId="1028">
    <w:name w:val="页脚 Char2"/>
    <w:qFormat/>
    <w:uiPriority w:val="99"/>
    <w:rPr>
      <w:rFonts w:hint="default" w:ascii="Times New Roman" w:hAnsi="Times New Roman" w:eastAsia="宋体" w:cs="Times New Roman"/>
      <w:color w:val="000000"/>
      <w:kern w:val="2"/>
      <w:sz w:val="18"/>
      <w:szCs w:val="18"/>
      <w:u w:val="none"/>
      <w:lang w:val="en-US" w:eastAsia="zh-CN"/>
    </w:rPr>
  </w:style>
  <w:style w:type="character" w:customStyle="1" w:styleId="1029">
    <w:name w:val="正文新 Char Char"/>
    <w:link w:val="1030"/>
    <w:qFormat/>
    <w:uiPriority w:val="0"/>
    <w:rPr>
      <w:rFonts w:hint="default" w:ascii="宋体" w:hAnsi="Times New Roman" w:cs="Times New Roman"/>
      <w:color w:val="000000"/>
      <w:sz w:val="28"/>
      <w:szCs w:val="16"/>
      <w:u w:val="none"/>
    </w:rPr>
  </w:style>
  <w:style w:type="paragraph" w:customStyle="1" w:styleId="1030">
    <w:name w:val="正文新"/>
    <w:basedOn w:val="1"/>
    <w:link w:val="1029"/>
    <w:qFormat/>
    <w:uiPriority w:val="0"/>
    <w:pPr>
      <w:widowControl/>
      <w:spacing w:line="560" w:lineRule="exact"/>
      <w:ind w:firstLine="560"/>
      <w:jc w:val="left"/>
    </w:pPr>
    <w:rPr>
      <w:rFonts w:ascii="宋体"/>
    </w:rPr>
  </w:style>
  <w:style w:type="character" w:customStyle="1" w:styleId="1031">
    <w:name w:val="Char Char2115"/>
    <w:qFormat/>
    <w:uiPriority w:val="0"/>
    <w:rPr>
      <w:rFonts w:hint="default" w:ascii="黑体" w:hAnsi="Times New Roman" w:eastAsia="宋体" w:cs="Times New Roman"/>
      <w:color w:val="000000"/>
      <w:kern w:val="2"/>
      <w:sz w:val="16"/>
      <w:szCs w:val="16"/>
      <w:u w:val="none"/>
      <w:lang w:val="en-US" w:eastAsia="zh-CN"/>
    </w:rPr>
  </w:style>
  <w:style w:type="character" w:customStyle="1" w:styleId="1032">
    <w:name w:val="标题4 Char31"/>
    <w:qFormat/>
    <w:uiPriority w:val="0"/>
    <w:rPr>
      <w:rFonts w:hint="default" w:ascii="黑体" w:hAnsi="Arial" w:eastAsia="黑体" w:cs="Times New Roman"/>
      <w:b/>
      <w:bCs/>
      <w:color w:val="000000"/>
      <w:kern w:val="2"/>
      <w:sz w:val="24"/>
      <w:szCs w:val="28"/>
      <w:u w:val="none"/>
      <w:lang w:val="en-US" w:eastAsia="zh-CN"/>
    </w:rPr>
  </w:style>
  <w:style w:type="character" w:customStyle="1" w:styleId="1033">
    <w:name w:val="正文修改 Char152"/>
    <w:qFormat/>
    <w:uiPriority w:val="0"/>
    <w:rPr>
      <w:rFonts w:hint="default" w:ascii="宋体" w:hAnsi="宋体" w:eastAsia="宋体" w:cs="宋体"/>
      <w:color w:val="000000"/>
      <w:kern w:val="2"/>
      <w:sz w:val="24"/>
      <w:szCs w:val="24"/>
      <w:u w:val="none"/>
      <w:lang w:val="en-US" w:eastAsia="zh-CN"/>
    </w:rPr>
  </w:style>
  <w:style w:type="character" w:customStyle="1" w:styleId="1034">
    <w:name w:val="表格内字体 Char21"/>
    <w:qFormat/>
    <w:uiPriority w:val="0"/>
    <w:rPr>
      <w:rFonts w:hint="default" w:ascii="宋体" w:hAnsi="宋体" w:eastAsia="宋体" w:cs="Times New Roman"/>
      <w:color w:val="000000"/>
      <w:kern w:val="2"/>
      <w:sz w:val="21"/>
      <w:szCs w:val="24"/>
      <w:u w:val="none"/>
      <w:lang w:val="en-US" w:eastAsia="zh-CN"/>
    </w:rPr>
  </w:style>
  <w:style w:type="character" w:customStyle="1" w:styleId="1035">
    <w:name w:val="hhcwt正文 Char Char Char"/>
    <w:link w:val="1036"/>
    <w:qFormat/>
    <w:uiPriority w:val="0"/>
    <w:rPr>
      <w:rFonts w:hint="default" w:ascii="Times New Roman" w:hAnsi="Times New Roman" w:cs="Times New Roman"/>
      <w:color w:val="000000"/>
      <w:sz w:val="24"/>
      <w:szCs w:val="16"/>
      <w:u w:val="none"/>
    </w:rPr>
  </w:style>
  <w:style w:type="paragraph" w:customStyle="1" w:styleId="1036">
    <w:name w:val="hhcwt正文 Char"/>
    <w:basedOn w:val="1"/>
    <w:link w:val="1035"/>
    <w:qFormat/>
    <w:uiPriority w:val="0"/>
    <w:pPr>
      <w:ind w:firstLine="480"/>
    </w:pPr>
  </w:style>
  <w:style w:type="character" w:customStyle="1" w:styleId="1037">
    <w:name w:val="题注 Char32"/>
    <w:qFormat/>
    <w:uiPriority w:val="0"/>
    <w:rPr>
      <w:rFonts w:hint="default" w:ascii="黑体" w:hAnsi="Arial" w:eastAsia="黑体" w:cs="Arial"/>
      <w:b/>
      <w:color w:val="000000"/>
      <w:kern w:val="2"/>
      <w:sz w:val="24"/>
      <w:szCs w:val="24"/>
      <w:u w:val="none"/>
      <w:lang w:val="en-US" w:eastAsia="zh-CN"/>
    </w:rPr>
  </w:style>
  <w:style w:type="character" w:customStyle="1" w:styleId="1038">
    <w:name w:val="HTML 预设格式 Char2"/>
    <w:link w:val="1039"/>
    <w:qFormat/>
    <w:uiPriority w:val="0"/>
    <w:rPr>
      <w:rFonts w:hint="default" w:ascii="Arial" w:hAnsi="Arial" w:eastAsia="黑体" w:cs="Times New Roman"/>
      <w:b/>
      <w:color w:val="000000"/>
      <w:sz w:val="28"/>
      <w:szCs w:val="16"/>
      <w:u w:val="none"/>
    </w:rPr>
  </w:style>
  <w:style w:type="paragraph" w:customStyle="1" w:styleId="1039">
    <w:name w:val="HTML Preformatted1"/>
    <w:basedOn w:val="1"/>
    <w:link w:val="1038"/>
    <w:qFormat/>
    <w:uiPriority w:val="0"/>
    <w:pPr>
      <w:spacing w:line="312" w:lineRule="auto"/>
    </w:pPr>
    <w:rPr>
      <w:rFonts w:ascii="Arial" w:hAnsi="Arial" w:eastAsia="黑体"/>
      <w:b/>
    </w:rPr>
  </w:style>
  <w:style w:type="character" w:customStyle="1" w:styleId="1040">
    <w:name w:val="表题1 Char62"/>
    <w:qFormat/>
    <w:uiPriority w:val="0"/>
    <w:rPr>
      <w:rFonts w:hint="default" w:ascii="黑体" w:hAnsi="Arial" w:eastAsia="黑体" w:cs="Arial"/>
      <w:b/>
      <w:color w:val="000000"/>
      <w:kern w:val="2"/>
      <w:sz w:val="24"/>
      <w:szCs w:val="24"/>
      <w:u w:val="none"/>
      <w:lang w:val="en-US" w:eastAsia="zh-CN"/>
    </w:rPr>
  </w:style>
  <w:style w:type="character" w:customStyle="1" w:styleId="1041">
    <w:name w:val="标题正文黑 Char"/>
    <w:qFormat/>
    <w:uiPriority w:val="0"/>
    <w:rPr>
      <w:rFonts w:hint="default" w:ascii="黑体" w:hAnsi="Times New Roman" w:eastAsia="黑体" w:cs="Times New Roman"/>
      <w:color w:val="000000"/>
      <w:kern w:val="2"/>
      <w:sz w:val="28"/>
      <w:szCs w:val="28"/>
      <w:u w:val="none"/>
      <w:lang w:val="en-US" w:eastAsia="zh-CN"/>
    </w:rPr>
  </w:style>
  <w:style w:type="character" w:customStyle="1" w:styleId="1042">
    <w:name w:val="页码1"/>
    <w:qFormat/>
    <w:uiPriority w:val="99"/>
    <w:rPr>
      <w:rFonts w:hint="default" w:ascii="Times New Roman" w:hAnsi="Times New Roman" w:cs="Times New Roman"/>
      <w:color w:val="000000"/>
      <w:sz w:val="16"/>
      <w:szCs w:val="16"/>
      <w:u w:val="none"/>
    </w:rPr>
  </w:style>
  <w:style w:type="character" w:customStyle="1" w:styleId="1043">
    <w:name w:val="Char Char515"/>
    <w:qFormat/>
    <w:uiPriority w:val="0"/>
    <w:rPr>
      <w:rFonts w:hint="default" w:ascii="黑体" w:hAnsi="宋体" w:eastAsia="黑体" w:cs="Times New Roman"/>
      <w:bCs/>
      <w:color w:val="000000"/>
      <w:kern w:val="2"/>
      <w:sz w:val="28"/>
      <w:szCs w:val="28"/>
      <w:u w:val="none"/>
      <w:lang w:val="en-US" w:eastAsia="zh-CN"/>
    </w:rPr>
  </w:style>
  <w:style w:type="character" w:customStyle="1" w:styleId="1044">
    <w:name w:val="z-Top of Form Char1"/>
    <w:link w:val="1045"/>
    <w:qFormat/>
    <w:uiPriority w:val="0"/>
    <w:rPr>
      <w:rFonts w:hint="default" w:ascii="Arial" w:hAnsi="Arial" w:eastAsia="仿宋_GB2312" w:cs="Times New Roman"/>
      <w:vanish/>
      <w:color w:val="000000"/>
      <w:sz w:val="16"/>
      <w:szCs w:val="16"/>
      <w:u w:val="none"/>
    </w:rPr>
  </w:style>
  <w:style w:type="paragraph" w:customStyle="1" w:styleId="1045">
    <w:name w:val="z-窗体顶端2"/>
    <w:basedOn w:val="1"/>
    <w:next w:val="1"/>
    <w:link w:val="1044"/>
    <w:qFormat/>
    <w:uiPriority w:val="0"/>
    <w:pPr>
      <w:pBdr>
        <w:bottom w:val="single" w:color="auto" w:sz="6" w:space="1"/>
      </w:pBdr>
      <w:spacing w:line="300" w:lineRule="auto"/>
      <w:jc w:val="center"/>
    </w:pPr>
    <w:rPr>
      <w:rFonts w:ascii="Arial" w:hAnsi="Arial"/>
      <w:vanish/>
      <w:sz w:val="16"/>
    </w:rPr>
  </w:style>
  <w:style w:type="character" w:customStyle="1" w:styleId="1046">
    <w:name w:val="正文格式 Char8"/>
    <w:qFormat/>
    <w:uiPriority w:val="0"/>
    <w:rPr>
      <w:rFonts w:hint="default" w:ascii="宋体" w:hAnsi="宋体" w:eastAsia="宋体" w:cs="Times New Roman"/>
      <w:color w:val="000000"/>
      <w:kern w:val="2"/>
      <w:sz w:val="24"/>
      <w:szCs w:val="24"/>
      <w:u w:val="none"/>
      <w:lang w:val="en-US" w:eastAsia="zh-CN"/>
    </w:rPr>
  </w:style>
  <w:style w:type="character" w:customStyle="1" w:styleId="1047">
    <w:name w:val="样式 表内小5 + 黑体 加粗 倾斜 下划线 Char21"/>
    <w:qFormat/>
    <w:uiPriority w:val="0"/>
    <w:rPr>
      <w:rFonts w:hint="default" w:ascii="黑体" w:hAnsi="黑体" w:eastAsia="黑体" w:cs="Times New Roman"/>
      <w:b/>
      <w:bCs/>
      <w:i/>
      <w:iCs/>
      <w:color w:val="000000"/>
      <w:kern w:val="2"/>
      <w:sz w:val="18"/>
      <w:szCs w:val="24"/>
      <w:u w:val="single"/>
      <w:lang w:val="en-US" w:eastAsia="zh-CN"/>
    </w:rPr>
  </w:style>
  <w:style w:type="character" w:customStyle="1" w:styleId="1048">
    <w:name w:val="无级项 Char1"/>
    <w:qFormat/>
    <w:uiPriority w:val="0"/>
    <w:rPr>
      <w:rFonts w:hint="default" w:ascii="Times New Roman" w:hAnsi="Times New Roman" w:eastAsia="宋体" w:cs="Times New Roman"/>
      <w:b/>
      <w:bCs/>
      <w:color w:val="000000"/>
      <w:kern w:val="2"/>
      <w:sz w:val="24"/>
      <w:szCs w:val="24"/>
      <w:u w:val="none"/>
      <w:lang w:val="en-US" w:eastAsia="zh-CN"/>
    </w:rPr>
  </w:style>
  <w:style w:type="character" w:customStyle="1" w:styleId="1049">
    <w:name w:val="表格内字体 Char51"/>
    <w:qFormat/>
    <w:uiPriority w:val="0"/>
    <w:rPr>
      <w:rFonts w:hint="default" w:ascii="宋体" w:hAnsi="宋体" w:eastAsia="宋体" w:cs="Times New Roman"/>
      <w:color w:val="000000"/>
      <w:kern w:val="2"/>
      <w:sz w:val="21"/>
      <w:szCs w:val="24"/>
      <w:u w:val="none"/>
      <w:lang w:val="en-US" w:eastAsia="zh-CN"/>
    </w:rPr>
  </w:style>
  <w:style w:type="character" w:customStyle="1" w:styleId="1050">
    <w:name w:val="Char Char6110"/>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051">
    <w:name w:val="题注 Char311"/>
    <w:qFormat/>
    <w:uiPriority w:val="0"/>
    <w:rPr>
      <w:rFonts w:hint="default" w:ascii="黑体" w:hAnsi="Arial" w:eastAsia="黑体" w:cs="Arial"/>
      <w:b/>
      <w:color w:val="000000"/>
      <w:kern w:val="2"/>
      <w:sz w:val="24"/>
      <w:szCs w:val="24"/>
      <w:u w:val="none"/>
      <w:lang w:val="en-US" w:eastAsia="zh-CN"/>
    </w:rPr>
  </w:style>
  <w:style w:type="character" w:customStyle="1" w:styleId="1052">
    <w:name w:val="chen正文字体11 Char Char"/>
    <w:link w:val="1053"/>
    <w:qFormat/>
    <w:uiPriority w:val="0"/>
    <w:rPr>
      <w:rFonts w:hint="default" w:ascii="Times New Roman" w:hAnsi="Times New Roman" w:cs="Times New Roman"/>
      <w:color w:val="000000"/>
      <w:sz w:val="24"/>
      <w:szCs w:val="16"/>
      <w:u w:val="none"/>
    </w:rPr>
  </w:style>
  <w:style w:type="paragraph" w:customStyle="1" w:styleId="1053">
    <w:name w:val="chen正文字体11"/>
    <w:basedOn w:val="1"/>
    <w:link w:val="1052"/>
    <w:qFormat/>
    <w:uiPriority w:val="0"/>
    <w:pPr>
      <w:ind w:firstLine="480"/>
    </w:pPr>
  </w:style>
  <w:style w:type="character" w:customStyle="1" w:styleId="1054">
    <w:name w:val="标题 3 Char3"/>
    <w:qFormat/>
    <w:uiPriority w:val="0"/>
    <w:rPr>
      <w:rFonts w:hint="default" w:ascii="黑体" w:hAnsi="宋体" w:eastAsia="黑体" w:cs="Times New Roman"/>
      <w:b/>
      <w:bCs/>
      <w:color w:val="000000"/>
      <w:kern w:val="2"/>
      <w:sz w:val="28"/>
      <w:szCs w:val="28"/>
      <w:u w:val="none"/>
      <w:lang w:val="en-US" w:eastAsia="zh-CN"/>
    </w:rPr>
  </w:style>
  <w:style w:type="character" w:customStyle="1" w:styleId="1055">
    <w:name w:val="题注 Char2"/>
    <w:qFormat/>
    <w:uiPriority w:val="0"/>
    <w:rPr>
      <w:rFonts w:hint="default" w:ascii="黑体" w:hAnsi="Arial" w:eastAsia="黑体" w:cs="Arial"/>
      <w:b/>
      <w:color w:val="000000"/>
      <w:kern w:val="2"/>
      <w:sz w:val="24"/>
      <w:szCs w:val="24"/>
      <w:u w:val="none"/>
      <w:lang w:val="en-US" w:eastAsia="zh-CN"/>
    </w:rPr>
  </w:style>
  <w:style w:type="character" w:customStyle="1" w:styleId="1056">
    <w:name w:val="标题 4 Char11"/>
    <w:qFormat/>
    <w:uiPriority w:val="0"/>
    <w:rPr>
      <w:rFonts w:hint="default" w:ascii="黑体" w:hAnsi="Arial" w:eastAsia="黑体" w:cs="Times New Roman"/>
      <w:b/>
      <w:bCs/>
      <w:color w:val="000000"/>
      <w:kern w:val="2"/>
      <w:sz w:val="24"/>
      <w:szCs w:val="24"/>
      <w:u w:val="none"/>
      <w:lang w:val="en-US" w:eastAsia="zh-CN"/>
    </w:rPr>
  </w:style>
  <w:style w:type="character" w:customStyle="1" w:styleId="1057">
    <w:name w:val="正文1 Char Char"/>
    <w:link w:val="1058"/>
    <w:qFormat/>
    <w:uiPriority w:val="0"/>
    <w:rPr>
      <w:rFonts w:hint="default" w:ascii="宋体" w:hAnsi="Times New Roman" w:cs="Times New Roman"/>
      <w:color w:val="000000"/>
      <w:spacing w:val="10"/>
      <w:sz w:val="24"/>
      <w:szCs w:val="16"/>
      <w:u w:val="none"/>
    </w:rPr>
  </w:style>
  <w:style w:type="paragraph" w:customStyle="1" w:styleId="1058">
    <w:name w:val="正文1"/>
    <w:basedOn w:val="1"/>
    <w:link w:val="1057"/>
    <w:qFormat/>
    <w:uiPriority w:val="0"/>
    <w:pPr>
      <w:spacing w:after="120" w:line="360" w:lineRule="atLeast"/>
      <w:jc w:val="center"/>
      <w:textAlignment w:val="baseline"/>
    </w:pPr>
    <w:rPr>
      <w:rFonts w:ascii="宋体"/>
      <w:spacing w:val="10"/>
    </w:rPr>
  </w:style>
  <w:style w:type="character" w:customStyle="1" w:styleId="1059">
    <w:name w:val="题注 Char41"/>
    <w:qFormat/>
    <w:uiPriority w:val="0"/>
    <w:rPr>
      <w:rFonts w:hint="default" w:ascii="黑体" w:hAnsi="Arial" w:eastAsia="黑体" w:cs="Arial"/>
      <w:b/>
      <w:color w:val="000000"/>
      <w:kern w:val="2"/>
      <w:sz w:val="24"/>
      <w:szCs w:val="24"/>
      <w:u w:val="none"/>
      <w:lang w:val="en-US" w:eastAsia="zh-CN"/>
    </w:rPr>
  </w:style>
  <w:style w:type="character" w:customStyle="1" w:styleId="1060">
    <w:name w:val="表格内字体 Char3"/>
    <w:qFormat/>
    <w:uiPriority w:val="0"/>
    <w:rPr>
      <w:rFonts w:hint="default" w:ascii="宋体" w:hAnsi="宋体" w:eastAsia="宋体" w:cs="Times New Roman"/>
      <w:color w:val="000000"/>
      <w:kern w:val="2"/>
      <w:sz w:val="21"/>
      <w:szCs w:val="24"/>
      <w:u w:val="none"/>
      <w:lang w:val="en-US" w:eastAsia="zh-CN"/>
    </w:rPr>
  </w:style>
  <w:style w:type="character" w:customStyle="1" w:styleId="1061">
    <w:name w:val="表标题 Char Char"/>
    <w:link w:val="1062"/>
    <w:qFormat/>
    <w:uiPriority w:val="0"/>
    <w:rPr>
      <w:rFonts w:hint="default" w:ascii="Times New Roman" w:hAnsi="Times New Roman" w:eastAsia="黑体" w:cs="Times New Roman"/>
      <w:b/>
      <w:color w:val="000000"/>
      <w:sz w:val="16"/>
      <w:szCs w:val="16"/>
      <w:u w:val="none"/>
    </w:rPr>
  </w:style>
  <w:style w:type="paragraph" w:customStyle="1" w:styleId="1062">
    <w:name w:val="表标题"/>
    <w:basedOn w:val="15"/>
    <w:next w:val="1"/>
    <w:link w:val="1061"/>
    <w:qFormat/>
    <w:uiPriority w:val="0"/>
    <w:pPr>
      <w:ind w:firstLine="0" w:firstLineChars="0"/>
      <w:jc w:val="center"/>
    </w:pPr>
    <w:rPr>
      <w:rFonts w:eastAsia="黑体"/>
      <w:b/>
    </w:rPr>
  </w:style>
  <w:style w:type="character" w:customStyle="1" w:styleId="1063">
    <w:name w:val="正文文本缩进 Char11"/>
    <w:qFormat/>
    <w:uiPriority w:val="0"/>
    <w:rPr>
      <w:rFonts w:hint="default" w:ascii="Times New Roman" w:hAnsi="Times New Roman" w:eastAsia="宋体" w:cs="Times New Roman"/>
      <w:color w:val="000000"/>
      <w:kern w:val="2"/>
      <w:sz w:val="21"/>
      <w:szCs w:val="24"/>
      <w:u w:val="none"/>
      <w:lang w:val="en-US" w:eastAsia="zh-CN"/>
    </w:rPr>
  </w:style>
  <w:style w:type="character" w:customStyle="1" w:styleId="1064">
    <w:name w:val="表中文字 Char24"/>
    <w:qFormat/>
    <w:uiPriority w:val="0"/>
    <w:rPr>
      <w:rFonts w:hint="default" w:ascii="宋体" w:hAnsi="Times New Roman" w:eastAsia="宋体" w:cs="Times New Roman"/>
      <w:color w:val="000000"/>
      <w:kern w:val="2"/>
      <w:sz w:val="21"/>
      <w:szCs w:val="21"/>
      <w:u w:val="none"/>
      <w:lang w:val="en-US" w:eastAsia="zh-CN"/>
    </w:rPr>
  </w:style>
  <w:style w:type="character" w:customStyle="1" w:styleId="1065">
    <w:name w:val="sinostyle"/>
    <w:qFormat/>
    <w:uiPriority w:val="0"/>
    <w:rPr>
      <w:rFonts w:hint="default" w:ascii="Times New Roman" w:hAnsi="Times New Roman" w:cs="Times New Roman"/>
      <w:color w:val="000000"/>
      <w:sz w:val="16"/>
      <w:szCs w:val="16"/>
      <w:u w:val="none"/>
    </w:rPr>
  </w:style>
  <w:style w:type="character" w:customStyle="1" w:styleId="1066">
    <w:name w:val="普通文字 Char Char Char Char Char Char Char Char Char Char Char"/>
    <w:qFormat/>
    <w:uiPriority w:val="0"/>
    <w:rPr>
      <w:rFonts w:hint="default" w:ascii="宋体" w:hAnsi="Courier New" w:eastAsia="宋体" w:cs="宋体"/>
      <w:color w:val="000000"/>
      <w:kern w:val="2"/>
      <w:sz w:val="28"/>
      <w:szCs w:val="24"/>
      <w:u w:val="none"/>
      <w:lang w:val="en-US" w:eastAsia="zh-CN"/>
    </w:rPr>
  </w:style>
  <w:style w:type="character" w:customStyle="1" w:styleId="1067">
    <w:name w:val="表格内容 Char4"/>
    <w:qFormat/>
    <w:uiPriority w:val="0"/>
    <w:rPr>
      <w:rFonts w:hint="default" w:ascii="Times New Roman" w:hAnsi="Times New Roman" w:eastAsia="宋体" w:cs="Times New Roman"/>
      <w:color w:val="000000"/>
      <w:kern w:val="2"/>
      <w:sz w:val="21"/>
      <w:szCs w:val="21"/>
      <w:u w:val="none"/>
      <w:lang w:val="en-US" w:eastAsia="zh-CN"/>
    </w:rPr>
  </w:style>
  <w:style w:type="character" w:customStyle="1" w:styleId="1068">
    <w:name w:val="标题2新 Char Char"/>
    <w:link w:val="1069"/>
    <w:qFormat/>
    <w:uiPriority w:val="0"/>
    <w:rPr>
      <w:rFonts w:ascii="楷体" w:hAnsi="楷体" w:eastAsia="楷体"/>
      <w:color w:val="000000"/>
      <w:kern w:val="2"/>
      <w:sz w:val="32"/>
      <w:szCs w:val="22"/>
    </w:rPr>
  </w:style>
  <w:style w:type="paragraph" w:customStyle="1" w:styleId="1069">
    <w:name w:val="标题2新"/>
    <w:basedOn w:val="3"/>
    <w:link w:val="1068"/>
    <w:qFormat/>
    <w:uiPriority w:val="0"/>
    <w:rPr>
      <w:rFonts w:ascii="楷体" w:hAnsi="楷体" w:eastAsia="楷体"/>
      <w:b w:val="0"/>
      <w:bCs w:val="0"/>
      <w:kern w:val="2"/>
      <w:sz w:val="32"/>
      <w:szCs w:val="22"/>
    </w:rPr>
  </w:style>
  <w:style w:type="character" w:customStyle="1" w:styleId="1070">
    <w:name w:val="px121"/>
    <w:qFormat/>
    <w:uiPriority w:val="0"/>
    <w:rPr>
      <w:rFonts w:hint="default" w:ascii="Times New Roman" w:hAnsi="Times New Roman" w:cs="Times New Roman"/>
      <w:color w:val="000000"/>
      <w:sz w:val="16"/>
      <w:szCs w:val="16"/>
      <w:u w:val="none"/>
    </w:rPr>
  </w:style>
  <w:style w:type="character" w:customStyle="1" w:styleId="1071">
    <w:name w:val="表格内字体 Char81"/>
    <w:qFormat/>
    <w:uiPriority w:val="0"/>
    <w:rPr>
      <w:rFonts w:hint="default" w:ascii="宋体" w:hAnsi="宋体" w:eastAsia="宋体" w:cs="Times New Roman"/>
      <w:color w:val="000000"/>
      <w:kern w:val="2"/>
      <w:sz w:val="21"/>
      <w:szCs w:val="24"/>
      <w:u w:val="none"/>
      <w:lang w:val="en-US" w:eastAsia="zh-CN"/>
    </w:rPr>
  </w:style>
  <w:style w:type="character" w:customStyle="1" w:styleId="1072">
    <w:name w:val="HTML 引文1"/>
    <w:qFormat/>
    <w:uiPriority w:val="0"/>
    <w:rPr>
      <w:rFonts w:hint="default" w:ascii="宋体" w:hAnsi="宋体" w:eastAsia="宋体" w:cs="Courier New"/>
      <w:i/>
      <w:iCs/>
      <w:color w:val="000000"/>
      <w:kern w:val="2"/>
      <w:sz w:val="32"/>
      <w:szCs w:val="32"/>
      <w:u w:val="none"/>
      <w:lang w:val="en-US" w:eastAsia="zh-CN"/>
    </w:rPr>
  </w:style>
  <w:style w:type="character" w:customStyle="1" w:styleId="1073">
    <w:name w:val="Char Char41"/>
    <w:qFormat/>
    <w:uiPriority w:val="0"/>
    <w:rPr>
      <w:rFonts w:hint="default" w:ascii="黑体" w:hAnsi="Arial" w:eastAsia="黑体" w:cs="Times New Roman"/>
      <w:b/>
      <w:bCs/>
      <w:color w:val="000000"/>
      <w:kern w:val="2"/>
      <w:sz w:val="30"/>
      <w:szCs w:val="30"/>
      <w:u w:val="none"/>
      <w:lang w:val="en-US" w:eastAsia="zh-CN"/>
    </w:rPr>
  </w:style>
  <w:style w:type="character" w:customStyle="1" w:styleId="1074">
    <w:name w:val="hhcwt标题2 Char Char"/>
    <w:link w:val="1075"/>
    <w:qFormat/>
    <w:uiPriority w:val="0"/>
    <w:rPr>
      <w:rFonts w:hint="default" w:ascii="Times New Roman" w:hAnsi="Times New Roman" w:eastAsia="黑体" w:cs="Times New Roman"/>
      <w:color w:val="000000"/>
      <w:sz w:val="32"/>
      <w:szCs w:val="16"/>
      <w:u w:val="none"/>
    </w:rPr>
  </w:style>
  <w:style w:type="paragraph" w:customStyle="1" w:styleId="1075">
    <w:name w:val="hhcwt标题2"/>
    <w:basedOn w:val="1"/>
    <w:link w:val="1074"/>
    <w:qFormat/>
    <w:uiPriority w:val="0"/>
    <w:pPr>
      <w:keepNext/>
      <w:keepLines/>
      <w:spacing w:before="120" w:after="120" w:line="336" w:lineRule="auto"/>
      <w:outlineLvl w:val="1"/>
    </w:pPr>
    <w:rPr>
      <w:rFonts w:eastAsia="黑体"/>
      <w:sz w:val="32"/>
    </w:rPr>
  </w:style>
  <w:style w:type="character" w:customStyle="1" w:styleId="1076">
    <w:name w:val="Char Char622"/>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077">
    <w:name w:val="批注引用2"/>
    <w:qFormat/>
    <w:uiPriority w:val="0"/>
    <w:rPr>
      <w:rFonts w:hint="default" w:ascii="Times New Roman" w:hAnsi="Times New Roman" w:cs="Times New Roman"/>
      <w:color w:val="000000"/>
      <w:sz w:val="21"/>
      <w:szCs w:val="21"/>
      <w:u w:val="none"/>
    </w:rPr>
  </w:style>
  <w:style w:type="character" w:customStyle="1" w:styleId="1078">
    <w:name w:val="表题1 Char611"/>
    <w:qFormat/>
    <w:uiPriority w:val="0"/>
    <w:rPr>
      <w:rFonts w:hint="default" w:ascii="黑体" w:hAnsi="Arial" w:eastAsia="黑体" w:cs="Arial"/>
      <w:b/>
      <w:color w:val="000000"/>
      <w:kern w:val="2"/>
      <w:sz w:val="24"/>
      <w:szCs w:val="24"/>
      <w:u w:val="none"/>
      <w:lang w:val="en-US" w:eastAsia="zh-CN"/>
    </w:rPr>
  </w:style>
  <w:style w:type="character" w:customStyle="1" w:styleId="1079">
    <w:name w:val="条标题1.1.1 Char1"/>
    <w:qFormat/>
    <w:uiPriority w:val="0"/>
    <w:rPr>
      <w:rFonts w:hint="default" w:ascii="Times New Roman" w:hAnsi="Times New Roman" w:eastAsia="仿宋_GB2312" w:cs="Times New Roman"/>
      <w:b/>
      <w:bCs/>
      <w:color w:val="000000"/>
      <w:kern w:val="2"/>
      <w:sz w:val="28"/>
      <w:szCs w:val="32"/>
      <w:u w:val="none"/>
      <w:lang w:val="en-US" w:eastAsia="zh-CN"/>
    </w:rPr>
  </w:style>
  <w:style w:type="character" w:customStyle="1" w:styleId="1080">
    <w:name w:val="标题 3 Char31"/>
    <w:qFormat/>
    <w:uiPriority w:val="0"/>
    <w:rPr>
      <w:rFonts w:hint="default" w:ascii="黑体" w:hAnsi="宋体" w:eastAsia="黑体" w:cs="Times New Roman"/>
      <w:b/>
      <w:bCs/>
      <w:color w:val="000000"/>
      <w:kern w:val="2"/>
      <w:sz w:val="28"/>
      <w:szCs w:val="28"/>
      <w:u w:val="none"/>
      <w:lang w:val="en-US" w:eastAsia="zh-CN"/>
    </w:rPr>
  </w:style>
  <w:style w:type="character" w:customStyle="1" w:styleId="1081">
    <w:name w:val="Char Char1213"/>
    <w:qFormat/>
    <w:uiPriority w:val="0"/>
    <w:rPr>
      <w:rFonts w:hint="default" w:ascii="黑体" w:hAnsi="Arial" w:eastAsia="黑体" w:cs="Times New Roman"/>
      <w:b/>
      <w:bCs/>
      <w:color w:val="000000"/>
      <w:kern w:val="2"/>
      <w:sz w:val="30"/>
      <w:szCs w:val="30"/>
      <w:u w:val="none"/>
      <w:lang w:val="en-US" w:eastAsia="zh-CN"/>
    </w:rPr>
  </w:style>
  <w:style w:type="character" w:customStyle="1" w:styleId="1082">
    <w:name w:val="标题 1 字符"/>
    <w:link w:val="2"/>
    <w:qFormat/>
    <w:uiPriority w:val="0"/>
    <w:rPr>
      <w:rFonts w:ascii="Calibri" w:hAnsi="Calibri"/>
      <w:b/>
      <w:bCs/>
      <w:color w:val="000000"/>
      <w:kern w:val="44"/>
      <w:sz w:val="24"/>
      <w:szCs w:val="44"/>
    </w:rPr>
  </w:style>
  <w:style w:type="character" w:customStyle="1" w:styleId="1083">
    <w:name w:val="表题 Char41"/>
    <w:qFormat/>
    <w:uiPriority w:val="0"/>
    <w:rPr>
      <w:rFonts w:hint="default" w:ascii="黑体" w:hAnsi="Arial" w:eastAsia="黑体" w:cs="Arial"/>
      <w:b/>
      <w:color w:val="000000"/>
      <w:kern w:val="2"/>
      <w:sz w:val="24"/>
      <w:szCs w:val="24"/>
      <w:u w:val="none"/>
      <w:lang w:val="en-US" w:eastAsia="zh-CN"/>
    </w:rPr>
  </w:style>
  <w:style w:type="character" w:customStyle="1" w:styleId="1084">
    <w:name w:val="黑体标题 Char Char Char"/>
    <w:link w:val="1085"/>
    <w:qFormat/>
    <w:uiPriority w:val="0"/>
    <w:rPr>
      <w:rFonts w:hint="default" w:ascii="宋体" w:hAnsi="Times New Roman" w:cs="Times New Roman"/>
      <w:color w:val="000000"/>
      <w:sz w:val="28"/>
      <w:szCs w:val="16"/>
      <w:u w:val="none"/>
    </w:rPr>
  </w:style>
  <w:style w:type="paragraph" w:customStyle="1" w:styleId="1085">
    <w:name w:val="黑体标题 Char"/>
    <w:basedOn w:val="1"/>
    <w:link w:val="1084"/>
    <w:qFormat/>
    <w:uiPriority w:val="0"/>
    <w:pPr>
      <w:widowControl/>
      <w:ind w:firstLine="560"/>
      <w:jc w:val="left"/>
    </w:pPr>
    <w:rPr>
      <w:rFonts w:ascii="宋体"/>
    </w:rPr>
  </w:style>
  <w:style w:type="character" w:customStyle="1" w:styleId="1086">
    <w:name w:val="Char Char45"/>
    <w:qFormat/>
    <w:uiPriority w:val="0"/>
    <w:rPr>
      <w:rFonts w:hint="default" w:ascii="黑体" w:hAnsi="Arial" w:eastAsia="黑体" w:cs="Times New Roman"/>
      <w:b/>
      <w:bCs/>
      <w:color w:val="000000"/>
      <w:kern w:val="2"/>
      <w:sz w:val="30"/>
      <w:szCs w:val="30"/>
      <w:u w:val="none"/>
      <w:lang w:val="en-US" w:eastAsia="zh-CN"/>
    </w:rPr>
  </w:style>
  <w:style w:type="character" w:customStyle="1" w:styleId="1087">
    <w:name w:val="Char Char1217"/>
    <w:qFormat/>
    <w:uiPriority w:val="0"/>
    <w:rPr>
      <w:rFonts w:hint="default" w:ascii="黑体" w:hAnsi="Arial" w:eastAsia="黑体" w:cs="Times New Roman"/>
      <w:b/>
      <w:bCs/>
      <w:color w:val="000000"/>
      <w:kern w:val="2"/>
      <w:sz w:val="30"/>
      <w:szCs w:val="30"/>
      <w:u w:val="none"/>
      <w:lang w:val="en-US" w:eastAsia="zh-CN"/>
    </w:rPr>
  </w:style>
  <w:style w:type="character" w:customStyle="1" w:styleId="1088">
    <w:name w:val="表中文字 Char11"/>
    <w:qFormat/>
    <w:uiPriority w:val="0"/>
    <w:rPr>
      <w:rFonts w:hint="default" w:ascii="Arial" w:hAnsi="Arial" w:eastAsia="宋体" w:cs="Times New Roman"/>
      <w:color w:val="000000"/>
      <w:kern w:val="2"/>
      <w:sz w:val="24"/>
      <w:szCs w:val="24"/>
      <w:u w:val="none"/>
      <w:lang w:val="en-US" w:eastAsia="zh-TW"/>
    </w:rPr>
  </w:style>
  <w:style w:type="character" w:customStyle="1" w:styleId="1089">
    <w:name w:val="标题 9 Char11"/>
    <w:qFormat/>
    <w:uiPriority w:val="0"/>
    <w:rPr>
      <w:rFonts w:hint="default" w:ascii="Arial" w:hAnsi="Arial" w:eastAsia="黑体" w:cs="Times New Roman"/>
      <w:color w:val="000000"/>
      <w:kern w:val="2"/>
      <w:sz w:val="21"/>
      <w:szCs w:val="21"/>
      <w:u w:val="none"/>
      <w:lang w:val="en-US" w:eastAsia="zh-CN"/>
    </w:rPr>
  </w:style>
  <w:style w:type="character" w:customStyle="1" w:styleId="1090">
    <w:name w:val="正文首行缩进 2 Char13"/>
    <w:qFormat/>
    <w:uiPriority w:val="0"/>
    <w:rPr>
      <w:rFonts w:hint="default" w:ascii="宋体" w:hAnsi="宋体" w:eastAsia="仿宋_GB2312" w:cs="宋体"/>
      <w:color w:val="000000"/>
      <w:kern w:val="2"/>
      <w:sz w:val="21"/>
      <w:szCs w:val="24"/>
      <w:u w:val="none"/>
      <w:lang w:val="en-US" w:eastAsia="zh-CN"/>
    </w:rPr>
  </w:style>
  <w:style w:type="character" w:customStyle="1" w:styleId="1091">
    <w:name w:val="脚注文本 字符"/>
    <w:link w:val="47"/>
    <w:qFormat/>
    <w:uiPriority w:val="99"/>
    <w:rPr>
      <w:rFonts w:hint="default" w:ascii="宋体" w:hAnsi="Times New Roman" w:cs="Times New Roman"/>
      <w:color w:val="000000"/>
      <w:sz w:val="18"/>
      <w:szCs w:val="16"/>
      <w:u w:val="none"/>
    </w:rPr>
  </w:style>
  <w:style w:type="character" w:customStyle="1" w:styleId="1092">
    <w:name w:val="正文文本缩进 3 Char31"/>
    <w:qFormat/>
    <w:uiPriority w:val="0"/>
    <w:rPr>
      <w:rFonts w:hint="default" w:ascii="Times New Roman" w:hAnsi="Times New Roman" w:eastAsia="宋体" w:cs="Times New Roman"/>
      <w:color w:val="000000"/>
      <w:kern w:val="2"/>
      <w:sz w:val="16"/>
      <w:szCs w:val="16"/>
      <w:u w:val="none"/>
      <w:lang w:val="en-US" w:eastAsia="zh-CN"/>
    </w:rPr>
  </w:style>
  <w:style w:type="character" w:customStyle="1" w:styleId="1093">
    <w:name w:val="Heading 4 Char"/>
    <w:qFormat/>
    <w:uiPriority w:val="0"/>
    <w:rPr>
      <w:rFonts w:hint="default" w:ascii="Cambria" w:hAnsi="Cambria" w:eastAsia="仿宋_GB2312" w:cs="Times New Roman"/>
      <w:b/>
      <w:color w:val="000000"/>
      <w:sz w:val="28"/>
      <w:szCs w:val="16"/>
      <w:u w:val="none"/>
    </w:rPr>
  </w:style>
  <w:style w:type="character" w:customStyle="1" w:styleId="1094">
    <w:name w:val="正文2 Char"/>
    <w:qFormat/>
    <w:uiPriority w:val="0"/>
    <w:rPr>
      <w:rFonts w:hint="default" w:ascii="Times New Roman" w:hAnsi="Times New Roman" w:cs="Times New Roman"/>
      <w:color w:val="000000"/>
      <w:spacing w:val="18"/>
      <w:sz w:val="32"/>
      <w:szCs w:val="16"/>
      <w:u w:val="none"/>
      <w:lang w:val="en-US" w:eastAsia="zh-CN" w:bidi="ar-SA"/>
    </w:rPr>
  </w:style>
  <w:style w:type="character" w:customStyle="1" w:styleId="1095">
    <w:name w:val="Char Char42"/>
    <w:qFormat/>
    <w:uiPriority w:val="0"/>
    <w:rPr>
      <w:rFonts w:hint="default" w:ascii="黑体" w:hAnsi="Arial" w:eastAsia="黑体" w:cs="Times New Roman"/>
      <w:b/>
      <w:bCs/>
      <w:color w:val="000000"/>
      <w:kern w:val="2"/>
      <w:sz w:val="30"/>
      <w:szCs w:val="30"/>
      <w:u w:val="none"/>
      <w:lang w:val="en-US" w:eastAsia="zh-CN"/>
    </w:rPr>
  </w:style>
  <w:style w:type="character" w:customStyle="1" w:styleId="1096">
    <w:name w:val="样式 标题 2 + (西文) Times New Roman (中文) 宋体 Char Char"/>
    <w:link w:val="1097"/>
    <w:qFormat/>
    <w:uiPriority w:val="0"/>
    <w:rPr>
      <w:rFonts w:ascii="Calibri" w:hAnsi="Calibri"/>
      <w:color w:val="000000"/>
      <w:kern w:val="2"/>
      <w:sz w:val="24"/>
      <w:szCs w:val="22"/>
    </w:rPr>
  </w:style>
  <w:style w:type="paragraph" w:customStyle="1" w:styleId="1097">
    <w:name w:val="样式 标题 2 + (西文) Times New Roman (中文) 宋体"/>
    <w:basedOn w:val="3"/>
    <w:link w:val="1096"/>
    <w:qFormat/>
    <w:uiPriority w:val="0"/>
    <w:rPr>
      <w:b w:val="0"/>
      <w:bCs w:val="0"/>
      <w:kern w:val="2"/>
      <w:szCs w:val="22"/>
    </w:rPr>
  </w:style>
  <w:style w:type="character" w:customStyle="1" w:styleId="1098">
    <w:name w:val="Char Char1218"/>
    <w:qFormat/>
    <w:uiPriority w:val="0"/>
    <w:rPr>
      <w:rFonts w:hint="default" w:ascii="黑体" w:hAnsi="Arial" w:eastAsia="黑体" w:cs="Times New Roman"/>
      <w:b/>
      <w:bCs/>
      <w:color w:val="000000"/>
      <w:kern w:val="2"/>
      <w:sz w:val="30"/>
      <w:szCs w:val="30"/>
      <w:u w:val="none"/>
      <w:lang w:val="en-US" w:eastAsia="zh-CN"/>
    </w:rPr>
  </w:style>
  <w:style w:type="character" w:customStyle="1" w:styleId="1099">
    <w:name w:val="Char Char119"/>
    <w:qFormat/>
    <w:uiPriority w:val="0"/>
    <w:rPr>
      <w:rFonts w:hint="default" w:ascii="黑体" w:hAnsi="Arial" w:eastAsia="黑体" w:cs="Times New Roman"/>
      <w:bCs/>
      <w:color w:val="000000"/>
      <w:kern w:val="2"/>
      <w:sz w:val="30"/>
      <w:szCs w:val="30"/>
      <w:u w:val="none"/>
      <w:lang w:val="en-US" w:eastAsia="zh-CN"/>
    </w:rPr>
  </w:style>
  <w:style w:type="character" w:customStyle="1" w:styleId="1100">
    <w:name w:val="A正文 Char4"/>
    <w:qFormat/>
    <w:uiPriority w:val="0"/>
    <w:rPr>
      <w:rFonts w:hint="default" w:ascii="Times New Roman" w:hAnsi="Times New Roman" w:eastAsia="仿宋_GB2312" w:cs="Times New Roman"/>
      <w:color w:val="000000"/>
      <w:kern w:val="2"/>
      <w:sz w:val="24"/>
      <w:szCs w:val="24"/>
      <w:u w:val="none"/>
      <w:lang w:val="en-US" w:eastAsia="zh-CN"/>
    </w:rPr>
  </w:style>
  <w:style w:type="character" w:customStyle="1" w:styleId="1101">
    <w:name w:val="表号 Char2"/>
    <w:link w:val="1102"/>
    <w:qFormat/>
    <w:uiPriority w:val="0"/>
    <w:rPr>
      <w:rFonts w:hint="default" w:ascii="Times New Roman" w:hAnsi="Times New Roman" w:cs="Times New Roman"/>
      <w:color w:val="000000"/>
      <w:sz w:val="24"/>
      <w:szCs w:val="16"/>
      <w:u w:val="none"/>
    </w:rPr>
  </w:style>
  <w:style w:type="paragraph" w:customStyle="1" w:styleId="1102">
    <w:name w:val="表号"/>
    <w:basedOn w:val="1"/>
    <w:link w:val="1101"/>
    <w:qFormat/>
    <w:uiPriority w:val="0"/>
    <w:pPr>
      <w:ind w:firstLine="480"/>
    </w:pPr>
  </w:style>
  <w:style w:type="character" w:customStyle="1" w:styleId="1103">
    <w:name w:val="注释 Char"/>
    <w:qFormat/>
    <w:uiPriority w:val="99"/>
    <w:rPr>
      <w:rFonts w:hint="default" w:ascii="宋体" w:hAnsi="Times New Roman" w:eastAsia="宋体" w:cs="Times New Roman"/>
      <w:snapToGrid w:val="0"/>
      <w:color w:val="000000"/>
      <w:spacing w:val="4"/>
      <w:kern w:val="0"/>
      <w:sz w:val="16"/>
      <w:szCs w:val="24"/>
      <w:u w:val="none"/>
    </w:rPr>
  </w:style>
  <w:style w:type="character" w:customStyle="1" w:styleId="1104">
    <w:name w:val="文本框小四 Char Char"/>
    <w:qFormat/>
    <w:uiPriority w:val="0"/>
    <w:rPr>
      <w:rFonts w:hint="default" w:ascii="宋体" w:hAnsi="宋体" w:eastAsia="仿宋_GB2312" w:cs="Courier New"/>
      <w:color w:val="000000"/>
      <w:kern w:val="2"/>
      <w:sz w:val="24"/>
      <w:szCs w:val="24"/>
      <w:u w:val="none"/>
      <w:lang w:val="en-US" w:eastAsia="zh-CN"/>
    </w:rPr>
  </w:style>
  <w:style w:type="character" w:customStyle="1" w:styleId="1105">
    <w:name w:val="样式 表格内字体 + Char2"/>
    <w:qFormat/>
    <w:uiPriority w:val="0"/>
    <w:rPr>
      <w:rFonts w:hint="default" w:ascii="宋体" w:hAnsi="宋体" w:cs="Times New Roman"/>
      <w:color w:val="000000"/>
      <w:kern w:val="2"/>
      <w:sz w:val="21"/>
      <w:szCs w:val="24"/>
      <w:u w:val="none"/>
    </w:rPr>
  </w:style>
  <w:style w:type="character" w:customStyle="1" w:styleId="1106">
    <w:name w:val="标题 2 Char5"/>
    <w:qFormat/>
    <w:uiPriority w:val="0"/>
    <w:rPr>
      <w:rFonts w:hint="default" w:ascii="黑体" w:hAnsi="Arial" w:eastAsia="黑体" w:cs="Times New Roman"/>
      <w:bCs/>
      <w:color w:val="000000"/>
      <w:kern w:val="2"/>
      <w:sz w:val="30"/>
      <w:szCs w:val="30"/>
      <w:u w:val="none"/>
      <w:lang w:val="en-US" w:eastAsia="zh-CN"/>
    </w:rPr>
  </w:style>
  <w:style w:type="character" w:customStyle="1" w:styleId="1107">
    <w:name w:val="题注 Char512"/>
    <w:qFormat/>
    <w:uiPriority w:val="0"/>
    <w:rPr>
      <w:rFonts w:hint="default" w:ascii="黑体" w:hAnsi="Arial" w:eastAsia="黑体" w:cs="Arial"/>
      <w:b/>
      <w:color w:val="000000"/>
      <w:kern w:val="2"/>
      <w:sz w:val="24"/>
      <w:szCs w:val="24"/>
      <w:u w:val="none"/>
      <w:lang w:val="en-US" w:eastAsia="zh-CN"/>
    </w:rPr>
  </w:style>
  <w:style w:type="character" w:customStyle="1" w:styleId="1108">
    <w:name w:val="图题 Char Char"/>
    <w:link w:val="1109"/>
    <w:qFormat/>
    <w:uiPriority w:val="0"/>
    <w:rPr>
      <w:rFonts w:hint="default" w:ascii="黑体" w:hAnsi="宋体" w:eastAsia="黑体" w:cs="Times New Roman"/>
      <w:b/>
      <w:color w:val="000000"/>
      <w:sz w:val="24"/>
      <w:szCs w:val="16"/>
      <w:u w:val="none"/>
    </w:rPr>
  </w:style>
  <w:style w:type="paragraph" w:customStyle="1" w:styleId="1109">
    <w:name w:val="图题6"/>
    <w:basedOn w:val="418"/>
    <w:next w:val="418"/>
    <w:link w:val="1108"/>
    <w:qFormat/>
    <w:uiPriority w:val="0"/>
    <w:pPr>
      <w:ind w:firstLine="0"/>
      <w:jc w:val="center"/>
    </w:pPr>
    <w:rPr>
      <w:rFonts w:ascii="黑体" w:hAnsi="宋体" w:eastAsia="黑体"/>
      <w:b/>
    </w:rPr>
  </w:style>
  <w:style w:type="character" w:customStyle="1" w:styleId="1110">
    <w:name w:val="标题 3 Char111"/>
    <w:qFormat/>
    <w:uiPriority w:val="0"/>
    <w:rPr>
      <w:rFonts w:hint="default" w:ascii="黑体" w:hAnsi="宋体" w:eastAsia="黑体" w:cs="Times New Roman"/>
      <w:b/>
      <w:bCs/>
      <w:color w:val="000000"/>
      <w:kern w:val="2"/>
      <w:sz w:val="28"/>
      <w:szCs w:val="28"/>
      <w:u w:val="none"/>
      <w:lang w:val="en-US" w:eastAsia="zh-CN"/>
    </w:rPr>
  </w:style>
  <w:style w:type="character" w:customStyle="1" w:styleId="1111">
    <w:name w:val="样式 首行缩进:  2 字符 Char"/>
    <w:qFormat/>
    <w:uiPriority w:val="0"/>
    <w:rPr>
      <w:rFonts w:hint="default" w:ascii="Times New Roman" w:hAnsi="Times New Roman" w:cs="宋体"/>
      <w:color w:val="000000"/>
      <w:sz w:val="24"/>
      <w:szCs w:val="16"/>
      <w:u w:val="none"/>
    </w:rPr>
  </w:style>
  <w:style w:type="character" w:customStyle="1" w:styleId="1112">
    <w:name w:val="Char Char215"/>
    <w:qFormat/>
    <w:uiPriority w:val="0"/>
    <w:rPr>
      <w:rFonts w:hint="default" w:ascii="黑体" w:hAnsi="Times New Roman" w:eastAsia="宋体" w:cs="Times New Roman"/>
      <w:color w:val="000000"/>
      <w:kern w:val="2"/>
      <w:sz w:val="16"/>
      <w:szCs w:val="16"/>
      <w:u w:val="none"/>
      <w:lang w:val="en-US" w:eastAsia="zh-CN"/>
    </w:rPr>
  </w:style>
  <w:style w:type="character" w:customStyle="1" w:styleId="1113">
    <w:name w:val="标题 9 Char2"/>
    <w:qFormat/>
    <w:uiPriority w:val="0"/>
    <w:rPr>
      <w:rFonts w:hint="default" w:ascii="Arial" w:hAnsi="Arial" w:eastAsia="黑体" w:cs="Times New Roman"/>
      <w:color w:val="000000"/>
      <w:kern w:val="2"/>
      <w:sz w:val="24"/>
      <w:szCs w:val="21"/>
      <w:u w:val="none"/>
      <w:lang w:val="en-US" w:eastAsia="zh-CN"/>
    </w:rPr>
  </w:style>
  <w:style w:type="character" w:customStyle="1" w:styleId="1114">
    <w:name w:val="表图 Char Char"/>
    <w:link w:val="1115"/>
    <w:qFormat/>
    <w:uiPriority w:val="0"/>
    <w:rPr>
      <w:rFonts w:hint="default" w:ascii="Times New Roman" w:hAnsi="Times New Roman" w:eastAsia="仿宋_GB2312" w:cs="Times New Roman"/>
      <w:color w:val="000000"/>
      <w:sz w:val="28"/>
      <w:szCs w:val="16"/>
      <w:u w:val="none"/>
    </w:rPr>
  </w:style>
  <w:style w:type="paragraph" w:customStyle="1" w:styleId="1115">
    <w:name w:val="表图"/>
    <w:basedOn w:val="1"/>
    <w:link w:val="1114"/>
    <w:qFormat/>
    <w:uiPriority w:val="0"/>
    <w:pPr>
      <w:widowControl/>
      <w:jc w:val="center"/>
    </w:pPr>
  </w:style>
  <w:style w:type="character" w:customStyle="1" w:styleId="1116">
    <w:name w:val="称呼 Char"/>
    <w:link w:val="1117"/>
    <w:qFormat/>
    <w:uiPriority w:val="0"/>
    <w:rPr>
      <w:rFonts w:hint="default" w:ascii="Times New Roman" w:hAnsi="Times New Roman" w:cs="Times New Roman"/>
      <w:color w:val="000000"/>
      <w:sz w:val="24"/>
      <w:szCs w:val="16"/>
      <w:u w:val="none"/>
    </w:rPr>
  </w:style>
  <w:style w:type="paragraph" w:customStyle="1" w:styleId="1117">
    <w:name w:val="称呼1"/>
    <w:basedOn w:val="1"/>
    <w:next w:val="1"/>
    <w:link w:val="1116"/>
    <w:qFormat/>
    <w:uiPriority w:val="0"/>
    <w:pPr>
      <w:widowControl/>
      <w:jc w:val="left"/>
    </w:pPr>
  </w:style>
  <w:style w:type="character" w:customStyle="1" w:styleId="1118">
    <w:name w:val="Char Char213"/>
    <w:qFormat/>
    <w:uiPriority w:val="0"/>
    <w:rPr>
      <w:rFonts w:hint="default" w:ascii="黑体" w:hAnsi="Times New Roman" w:eastAsia="宋体" w:cs="Times New Roman"/>
      <w:color w:val="000000"/>
      <w:kern w:val="2"/>
      <w:sz w:val="16"/>
      <w:szCs w:val="16"/>
      <w:u w:val="none"/>
      <w:lang w:val="en-US" w:eastAsia="zh-CN"/>
    </w:rPr>
  </w:style>
  <w:style w:type="character" w:customStyle="1" w:styleId="1119">
    <w:name w:val="样式4 Char Char"/>
    <w:link w:val="1120"/>
    <w:qFormat/>
    <w:uiPriority w:val="0"/>
    <w:rPr>
      <w:rFonts w:ascii="Arial" w:hAnsi="Arial" w:eastAsia="黑体"/>
      <w:b/>
      <w:color w:val="000000"/>
      <w:kern w:val="2"/>
      <w:sz w:val="32"/>
      <w:szCs w:val="22"/>
    </w:rPr>
  </w:style>
  <w:style w:type="paragraph" w:customStyle="1" w:styleId="1120">
    <w:name w:val="样式4"/>
    <w:basedOn w:val="5"/>
    <w:link w:val="1119"/>
    <w:qFormat/>
    <w:uiPriority w:val="0"/>
    <w:rPr>
      <w:rFonts w:ascii="Arial" w:hAnsi="Arial" w:eastAsia="黑体"/>
      <w:bCs w:val="0"/>
      <w:kern w:val="2"/>
      <w:szCs w:val="22"/>
    </w:rPr>
  </w:style>
  <w:style w:type="character" w:customStyle="1" w:styleId="1121">
    <w:name w:val="1.1.1标题 3 Char"/>
    <w:qFormat/>
    <w:uiPriority w:val="0"/>
    <w:rPr>
      <w:rFonts w:hint="default" w:ascii="Times New Roman" w:hAnsi="Times New Roman" w:eastAsia="宋体" w:cs="Times New Roman"/>
      <w:b/>
      <w:color w:val="000000"/>
      <w:kern w:val="2"/>
      <w:sz w:val="28"/>
      <w:szCs w:val="16"/>
      <w:u w:val="none"/>
      <w:lang w:val="en-US" w:eastAsia="zh-CN" w:bidi="ar-SA"/>
    </w:rPr>
  </w:style>
  <w:style w:type="character" w:customStyle="1" w:styleId="1122">
    <w:name w:val="Body Text 21 Char Char"/>
    <w:link w:val="1123"/>
    <w:qFormat/>
    <w:uiPriority w:val="0"/>
    <w:rPr>
      <w:rFonts w:hint="default" w:ascii="Times New Roman" w:hAnsi="Times New Roman" w:eastAsia="仿宋体" w:cs="Times New Roman"/>
      <w:color w:val="000000"/>
      <w:sz w:val="24"/>
      <w:szCs w:val="16"/>
      <w:u w:val="none"/>
    </w:rPr>
  </w:style>
  <w:style w:type="paragraph" w:customStyle="1" w:styleId="1123">
    <w:name w:val="Body Text 21"/>
    <w:basedOn w:val="1"/>
    <w:link w:val="1122"/>
    <w:qFormat/>
    <w:uiPriority w:val="0"/>
    <w:pPr>
      <w:textAlignment w:val="baseline"/>
    </w:pPr>
    <w:rPr>
      <w:rFonts w:eastAsia="仿宋体"/>
    </w:rPr>
  </w:style>
  <w:style w:type="character" w:customStyle="1" w:styleId="1124">
    <w:name w:val="表格字体 Char Char"/>
    <w:link w:val="1125"/>
    <w:qFormat/>
    <w:uiPriority w:val="0"/>
    <w:rPr>
      <w:rFonts w:hint="default" w:ascii="Times New Roman" w:hAnsi="Times New Roman" w:cs="Times New Roman"/>
      <w:color w:val="000000"/>
      <w:sz w:val="24"/>
      <w:szCs w:val="16"/>
      <w:u w:val="none"/>
    </w:rPr>
  </w:style>
  <w:style w:type="paragraph" w:customStyle="1" w:styleId="1125">
    <w:name w:val="表格字体"/>
    <w:basedOn w:val="1"/>
    <w:link w:val="1124"/>
    <w:qFormat/>
    <w:uiPriority w:val="0"/>
    <w:pPr>
      <w:widowControl/>
      <w:jc w:val="center"/>
    </w:pPr>
  </w:style>
  <w:style w:type="character" w:customStyle="1" w:styleId="1126">
    <w:name w:val="HTML 键盘1"/>
    <w:qFormat/>
    <w:uiPriority w:val="0"/>
    <w:rPr>
      <w:rFonts w:hint="default" w:ascii="Courier New" w:hAnsi="Courier New" w:eastAsia="宋体" w:cs="Courier New"/>
      <w:color w:val="000000"/>
      <w:kern w:val="2"/>
      <w:sz w:val="20"/>
      <w:szCs w:val="20"/>
      <w:u w:val="none"/>
      <w:lang w:val="en-US" w:eastAsia="zh-CN"/>
    </w:rPr>
  </w:style>
  <w:style w:type="character" w:customStyle="1" w:styleId="1127">
    <w:name w:val="Char Char514"/>
    <w:qFormat/>
    <w:uiPriority w:val="0"/>
    <w:rPr>
      <w:rFonts w:hint="default" w:ascii="黑体" w:hAnsi="宋体" w:eastAsia="黑体" w:cs="Times New Roman"/>
      <w:bCs/>
      <w:color w:val="000000"/>
      <w:kern w:val="2"/>
      <w:sz w:val="28"/>
      <w:szCs w:val="28"/>
      <w:u w:val="none"/>
      <w:lang w:val="en-US" w:eastAsia="zh-CN"/>
    </w:rPr>
  </w:style>
  <w:style w:type="character" w:customStyle="1" w:styleId="1128">
    <w:name w:val="正文格式 Char81"/>
    <w:qFormat/>
    <w:uiPriority w:val="0"/>
    <w:rPr>
      <w:rFonts w:hint="default" w:ascii="宋体" w:hAnsi="宋体" w:eastAsia="宋体" w:cs="Times New Roman"/>
      <w:color w:val="000000"/>
      <w:kern w:val="2"/>
      <w:sz w:val="24"/>
      <w:szCs w:val="24"/>
      <w:u w:val="none"/>
      <w:lang w:val="en-US" w:eastAsia="zh-CN"/>
    </w:rPr>
  </w:style>
  <w:style w:type="character" w:customStyle="1" w:styleId="1129">
    <w:name w:val="标题 5 Char11"/>
    <w:qFormat/>
    <w:uiPriority w:val="0"/>
    <w:rPr>
      <w:rFonts w:hint="default" w:ascii="宋体" w:hAnsi="宋体" w:eastAsia="宋体" w:cs="宋体"/>
      <w:b/>
      <w:bCs/>
      <w:color w:val="000000"/>
      <w:kern w:val="2"/>
      <w:sz w:val="28"/>
      <w:szCs w:val="28"/>
      <w:u w:val="none"/>
      <w:lang w:val="en-US" w:eastAsia="zh-CN"/>
    </w:rPr>
  </w:style>
  <w:style w:type="character" w:customStyle="1" w:styleId="1130">
    <w:name w:val="副标题 Char2"/>
    <w:qFormat/>
    <w:uiPriority w:val="11"/>
    <w:rPr>
      <w:rFonts w:hint="default" w:ascii="Cambria" w:hAnsi="Cambria" w:eastAsia="宋体" w:cs="Times New Roman"/>
      <w:b/>
      <w:bCs/>
      <w:color w:val="000000"/>
      <w:kern w:val="28"/>
      <w:sz w:val="32"/>
      <w:szCs w:val="32"/>
      <w:u w:val="none"/>
    </w:rPr>
  </w:style>
  <w:style w:type="character" w:customStyle="1" w:styleId="1131">
    <w:name w:val="Char Char13"/>
    <w:qFormat/>
    <w:uiPriority w:val="0"/>
    <w:rPr>
      <w:rFonts w:hint="default" w:ascii="Times New Roman" w:hAnsi="Times New Roman" w:eastAsia="宋体" w:cs="Times New Roman"/>
      <w:color w:val="000000"/>
      <w:kern w:val="2"/>
      <w:sz w:val="18"/>
      <w:szCs w:val="18"/>
      <w:u w:val="none"/>
      <w:lang w:val="en-US" w:eastAsia="zh-CN" w:bidi="ar-SA"/>
    </w:rPr>
  </w:style>
  <w:style w:type="character" w:customStyle="1" w:styleId="1132">
    <w:name w:val="Char Char621"/>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133">
    <w:name w:val="Char Char123"/>
    <w:qFormat/>
    <w:uiPriority w:val="0"/>
    <w:rPr>
      <w:rFonts w:hint="default" w:ascii="黑体" w:hAnsi="Arial" w:eastAsia="黑体" w:cs="Times New Roman"/>
      <w:b/>
      <w:bCs/>
      <w:color w:val="000000"/>
      <w:kern w:val="2"/>
      <w:sz w:val="30"/>
      <w:szCs w:val="30"/>
      <w:u w:val="none"/>
      <w:lang w:val="en-US" w:eastAsia="zh-CN"/>
    </w:rPr>
  </w:style>
  <w:style w:type="character" w:customStyle="1" w:styleId="1134">
    <w:name w:val="题注 Char21"/>
    <w:qFormat/>
    <w:uiPriority w:val="0"/>
    <w:rPr>
      <w:rFonts w:hint="default" w:ascii="黑体" w:hAnsi="Arial" w:eastAsia="黑体" w:cs="Arial"/>
      <w:b/>
      <w:color w:val="000000"/>
      <w:kern w:val="2"/>
      <w:sz w:val="24"/>
      <w:szCs w:val="24"/>
      <w:u w:val="none"/>
      <w:lang w:val="en-US" w:eastAsia="zh-CN"/>
    </w:rPr>
  </w:style>
  <w:style w:type="character" w:customStyle="1" w:styleId="1135">
    <w:name w:val="注 Char1"/>
    <w:qFormat/>
    <w:uiPriority w:val="0"/>
    <w:rPr>
      <w:rFonts w:hint="default" w:ascii="Arial" w:hAnsi="Arial" w:eastAsia="黑体" w:cs="Times New Roman"/>
      <w:color w:val="000000"/>
      <w:kern w:val="2"/>
      <w:sz w:val="24"/>
      <w:szCs w:val="24"/>
      <w:u w:val="none"/>
      <w:lang w:val="en-US" w:eastAsia="zh-CN"/>
    </w:rPr>
  </w:style>
  <w:style w:type="character" w:customStyle="1" w:styleId="1136">
    <w:name w:val="正文修改 Char1421"/>
    <w:qFormat/>
    <w:uiPriority w:val="0"/>
    <w:rPr>
      <w:rFonts w:hint="default" w:ascii="宋体" w:hAnsi="Times New Roman" w:cs="宋体"/>
      <w:color w:val="000000"/>
      <w:kern w:val="2"/>
      <w:sz w:val="24"/>
      <w:szCs w:val="24"/>
      <w:u w:val="none"/>
    </w:rPr>
  </w:style>
  <w:style w:type="character" w:customStyle="1" w:styleId="1137">
    <w:name w:val="正文(首行缩进) Char Char"/>
    <w:link w:val="1138"/>
    <w:qFormat/>
    <w:uiPriority w:val="0"/>
    <w:rPr>
      <w:rFonts w:hint="default" w:ascii="Times New Roman" w:hAnsi="Times New Roman" w:cs="Times New Roman"/>
      <w:color w:val="000000"/>
      <w:sz w:val="24"/>
      <w:szCs w:val="16"/>
      <w:u w:val="none"/>
    </w:rPr>
  </w:style>
  <w:style w:type="paragraph" w:customStyle="1" w:styleId="1138">
    <w:name w:val="正文(首行缩进)"/>
    <w:basedOn w:val="1"/>
    <w:link w:val="1137"/>
    <w:qFormat/>
    <w:uiPriority w:val="0"/>
  </w:style>
  <w:style w:type="character" w:customStyle="1" w:styleId="1139">
    <w:name w:val="公示 内容 Char"/>
    <w:link w:val="1140"/>
    <w:qFormat/>
    <w:uiPriority w:val="0"/>
    <w:rPr>
      <w:rFonts w:hint="default" w:ascii="Times New Roman" w:hAnsi="Times New Roman" w:cs="Times New Roman"/>
      <w:color w:val="000000"/>
      <w:sz w:val="28"/>
      <w:szCs w:val="28"/>
      <w:u w:val="none"/>
    </w:rPr>
  </w:style>
  <w:style w:type="paragraph" w:customStyle="1" w:styleId="1140">
    <w:name w:val="公示 内容"/>
    <w:basedOn w:val="98"/>
    <w:link w:val="1139"/>
    <w:qFormat/>
    <w:uiPriority w:val="0"/>
    <w:pPr>
      <w:spacing w:line="500" w:lineRule="exact"/>
      <w:ind w:firstLine="562" w:firstLineChars="200"/>
    </w:pPr>
    <w:rPr>
      <w:rFonts w:ascii="Times New Roman" w:hAnsi="Times New Roman" w:cs="Times New Roman"/>
      <w:color w:val="000000"/>
      <w:sz w:val="28"/>
      <w:szCs w:val="28"/>
    </w:rPr>
  </w:style>
  <w:style w:type="character" w:customStyle="1" w:styleId="1141">
    <w:name w:val="Char Char1212"/>
    <w:qFormat/>
    <w:uiPriority w:val="0"/>
    <w:rPr>
      <w:rFonts w:hint="default" w:ascii="黑体" w:hAnsi="Arial" w:eastAsia="黑体" w:cs="Times New Roman"/>
      <w:b/>
      <w:bCs/>
      <w:color w:val="000000"/>
      <w:kern w:val="2"/>
      <w:sz w:val="30"/>
      <w:szCs w:val="30"/>
      <w:u w:val="none"/>
      <w:lang w:val="en-US" w:eastAsia="zh-CN"/>
    </w:rPr>
  </w:style>
  <w:style w:type="character" w:customStyle="1" w:styleId="1142">
    <w:name w:val="正文缩进 Char12"/>
    <w:qFormat/>
    <w:uiPriority w:val="0"/>
    <w:rPr>
      <w:rFonts w:hint="default" w:ascii="宋体" w:hAnsi="宋体" w:eastAsia="宋体" w:cs="宋体"/>
      <w:color w:val="000000"/>
      <w:kern w:val="2"/>
      <w:sz w:val="24"/>
      <w:szCs w:val="24"/>
      <w:u w:val="none"/>
      <w:lang w:val="en-US" w:eastAsia="zh-CN"/>
    </w:rPr>
  </w:style>
  <w:style w:type="character" w:customStyle="1" w:styleId="1143">
    <w:name w:val="正文文本 3 Char21"/>
    <w:qFormat/>
    <w:uiPriority w:val="0"/>
    <w:rPr>
      <w:rFonts w:hint="default" w:ascii="Times New Roman" w:hAnsi="Times New Roman" w:eastAsia="宋体" w:cs="Times New Roman"/>
      <w:color w:val="000000"/>
      <w:kern w:val="2"/>
      <w:sz w:val="16"/>
      <w:szCs w:val="16"/>
      <w:u w:val="none"/>
      <w:lang w:val="en-US" w:eastAsia="zh-CN"/>
    </w:rPr>
  </w:style>
  <w:style w:type="character" w:customStyle="1" w:styleId="1144">
    <w:name w:val="批注框文本 Char8"/>
    <w:qFormat/>
    <w:uiPriority w:val="0"/>
    <w:rPr>
      <w:rFonts w:hint="default" w:ascii="Times New Roman" w:hAnsi="Times New Roman" w:cs="Times New Roman"/>
      <w:color w:val="000000"/>
      <w:sz w:val="18"/>
      <w:szCs w:val="18"/>
      <w:u w:val="none"/>
    </w:rPr>
  </w:style>
  <w:style w:type="character" w:customStyle="1" w:styleId="1145">
    <w:name w:val="Char Char313"/>
    <w:qFormat/>
    <w:uiPriority w:val="0"/>
    <w:rPr>
      <w:rFonts w:hint="default" w:ascii="黑体" w:hAnsi="宋体" w:eastAsia="黑体" w:cs="Times New Roman"/>
      <w:b/>
      <w:bCs/>
      <w:color w:val="000000"/>
      <w:kern w:val="2"/>
      <w:sz w:val="28"/>
      <w:szCs w:val="28"/>
      <w:u w:val="none"/>
      <w:lang w:val="en-US" w:eastAsia="zh-CN"/>
    </w:rPr>
  </w:style>
  <w:style w:type="character" w:customStyle="1" w:styleId="1146">
    <w:name w:val="正文文本缩进 Char31"/>
    <w:qFormat/>
    <w:uiPriority w:val="0"/>
    <w:rPr>
      <w:rFonts w:hint="default" w:ascii="宋体" w:hAnsi="宋体" w:eastAsia="宋体" w:cs="宋体"/>
      <w:color w:val="000000"/>
      <w:kern w:val="2"/>
      <w:sz w:val="24"/>
      <w:szCs w:val="24"/>
      <w:u w:val="none"/>
      <w:lang w:val="en-US" w:eastAsia="zh-CN"/>
    </w:rPr>
  </w:style>
  <w:style w:type="character" w:customStyle="1" w:styleId="1147">
    <w:name w:val="附录 Char"/>
    <w:link w:val="1148"/>
    <w:qFormat/>
    <w:uiPriority w:val="0"/>
    <w:rPr>
      <w:rFonts w:hint="default" w:ascii="Times New Roman" w:hAnsi="Times New Roman" w:eastAsia="仿宋_GB2312" w:cs="Times New Roman"/>
      <w:color w:val="000000"/>
      <w:sz w:val="24"/>
      <w:szCs w:val="24"/>
      <w:u w:val="none"/>
    </w:rPr>
  </w:style>
  <w:style w:type="paragraph" w:customStyle="1" w:styleId="1148">
    <w:name w:val="附录"/>
    <w:basedOn w:val="98"/>
    <w:link w:val="1147"/>
    <w:qFormat/>
    <w:uiPriority w:val="0"/>
    <w:pPr>
      <w:spacing w:line="460" w:lineRule="exact"/>
    </w:pPr>
    <w:rPr>
      <w:rFonts w:ascii="Times New Roman" w:hAnsi="Times New Roman" w:eastAsia="仿宋_GB2312" w:cs="Times New Roman"/>
      <w:color w:val="000000"/>
    </w:rPr>
  </w:style>
  <w:style w:type="character" w:customStyle="1" w:styleId="1149">
    <w:name w:val="标题2 Char9"/>
    <w:qFormat/>
    <w:uiPriority w:val="0"/>
    <w:rPr>
      <w:rFonts w:hint="default" w:ascii="宋体" w:hAnsi="宋体" w:eastAsia="宋体" w:cs="宋体"/>
      <w:color w:val="000000"/>
      <w:kern w:val="2"/>
      <w:sz w:val="24"/>
      <w:szCs w:val="24"/>
      <w:u w:val="none"/>
      <w:lang w:val="en-US" w:eastAsia="zh-CN"/>
    </w:rPr>
  </w:style>
  <w:style w:type="character" w:customStyle="1" w:styleId="1150">
    <w:name w:val="表题1 Char621"/>
    <w:qFormat/>
    <w:uiPriority w:val="0"/>
    <w:rPr>
      <w:rFonts w:hint="default" w:ascii="黑体" w:hAnsi="Arial" w:eastAsia="黑体" w:cs="Arial"/>
      <w:b/>
      <w:color w:val="000000"/>
      <w:kern w:val="2"/>
      <w:sz w:val="24"/>
      <w:szCs w:val="24"/>
      <w:u w:val="none"/>
      <w:lang w:val="en-US" w:eastAsia="zh-CN"/>
    </w:rPr>
  </w:style>
  <w:style w:type="character" w:customStyle="1" w:styleId="1151">
    <w:name w:val="正文文本缩进 2 Char4"/>
    <w:link w:val="1152"/>
    <w:qFormat/>
    <w:uiPriority w:val="0"/>
    <w:rPr>
      <w:rFonts w:hint="default" w:ascii="宋体" w:hAnsi="Times New Roman" w:cs="Times New Roman"/>
      <w:color w:val="000000"/>
      <w:sz w:val="28"/>
      <w:szCs w:val="16"/>
      <w:u w:val="none"/>
    </w:rPr>
  </w:style>
  <w:style w:type="paragraph" w:customStyle="1" w:styleId="1152">
    <w:name w:val="Body Text Indent 21"/>
    <w:basedOn w:val="1"/>
    <w:link w:val="1151"/>
    <w:qFormat/>
    <w:uiPriority w:val="0"/>
    <w:pPr>
      <w:widowControl/>
      <w:spacing w:before="124" w:line="560" w:lineRule="exact"/>
      <w:ind w:firstLine="525"/>
      <w:jc w:val="left"/>
    </w:pPr>
    <w:rPr>
      <w:rFonts w:ascii="宋体"/>
    </w:rPr>
  </w:style>
  <w:style w:type="character" w:customStyle="1" w:styleId="1153">
    <w:name w:val="正文格式 Char10"/>
    <w:qFormat/>
    <w:uiPriority w:val="0"/>
    <w:rPr>
      <w:rFonts w:hint="default" w:ascii="宋体" w:hAnsi="宋体" w:eastAsia="宋体" w:cs="Times New Roman"/>
      <w:color w:val="000000"/>
      <w:kern w:val="2"/>
      <w:sz w:val="24"/>
      <w:szCs w:val="24"/>
      <w:u w:val="none"/>
      <w:lang w:val="en-US" w:eastAsia="zh-CN"/>
    </w:rPr>
  </w:style>
  <w:style w:type="character" w:customStyle="1" w:styleId="1154">
    <w:name w:val="文字缩进 Char"/>
    <w:qFormat/>
    <w:uiPriority w:val="0"/>
    <w:rPr>
      <w:rFonts w:hint="default" w:ascii="宋体" w:hAnsi="Courier New" w:eastAsia="宋体" w:cs="Times New Roman"/>
      <w:color w:val="000000"/>
      <w:kern w:val="2"/>
      <w:sz w:val="21"/>
      <w:szCs w:val="16"/>
      <w:u w:val="none"/>
      <w:lang w:val="en-US" w:eastAsia="zh-CN"/>
    </w:rPr>
  </w:style>
  <w:style w:type="character" w:customStyle="1" w:styleId="1155">
    <w:name w:val="标题 3 Char2"/>
    <w:qFormat/>
    <w:uiPriority w:val="0"/>
    <w:rPr>
      <w:rFonts w:hint="default" w:ascii="黑体" w:hAnsi="宋体" w:eastAsia="黑体" w:cs="Times New Roman"/>
      <w:b/>
      <w:bCs/>
      <w:color w:val="000000"/>
      <w:kern w:val="2"/>
      <w:sz w:val="28"/>
      <w:szCs w:val="28"/>
      <w:u w:val="none"/>
      <w:lang w:val="en-US" w:eastAsia="zh-CN"/>
    </w:rPr>
  </w:style>
  <w:style w:type="character" w:customStyle="1" w:styleId="1156">
    <w:name w:val="标题 5 Char21"/>
    <w:qFormat/>
    <w:uiPriority w:val="0"/>
    <w:rPr>
      <w:rFonts w:hint="default" w:ascii="Times New Roman" w:hAnsi="Times New Roman" w:eastAsia="宋体" w:cs="Times New Roman"/>
      <w:b/>
      <w:bCs/>
      <w:color w:val="000000"/>
      <w:kern w:val="2"/>
      <w:sz w:val="28"/>
      <w:szCs w:val="28"/>
      <w:u w:val="none"/>
      <w:lang w:val="en-US" w:eastAsia="zh-CN"/>
    </w:rPr>
  </w:style>
  <w:style w:type="character" w:customStyle="1" w:styleId="1157">
    <w:name w:val="正文小四 Char Char"/>
    <w:link w:val="1158"/>
    <w:qFormat/>
    <w:uiPriority w:val="0"/>
    <w:rPr>
      <w:rFonts w:hint="default" w:ascii="仿宋_GB2312" w:hAnsi="Times New Roman" w:eastAsia="仿宋_GB2312" w:cs="Times New Roman"/>
      <w:color w:val="000000"/>
      <w:sz w:val="28"/>
      <w:szCs w:val="16"/>
      <w:u w:val="none"/>
    </w:rPr>
  </w:style>
  <w:style w:type="paragraph" w:customStyle="1" w:styleId="1158">
    <w:name w:val="正文小四"/>
    <w:basedOn w:val="98"/>
    <w:link w:val="1157"/>
    <w:qFormat/>
    <w:uiPriority w:val="0"/>
    <w:pPr>
      <w:adjustRightInd w:val="0"/>
      <w:snapToGrid w:val="0"/>
      <w:ind w:firstLine="560" w:firstLineChars="200"/>
    </w:pPr>
    <w:rPr>
      <w:rFonts w:ascii="仿宋_GB2312" w:hAnsi="Times New Roman" w:eastAsia="仿宋_GB2312" w:cs="Times New Roman"/>
      <w:color w:val="000000"/>
      <w:sz w:val="28"/>
      <w:szCs w:val="22"/>
    </w:rPr>
  </w:style>
  <w:style w:type="character" w:customStyle="1" w:styleId="1159">
    <w:name w:val="Char Char116"/>
    <w:qFormat/>
    <w:uiPriority w:val="0"/>
    <w:rPr>
      <w:rFonts w:hint="default" w:ascii="黑体" w:hAnsi="Arial" w:eastAsia="黑体" w:cs="Times New Roman"/>
      <w:bCs/>
      <w:color w:val="000000"/>
      <w:kern w:val="2"/>
      <w:sz w:val="30"/>
      <w:szCs w:val="30"/>
      <w:u w:val="none"/>
      <w:lang w:val="en-US" w:eastAsia="zh-CN"/>
    </w:rPr>
  </w:style>
  <w:style w:type="character" w:customStyle="1" w:styleId="1160">
    <w:name w:val="文档结构图 Char41"/>
    <w:qFormat/>
    <w:uiPriority w:val="0"/>
    <w:rPr>
      <w:rFonts w:hint="default" w:ascii="Times New Roman" w:hAnsi="Times New Roman" w:eastAsia="宋体" w:cs="Times New Roman"/>
      <w:color w:val="000000"/>
      <w:kern w:val="2"/>
      <w:sz w:val="24"/>
      <w:szCs w:val="24"/>
      <w:u w:val="none"/>
      <w:shd w:val="clear" w:color="auto" w:fill="000080"/>
      <w:lang w:val="en-US" w:eastAsia="zh-CN"/>
    </w:rPr>
  </w:style>
  <w:style w:type="character" w:customStyle="1" w:styleId="1161">
    <w:name w:val="正文文本缩进 2 Char3"/>
    <w:qFormat/>
    <w:uiPriority w:val="0"/>
    <w:rPr>
      <w:rFonts w:hint="default" w:ascii="Times New Roman" w:hAnsi="Times New Roman" w:eastAsia="宋体" w:cs="Times New Roman"/>
      <w:color w:val="000000"/>
      <w:kern w:val="2"/>
      <w:sz w:val="24"/>
      <w:szCs w:val="24"/>
      <w:u w:val="none"/>
      <w:lang w:val="en-US" w:eastAsia="zh-CN"/>
    </w:rPr>
  </w:style>
  <w:style w:type="character" w:customStyle="1" w:styleId="1162">
    <w:name w:val="Char4 Char Char Char Char1"/>
    <w:qFormat/>
    <w:uiPriority w:val="0"/>
    <w:rPr>
      <w:rFonts w:hint="default" w:ascii="Times New Roman" w:hAnsi="Times New Roman" w:eastAsia="仿宋_GB2312" w:cs="Times New Roman"/>
      <w:color w:val="000000"/>
      <w:kern w:val="2"/>
      <w:sz w:val="28"/>
      <w:szCs w:val="24"/>
      <w:u w:val="none"/>
      <w:lang w:val="en-US" w:eastAsia="zh-CN"/>
    </w:rPr>
  </w:style>
  <w:style w:type="character" w:customStyle="1" w:styleId="1163">
    <w:name w:val="yqlink"/>
    <w:qFormat/>
    <w:uiPriority w:val="0"/>
    <w:rPr>
      <w:rFonts w:hint="default" w:ascii="Times New Roman" w:hAnsi="Times New Roman" w:cs="Times New Roman"/>
      <w:color w:val="000000"/>
      <w:sz w:val="16"/>
      <w:szCs w:val="16"/>
      <w:u w:val="none"/>
    </w:rPr>
  </w:style>
  <w:style w:type="character" w:customStyle="1" w:styleId="1164">
    <w:name w:val="一级项 Char2"/>
    <w:qFormat/>
    <w:uiPriority w:val="0"/>
    <w:rPr>
      <w:rFonts w:hint="default" w:ascii="Times New Roman" w:hAnsi="Times New Roman" w:eastAsia="宋体" w:cs="Times New Roman"/>
      <w:b/>
      <w:bCs/>
      <w:color w:val="000000"/>
      <w:kern w:val="2"/>
      <w:sz w:val="28"/>
      <w:szCs w:val="28"/>
      <w:u w:val="none"/>
      <w:lang w:val="en-US" w:eastAsia="zh-CN"/>
    </w:rPr>
  </w:style>
  <w:style w:type="character" w:customStyle="1" w:styleId="1165">
    <w:name w:val="标题 3 Char131"/>
    <w:qFormat/>
    <w:uiPriority w:val="0"/>
    <w:rPr>
      <w:rFonts w:hint="default" w:ascii="黑体" w:hAnsi="宋体" w:eastAsia="黑体" w:cs="Times New Roman"/>
      <w:b/>
      <w:bCs/>
      <w:color w:val="000000"/>
      <w:kern w:val="2"/>
      <w:sz w:val="28"/>
      <w:szCs w:val="28"/>
      <w:u w:val="none"/>
      <w:lang w:val="en-US" w:eastAsia="zh-CN"/>
    </w:rPr>
  </w:style>
  <w:style w:type="character" w:customStyle="1" w:styleId="1166">
    <w:name w:val="标题 3 Char9"/>
    <w:qFormat/>
    <w:uiPriority w:val="0"/>
    <w:rPr>
      <w:rFonts w:hint="default" w:ascii="黑体" w:hAnsi="宋体" w:eastAsia="黑体" w:cs="Times New Roman"/>
      <w:b/>
      <w:bCs/>
      <w:color w:val="000000"/>
      <w:kern w:val="2"/>
      <w:sz w:val="28"/>
      <w:szCs w:val="28"/>
      <w:u w:val="none"/>
      <w:lang w:val="en-US" w:eastAsia="zh-CN"/>
    </w:rPr>
  </w:style>
  <w:style w:type="character" w:customStyle="1" w:styleId="1167">
    <w:name w:val="普通文字 Char Char Char Char Char C Char Char Char Char Char Char Char"/>
    <w:qFormat/>
    <w:uiPriority w:val="0"/>
    <w:rPr>
      <w:rFonts w:hint="default" w:ascii="宋体" w:hAnsi="Courier New" w:eastAsia="宋体" w:cs="宋体"/>
      <w:color w:val="000000"/>
      <w:kern w:val="2"/>
      <w:sz w:val="28"/>
      <w:szCs w:val="24"/>
      <w:u w:val="none"/>
      <w:lang w:val="en-US" w:eastAsia="zh-CN"/>
    </w:rPr>
  </w:style>
  <w:style w:type="character" w:customStyle="1" w:styleId="1168">
    <w:name w:val="unnamed2"/>
    <w:qFormat/>
    <w:uiPriority w:val="0"/>
    <w:rPr>
      <w:rFonts w:hint="default" w:ascii="Times New Roman" w:hAnsi="Times New Roman" w:cs="Times New Roman"/>
      <w:color w:val="000000"/>
      <w:sz w:val="16"/>
      <w:szCs w:val="16"/>
      <w:u w:val="none"/>
    </w:rPr>
  </w:style>
  <w:style w:type="character" w:customStyle="1" w:styleId="1169">
    <w:name w:val="标题 7 Char1"/>
    <w:qFormat/>
    <w:uiPriority w:val="0"/>
    <w:rPr>
      <w:rFonts w:hint="default" w:ascii="Times New Roman" w:hAnsi="Times New Roman" w:eastAsia="宋体" w:cs="Times New Roman"/>
      <w:b/>
      <w:bCs/>
      <w:color w:val="000000"/>
      <w:kern w:val="2"/>
      <w:sz w:val="24"/>
      <w:szCs w:val="24"/>
      <w:u w:val="none"/>
      <w:lang w:val="en-US" w:eastAsia="zh-CN"/>
    </w:rPr>
  </w:style>
  <w:style w:type="character" w:customStyle="1" w:styleId="1170">
    <w:name w:val="尾注文本 字符"/>
    <w:link w:val="39"/>
    <w:qFormat/>
    <w:uiPriority w:val="0"/>
    <w:rPr>
      <w:rFonts w:hint="default" w:ascii="Times New Roman" w:hAnsi="Times New Roman" w:cs="Times New Roman"/>
      <w:color w:val="000000"/>
      <w:sz w:val="24"/>
      <w:szCs w:val="16"/>
      <w:u w:val="none"/>
    </w:rPr>
  </w:style>
  <w:style w:type="character" w:customStyle="1" w:styleId="1171">
    <w:name w:val="样式 标题 1章标题 1h11st levelSection Headl1b1-*+标题 1章ChH1PI...2 Char Char"/>
    <w:link w:val="1172"/>
    <w:qFormat/>
    <w:uiPriority w:val="0"/>
    <w:rPr>
      <w:rFonts w:ascii="宋体" w:hAnsi="宋体" w:eastAsia="黑体"/>
      <w:b/>
      <w:color w:val="000000"/>
      <w:kern w:val="44"/>
      <w:sz w:val="32"/>
      <w:szCs w:val="22"/>
    </w:rPr>
  </w:style>
  <w:style w:type="paragraph" w:customStyle="1" w:styleId="1172">
    <w:name w:val="样式 标题 1章标题 1h11st levelSection Headl1b1-*+标题 1章ChH1PI...2"/>
    <w:basedOn w:val="2"/>
    <w:link w:val="1171"/>
    <w:qFormat/>
    <w:uiPriority w:val="0"/>
    <w:rPr>
      <w:rFonts w:ascii="宋体" w:hAnsi="宋体" w:eastAsia="黑体"/>
      <w:bCs w:val="0"/>
      <w:sz w:val="32"/>
      <w:szCs w:val="22"/>
    </w:rPr>
  </w:style>
  <w:style w:type="character" w:customStyle="1" w:styleId="1173">
    <w:name w:val="Char Char124"/>
    <w:qFormat/>
    <w:uiPriority w:val="0"/>
    <w:rPr>
      <w:rFonts w:hint="default" w:ascii="黑体" w:hAnsi="Arial" w:eastAsia="黑体" w:cs="Times New Roman"/>
      <w:b/>
      <w:bCs/>
      <w:color w:val="000000"/>
      <w:kern w:val="2"/>
      <w:sz w:val="30"/>
      <w:szCs w:val="30"/>
      <w:u w:val="none"/>
      <w:lang w:val="en-US" w:eastAsia="zh-CN"/>
    </w:rPr>
  </w:style>
  <w:style w:type="character" w:customStyle="1" w:styleId="1174">
    <w:name w:val="图题注 Char21"/>
    <w:qFormat/>
    <w:uiPriority w:val="0"/>
    <w:rPr>
      <w:rFonts w:hint="default" w:ascii="黑体" w:hAnsi="Arial" w:eastAsia="黑体" w:cs="宋体"/>
      <w:b/>
      <w:bCs/>
      <w:color w:val="000000"/>
      <w:kern w:val="2"/>
      <w:sz w:val="24"/>
      <w:szCs w:val="24"/>
      <w:u w:val="none"/>
      <w:lang w:val="en-US" w:eastAsia="zh-CN"/>
    </w:rPr>
  </w:style>
  <w:style w:type="character" w:customStyle="1" w:styleId="1175">
    <w:name w:val="标题 4 Char Char Char"/>
    <w:qFormat/>
    <w:uiPriority w:val="0"/>
    <w:rPr>
      <w:rFonts w:hint="default" w:ascii="Times New Roman" w:hAnsi="Times New Roman" w:cs="Times New Roman"/>
      <w:b/>
      <w:color w:val="000000"/>
      <w:kern w:val="44"/>
      <w:sz w:val="24"/>
      <w:szCs w:val="28"/>
      <w:u w:val="none"/>
    </w:rPr>
  </w:style>
  <w:style w:type="character" w:customStyle="1" w:styleId="1176">
    <w:name w:val="Char Char625"/>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177">
    <w:name w:val="Body Text 2 Char Char"/>
    <w:link w:val="1178"/>
    <w:qFormat/>
    <w:uiPriority w:val="0"/>
    <w:rPr>
      <w:rFonts w:hint="default" w:ascii="Times New Roman" w:hAnsi="Times New Roman" w:eastAsia="仿宋_GB2312" w:cs="Times New Roman"/>
      <w:color w:val="000000"/>
      <w:sz w:val="22"/>
      <w:szCs w:val="16"/>
      <w:u w:val="none"/>
    </w:rPr>
  </w:style>
  <w:style w:type="paragraph" w:customStyle="1" w:styleId="1178">
    <w:name w:val="正文文本 21"/>
    <w:basedOn w:val="1"/>
    <w:link w:val="1177"/>
    <w:qFormat/>
    <w:uiPriority w:val="0"/>
    <w:pPr>
      <w:spacing w:after="120" w:line="480" w:lineRule="auto"/>
    </w:pPr>
    <w:rPr>
      <w:sz w:val="22"/>
    </w:rPr>
  </w:style>
  <w:style w:type="character" w:customStyle="1" w:styleId="1179">
    <w:name w:val="Subtitle Char1"/>
    <w:qFormat/>
    <w:uiPriority w:val="0"/>
    <w:rPr>
      <w:rFonts w:hint="default" w:ascii="Cambria" w:hAnsi="Cambria" w:cs="黑体"/>
      <w:b/>
      <w:bCs/>
      <w:color w:val="000000"/>
      <w:kern w:val="28"/>
      <w:sz w:val="32"/>
      <w:szCs w:val="32"/>
      <w:u w:val="none"/>
    </w:rPr>
  </w:style>
  <w:style w:type="character" w:customStyle="1" w:styleId="1180">
    <w:name w:val="标题 7 Char2"/>
    <w:qFormat/>
    <w:uiPriority w:val="0"/>
    <w:rPr>
      <w:rFonts w:hint="default" w:ascii="Times New Roman" w:hAnsi="Times New Roman" w:eastAsia="宋体" w:cs="Times New Roman"/>
      <w:b/>
      <w:bCs/>
      <w:color w:val="000000"/>
      <w:kern w:val="2"/>
      <w:sz w:val="24"/>
      <w:szCs w:val="24"/>
      <w:u w:val="none"/>
      <w:lang w:val="en-US" w:eastAsia="zh-CN"/>
    </w:rPr>
  </w:style>
  <w:style w:type="character" w:customStyle="1" w:styleId="1181">
    <w:name w:val="标题 3 Char13"/>
    <w:qFormat/>
    <w:uiPriority w:val="0"/>
    <w:rPr>
      <w:rFonts w:hint="default" w:ascii="黑体" w:hAnsi="宋体" w:eastAsia="黑体" w:cs="Times New Roman"/>
      <w:b/>
      <w:bCs/>
      <w:color w:val="000000"/>
      <w:kern w:val="2"/>
      <w:sz w:val="28"/>
      <w:szCs w:val="28"/>
      <w:u w:val="none"/>
      <w:lang w:val="en-US" w:eastAsia="zh-CN"/>
    </w:rPr>
  </w:style>
  <w:style w:type="character" w:customStyle="1" w:styleId="1182">
    <w:name w:val="正文修改 Char1431"/>
    <w:qFormat/>
    <w:uiPriority w:val="0"/>
    <w:rPr>
      <w:rFonts w:hint="default" w:ascii="宋体" w:hAnsi="Times New Roman" w:eastAsia="宋体" w:cs="宋体"/>
      <w:color w:val="000000"/>
      <w:kern w:val="2"/>
      <w:sz w:val="24"/>
      <w:szCs w:val="24"/>
      <w:u w:val="none"/>
      <w:lang w:val="en-US" w:eastAsia="zh-CN"/>
    </w:rPr>
  </w:style>
  <w:style w:type="character" w:customStyle="1" w:styleId="1183">
    <w:name w:val="正文首行缩进 Char6"/>
    <w:link w:val="1184"/>
    <w:qFormat/>
    <w:uiPriority w:val="0"/>
    <w:rPr>
      <w:rFonts w:hint="default" w:ascii="仿宋_GB2312" w:hAnsi="Times New Roman" w:eastAsia="仿宋_GB2312" w:cs="Times New Roman"/>
      <w:color w:val="000000"/>
      <w:sz w:val="24"/>
      <w:szCs w:val="16"/>
      <w:u w:val="none"/>
    </w:rPr>
  </w:style>
  <w:style w:type="paragraph" w:customStyle="1" w:styleId="1184">
    <w:name w:val="Body Text First Indent1"/>
    <w:basedOn w:val="305"/>
    <w:link w:val="1183"/>
    <w:qFormat/>
    <w:uiPriority w:val="0"/>
    <w:pPr>
      <w:widowControl/>
      <w:spacing w:after="120" w:line="240" w:lineRule="auto"/>
      <w:ind w:firstLine="420" w:firstLineChars="100"/>
      <w:jc w:val="left"/>
    </w:pPr>
    <w:rPr>
      <w:rFonts w:ascii="仿宋_GB2312"/>
      <w:kern w:val="2"/>
      <w:szCs w:val="22"/>
    </w:rPr>
  </w:style>
  <w:style w:type="character" w:customStyle="1" w:styleId="1185">
    <w:name w:val="标题 3 Char91"/>
    <w:qFormat/>
    <w:uiPriority w:val="0"/>
    <w:rPr>
      <w:rFonts w:hint="default" w:ascii="黑体" w:hAnsi="宋体" w:eastAsia="黑体" w:cs="Times New Roman"/>
      <w:b/>
      <w:bCs/>
      <w:color w:val="000000"/>
      <w:kern w:val="2"/>
      <w:sz w:val="28"/>
      <w:szCs w:val="28"/>
      <w:u w:val="none"/>
      <w:lang w:val="en-US" w:eastAsia="zh-CN"/>
    </w:rPr>
  </w:style>
  <w:style w:type="character" w:customStyle="1" w:styleId="1186">
    <w:name w:val="标题 6 Char11"/>
    <w:qFormat/>
    <w:uiPriority w:val="0"/>
    <w:rPr>
      <w:rFonts w:hint="default" w:ascii="Arial" w:hAnsi="Arial" w:eastAsia="黑体" w:cs="Times New Roman"/>
      <w:b/>
      <w:bCs/>
      <w:color w:val="000000"/>
      <w:kern w:val="2"/>
      <w:sz w:val="24"/>
      <w:szCs w:val="24"/>
      <w:u w:val="none"/>
      <w:lang w:val="en-US" w:eastAsia="zh-CN"/>
    </w:rPr>
  </w:style>
  <w:style w:type="character" w:customStyle="1" w:styleId="1187">
    <w:name w:val="标题 6 Char21"/>
    <w:qFormat/>
    <w:uiPriority w:val="0"/>
    <w:rPr>
      <w:rFonts w:hint="default" w:ascii="Arial" w:hAnsi="Arial" w:eastAsia="黑体" w:cs="Times New Roman"/>
      <w:b/>
      <w:bCs/>
      <w:color w:val="000000"/>
      <w:kern w:val="2"/>
      <w:sz w:val="24"/>
      <w:szCs w:val="24"/>
      <w:u w:val="none"/>
      <w:lang w:val="en-US" w:eastAsia="zh-CN"/>
    </w:rPr>
  </w:style>
  <w:style w:type="character" w:customStyle="1" w:styleId="1188">
    <w:name w:val="Char Char626"/>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189">
    <w:name w:val="页眉 字符"/>
    <w:link w:val="42"/>
    <w:qFormat/>
    <w:uiPriority w:val="99"/>
    <w:rPr>
      <w:rFonts w:hint="default" w:ascii="Calibri" w:hAnsi="Calibri" w:eastAsia="仿宋_GB2312" w:cs="Times New Roman"/>
      <w:color w:val="000000"/>
      <w:sz w:val="18"/>
      <w:szCs w:val="18"/>
      <w:u w:val="none"/>
    </w:rPr>
  </w:style>
  <w:style w:type="character" w:customStyle="1" w:styleId="1190">
    <w:name w:val="正文修改 Char17"/>
    <w:qFormat/>
    <w:uiPriority w:val="0"/>
    <w:rPr>
      <w:rFonts w:hint="default" w:ascii="宋体" w:hAnsi="宋体" w:eastAsia="宋体" w:cs="宋体"/>
      <w:color w:val="000000"/>
      <w:kern w:val="2"/>
      <w:sz w:val="24"/>
      <w:szCs w:val="24"/>
      <w:u w:val="none"/>
      <w:lang w:val="en-US" w:eastAsia="zh-CN"/>
    </w:rPr>
  </w:style>
  <w:style w:type="character" w:customStyle="1" w:styleId="1191">
    <w:name w:val="Char Char619"/>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192">
    <w:name w:val="正文调整 Char"/>
    <w:link w:val="1193"/>
    <w:qFormat/>
    <w:uiPriority w:val="0"/>
    <w:rPr>
      <w:rFonts w:hint="default" w:ascii="Times New Roman" w:hAnsi="Times New Roman" w:eastAsia="宋体" w:cs="Times New Roman"/>
      <w:color w:val="000000"/>
      <w:sz w:val="24"/>
      <w:szCs w:val="24"/>
      <w:u w:val="none"/>
    </w:rPr>
  </w:style>
  <w:style w:type="paragraph" w:customStyle="1" w:styleId="1193">
    <w:name w:val="正文调整"/>
    <w:basedOn w:val="1"/>
    <w:link w:val="1192"/>
    <w:qFormat/>
    <w:uiPriority w:val="0"/>
    <w:pPr>
      <w:adjustRightInd/>
      <w:snapToGrid/>
      <w:spacing w:before="60" w:line="460" w:lineRule="atLeast"/>
    </w:pPr>
    <w:rPr>
      <w:color w:val="auto"/>
      <w:kern w:val="0"/>
      <w:szCs w:val="24"/>
    </w:rPr>
  </w:style>
  <w:style w:type="character" w:customStyle="1" w:styleId="1194">
    <w:name w:val="正文格式 Char51"/>
    <w:qFormat/>
    <w:uiPriority w:val="0"/>
    <w:rPr>
      <w:rFonts w:hint="default" w:ascii="宋体" w:hAnsi="宋体" w:eastAsia="宋体" w:cs="Times New Roman"/>
      <w:color w:val="000000"/>
      <w:kern w:val="2"/>
      <w:sz w:val="24"/>
      <w:szCs w:val="24"/>
      <w:u w:val="none"/>
      <w:lang w:val="en-US" w:eastAsia="zh-CN"/>
    </w:rPr>
  </w:style>
  <w:style w:type="character" w:customStyle="1" w:styleId="1195">
    <w:name w:val="环评正文 Char1"/>
    <w:qFormat/>
    <w:uiPriority w:val="0"/>
    <w:rPr>
      <w:rFonts w:hint="default" w:ascii="Times New Roman" w:hAnsi="Times New Roman" w:eastAsia="宋体" w:cs="Times New Roman"/>
      <w:bCs/>
      <w:color w:val="000000"/>
      <w:kern w:val="2"/>
      <w:sz w:val="24"/>
      <w:szCs w:val="24"/>
      <w:u w:val="none"/>
      <w:lang w:val="en-US" w:eastAsia="zh-CN"/>
    </w:rPr>
  </w:style>
  <w:style w:type="character" w:customStyle="1" w:styleId="1196">
    <w:name w:val="样式 标题 3 + 仿宋_GB2312 Char Char"/>
    <w:link w:val="1197"/>
    <w:qFormat/>
    <w:uiPriority w:val="0"/>
    <w:rPr>
      <w:rFonts w:ascii="仿宋_GB2312" w:hAnsi="仿宋_GB2312"/>
      <w:b/>
      <w:color w:val="000000"/>
      <w:kern w:val="2"/>
      <w:sz w:val="24"/>
      <w:szCs w:val="22"/>
    </w:rPr>
  </w:style>
  <w:style w:type="paragraph" w:customStyle="1" w:styleId="1197">
    <w:name w:val="样式 标题 3 + 仿宋_GB2312"/>
    <w:basedOn w:val="4"/>
    <w:link w:val="1196"/>
    <w:qFormat/>
    <w:uiPriority w:val="0"/>
    <w:rPr>
      <w:rFonts w:ascii="仿宋_GB2312" w:hAnsi="仿宋_GB2312"/>
      <w:bCs w:val="0"/>
      <w:szCs w:val="22"/>
    </w:rPr>
  </w:style>
  <w:style w:type="character" w:customStyle="1" w:styleId="1198">
    <w:name w:val="标题 2 Char Char1"/>
    <w:qFormat/>
    <w:uiPriority w:val="0"/>
    <w:rPr>
      <w:rFonts w:hint="default" w:ascii="黑体" w:hAnsi="Arial" w:eastAsia="黑体" w:cs="Times New Roman"/>
      <w:bCs/>
      <w:color w:val="000000"/>
      <w:kern w:val="2"/>
      <w:sz w:val="30"/>
      <w:szCs w:val="30"/>
      <w:u w:val="none"/>
      <w:lang w:val="en-US" w:eastAsia="zh-CN"/>
    </w:rPr>
  </w:style>
  <w:style w:type="character" w:customStyle="1" w:styleId="1199">
    <w:name w:val="正文缩进 Char61"/>
    <w:qFormat/>
    <w:uiPriority w:val="0"/>
    <w:rPr>
      <w:rFonts w:hint="default" w:ascii="宋体" w:hAnsi="宋体" w:eastAsia="宋体" w:cs="Times New Roman"/>
      <w:color w:val="000000"/>
      <w:kern w:val="2"/>
      <w:sz w:val="24"/>
      <w:szCs w:val="24"/>
      <w:u w:val="none"/>
      <w:lang w:val="en-US" w:eastAsia="zh-CN"/>
    </w:rPr>
  </w:style>
  <w:style w:type="character" w:customStyle="1" w:styleId="1200">
    <w:name w:val="文档结构图 Char31"/>
    <w:qFormat/>
    <w:uiPriority w:val="0"/>
    <w:rPr>
      <w:rFonts w:hint="default" w:ascii="Times New Roman" w:hAnsi="Times New Roman" w:eastAsia="宋体" w:cs="Times New Roman"/>
      <w:color w:val="000000"/>
      <w:kern w:val="2"/>
      <w:sz w:val="21"/>
      <w:szCs w:val="24"/>
      <w:u w:val="none"/>
      <w:shd w:val="clear" w:color="auto" w:fill="000080"/>
      <w:lang w:val="en-US" w:eastAsia="zh-CN"/>
    </w:rPr>
  </w:style>
  <w:style w:type="character" w:customStyle="1" w:styleId="1201">
    <w:name w:val="Char Char411"/>
    <w:qFormat/>
    <w:uiPriority w:val="0"/>
    <w:rPr>
      <w:rFonts w:hint="default" w:ascii="黑体" w:hAnsi="Arial" w:eastAsia="黑体" w:cs="Times New Roman"/>
      <w:b/>
      <w:bCs/>
      <w:color w:val="000000"/>
      <w:kern w:val="2"/>
      <w:sz w:val="30"/>
      <w:szCs w:val="30"/>
      <w:u w:val="none"/>
      <w:lang w:val="en-US" w:eastAsia="zh-CN"/>
    </w:rPr>
  </w:style>
  <w:style w:type="character" w:customStyle="1" w:styleId="1202">
    <w:name w:val="普通文字 Char2"/>
    <w:qFormat/>
    <w:uiPriority w:val="0"/>
    <w:rPr>
      <w:rFonts w:hint="default" w:ascii="Times New Roman" w:hAnsi="Times New Roman" w:eastAsia="宋体" w:cs="Times New Roman"/>
      <w:color w:val="000000"/>
      <w:spacing w:val="8"/>
      <w:kern w:val="2"/>
      <w:sz w:val="24"/>
      <w:szCs w:val="16"/>
      <w:u w:val="none"/>
      <w:lang w:val="en-US" w:eastAsia="zh-CN"/>
    </w:rPr>
  </w:style>
  <w:style w:type="character" w:customStyle="1" w:styleId="1203">
    <w:name w:val="Char Char118"/>
    <w:qFormat/>
    <w:uiPriority w:val="0"/>
    <w:rPr>
      <w:rFonts w:hint="default" w:ascii="黑体" w:hAnsi="Arial" w:eastAsia="黑体" w:cs="Times New Roman"/>
      <w:b/>
      <w:bCs/>
      <w:color w:val="000000"/>
      <w:kern w:val="2"/>
      <w:sz w:val="30"/>
      <w:szCs w:val="30"/>
      <w:u w:val="none"/>
      <w:lang w:val="en-US" w:eastAsia="zh-CN"/>
    </w:rPr>
  </w:style>
  <w:style w:type="character" w:customStyle="1" w:styleId="1204">
    <w:name w:val="正文首行缩进 Char1 Char Char"/>
    <w:qFormat/>
    <w:uiPriority w:val="0"/>
    <w:rPr>
      <w:rFonts w:hint="default" w:ascii="Times New Roman" w:hAnsi="Times New Roman" w:eastAsia="宋体" w:cs="Times New Roman"/>
      <w:color w:val="000000"/>
      <w:kern w:val="2"/>
      <w:sz w:val="21"/>
      <w:szCs w:val="24"/>
      <w:u w:val="none"/>
      <w:lang w:val="en-US" w:eastAsia="zh-CN"/>
    </w:rPr>
  </w:style>
  <w:style w:type="character" w:customStyle="1" w:styleId="1205">
    <w:name w:val="页眉zxl Char3"/>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1206">
    <w:name w:val="环标1 Char1"/>
    <w:link w:val="1207"/>
    <w:qFormat/>
    <w:uiPriority w:val="0"/>
    <w:rPr>
      <w:rFonts w:ascii="黑体" w:hAnsi="Courier New" w:eastAsia="黑体"/>
      <w:color w:val="000000"/>
      <w:kern w:val="44"/>
      <w:sz w:val="32"/>
      <w:szCs w:val="22"/>
    </w:rPr>
  </w:style>
  <w:style w:type="paragraph" w:customStyle="1" w:styleId="1207">
    <w:name w:val="环标1"/>
    <w:basedOn w:val="2"/>
    <w:link w:val="1206"/>
    <w:qFormat/>
    <w:uiPriority w:val="0"/>
    <w:rPr>
      <w:rFonts w:ascii="黑体" w:hAnsi="Courier New" w:eastAsia="黑体"/>
      <w:b w:val="0"/>
      <w:bCs w:val="0"/>
      <w:sz w:val="32"/>
      <w:szCs w:val="22"/>
    </w:rPr>
  </w:style>
  <w:style w:type="character" w:customStyle="1" w:styleId="1208">
    <w:name w:val="环表头 Char1"/>
    <w:qFormat/>
    <w:uiPriority w:val="0"/>
    <w:rPr>
      <w:rFonts w:hint="default" w:ascii="黑体" w:hAnsi="宋体" w:eastAsia="黑体" w:cs="Times New Roman"/>
      <w:color w:val="000000"/>
      <w:kern w:val="0"/>
      <w:sz w:val="24"/>
      <w:szCs w:val="20"/>
      <w:u w:val="none"/>
    </w:rPr>
  </w:style>
  <w:style w:type="character" w:customStyle="1" w:styleId="1209">
    <w:name w:val="Char Char129"/>
    <w:qFormat/>
    <w:uiPriority w:val="0"/>
    <w:rPr>
      <w:rFonts w:hint="default" w:ascii="黑体" w:hAnsi="Arial" w:eastAsia="黑体" w:cs="Times New Roman"/>
      <w:b/>
      <w:bCs/>
      <w:color w:val="000000"/>
      <w:kern w:val="2"/>
      <w:sz w:val="30"/>
      <w:szCs w:val="30"/>
      <w:u w:val="none"/>
      <w:lang w:val="en-US" w:eastAsia="zh-CN"/>
    </w:rPr>
  </w:style>
  <w:style w:type="character" w:customStyle="1" w:styleId="1210">
    <w:name w:val="font151"/>
    <w:qFormat/>
    <w:uiPriority w:val="0"/>
    <w:rPr>
      <w:rFonts w:hint="eastAsia" w:ascii="宋体" w:hAnsi="宋体" w:eastAsia="宋体" w:cs="宋体"/>
      <w:b/>
      <w:color w:val="000000"/>
      <w:sz w:val="18"/>
      <w:szCs w:val="18"/>
      <w:u w:val="none"/>
    </w:rPr>
  </w:style>
  <w:style w:type="character" w:customStyle="1" w:styleId="1211">
    <w:name w:val="表中文字 Char261"/>
    <w:qFormat/>
    <w:uiPriority w:val="0"/>
    <w:rPr>
      <w:rFonts w:hint="default" w:ascii="宋体" w:hAnsi="Times New Roman" w:eastAsia="宋体" w:cs="Times New Roman"/>
      <w:color w:val="000000"/>
      <w:kern w:val="2"/>
      <w:sz w:val="21"/>
      <w:szCs w:val="21"/>
      <w:u w:val="none"/>
      <w:lang w:val="en-US" w:eastAsia="zh-CN"/>
    </w:rPr>
  </w:style>
  <w:style w:type="character" w:customStyle="1" w:styleId="1212">
    <w:name w:val="下标 Char Char"/>
    <w:link w:val="1213"/>
    <w:qFormat/>
    <w:uiPriority w:val="0"/>
    <w:rPr>
      <w:rFonts w:hint="default" w:ascii="仿宋_GB2312" w:hAnsi="Times New Roman" w:eastAsia="仿宋_GB2312" w:cs="Times New Roman"/>
      <w:color w:val="000000"/>
      <w:sz w:val="28"/>
      <w:szCs w:val="16"/>
      <w:u w:val="none"/>
      <w:vertAlign w:val="subscript"/>
    </w:rPr>
  </w:style>
  <w:style w:type="paragraph" w:customStyle="1" w:styleId="1213">
    <w:name w:val="下标"/>
    <w:basedOn w:val="1158"/>
    <w:link w:val="1212"/>
    <w:qFormat/>
    <w:uiPriority w:val="0"/>
    <w:pPr>
      <w:ind w:firstLine="1200" w:firstLineChars="500"/>
    </w:pPr>
    <w:rPr>
      <w:vertAlign w:val="subscript"/>
    </w:rPr>
  </w:style>
  <w:style w:type="character" w:customStyle="1" w:styleId="1214">
    <w:name w:val="正文01 Char1"/>
    <w:link w:val="1215"/>
    <w:qFormat/>
    <w:uiPriority w:val="0"/>
    <w:rPr>
      <w:rFonts w:hint="default" w:ascii="Times New Roman" w:hAnsi="Times New Roman" w:cs="Times New Roman"/>
      <w:color w:val="000000"/>
      <w:sz w:val="24"/>
      <w:szCs w:val="16"/>
      <w:u w:val="none"/>
    </w:rPr>
  </w:style>
  <w:style w:type="paragraph" w:customStyle="1" w:styleId="1215">
    <w:name w:val="正文01"/>
    <w:basedOn w:val="1"/>
    <w:link w:val="1214"/>
    <w:qFormat/>
    <w:uiPriority w:val="0"/>
    <w:pPr>
      <w:spacing w:before="60" w:line="460" w:lineRule="exact"/>
    </w:pPr>
  </w:style>
  <w:style w:type="character" w:customStyle="1" w:styleId="1216">
    <w:name w:val="Char Char36"/>
    <w:qFormat/>
    <w:uiPriority w:val="0"/>
    <w:rPr>
      <w:rFonts w:hint="default" w:ascii="黑体" w:hAnsi="宋体" w:eastAsia="黑体" w:cs="Times New Roman"/>
      <w:b/>
      <w:bCs/>
      <w:color w:val="000000"/>
      <w:kern w:val="2"/>
      <w:sz w:val="28"/>
      <w:szCs w:val="28"/>
      <w:u w:val="none"/>
      <w:lang w:val="en-US" w:eastAsia="zh-CN"/>
    </w:rPr>
  </w:style>
  <w:style w:type="character" w:customStyle="1" w:styleId="1217">
    <w:name w:val="正文首行缩进 Char2 Char"/>
    <w:qFormat/>
    <w:uiPriority w:val="0"/>
    <w:rPr>
      <w:rFonts w:hint="default" w:ascii="Times New Roman" w:hAnsi="Times New Roman" w:eastAsia="宋体" w:cs="Times New Roman"/>
      <w:color w:val="000000"/>
      <w:sz w:val="18"/>
      <w:szCs w:val="24"/>
      <w:u w:val="none"/>
      <w:lang w:val="en-US" w:eastAsia="zh-CN"/>
    </w:rPr>
  </w:style>
  <w:style w:type="character" w:customStyle="1" w:styleId="1218">
    <w:name w:val="表格内容 Char2"/>
    <w:qFormat/>
    <w:uiPriority w:val="0"/>
    <w:rPr>
      <w:rFonts w:hint="default" w:ascii="Times New Roman" w:hAnsi="Times New Roman" w:eastAsia="宋体" w:cs="Times New Roman"/>
      <w:color w:val="000000"/>
      <w:kern w:val="2"/>
      <w:sz w:val="21"/>
      <w:szCs w:val="21"/>
      <w:u w:val="none"/>
      <w:lang w:val="en-US" w:eastAsia="zh-CN"/>
    </w:rPr>
  </w:style>
  <w:style w:type="character" w:customStyle="1" w:styleId="1219">
    <w:name w:val="Char Char46"/>
    <w:qFormat/>
    <w:uiPriority w:val="0"/>
    <w:rPr>
      <w:rFonts w:hint="default" w:ascii="黑体" w:hAnsi="Arial" w:eastAsia="黑体" w:cs="Times New Roman"/>
      <w:b/>
      <w:bCs/>
      <w:color w:val="000000"/>
      <w:kern w:val="2"/>
      <w:sz w:val="30"/>
      <w:szCs w:val="30"/>
      <w:u w:val="none"/>
      <w:lang w:val="en-US" w:eastAsia="zh-CN"/>
    </w:rPr>
  </w:style>
  <w:style w:type="character" w:customStyle="1" w:styleId="1220">
    <w:name w:val="题注 Char11"/>
    <w:qFormat/>
    <w:uiPriority w:val="0"/>
    <w:rPr>
      <w:rFonts w:hint="default" w:ascii="黑体" w:hAnsi="Arial" w:eastAsia="黑体" w:cs="Arial"/>
      <w:b/>
      <w:color w:val="000000"/>
      <w:kern w:val="2"/>
      <w:sz w:val="24"/>
      <w:szCs w:val="24"/>
      <w:u w:val="none"/>
      <w:lang w:val="en-US" w:eastAsia="zh-CN"/>
    </w:rPr>
  </w:style>
  <w:style w:type="character" w:customStyle="1" w:styleId="1221">
    <w:name w:val="Char Char12"/>
    <w:qFormat/>
    <w:uiPriority w:val="0"/>
    <w:rPr>
      <w:rFonts w:hint="default" w:ascii="宋体" w:hAnsi="Times New Roman" w:eastAsia="宋体" w:cs="Times New Roman"/>
      <w:color w:val="000000"/>
      <w:sz w:val="18"/>
      <w:szCs w:val="18"/>
      <w:u w:val="none"/>
    </w:rPr>
  </w:style>
  <w:style w:type="character" w:customStyle="1" w:styleId="1222">
    <w:name w:val="标题 2 Char31"/>
    <w:qFormat/>
    <w:uiPriority w:val="0"/>
    <w:rPr>
      <w:rFonts w:hint="default" w:ascii="黑体" w:hAnsi="Arial" w:eastAsia="黑体" w:cs="Times New Roman"/>
      <w:bCs/>
      <w:color w:val="000000"/>
      <w:kern w:val="2"/>
      <w:sz w:val="30"/>
      <w:szCs w:val="30"/>
      <w:u w:val="none"/>
      <w:lang w:val="en-US" w:eastAsia="zh-CN"/>
    </w:rPr>
  </w:style>
  <w:style w:type="character" w:customStyle="1" w:styleId="1223">
    <w:name w:val="正文文本 3 Char1"/>
    <w:qFormat/>
    <w:uiPriority w:val="0"/>
    <w:rPr>
      <w:rFonts w:hint="default" w:ascii="Times New Roman" w:hAnsi="Times New Roman" w:eastAsia="宋体" w:cs="Times New Roman"/>
      <w:color w:val="000000"/>
      <w:sz w:val="16"/>
      <w:szCs w:val="16"/>
      <w:u w:val="none"/>
    </w:rPr>
  </w:style>
  <w:style w:type="character" w:customStyle="1" w:styleId="1224">
    <w:name w:val="页脚 Char1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1225">
    <w:name w:val="Char Char34"/>
    <w:qFormat/>
    <w:uiPriority w:val="0"/>
    <w:rPr>
      <w:rFonts w:hint="default" w:ascii="黑体" w:hAnsi="宋体" w:eastAsia="黑体" w:cs="Times New Roman"/>
      <w:b/>
      <w:bCs/>
      <w:color w:val="000000"/>
      <w:kern w:val="2"/>
      <w:sz w:val="28"/>
      <w:szCs w:val="28"/>
      <w:u w:val="none"/>
      <w:lang w:val="en-US" w:eastAsia="zh-CN"/>
    </w:rPr>
  </w:style>
  <w:style w:type="character" w:customStyle="1" w:styleId="1226">
    <w:name w:val="题注 Char24"/>
    <w:qFormat/>
    <w:uiPriority w:val="0"/>
    <w:rPr>
      <w:rFonts w:hint="default" w:ascii="黑体" w:hAnsi="Arial" w:eastAsia="黑体" w:cs="Arial"/>
      <w:b/>
      <w:color w:val="000000"/>
      <w:kern w:val="2"/>
      <w:sz w:val="24"/>
      <w:szCs w:val="24"/>
      <w:u w:val="none"/>
      <w:lang w:val="en-US" w:eastAsia="zh-CN"/>
    </w:rPr>
  </w:style>
  <w:style w:type="character" w:customStyle="1" w:styleId="1227">
    <w:name w:val="题注 Char5111"/>
    <w:qFormat/>
    <w:uiPriority w:val="0"/>
    <w:rPr>
      <w:rFonts w:hint="default" w:ascii="黑体" w:hAnsi="Arial" w:eastAsia="黑体" w:cs="Arial"/>
      <w:b/>
      <w:color w:val="000000"/>
      <w:kern w:val="2"/>
      <w:sz w:val="24"/>
      <w:szCs w:val="24"/>
      <w:u w:val="none"/>
      <w:lang w:val="en-US" w:eastAsia="zh-CN"/>
    </w:rPr>
  </w:style>
  <w:style w:type="character" w:customStyle="1" w:styleId="1228">
    <w:name w:val="表内5 Char21"/>
    <w:qFormat/>
    <w:uiPriority w:val="0"/>
    <w:rPr>
      <w:rFonts w:hint="default" w:ascii="宋体" w:hAnsi="宋体" w:eastAsia="宋体" w:cs="宋体"/>
      <w:color w:val="000000"/>
      <w:kern w:val="2"/>
      <w:sz w:val="21"/>
      <w:szCs w:val="24"/>
      <w:u w:val="none"/>
      <w:lang w:val="en-US" w:eastAsia="zh-CN"/>
    </w:rPr>
  </w:style>
  <w:style w:type="character" w:customStyle="1" w:styleId="1229">
    <w:name w:val="Char Char219"/>
    <w:qFormat/>
    <w:uiPriority w:val="0"/>
    <w:rPr>
      <w:rFonts w:hint="default" w:ascii="黑体" w:hAnsi="Times New Roman" w:eastAsia="宋体" w:cs="Times New Roman"/>
      <w:color w:val="000000"/>
      <w:kern w:val="2"/>
      <w:sz w:val="16"/>
      <w:szCs w:val="16"/>
      <w:u w:val="none"/>
      <w:lang w:val="en-US" w:eastAsia="zh-CN"/>
    </w:rPr>
  </w:style>
  <w:style w:type="character" w:customStyle="1" w:styleId="1230">
    <w:name w:val="标题 8 字符"/>
    <w:link w:val="9"/>
    <w:qFormat/>
    <w:uiPriority w:val="0"/>
    <w:rPr>
      <w:rFonts w:ascii="Arial" w:hAnsi="Arial" w:eastAsia="黑体"/>
      <w:color w:val="000000"/>
      <w:kern w:val="2"/>
      <w:sz w:val="24"/>
      <w:szCs w:val="22"/>
    </w:rPr>
  </w:style>
  <w:style w:type="character" w:customStyle="1" w:styleId="1231">
    <w:name w:val="正文修改 Char1313"/>
    <w:qFormat/>
    <w:uiPriority w:val="0"/>
    <w:rPr>
      <w:rFonts w:hint="default" w:ascii="宋体" w:hAnsi="宋体" w:eastAsia="宋体" w:cs="宋体"/>
      <w:color w:val="000000"/>
      <w:kern w:val="2"/>
      <w:sz w:val="24"/>
      <w:szCs w:val="24"/>
      <w:u w:val="none"/>
      <w:lang w:val="en-US" w:eastAsia="zh-CN"/>
    </w:rPr>
  </w:style>
  <w:style w:type="character" w:customStyle="1" w:styleId="1232">
    <w:name w:val="福建正文缩进 Char3"/>
    <w:qFormat/>
    <w:uiPriority w:val="0"/>
    <w:rPr>
      <w:rFonts w:hint="default" w:ascii="宋体" w:hAnsi="宋体" w:eastAsia="宋体" w:cs="宋体"/>
      <w:color w:val="000000"/>
      <w:kern w:val="0"/>
      <w:sz w:val="24"/>
      <w:szCs w:val="24"/>
      <w:u w:val="none"/>
      <w:lang w:val="en-US" w:eastAsia="zh-CN"/>
    </w:rPr>
  </w:style>
  <w:style w:type="character" w:customStyle="1" w:styleId="1233">
    <w:name w:val="正文缩进 Char4"/>
    <w:qFormat/>
    <w:uiPriority w:val="0"/>
    <w:rPr>
      <w:rFonts w:hint="default" w:ascii="宋体" w:hAnsi="宋体" w:eastAsia="宋体" w:cs="宋体"/>
      <w:color w:val="000000"/>
      <w:kern w:val="2"/>
      <w:sz w:val="24"/>
      <w:szCs w:val="24"/>
      <w:u w:val="none"/>
      <w:lang w:val="en-US" w:eastAsia="zh-CN"/>
    </w:rPr>
  </w:style>
  <w:style w:type="character" w:customStyle="1" w:styleId="1234">
    <w:name w:val="页眉 Char3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1235">
    <w:name w:val="123YJ Char2"/>
    <w:qFormat/>
    <w:uiPriority w:val="0"/>
    <w:rPr>
      <w:rFonts w:hint="default" w:ascii="Times New Roman" w:hAnsi="Times New Roman" w:cs="Times New Roman"/>
      <w:color w:val="000000"/>
      <w:kern w:val="2"/>
      <w:sz w:val="18"/>
      <w:szCs w:val="18"/>
      <w:u w:val="none"/>
    </w:rPr>
  </w:style>
  <w:style w:type="character" w:customStyle="1" w:styleId="1236">
    <w:name w:val="标题 2 Char2"/>
    <w:qFormat/>
    <w:uiPriority w:val="0"/>
    <w:rPr>
      <w:rFonts w:hint="default" w:ascii="黑体" w:hAnsi="Arial" w:eastAsia="黑体" w:cs="Times New Roman"/>
      <w:b/>
      <w:bCs/>
      <w:color w:val="000000"/>
      <w:kern w:val="2"/>
      <w:sz w:val="30"/>
      <w:szCs w:val="30"/>
      <w:u w:val="none"/>
      <w:lang w:val="en-US" w:eastAsia="zh-CN"/>
    </w:rPr>
  </w:style>
  <w:style w:type="character" w:customStyle="1" w:styleId="1237">
    <w:name w:val="正文缩进 Char11"/>
    <w:qFormat/>
    <w:uiPriority w:val="0"/>
    <w:rPr>
      <w:rFonts w:hint="default" w:ascii="宋体" w:hAnsi="宋体" w:eastAsia="宋体" w:cs="宋体"/>
      <w:color w:val="000000"/>
      <w:kern w:val="2"/>
      <w:sz w:val="24"/>
      <w:szCs w:val="24"/>
      <w:u w:val="none"/>
      <w:lang w:val="en-US" w:eastAsia="zh-CN"/>
    </w:rPr>
  </w:style>
  <w:style w:type="character" w:customStyle="1" w:styleId="1238">
    <w:name w:val="标题 2 字符"/>
    <w:link w:val="3"/>
    <w:qFormat/>
    <w:uiPriority w:val="0"/>
    <w:rPr>
      <w:rFonts w:ascii="Calibri" w:hAnsi="Calibri"/>
      <w:b/>
      <w:bCs/>
      <w:color w:val="000000"/>
      <w:sz w:val="24"/>
      <w:szCs w:val="32"/>
    </w:rPr>
  </w:style>
  <w:style w:type="character" w:customStyle="1" w:styleId="1239">
    <w:name w:val="Char Char17"/>
    <w:qFormat/>
    <w:uiPriority w:val="0"/>
    <w:rPr>
      <w:rFonts w:hint="default" w:ascii="宋体" w:hAnsi="宋体" w:eastAsia="仿宋_GB2312" w:cs="宋体"/>
      <w:b/>
      <w:bCs/>
      <w:color w:val="000000"/>
      <w:kern w:val="2"/>
      <w:sz w:val="24"/>
      <w:szCs w:val="24"/>
      <w:u w:val="none"/>
    </w:rPr>
  </w:style>
  <w:style w:type="character" w:customStyle="1" w:styleId="1240">
    <w:name w:val="A正文 Char2"/>
    <w:qFormat/>
    <w:uiPriority w:val="0"/>
    <w:rPr>
      <w:rFonts w:hint="default" w:ascii="Times New Roman" w:hAnsi="Times New Roman" w:eastAsia="仿宋_GB2312" w:cs="Times New Roman"/>
      <w:color w:val="000000"/>
      <w:kern w:val="2"/>
      <w:sz w:val="24"/>
      <w:szCs w:val="24"/>
      <w:u w:val="none"/>
      <w:lang w:val="en-US" w:eastAsia="zh-CN"/>
    </w:rPr>
  </w:style>
  <w:style w:type="character" w:customStyle="1" w:styleId="1241">
    <w:name w:val="样式 表格内字体 + Char31"/>
    <w:qFormat/>
    <w:uiPriority w:val="0"/>
    <w:rPr>
      <w:rFonts w:hint="default" w:ascii="宋体" w:hAnsi="宋体" w:eastAsia="宋体" w:cs="Times New Roman"/>
      <w:color w:val="000000"/>
      <w:kern w:val="0"/>
      <w:sz w:val="21"/>
      <w:szCs w:val="24"/>
      <w:u w:val="none"/>
      <w:lang w:val="en-US" w:eastAsia="zh-CN"/>
    </w:rPr>
  </w:style>
  <w:style w:type="character" w:customStyle="1" w:styleId="1242">
    <w:name w:val="Char Char1151"/>
    <w:qFormat/>
    <w:uiPriority w:val="0"/>
    <w:rPr>
      <w:rFonts w:hint="default" w:ascii="黑体" w:hAnsi="Arial" w:eastAsia="黑体" w:cs="Times New Roman"/>
      <w:bCs/>
      <w:color w:val="000000"/>
      <w:kern w:val="2"/>
      <w:sz w:val="30"/>
      <w:szCs w:val="30"/>
      <w:u w:val="none"/>
      <w:lang w:val="en-US" w:eastAsia="zh-CN"/>
    </w:rPr>
  </w:style>
  <w:style w:type="character" w:customStyle="1" w:styleId="1243">
    <w:name w:val="正文文本1 Char"/>
    <w:qFormat/>
    <w:uiPriority w:val="0"/>
    <w:rPr>
      <w:rFonts w:hint="default" w:ascii="Times New Roman" w:hAnsi="Times New Roman" w:eastAsia="仿宋_GB2312" w:cs="Times New Roman"/>
      <w:color w:val="000000"/>
      <w:kern w:val="2"/>
      <w:sz w:val="24"/>
      <w:szCs w:val="24"/>
      <w:u w:val="none"/>
      <w:lang w:val="en-US" w:eastAsia="zh-CN"/>
    </w:rPr>
  </w:style>
  <w:style w:type="character" w:customStyle="1" w:styleId="1244">
    <w:name w:val="Endnote Text Char1"/>
    <w:qFormat/>
    <w:uiPriority w:val="99"/>
    <w:rPr>
      <w:rFonts w:hint="default" w:ascii="Times New Roman" w:hAnsi="Times New Roman" w:eastAsia="仿宋_GB2312" w:cs="Times New Roman"/>
      <w:color w:val="000000"/>
      <w:kern w:val="2"/>
      <w:sz w:val="28"/>
      <w:szCs w:val="22"/>
      <w:u w:val="none"/>
    </w:rPr>
  </w:style>
  <w:style w:type="character" w:customStyle="1" w:styleId="1245">
    <w:name w:val="批注框文本 Char2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1246">
    <w:name w:val="图题 Char2"/>
    <w:qFormat/>
    <w:uiPriority w:val="0"/>
    <w:rPr>
      <w:rFonts w:hint="default" w:ascii="黑体" w:hAnsi="宋体" w:eastAsia="黑体" w:cs="宋体"/>
      <w:b/>
      <w:bCs/>
      <w:color w:val="000000"/>
      <w:kern w:val="2"/>
      <w:sz w:val="24"/>
      <w:szCs w:val="24"/>
      <w:u w:val="none"/>
      <w:lang w:val="en-US" w:eastAsia="zh-CN"/>
    </w:rPr>
  </w:style>
  <w:style w:type="character" w:customStyle="1" w:styleId="1247">
    <w:name w:val="正文修改 Char1312"/>
    <w:qFormat/>
    <w:uiPriority w:val="0"/>
    <w:rPr>
      <w:rFonts w:hint="default" w:ascii="宋体" w:hAnsi="宋体" w:eastAsia="宋体" w:cs="宋体"/>
      <w:color w:val="000000"/>
      <w:kern w:val="2"/>
      <w:sz w:val="24"/>
      <w:szCs w:val="24"/>
      <w:u w:val="none"/>
      <w:lang w:val="en-US" w:eastAsia="zh-CN"/>
    </w:rPr>
  </w:style>
  <w:style w:type="character" w:customStyle="1" w:styleId="1248">
    <w:name w:val="样式 正文缩进 + 宋体 黑色 Char21"/>
    <w:qFormat/>
    <w:uiPriority w:val="0"/>
    <w:rPr>
      <w:rFonts w:hint="default" w:ascii="宋体" w:hAnsi="宋体" w:eastAsia="宋体" w:cs="Times New Roman"/>
      <w:color w:val="000000"/>
      <w:kern w:val="2"/>
      <w:sz w:val="24"/>
      <w:szCs w:val="24"/>
      <w:u w:val="none"/>
      <w:lang w:val="en-US" w:eastAsia="zh-CN"/>
    </w:rPr>
  </w:style>
  <w:style w:type="character" w:customStyle="1" w:styleId="1249">
    <w:name w:val="标题 2 Char41"/>
    <w:qFormat/>
    <w:uiPriority w:val="0"/>
    <w:rPr>
      <w:rFonts w:hint="default" w:ascii="黑体" w:hAnsi="Arial" w:eastAsia="黑体" w:cs="Times New Roman"/>
      <w:bCs/>
      <w:color w:val="000000"/>
      <w:kern w:val="2"/>
      <w:sz w:val="30"/>
      <w:szCs w:val="30"/>
      <w:u w:val="none"/>
      <w:lang w:val="en-US" w:eastAsia="zh-CN"/>
    </w:rPr>
  </w:style>
  <w:style w:type="character" w:customStyle="1" w:styleId="1250">
    <w:name w:val="Char Char91"/>
    <w:qFormat/>
    <w:uiPriority w:val="0"/>
    <w:rPr>
      <w:rFonts w:hint="default" w:ascii="Times New Roman" w:hAnsi="Times New Roman" w:eastAsia="宋体" w:cs="Times New Roman"/>
      <w:color w:val="000000"/>
      <w:kern w:val="2"/>
      <w:sz w:val="21"/>
      <w:szCs w:val="24"/>
      <w:u w:val="none"/>
      <w:shd w:val="clear" w:color="auto" w:fill="000080"/>
      <w:lang w:val="en-US" w:eastAsia="zh-CN"/>
    </w:rPr>
  </w:style>
  <w:style w:type="character" w:customStyle="1" w:styleId="1251">
    <w:name w:val="一级标题 Char Char"/>
    <w:link w:val="1252"/>
    <w:qFormat/>
    <w:uiPriority w:val="0"/>
    <w:rPr>
      <w:rFonts w:hint="default" w:ascii="Swis721 BlkCn BT" w:hAnsi="Swis721 BlkCn BT" w:eastAsia="方正大黑简体" w:cs="Times New Roman"/>
      <w:color w:val="000000"/>
      <w:sz w:val="24"/>
      <w:szCs w:val="16"/>
      <w:u w:val="none"/>
    </w:rPr>
  </w:style>
  <w:style w:type="paragraph" w:customStyle="1" w:styleId="1252">
    <w:name w:val="一级标题"/>
    <w:link w:val="1251"/>
    <w:qFormat/>
    <w:uiPriority w:val="0"/>
    <w:rPr>
      <w:rFonts w:ascii="Swis721 BlkCn BT" w:hAnsi="Swis721 BlkCn BT" w:eastAsia="方正大黑简体" w:cs="Times New Roman"/>
      <w:kern w:val="2"/>
      <w:szCs w:val="22"/>
      <w:lang w:val="en-US" w:eastAsia="zh-CN" w:bidi="ar-SA"/>
    </w:rPr>
  </w:style>
  <w:style w:type="paragraph" w:customStyle="1" w:styleId="1253">
    <w:name w:val="文本块2"/>
    <w:basedOn w:val="1"/>
    <w:qFormat/>
    <w:uiPriority w:val="0"/>
    <w:pPr>
      <w:widowControl/>
      <w:spacing w:after="120"/>
      <w:ind w:left="1440" w:right="1440"/>
      <w:jc w:val="left"/>
    </w:pPr>
    <w:rPr>
      <w:rFonts w:ascii="宋体" w:hAnsi="Arial Black" w:cs="宋体"/>
      <w:kern w:val="44"/>
      <w:szCs w:val="24"/>
    </w:rPr>
  </w:style>
  <w:style w:type="character" w:customStyle="1" w:styleId="1254">
    <w:name w:val="题注 Char131"/>
    <w:qFormat/>
    <w:uiPriority w:val="0"/>
    <w:rPr>
      <w:rFonts w:hint="default" w:ascii="黑体" w:hAnsi="Arial" w:eastAsia="黑体" w:cs="Arial"/>
      <w:b/>
      <w:color w:val="000000"/>
      <w:kern w:val="2"/>
      <w:sz w:val="24"/>
      <w:szCs w:val="24"/>
      <w:u w:val="none"/>
      <w:lang w:val="en-US" w:eastAsia="zh-CN"/>
    </w:rPr>
  </w:style>
  <w:style w:type="character" w:customStyle="1" w:styleId="1255">
    <w:name w:val="三级标题 Char2"/>
    <w:qFormat/>
    <w:uiPriority w:val="0"/>
    <w:rPr>
      <w:rFonts w:hint="default" w:ascii="黑体" w:hAnsi="宋体" w:eastAsia="黑体" w:cs="Times New Roman"/>
      <w:b/>
      <w:bCs/>
      <w:color w:val="000000"/>
      <w:kern w:val="2"/>
      <w:sz w:val="28"/>
      <w:szCs w:val="28"/>
      <w:u w:val="none"/>
      <w:lang w:val="en-US" w:eastAsia="zh-CN"/>
    </w:rPr>
  </w:style>
  <w:style w:type="character" w:customStyle="1" w:styleId="1256">
    <w:name w:val="Body Text Indent Char Char"/>
    <w:link w:val="752"/>
    <w:qFormat/>
    <w:uiPriority w:val="0"/>
    <w:rPr>
      <w:rFonts w:hint="default" w:ascii="Times New Roman" w:hAnsi="Times New Roman" w:eastAsia="仿宋_GB2312" w:cs="Times New Roman"/>
      <w:color w:val="000000"/>
      <w:sz w:val="22"/>
      <w:szCs w:val="16"/>
      <w:u w:val="none"/>
    </w:rPr>
  </w:style>
  <w:style w:type="character" w:customStyle="1" w:styleId="1257">
    <w:name w:val="HTML 代码1"/>
    <w:qFormat/>
    <w:uiPriority w:val="0"/>
    <w:rPr>
      <w:rFonts w:hint="default" w:ascii="Courier New" w:hAnsi="Courier New" w:eastAsia="宋体" w:cs="Courier New"/>
      <w:color w:val="000000"/>
      <w:kern w:val="2"/>
      <w:sz w:val="20"/>
      <w:szCs w:val="20"/>
      <w:u w:val="none"/>
      <w:lang w:val="en-US" w:eastAsia="zh-CN"/>
    </w:rPr>
  </w:style>
  <w:style w:type="character" w:customStyle="1" w:styleId="1258">
    <w:name w:val="表、图名 Char Char"/>
    <w:link w:val="1259"/>
    <w:qFormat/>
    <w:uiPriority w:val="0"/>
    <w:rPr>
      <w:rFonts w:hint="default" w:ascii="Times New Roman" w:hAnsi="Times New Roman" w:eastAsia="仿宋_GB2312" w:cs="Times New Roman"/>
      <w:color w:val="000000"/>
      <w:sz w:val="24"/>
      <w:szCs w:val="16"/>
      <w:u w:val="none"/>
    </w:rPr>
  </w:style>
  <w:style w:type="paragraph" w:customStyle="1" w:styleId="1259">
    <w:name w:val="表、图名"/>
    <w:basedOn w:val="568"/>
    <w:link w:val="1258"/>
    <w:qFormat/>
    <w:uiPriority w:val="0"/>
    <w:pPr>
      <w:spacing w:before="120" w:line="240" w:lineRule="auto"/>
      <w:textAlignment w:val="auto"/>
    </w:pPr>
    <w:rPr>
      <w:rFonts w:eastAsia="仿宋_GB2312"/>
      <w:spacing w:val="0"/>
    </w:rPr>
  </w:style>
  <w:style w:type="character" w:customStyle="1" w:styleId="1260">
    <w:name w:val="正文格式 Char4"/>
    <w:qFormat/>
    <w:uiPriority w:val="0"/>
    <w:rPr>
      <w:rFonts w:hint="default" w:ascii="宋体" w:hAnsi="宋体" w:eastAsia="宋体" w:cs="Times New Roman"/>
      <w:color w:val="000000"/>
      <w:kern w:val="2"/>
      <w:sz w:val="24"/>
      <w:szCs w:val="24"/>
      <w:u w:val="none"/>
      <w:lang w:val="en-US" w:eastAsia="zh-CN"/>
    </w:rPr>
  </w:style>
  <w:style w:type="character" w:customStyle="1" w:styleId="1261">
    <w:name w:val="批注框文本 Char2"/>
    <w:qFormat/>
    <w:uiPriority w:val="99"/>
    <w:rPr>
      <w:rFonts w:hint="default" w:ascii="Times New Roman" w:hAnsi="Times New Roman" w:eastAsia="宋体" w:cs="Times New Roman"/>
      <w:color w:val="000000"/>
      <w:kern w:val="2"/>
      <w:sz w:val="18"/>
      <w:szCs w:val="18"/>
      <w:u w:val="none"/>
      <w:lang w:val="en-US" w:eastAsia="zh-CN"/>
    </w:rPr>
  </w:style>
  <w:style w:type="character" w:customStyle="1" w:styleId="1262">
    <w:name w:val="题注 Char31"/>
    <w:qFormat/>
    <w:uiPriority w:val="0"/>
    <w:rPr>
      <w:rFonts w:hint="default" w:ascii="黑体" w:hAnsi="Arial" w:eastAsia="黑体" w:cs="Arial"/>
      <w:b/>
      <w:color w:val="000000"/>
      <w:kern w:val="2"/>
      <w:sz w:val="24"/>
      <w:szCs w:val="24"/>
      <w:u w:val="none"/>
      <w:lang w:val="en-US" w:eastAsia="zh-CN"/>
    </w:rPr>
  </w:style>
  <w:style w:type="character" w:customStyle="1" w:styleId="1263">
    <w:name w:val="河石管道4 Char4"/>
    <w:qFormat/>
    <w:uiPriority w:val="0"/>
    <w:rPr>
      <w:rFonts w:hint="default" w:ascii="黑体" w:hAnsi="Arial" w:eastAsia="黑体" w:cs="Times New Roman"/>
      <w:bCs/>
      <w:color w:val="000000"/>
      <w:kern w:val="2"/>
      <w:sz w:val="24"/>
      <w:szCs w:val="24"/>
      <w:u w:val="none"/>
      <w:lang w:val="en-US" w:eastAsia="zh-CN"/>
    </w:rPr>
  </w:style>
  <w:style w:type="character" w:customStyle="1" w:styleId="1264">
    <w:name w:val="标题 3 字符"/>
    <w:qFormat/>
    <w:uiPriority w:val="0"/>
    <w:rPr>
      <w:rFonts w:ascii="Calibri" w:hAnsi="Calibri"/>
      <w:b/>
      <w:bCs/>
      <w:color w:val="000000"/>
      <w:kern w:val="2"/>
      <w:sz w:val="24"/>
      <w:szCs w:val="32"/>
    </w:rPr>
  </w:style>
  <w:style w:type="character" w:customStyle="1" w:styleId="1265">
    <w:name w:val="正文文本缩进 2 字符"/>
    <w:link w:val="38"/>
    <w:qFormat/>
    <w:uiPriority w:val="0"/>
    <w:rPr>
      <w:rFonts w:hint="default" w:ascii="宋体" w:hAnsi="Times New Roman" w:eastAsia="宋体" w:cs="Times New Roman"/>
      <w:color w:val="000000"/>
      <w:sz w:val="24"/>
      <w:szCs w:val="20"/>
      <w:u w:val="none"/>
    </w:rPr>
  </w:style>
  <w:style w:type="character" w:customStyle="1" w:styleId="1266">
    <w:name w:val="图题 Char21"/>
    <w:qFormat/>
    <w:uiPriority w:val="0"/>
    <w:rPr>
      <w:rFonts w:hint="default" w:ascii="黑体" w:hAnsi="宋体" w:eastAsia="黑体" w:cs="宋体"/>
      <w:b/>
      <w:bCs/>
      <w:color w:val="000000"/>
      <w:kern w:val="2"/>
      <w:sz w:val="24"/>
      <w:szCs w:val="24"/>
      <w:u w:val="none"/>
      <w:lang w:val="en-US" w:eastAsia="zh-CN"/>
    </w:rPr>
  </w:style>
  <w:style w:type="character" w:customStyle="1" w:styleId="1267">
    <w:name w:val="Char Char612"/>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268">
    <w:name w:val="标题 3 Char Char12"/>
    <w:qFormat/>
    <w:uiPriority w:val="0"/>
    <w:rPr>
      <w:rFonts w:hint="default" w:ascii="黑体" w:hAnsi="宋体" w:eastAsia="黑体" w:cs="Times New Roman"/>
      <w:b/>
      <w:bCs/>
      <w:color w:val="000000"/>
      <w:kern w:val="2"/>
      <w:sz w:val="28"/>
      <w:szCs w:val="28"/>
      <w:u w:val="none"/>
      <w:lang w:val="en-US" w:eastAsia="zh-CN"/>
    </w:rPr>
  </w:style>
  <w:style w:type="character" w:customStyle="1" w:styleId="1269">
    <w:name w:val="样式 表内小5 + 黑体 加粗 倾斜 下划线 Char Char"/>
    <w:link w:val="1270"/>
    <w:qFormat/>
    <w:uiPriority w:val="0"/>
    <w:rPr>
      <w:rFonts w:hint="default" w:ascii="黑体" w:hAnsi="黑体" w:eastAsia="黑体" w:cs="Times New Roman"/>
      <w:b/>
      <w:i/>
      <w:color w:val="000000"/>
      <w:sz w:val="24"/>
      <w:szCs w:val="16"/>
      <w:u w:val="single"/>
    </w:rPr>
  </w:style>
  <w:style w:type="paragraph" w:customStyle="1" w:styleId="1270">
    <w:name w:val="样式 表内小5 + 黑体 加粗 倾斜 下划线"/>
    <w:basedOn w:val="1"/>
    <w:link w:val="1269"/>
    <w:qFormat/>
    <w:uiPriority w:val="0"/>
    <w:pPr>
      <w:widowControl/>
      <w:spacing w:line="300" w:lineRule="auto"/>
      <w:jc w:val="left"/>
    </w:pPr>
    <w:rPr>
      <w:rFonts w:ascii="黑体" w:hAnsi="黑体" w:eastAsia="黑体"/>
      <w:b/>
      <w:i/>
      <w:u w:val="single"/>
    </w:rPr>
  </w:style>
  <w:style w:type="character" w:customStyle="1" w:styleId="1271">
    <w:name w:val="正文文字 Char Char Char Char Char3"/>
    <w:qFormat/>
    <w:uiPriority w:val="0"/>
    <w:rPr>
      <w:rFonts w:hint="default" w:ascii="Times New Roman" w:hAnsi="Times New Roman" w:eastAsia="宋体" w:cs="Times New Roman"/>
      <w:color w:val="000000"/>
      <w:kern w:val="2"/>
      <w:sz w:val="21"/>
      <w:szCs w:val="24"/>
      <w:u w:val="none"/>
      <w:lang w:val="en-US" w:eastAsia="zh-CN"/>
    </w:rPr>
  </w:style>
  <w:style w:type="character" w:customStyle="1" w:styleId="1272">
    <w:name w:val="black1"/>
    <w:qFormat/>
    <w:uiPriority w:val="0"/>
    <w:rPr>
      <w:rFonts w:hint="default" w:ascii="Times New Roman" w:hAnsi="Times New Roman" w:cs="Times New Roman"/>
      <w:color w:val="000000"/>
      <w:sz w:val="18"/>
      <w:szCs w:val="18"/>
      <w:u w:val="none"/>
    </w:rPr>
  </w:style>
  <w:style w:type="character" w:customStyle="1" w:styleId="1273">
    <w:name w:val="正文文本 2 字符"/>
    <w:link w:val="54"/>
    <w:qFormat/>
    <w:uiPriority w:val="0"/>
    <w:rPr>
      <w:rFonts w:hint="default" w:ascii="宋体" w:hAnsi="宋体" w:eastAsia="华文楷体" w:cs="宋体"/>
      <w:color w:val="000000"/>
      <w:kern w:val="0"/>
      <w:sz w:val="18"/>
      <w:szCs w:val="24"/>
      <w:u w:val="none"/>
    </w:rPr>
  </w:style>
  <w:style w:type="character" w:customStyle="1" w:styleId="1274">
    <w:name w:val="HTML 变量1"/>
    <w:qFormat/>
    <w:uiPriority w:val="0"/>
    <w:rPr>
      <w:rFonts w:hint="default" w:ascii="宋体" w:hAnsi="宋体" w:eastAsia="宋体" w:cs="Courier New"/>
      <w:i/>
      <w:iCs/>
      <w:color w:val="000000"/>
      <w:kern w:val="2"/>
      <w:sz w:val="32"/>
      <w:szCs w:val="32"/>
      <w:u w:val="none"/>
      <w:lang w:val="en-US" w:eastAsia="zh-CN"/>
    </w:rPr>
  </w:style>
  <w:style w:type="character" w:customStyle="1" w:styleId="1275">
    <w:name w:val="正文首行缩进 2 Char1"/>
    <w:link w:val="1276"/>
    <w:qFormat/>
    <w:uiPriority w:val="0"/>
    <w:rPr>
      <w:rFonts w:hint="default" w:ascii="宋体" w:hAnsi="Times New Roman" w:cs="Times New Roman"/>
      <w:color w:val="000000"/>
      <w:sz w:val="28"/>
      <w:szCs w:val="16"/>
      <w:u w:val="none"/>
    </w:rPr>
  </w:style>
  <w:style w:type="paragraph" w:customStyle="1" w:styleId="1276">
    <w:name w:val="正文首行缩进 21"/>
    <w:link w:val="1275"/>
    <w:qFormat/>
    <w:uiPriority w:val="0"/>
    <w:pPr>
      <w:ind w:firstLine="420"/>
    </w:pPr>
    <w:rPr>
      <w:rFonts w:ascii="Times New Roman" w:hAnsi="Calibri" w:eastAsia="宋体" w:cs="Times New Roman"/>
      <w:kern w:val="2"/>
      <w:sz w:val="28"/>
      <w:szCs w:val="22"/>
      <w:lang w:val="en-US" w:eastAsia="zh-CN" w:bidi="ar-SA"/>
    </w:rPr>
  </w:style>
  <w:style w:type="paragraph" w:customStyle="1" w:styleId="1277">
    <w:name w:val="正文文本缩进9"/>
    <w:basedOn w:val="1"/>
    <w:qFormat/>
    <w:uiPriority w:val="0"/>
    <w:pPr>
      <w:widowControl/>
      <w:spacing w:after="120"/>
      <w:ind w:left="420" w:leftChars="200"/>
      <w:jc w:val="left"/>
    </w:pPr>
    <w:rPr>
      <w:rFonts w:ascii="宋体" w:hAnsi="宋体" w:cs="宋体"/>
      <w:kern w:val="0"/>
      <w:szCs w:val="24"/>
    </w:rPr>
  </w:style>
  <w:style w:type="character" w:customStyle="1" w:styleId="1278">
    <w:name w:val="表题1 Char64"/>
    <w:qFormat/>
    <w:uiPriority w:val="0"/>
    <w:rPr>
      <w:rFonts w:hint="default" w:ascii="黑体" w:hAnsi="Arial" w:eastAsia="黑体" w:cs="Arial"/>
      <w:b/>
      <w:color w:val="000000"/>
      <w:kern w:val="2"/>
      <w:sz w:val="24"/>
      <w:szCs w:val="24"/>
      <w:u w:val="none"/>
      <w:lang w:val="en-US" w:eastAsia="zh-CN"/>
    </w:rPr>
  </w:style>
  <w:style w:type="character" w:customStyle="1" w:styleId="1279">
    <w:name w:val="Char Char513"/>
    <w:qFormat/>
    <w:uiPriority w:val="0"/>
    <w:rPr>
      <w:rFonts w:hint="default" w:ascii="黑体" w:hAnsi="宋体" w:eastAsia="黑体" w:cs="Times New Roman"/>
      <w:bCs/>
      <w:color w:val="000000"/>
      <w:kern w:val="2"/>
      <w:sz w:val="28"/>
      <w:szCs w:val="28"/>
      <w:u w:val="none"/>
      <w:lang w:val="en-US" w:eastAsia="zh-CN"/>
    </w:rPr>
  </w:style>
  <w:style w:type="character" w:customStyle="1" w:styleId="1280">
    <w:name w:val="A正文 Char1"/>
    <w:qFormat/>
    <w:uiPriority w:val="0"/>
    <w:rPr>
      <w:rFonts w:hint="default" w:ascii="Times New Roman" w:hAnsi="Times New Roman" w:eastAsia="仿宋_GB2312" w:cs="Times New Roman"/>
      <w:color w:val="000000"/>
      <w:kern w:val="2"/>
      <w:sz w:val="24"/>
      <w:szCs w:val="24"/>
      <w:u w:val="none"/>
      <w:lang w:val="en-US" w:eastAsia="zh-CN"/>
    </w:rPr>
  </w:style>
  <w:style w:type="character" w:customStyle="1" w:styleId="1281">
    <w:name w:val="Char Char1216"/>
    <w:qFormat/>
    <w:uiPriority w:val="0"/>
    <w:rPr>
      <w:rFonts w:hint="default" w:ascii="黑体" w:hAnsi="Arial" w:eastAsia="黑体" w:cs="Times New Roman"/>
      <w:b/>
      <w:bCs/>
      <w:color w:val="000000"/>
      <w:kern w:val="2"/>
      <w:sz w:val="30"/>
      <w:szCs w:val="30"/>
      <w:u w:val="none"/>
      <w:lang w:val="en-US" w:eastAsia="zh-CN"/>
    </w:rPr>
  </w:style>
  <w:style w:type="character" w:customStyle="1" w:styleId="1282">
    <w:name w:val="正文文本缩进 3 Char"/>
    <w:link w:val="1283"/>
    <w:qFormat/>
    <w:uiPriority w:val="99"/>
    <w:rPr>
      <w:rFonts w:hint="default" w:ascii="Times New Roman" w:hAnsi="Times New Roman" w:cs="Times New Roman"/>
      <w:color w:val="000000"/>
      <w:sz w:val="16"/>
      <w:szCs w:val="16"/>
      <w:u w:val="none"/>
    </w:rPr>
  </w:style>
  <w:style w:type="paragraph" w:customStyle="1" w:styleId="1283">
    <w:name w:val="正文文本缩进 31"/>
    <w:basedOn w:val="1"/>
    <w:link w:val="1282"/>
    <w:qFormat/>
    <w:uiPriority w:val="0"/>
    <w:pPr>
      <w:widowControl/>
      <w:spacing w:after="120"/>
      <w:ind w:left="420" w:leftChars="200"/>
      <w:jc w:val="left"/>
    </w:pPr>
    <w:rPr>
      <w:sz w:val="16"/>
    </w:rPr>
  </w:style>
  <w:style w:type="character" w:customStyle="1" w:styleId="1284">
    <w:name w:val="章标题 11"/>
    <w:qFormat/>
    <w:uiPriority w:val="0"/>
    <w:rPr>
      <w:rFonts w:hint="default" w:ascii="黑体" w:hAnsi="宋体" w:eastAsia="黑体" w:cs="宋体"/>
      <w:color w:val="000000"/>
      <w:kern w:val="2"/>
      <w:sz w:val="32"/>
      <w:szCs w:val="24"/>
      <w:u w:val="none"/>
      <w:lang w:val="en-US" w:eastAsia="zh-CN"/>
    </w:rPr>
  </w:style>
  <w:style w:type="character" w:customStyle="1" w:styleId="1285">
    <w:name w:val="样式 仿宋_GB2312 小四 黑色"/>
    <w:qFormat/>
    <w:uiPriority w:val="0"/>
    <w:rPr>
      <w:rFonts w:hint="default" w:ascii="Times New Roman" w:hAnsi="Times New Roman" w:eastAsia="仿宋_GB2312" w:cs="Courier New"/>
      <w:color w:val="000000"/>
      <w:kern w:val="2"/>
      <w:sz w:val="24"/>
      <w:szCs w:val="24"/>
      <w:u w:val="none"/>
      <w:lang w:val="en-US" w:eastAsia="zh-CN"/>
    </w:rPr>
  </w:style>
  <w:style w:type="character" w:customStyle="1" w:styleId="1286">
    <w:name w:val="表题1 Char721"/>
    <w:qFormat/>
    <w:uiPriority w:val="0"/>
    <w:rPr>
      <w:rFonts w:hint="default" w:ascii="黑体" w:hAnsi="Arial" w:eastAsia="黑体" w:cs="Arial"/>
      <w:b/>
      <w:color w:val="000000"/>
      <w:kern w:val="2"/>
      <w:sz w:val="24"/>
      <w:szCs w:val="24"/>
      <w:u w:val="none"/>
      <w:lang w:val="en-US" w:eastAsia="zh-CN"/>
    </w:rPr>
  </w:style>
  <w:style w:type="character" w:customStyle="1" w:styleId="1287">
    <w:name w:val="Char Char1119"/>
    <w:qFormat/>
    <w:uiPriority w:val="0"/>
    <w:rPr>
      <w:rFonts w:hint="default" w:ascii="黑体" w:hAnsi="Arial" w:eastAsia="黑体" w:cs="Times New Roman"/>
      <w:bCs/>
      <w:color w:val="000000"/>
      <w:kern w:val="2"/>
      <w:sz w:val="30"/>
      <w:szCs w:val="30"/>
      <w:u w:val="none"/>
      <w:lang w:val="en-US" w:eastAsia="zh-CN"/>
    </w:rPr>
  </w:style>
  <w:style w:type="character" w:customStyle="1" w:styleId="1288">
    <w:name w:val="文档结构图 Char1"/>
    <w:qFormat/>
    <w:uiPriority w:val="99"/>
    <w:rPr>
      <w:rFonts w:hint="default" w:ascii="宋体" w:hAnsi="Times New Roman" w:eastAsia="宋体" w:cs="Times New Roman"/>
      <w:color w:val="000000"/>
      <w:sz w:val="18"/>
      <w:szCs w:val="18"/>
      <w:u w:val="none"/>
    </w:rPr>
  </w:style>
  <w:style w:type="character" w:customStyle="1" w:styleId="1289">
    <w:name w:val="样式 (中文) 华文楷体 四号 首行缩进:  1.01 厘米 行距: 1.5 倍行距 Char"/>
    <w:qFormat/>
    <w:uiPriority w:val="0"/>
    <w:rPr>
      <w:rFonts w:hint="default" w:ascii="宋体" w:hAnsi="宋体" w:cs="宋体"/>
      <w:color w:val="000000"/>
      <w:sz w:val="28"/>
      <w:szCs w:val="24"/>
      <w:u w:val="none"/>
    </w:rPr>
  </w:style>
  <w:style w:type="character" w:customStyle="1" w:styleId="1290">
    <w:name w:val="z-Bottom of Form Char"/>
    <w:qFormat/>
    <w:uiPriority w:val="0"/>
    <w:rPr>
      <w:rFonts w:hint="default" w:ascii="Arial" w:hAnsi="Arial" w:eastAsia="仿宋_GB2312" w:cs="Arial"/>
      <w:vanish/>
      <w:color w:val="000000"/>
      <w:kern w:val="2"/>
      <w:sz w:val="16"/>
      <w:szCs w:val="16"/>
      <w:u w:val="none"/>
    </w:rPr>
  </w:style>
  <w:style w:type="character" w:customStyle="1" w:styleId="1291">
    <w:name w:val="正文缩进 Char2"/>
    <w:qFormat/>
    <w:uiPriority w:val="0"/>
    <w:rPr>
      <w:rFonts w:hint="default" w:ascii="宋体" w:hAnsi="宋体" w:eastAsia="宋体" w:cs="宋体"/>
      <w:color w:val="000000"/>
      <w:kern w:val="2"/>
      <w:sz w:val="24"/>
      <w:szCs w:val="24"/>
      <w:u w:val="none"/>
      <w:lang w:val="en-US" w:eastAsia="zh-CN"/>
    </w:rPr>
  </w:style>
  <w:style w:type="character" w:customStyle="1" w:styleId="1292">
    <w:name w:val="表头 Char Char Char"/>
    <w:qFormat/>
    <w:uiPriority w:val="0"/>
    <w:rPr>
      <w:rFonts w:hint="default" w:ascii="Times New Roman" w:hAnsi="Times New Roman" w:eastAsia="黑体" w:cs="Times New Roman"/>
      <w:color w:val="000000"/>
      <w:spacing w:val="-10"/>
      <w:sz w:val="21"/>
      <w:szCs w:val="16"/>
      <w:u w:val="none"/>
    </w:rPr>
  </w:style>
  <w:style w:type="character" w:customStyle="1" w:styleId="1293">
    <w:name w:val="hhcwt标题1 Char Char"/>
    <w:link w:val="1294"/>
    <w:qFormat/>
    <w:uiPriority w:val="0"/>
    <w:rPr>
      <w:rFonts w:hint="default" w:ascii="Times New Roman" w:hAnsi="Times New Roman" w:eastAsia="黑体" w:cs="Times New Roman"/>
      <w:color w:val="000000"/>
      <w:kern w:val="44"/>
      <w:sz w:val="36"/>
      <w:szCs w:val="16"/>
      <w:u w:val="none"/>
      <w:lang w:val="zh-CN"/>
    </w:rPr>
  </w:style>
  <w:style w:type="paragraph" w:customStyle="1" w:styleId="1294">
    <w:name w:val="hhcwt标题1"/>
    <w:basedOn w:val="1"/>
    <w:link w:val="1293"/>
    <w:qFormat/>
    <w:uiPriority w:val="0"/>
    <w:pPr>
      <w:keepNext/>
      <w:keepLines/>
      <w:autoSpaceDE w:val="0"/>
      <w:autoSpaceDN w:val="0"/>
      <w:spacing w:before="120" w:after="120" w:line="336" w:lineRule="auto"/>
      <w:outlineLvl w:val="0"/>
    </w:pPr>
    <w:rPr>
      <w:rFonts w:eastAsia="黑体"/>
      <w:kern w:val="44"/>
      <w:sz w:val="36"/>
      <w:lang w:val="zh-CN"/>
    </w:rPr>
  </w:style>
  <w:style w:type="character" w:customStyle="1" w:styleId="1295">
    <w:name w:val="Body Text Char1"/>
    <w:qFormat/>
    <w:uiPriority w:val="0"/>
    <w:rPr>
      <w:rFonts w:hint="default" w:ascii="Times New Roman" w:hAnsi="Times New Roman" w:eastAsia="仿宋_GB2312" w:cs="Times New Roman"/>
      <w:color w:val="000000"/>
      <w:kern w:val="2"/>
      <w:sz w:val="28"/>
      <w:szCs w:val="22"/>
      <w:u w:val="none"/>
    </w:rPr>
  </w:style>
  <w:style w:type="character" w:customStyle="1" w:styleId="1296">
    <w:name w:val="Char Char1111"/>
    <w:qFormat/>
    <w:uiPriority w:val="0"/>
    <w:rPr>
      <w:rFonts w:hint="default" w:ascii="黑体" w:hAnsi="Arial" w:eastAsia="黑体" w:cs="Times New Roman"/>
      <w:bCs/>
      <w:color w:val="000000"/>
      <w:kern w:val="2"/>
      <w:sz w:val="30"/>
      <w:szCs w:val="30"/>
      <w:u w:val="none"/>
      <w:lang w:val="en-US" w:eastAsia="zh-CN"/>
    </w:rPr>
  </w:style>
  <w:style w:type="character" w:customStyle="1" w:styleId="1297">
    <w:name w:val="s lh15"/>
    <w:qFormat/>
    <w:uiPriority w:val="0"/>
    <w:rPr>
      <w:rFonts w:hint="default" w:ascii="Times New Roman" w:hAnsi="Times New Roman" w:cs="Times New Roman"/>
      <w:color w:val="000000"/>
      <w:sz w:val="16"/>
      <w:szCs w:val="16"/>
      <w:u w:val="none"/>
    </w:rPr>
  </w:style>
  <w:style w:type="character" w:customStyle="1" w:styleId="1298">
    <w:name w:val="页眉 Char1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1299">
    <w:name w:val="纯文本 Char3"/>
    <w:qFormat/>
    <w:uiPriority w:val="0"/>
    <w:rPr>
      <w:rFonts w:hint="default" w:ascii="宋体" w:hAnsi="Courier New" w:eastAsia="宋体" w:cs="Courier New"/>
      <w:color w:val="000000"/>
      <w:sz w:val="16"/>
      <w:szCs w:val="21"/>
      <w:u w:val="none"/>
    </w:rPr>
  </w:style>
  <w:style w:type="character" w:customStyle="1" w:styleId="1300">
    <w:name w:val="章标题1 Char Char"/>
    <w:link w:val="1301"/>
    <w:qFormat/>
    <w:uiPriority w:val="0"/>
    <w:rPr>
      <w:rFonts w:ascii="宋体" w:hAnsi="Calibri"/>
      <w:b/>
      <w:color w:val="000000"/>
      <w:kern w:val="44"/>
      <w:sz w:val="30"/>
      <w:szCs w:val="22"/>
    </w:rPr>
  </w:style>
  <w:style w:type="paragraph" w:customStyle="1" w:styleId="1301">
    <w:name w:val="章标题1"/>
    <w:basedOn w:val="2"/>
    <w:link w:val="1300"/>
    <w:qFormat/>
    <w:uiPriority w:val="0"/>
    <w:rPr>
      <w:rFonts w:ascii="宋体"/>
      <w:bCs w:val="0"/>
      <w:sz w:val="30"/>
      <w:szCs w:val="22"/>
    </w:rPr>
  </w:style>
  <w:style w:type="character" w:customStyle="1" w:styleId="1302">
    <w:name w:val="Char Char9"/>
    <w:qFormat/>
    <w:uiPriority w:val="0"/>
    <w:rPr>
      <w:rFonts w:hint="default" w:ascii="Times New Roman" w:hAnsi="Times New Roman" w:cs="Times New Roman"/>
      <w:color w:val="000000"/>
      <w:kern w:val="2"/>
      <w:sz w:val="18"/>
      <w:szCs w:val="18"/>
      <w:u w:val="none"/>
    </w:rPr>
  </w:style>
  <w:style w:type="character" w:customStyle="1" w:styleId="1303">
    <w:name w:val="题注 + 居中 Char Char"/>
    <w:link w:val="1304"/>
    <w:qFormat/>
    <w:uiPriority w:val="0"/>
    <w:rPr>
      <w:rFonts w:hint="default" w:ascii="Arial" w:hAnsi="Arial" w:eastAsia="黑体" w:cs="Times New Roman"/>
      <w:color w:val="000000"/>
      <w:sz w:val="24"/>
      <w:szCs w:val="16"/>
      <w:u w:val="none"/>
    </w:rPr>
  </w:style>
  <w:style w:type="paragraph" w:customStyle="1" w:styleId="1304">
    <w:name w:val="题注 + 居中"/>
    <w:basedOn w:val="17"/>
    <w:link w:val="1303"/>
    <w:qFormat/>
    <w:uiPriority w:val="0"/>
    <w:pPr>
      <w:keepNext/>
      <w:jc w:val="center"/>
    </w:pPr>
  </w:style>
  <w:style w:type="character" w:customStyle="1" w:styleId="1305">
    <w:name w:val="河石管道4 Char1"/>
    <w:qFormat/>
    <w:uiPriority w:val="0"/>
    <w:rPr>
      <w:rFonts w:hint="default" w:ascii="黑体" w:hAnsi="Arial" w:eastAsia="黑体" w:cs="Times New Roman"/>
      <w:b/>
      <w:bCs/>
      <w:color w:val="000000"/>
      <w:kern w:val="2"/>
      <w:sz w:val="24"/>
      <w:szCs w:val="24"/>
      <w:u w:val="none"/>
      <w:lang w:val="en-US" w:eastAsia="zh-CN"/>
    </w:rPr>
  </w:style>
  <w:style w:type="character" w:customStyle="1" w:styleId="1306">
    <w:name w:val="纯文本 Char4"/>
    <w:link w:val="1307"/>
    <w:qFormat/>
    <w:uiPriority w:val="0"/>
    <w:rPr>
      <w:rFonts w:hint="default" w:ascii="宋体" w:hAnsi="Courier New" w:cs="Times New Roman"/>
      <w:color w:val="000000"/>
      <w:sz w:val="16"/>
      <w:szCs w:val="16"/>
      <w:u w:val="none"/>
    </w:rPr>
  </w:style>
  <w:style w:type="paragraph" w:customStyle="1" w:styleId="1307">
    <w:name w:val="Plain Text1"/>
    <w:basedOn w:val="1"/>
    <w:link w:val="1306"/>
    <w:qFormat/>
    <w:uiPriority w:val="0"/>
    <w:pPr>
      <w:widowControl/>
      <w:ind w:firstLine="480"/>
      <w:jc w:val="center"/>
    </w:pPr>
    <w:rPr>
      <w:rFonts w:ascii="宋体" w:hAnsi="Courier New"/>
    </w:rPr>
  </w:style>
  <w:style w:type="character" w:customStyle="1" w:styleId="1308">
    <w:name w:val="正文1-1 Char"/>
    <w:qFormat/>
    <w:uiPriority w:val="0"/>
    <w:rPr>
      <w:rFonts w:hint="default" w:ascii="Times New Roman" w:hAnsi="Times New Roman" w:eastAsia="宋体" w:cs="宋体"/>
      <w:color w:val="000000"/>
      <w:kern w:val="0"/>
      <w:sz w:val="24"/>
      <w:szCs w:val="24"/>
      <w:u w:val="none"/>
    </w:rPr>
  </w:style>
  <w:style w:type="character" w:customStyle="1" w:styleId="1309">
    <w:name w:val="福建正文缩进 Char Char"/>
    <w:link w:val="1310"/>
    <w:qFormat/>
    <w:uiPriority w:val="0"/>
    <w:rPr>
      <w:rFonts w:hint="default" w:ascii="宋体" w:hAnsi="Times New Roman" w:cs="Times New Roman"/>
      <w:color w:val="000000"/>
      <w:sz w:val="24"/>
      <w:szCs w:val="16"/>
      <w:u w:val="none"/>
    </w:rPr>
  </w:style>
  <w:style w:type="paragraph" w:customStyle="1" w:styleId="1310">
    <w:name w:val="福建正文缩进"/>
    <w:basedOn w:val="112"/>
    <w:link w:val="1309"/>
    <w:qFormat/>
    <w:uiPriority w:val="0"/>
    <w:pPr>
      <w:tabs>
        <w:tab w:val="left" w:pos="5837"/>
      </w:tabs>
      <w:spacing w:line="480" w:lineRule="exact"/>
    </w:pPr>
    <w:rPr>
      <w:rFonts w:hAnsi="Calibri"/>
    </w:rPr>
  </w:style>
  <w:style w:type="character" w:customStyle="1" w:styleId="1311">
    <w:name w:val="表格 Char1"/>
    <w:link w:val="569"/>
    <w:qFormat/>
    <w:uiPriority w:val="0"/>
    <w:rPr>
      <w:rFonts w:hint="default" w:ascii="Times New Roman" w:hAnsi="Times New Roman" w:eastAsia="宋体" w:cs="Times New Roman"/>
      <w:color w:val="000000"/>
      <w:kern w:val="2"/>
      <w:sz w:val="21"/>
      <w:szCs w:val="21"/>
      <w:u w:val="none"/>
    </w:rPr>
  </w:style>
  <w:style w:type="character" w:customStyle="1" w:styleId="1312">
    <w:name w:val="文档结构图 Char2"/>
    <w:qFormat/>
    <w:uiPriority w:val="99"/>
    <w:rPr>
      <w:rFonts w:hint="default" w:ascii="Times New Roman" w:hAnsi="Times New Roman" w:eastAsia="宋体" w:cs="Times New Roman"/>
      <w:color w:val="000000"/>
      <w:kern w:val="2"/>
      <w:sz w:val="21"/>
      <w:szCs w:val="24"/>
      <w:u w:val="none"/>
      <w:shd w:val="clear" w:color="auto" w:fill="000080"/>
      <w:lang w:val="en-US" w:eastAsia="zh-CN"/>
    </w:rPr>
  </w:style>
  <w:style w:type="character" w:customStyle="1" w:styleId="1313">
    <w:name w:val="河石1 Char21"/>
    <w:qFormat/>
    <w:uiPriority w:val="0"/>
    <w:rPr>
      <w:rFonts w:hint="default" w:ascii="黑体" w:hAnsi="宋体" w:eastAsia="黑体" w:cs="Times New Roman"/>
      <w:bCs/>
      <w:color w:val="000000"/>
      <w:kern w:val="44"/>
      <w:sz w:val="32"/>
      <w:szCs w:val="32"/>
      <w:u w:val="none"/>
      <w:lang w:val="en-US" w:eastAsia="zh-CN"/>
    </w:rPr>
  </w:style>
  <w:style w:type="character" w:customStyle="1" w:styleId="1314">
    <w:name w:val="标题 2 Char Char"/>
    <w:qFormat/>
    <w:uiPriority w:val="0"/>
    <w:rPr>
      <w:rFonts w:hint="default" w:ascii="Times New Roman" w:hAnsi="Times New Roman" w:cs="Times New Roman"/>
      <w:color w:val="000000"/>
      <w:sz w:val="16"/>
      <w:szCs w:val="16"/>
      <w:u w:val="none"/>
    </w:rPr>
  </w:style>
  <w:style w:type="character" w:customStyle="1" w:styleId="1315">
    <w:name w:val="No Spacing Char Char"/>
    <w:link w:val="1316"/>
    <w:qFormat/>
    <w:uiPriority w:val="0"/>
    <w:rPr>
      <w:rFonts w:hint="default" w:ascii="Times New Roman" w:hAnsi="Times New Roman" w:cs="Times New Roman"/>
      <w:color w:val="000000"/>
      <w:sz w:val="22"/>
      <w:szCs w:val="16"/>
      <w:u w:val="none"/>
    </w:rPr>
  </w:style>
  <w:style w:type="paragraph" w:customStyle="1" w:styleId="1316">
    <w:name w:val="无间隔1"/>
    <w:basedOn w:val="98"/>
    <w:link w:val="1315"/>
    <w:qFormat/>
    <w:uiPriority w:val="0"/>
    <w:rPr>
      <w:rFonts w:ascii="Times New Roman" w:hAnsi="Times New Roman" w:cs="Times New Roman"/>
      <w:color w:val="000000"/>
      <w:sz w:val="22"/>
      <w:szCs w:val="22"/>
    </w:rPr>
  </w:style>
  <w:style w:type="character" w:customStyle="1" w:styleId="1317">
    <w:name w:val="biaoge"/>
    <w:qFormat/>
    <w:uiPriority w:val="0"/>
    <w:rPr>
      <w:rFonts w:hint="default" w:ascii="Times New Roman" w:hAnsi="Times New Roman" w:cs="Times New Roman"/>
      <w:color w:val="000000"/>
      <w:sz w:val="16"/>
      <w:szCs w:val="16"/>
      <w:u w:val="none"/>
    </w:rPr>
  </w:style>
  <w:style w:type="character" w:customStyle="1" w:styleId="1318">
    <w:name w:val="正文修改 Char153"/>
    <w:qFormat/>
    <w:uiPriority w:val="0"/>
    <w:rPr>
      <w:rFonts w:hint="default" w:ascii="宋体" w:hAnsi="宋体" w:eastAsia="宋体" w:cs="宋体"/>
      <w:color w:val="000000"/>
      <w:kern w:val="2"/>
      <w:sz w:val="24"/>
      <w:szCs w:val="24"/>
      <w:u w:val="none"/>
      <w:lang w:val="en-US" w:eastAsia="zh-CN"/>
    </w:rPr>
  </w:style>
  <w:style w:type="character" w:customStyle="1" w:styleId="1319">
    <w:name w:val="称呼 Char1"/>
    <w:qFormat/>
    <w:uiPriority w:val="0"/>
    <w:rPr>
      <w:rFonts w:hint="default" w:ascii="Times New Roman" w:hAnsi="Times New Roman" w:eastAsia="宋体" w:cs="Times New Roman"/>
      <w:color w:val="000000"/>
      <w:sz w:val="16"/>
      <w:szCs w:val="24"/>
      <w:u w:val="none"/>
    </w:rPr>
  </w:style>
  <w:style w:type="character" w:customStyle="1" w:styleId="1320">
    <w:name w:val="页脚 字符"/>
    <w:link w:val="41"/>
    <w:qFormat/>
    <w:uiPriority w:val="99"/>
    <w:rPr>
      <w:rFonts w:hint="default" w:ascii="Calibri" w:hAnsi="Calibri" w:eastAsia="仿宋_GB2312" w:cs="Times New Roman"/>
      <w:color w:val="000000"/>
      <w:sz w:val="18"/>
      <w:szCs w:val="18"/>
      <w:u w:val="none"/>
    </w:rPr>
  </w:style>
  <w:style w:type="character" w:customStyle="1" w:styleId="1321">
    <w:name w:val="正文修改 Char1121"/>
    <w:qFormat/>
    <w:uiPriority w:val="0"/>
    <w:rPr>
      <w:rFonts w:hint="default" w:ascii="宋体" w:hAnsi="宋体" w:eastAsia="宋体" w:cs="宋体"/>
      <w:color w:val="000000"/>
      <w:kern w:val="2"/>
      <w:sz w:val="24"/>
      <w:szCs w:val="24"/>
      <w:u w:val="none"/>
      <w:lang w:val="en-US" w:eastAsia="zh-CN"/>
    </w:rPr>
  </w:style>
  <w:style w:type="character" w:customStyle="1" w:styleId="1322">
    <w:name w:val="表题 Char4"/>
    <w:qFormat/>
    <w:uiPriority w:val="0"/>
    <w:rPr>
      <w:rFonts w:hint="default" w:ascii="黑体" w:hAnsi="Arial" w:eastAsia="黑体" w:cs="Arial"/>
      <w:b/>
      <w:color w:val="000000"/>
      <w:kern w:val="2"/>
      <w:sz w:val="24"/>
      <w:szCs w:val="24"/>
      <w:u w:val="none"/>
      <w:lang w:val="en-US" w:eastAsia="zh-CN"/>
    </w:rPr>
  </w:style>
  <w:style w:type="character" w:customStyle="1" w:styleId="1323">
    <w:name w:val="正文文本缩进 Char3"/>
    <w:qFormat/>
    <w:uiPriority w:val="0"/>
    <w:rPr>
      <w:rFonts w:hint="default" w:ascii="宋体" w:hAnsi="宋体" w:eastAsia="宋体" w:cs="宋体"/>
      <w:color w:val="000000"/>
      <w:kern w:val="2"/>
      <w:sz w:val="24"/>
      <w:szCs w:val="24"/>
      <w:u w:val="none"/>
      <w:lang w:val="en-US" w:eastAsia="zh-CN"/>
    </w:rPr>
  </w:style>
  <w:style w:type="character" w:customStyle="1" w:styleId="1324">
    <w:name w:val="表题1 Char7"/>
    <w:qFormat/>
    <w:uiPriority w:val="0"/>
    <w:rPr>
      <w:rFonts w:hint="default" w:ascii="黑体" w:hAnsi="Arial" w:eastAsia="黑体" w:cs="Arial"/>
      <w:b/>
      <w:color w:val="000000"/>
      <w:kern w:val="2"/>
      <w:sz w:val="24"/>
      <w:szCs w:val="24"/>
      <w:u w:val="none"/>
      <w:lang w:val="en-US" w:eastAsia="zh-CN"/>
    </w:rPr>
  </w:style>
  <w:style w:type="character" w:customStyle="1" w:styleId="1325">
    <w:name w:val="标题 7 字符"/>
    <w:link w:val="8"/>
    <w:qFormat/>
    <w:uiPriority w:val="0"/>
    <w:rPr>
      <w:rFonts w:ascii="宋体" w:hAnsi="华文楷体"/>
      <w:b/>
      <w:color w:val="000000"/>
      <w:kern w:val="2"/>
      <w:sz w:val="24"/>
      <w:szCs w:val="22"/>
    </w:rPr>
  </w:style>
  <w:style w:type="character" w:customStyle="1" w:styleId="1326">
    <w:name w:val="标题2 Char12"/>
    <w:qFormat/>
    <w:uiPriority w:val="0"/>
    <w:rPr>
      <w:rFonts w:hint="default" w:ascii="宋体" w:hAnsi="宋体" w:eastAsia="宋体" w:cs="宋体"/>
      <w:color w:val="000000"/>
      <w:kern w:val="2"/>
      <w:sz w:val="24"/>
      <w:szCs w:val="24"/>
      <w:u w:val="none"/>
      <w:lang w:val="en-US" w:eastAsia="zh-CN"/>
    </w:rPr>
  </w:style>
  <w:style w:type="character" w:customStyle="1" w:styleId="1327">
    <w:name w:val="表格标题2 Char"/>
    <w:link w:val="1328"/>
    <w:qFormat/>
    <w:uiPriority w:val="0"/>
    <w:rPr>
      <w:rFonts w:hint="default" w:ascii="Times New Roman" w:hAnsi="Times New Roman" w:eastAsia="仿宋_GB2312" w:cs="Times New Roman"/>
      <w:b/>
      <w:color w:val="000000"/>
      <w:sz w:val="28"/>
      <w:szCs w:val="16"/>
      <w:u w:val="none"/>
    </w:rPr>
  </w:style>
  <w:style w:type="paragraph" w:customStyle="1" w:styleId="1328">
    <w:name w:val="表格标题2"/>
    <w:basedOn w:val="513"/>
    <w:link w:val="1327"/>
    <w:qFormat/>
    <w:uiPriority w:val="0"/>
    <w:rPr>
      <w:rFonts w:ascii="Calibri" w:hAnsi="Calibri"/>
      <w:b/>
      <w:szCs w:val="22"/>
    </w:rPr>
  </w:style>
  <w:style w:type="character" w:customStyle="1" w:styleId="1329">
    <w:name w:val="表格 表头 Char"/>
    <w:link w:val="1330"/>
    <w:qFormat/>
    <w:uiPriority w:val="0"/>
    <w:rPr>
      <w:rFonts w:hint="default" w:ascii="Times New Roman" w:hAnsi="Times New Roman" w:eastAsia="仿宋_GB2312" w:cs="Times New Roman"/>
      <w:color w:val="000000"/>
      <w:sz w:val="16"/>
      <w:szCs w:val="21"/>
      <w:u w:val="none"/>
    </w:rPr>
  </w:style>
  <w:style w:type="paragraph" w:customStyle="1" w:styleId="1330">
    <w:name w:val="表格 表头"/>
    <w:basedOn w:val="673"/>
    <w:link w:val="1329"/>
    <w:qFormat/>
    <w:uiPriority w:val="0"/>
    <w:pPr>
      <w:spacing w:line="240" w:lineRule="auto"/>
      <w:ind w:firstLine="0" w:firstLineChars="0"/>
    </w:pPr>
    <w:rPr>
      <w:sz w:val="21"/>
      <w:szCs w:val="21"/>
    </w:rPr>
  </w:style>
  <w:style w:type="character" w:customStyle="1" w:styleId="1331">
    <w:name w:val="al11"/>
    <w:qFormat/>
    <w:uiPriority w:val="0"/>
    <w:rPr>
      <w:rFonts w:hint="default" w:ascii="Times New Roman" w:hAnsi="Times New Roman" w:cs="Times New Roman"/>
      <w:color w:val="333333"/>
      <w:sz w:val="18"/>
      <w:szCs w:val="18"/>
      <w:u w:val="none"/>
    </w:rPr>
  </w:style>
  <w:style w:type="character" w:customStyle="1" w:styleId="1332">
    <w:name w:val="Char Char2"/>
    <w:qFormat/>
    <w:uiPriority w:val="0"/>
    <w:rPr>
      <w:rFonts w:hint="default" w:ascii="宋体" w:hAnsi="宋体" w:cs="宋体"/>
      <w:color w:val="000000"/>
      <w:sz w:val="24"/>
      <w:szCs w:val="24"/>
      <w:u w:val="none"/>
    </w:rPr>
  </w:style>
  <w:style w:type="character" w:customStyle="1" w:styleId="1333">
    <w:name w:val="正文文本缩进 Char5"/>
    <w:qFormat/>
    <w:uiPriority w:val="0"/>
    <w:rPr>
      <w:rFonts w:hint="default" w:ascii="宋体" w:hAnsi="宋体" w:eastAsia="宋体" w:cs="宋体"/>
      <w:color w:val="000000"/>
      <w:sz w:val="24"/>
      <w:szCs w:val="24"/>
      <w:u w:val="none"/>
      <w:lang w:val="en-US" w:eastAsia="zh-CN" w:bidi="ar-SA"/>
    </w:rPr>
  </w:style>
  <w:style w:type="character" w:customStyle="1" w:styleId="1334">
    <w:name w:val="题注 Char33"/>
    <w:qFormat/>
    <w:uiPriority w:val="0"/>
    <w:rPr>
      <w:rFonts w:hint="default" w:ascii="黑体" w:hAnsi="Arial" w:eastAsia="黑体" w:cs="Arial"/>
      <w:b/>
      <w:color w:val="000000"/>
      <w:kern w:val="2"/>
      <w:sz w:val="24"/>
      <w:szCs w:val="24"/>
      <w:u w:val="none"/>
      <w:lang w:val="en-US" w:eastAsia="zh-CN"/>
    </w:rPr>
  </w:style>
  <w:style w:type="character" w:customStyle="1" w:styleId="1335">
    <w:name w:val="表标题 Char"/>
    <w:qFormat/>
    <w:uiPriority w:val="0"/>
    <w:rPr>
      <w:rFonts w:hint="default" w:ascii="Times New Roman" w:hAnsi="Times New Roman" w:eastAsia="宋体" w:cs="黑体"/>
      <w:b/>
      <w:bCs/>
      <w:color w:val="000000"/>
      <w:sz w:val="24"/>
      <w:szCs w:val="24"/>
      <w:u w:val="none"/>
      <w:lang w:val="en-GB"/>
    </w:rPr>
  </w:style>
  <w:style w:type="character" w:customStyle="1" w:styleId="1336">
    <w:name w:val="head121"/>
    <w:qFormat/>
    <w:uiPriority w:val="0"/>
    <w:rPr>
      <w:rFonts w:hint="default" w:ascii="Times New Roman" w:hAnsi="Times New Roman" w:eastAsia="宋体" w:cs="Times New Roman"/>
      <w:color w:val="000000"/>
      <w:kern w:val="2"/>
      <w:sz w:val="22"/>
      <w:szCs w:val="22"/>
      <w:u w:val="none"/>
      <w:lang w:val="en-US" w:eastAsia="zh-CN"/>
    </w:rPr>
  </w:style>
  <w:style w:type="character" w:customStyle="1" w:styleId="1337">
    <w:name w:val="明显引用 Char"/>
    <w:link w:val="1338"/>
    <w:qFormat/>
    <w:uiPriority w:val="0"/>
    <w:rPr>
      <w:rFonts w:hint="default" w:ascii="宋体" w:hAnsi="宋体" w:eastAsia="仿宋_GB2312" w:cs="Times New Roman"/>
      <w:b/>
      <w:i/>
      <w:color w:val="4F81BD"/>
      <w:sz w:val="24"/>
      <w:szCs w:val="16"/>
      <w:u w:val="none"/>
    </w:rPr>
  </w:style>
  <w:style w:type="paragraph" w:customStyle="1" w:styleId="1338">
    <w:name w:val="明显引用1"/>
    <w:basedOn w:val="1"/>
    <w:next w:val="1"/>
    <w:link w:val="1337"/>
    <w:qFormat/>
    <w:uiPriority w:val="0"/>
    <w:pPr>
      <w:widowControl/>
      <w:pBdr>
        <w:bottom w:val="single" w:color="4F81BD" w:sz="4" w:space="4"/>
      </w:pBdr>
      <w:spacing w:before="200" w:after="280"/>
      <w:ind w:left="936" w:right="936"/>
      <w:jc w:val="left"/>
    </w:pPr>
    <w:rPr>
      <w:rFonts w:ascii="宋体" w:hAnsi="宋体"/>
      <w:b/>
      <w:i/>
      <w:color w:val="4F81BD"/>
    </w:rPr>
  </w:style>
  <w:style w:type="character" w:customStyle="1" w:styleId="1339">
    <w:name w:val="Char Char1125"/>
    <w:qFormat/>
    <w:uiPriority w:val="0"/>
    <w:rPr>
      <w:rFonts w:hint="default" w:ascii="黑体" w:hAnsi="Arial" w:eastAsia="黑体" w:cs="Times New Roman"/>
      <w:bCs/>
      <w:color w:val="000000"/>
      <w:kern w:val="2"/>
      <w:sz w:val="30"/>
      <w:szCs w:val="30"/>
      <w:u w:val="none"/>
      <w:lang w:val="en-US" w:eastAsia="zh-CN"/>
    </w:rPr>
  </w:style>
  <w:style w:type="character" w:customStyle="1" w:styleId="1340">
    <w:name w:val="正文缩进 Char7"/>
    <w:qFormat/>
    <w:uiPriority w:val="0"/>
    <w:rPr>
      <w:rFonts w:hint="default" w:ascii="宋体" w:hAnsi="宋体" w:eastAsia="宋体" w:cs="Times New Roman"/>
      <w:color w:val="000000"/>
      <w:kern w:val="2"/>
      <w:sz w:val="24"/>
      <w:szCs w:val="24"/>
      <w:u w:val="none"/>
      <w:lang w:val="en-US" w:eastAsia="zh-CN"/>
    </w:rPr>
  </w:style>
  <w:style w:type="character" w:customStyle="1" w:styleId="1341">
    <w:name w:val="题注 Char111"/>
    <w:qFormat/>
    <w:uiPriority w:val="0"/>
    <w:rPr>
      <w:rFonts w:hint="default" w:ascii="黑体" w:hAnsi="Arial" w:eastAsia="黑体" w:cs="Arial"/>
      <w:b/>
      <w:color w:val="000000"/>
      <w:kern w:val="2"/>
      <w:sz w:val="24"/>
      <w:szCs w:val="24"/>
      <w:u w:val="none"/>
      <w:lang w:val="en-US" w:eastAsia="zh-CN"/>
    </w:rPr>
  </w:style>
  <w:style w:type="character" w:customStyle="1" w:styleId="1342">
    <w:name w:val="正文文本缩进 3 Char4"/>
    <w:qFormat/>
    <w:uiPriority w:val="0"/>
    <w:rPr>
      <w:rFonts w:hint="default" w:ascii="Times New Roman" w:hAnsi="Times New Roman" w:eastAsia="宋体" w:cs="Times New Roman"/>
      <w:color w:val="000000"/>
      <w:kern w:val="2"/>
      <w:sz w:val="16"/>
      <w:szCs w:val="16"/>
      <w:u w:val="none"/>
      <w:lang w:val="en-US" w:eastAsia="zh-CN"/>
    </w:rPr>
  </w:style>
  <w:style w:type="character" w:customStyle="1" w:styleId="1343">
    <w:name w:val="表蕊 Char1"/>
    <w:link w:val="1344"/>
    <w:qFormat/>
    <w:uiPriority w:val="0"/>
    <w:rPr>
      <w:rFonts w:hint="default" w:ascii="Times New Roman" w:hAnsi="Times New Roman" w:eastAsia="楷体_GB2312" w:cs="Times New Roman"/>
      <w:color w:val="000000"/>
      <w:spacing w:val="-10"/>
      <w:sz w:val="16"/>
      <w:szCs w:val="16"/>
      <w:u w:val="none"/>
    </w:rPr>
  </w:style>
  <w:style w:type="paragraph" w:customStyle="1" w:styleId="1344">
    <w:name w:val="表蕊"/>
    <w:basedOn w:val="1"/>
    <w:link w:val="1343"/>
    <w:qFormat/>
    <w:uiPriority w:val="0"/>
    <w:pPr>
      <w:spacing w:line="280" w:lineRule="atLeast"/>
      <w:jc w:val="left"/>
    </w:pPr>
    <w:rPr>
      <w:rFonts w:eastAsia="楷体_GB2312"/>
      <w:spacing w:val="-10"/>
    </w:rPr>
  </w:style>
  <w:style w:type="character" w:customStyle="1" w:styleId="1345">
    <w:name w:val="Char Char113"/>
    <w:qFormat/>
    <w:uiPriority w:val="0"/>
    <w:rPr>
      <w:rFonts w:hint="default" w:ascii="黑体" w:hAnsi="Arial" w:eastAsia="黑体" w:cs="Times New Roman"/>
      <w:bCs/>
      <w:color w:val="000000"/>
      <w:kern w:val="2"/>
      <w:sz w:val="30"/>
      <w:szCs w:val="30"/>
      <w:u w:val="none"/>
      <w:lang w:val="en-US" w:eastAsia="zh-CN"/>
    </w:rPr>
  </w:style>
  <w:style w:type="character" w:customStyle="1" w:styleId="1346">
    <w:name w:val="正文首行缩进 2 Char12"/>
    <w:qFormat/>
    <w:uiPriority w:val="0"/>
    <w:rPr>
      <w:rFonts w:hint="default" w:ascii="仿宋_GB2312" w:hAnsi="Times New Roman" w:eastAsia="仿宋_GB2312" w:cs="Times New Roman"/>
      <w:color w:val="000000"/>
      <w:kern w:val="2"/>
      <w:sz w:val="21"/>
      <w:szCs w:val="16"/>
      <w:u w:val="none"/>
      <w:lang w:val="en-US" w:eastAsia="zh-CN"/>
    </w:rPr>
  </w:style>
  <w:style w:type="character" w:customStyle="1" w:styleId="1347">
    <w:name w:val="Char Char510"/>
    <w:qFormat/>
    <w:uiPriority w:val="0"/>
    <w:rPr>
      <w:rFonts w:hint="default" w:ascii="黑体" w:hAnsi="宋体" w:eastAsia="黑体" w:cs="Times New Roman"/>
      <w:bCs/>
      <w:color w:val="000000"/>
      <w:kern w:val="2"/>
      <w:sz w:val="28"/>
      <w:szCs w:val="28"/>
      <w:u w:val="none"/>
      <w:lang w:val="en-US" w:eastAsia="zh-CN"/>
    </w:rPr>
  </w:style>
  <w:style w:type="character" w:customStyle="1" w:styleId="1348">
    <w:name w:val="标题 2 Char Char11"/>
    <w:qFormat/>
    <w:uiPriority w:val="0"/>
    <w:rPr>
      <w:rFonts w:hint="default" w:ascii="黑体" w:hAnsi="Arial" w:eastAsia="黑体" w:cs="Times New Roman"/>
      <w:bCs/>
      <w:color w:val="000000"/>
      <w:kern w:val="2"/>
      <w:sz w:val="30"/>
      <w:szCs w:val="30"/>
      <w:u w:val="none"/>
      <w:lang w:val="en-US" w:eastAsia="zh-CN"/>
    </w:rPr>
  </w:style>
  <w:style w:type="character" w:customStyle="1" w:styleId="1349">
    <w:name w:val="正文文本 Char4"/>
    <w:qFormat/>
    <w:uiPriority w:val="0"/>
    <w:rPr>
      <w:rFonts w:hint="default" w:ascii="Times New Roman" w:hAnsi="Times New Roman" w:eastAsia="宋体" w:cs="Times New Roman"/>
      <w:color w:val="000000"/>
      <w:kern w:val="2"/>
      <w:sz w:val="24"/>
      <w:szCs w:val="24"/>
      <w:u w:val="none"/>
      <w:lang w:val="en-US" w:eastAsia="zh-CN"/>
    </w:rPr>
  </w:style>
  <w:style w:type="character" w:customStyle="1" w:styleId="1350">
    <w:name w:val="表格内字体 Char31"/>
    <w:qFormat/>
    <w:uiPriority w:val="0"/>
    <w:rPr>
      <w:rFonts w:hint="default" w:ascii="宋体" w:hAnsi="宋体" w:eastAsia="宋体" w:cs="Times New Roman"/>
      <w:color w:val="000000"/>
      <w:kern w:val="2"/>
      <w:sz w:val="21"/>
      <w:szCs w:val="24"/>
      <w:u w:val="none"/>
      <w:lang w:val="en-US" w:eastAsia="zh-CN"/>
    </w:rPr>
  </w:style>
  <w:style w:type="character" w:customStyle="1" w:styleId="1351">
    <w:name w:val="标题 7 表 Char1"/>
    <w:qFormat/>
    <w:uiPriority w:val="99"/>
    <w:rPr>
      <w:rFonts w:hint="default" w:ascii="Times New Roman" w:hAnsi="Times New Roman" w:eastAsia="宋体" w:cs="Times New Roman"/>
      <w:b/>
      <w:bCs/>
      <w:color w:val="000000"/>
      <w:kern w:val="2"/>
      <w:sz w:val="24"/>
      <w:szCs w:val="24"/>
      <w:u w:val="none"/>
      <w:lang w:val="en-US" w:eastAsia="zh-CN"/>
    </w:rPr>
  </w:style>
  <w:style w:type="character" w:customStyle="1" w:styleId="1352">
    <w:name w:val="正文文本缩进 3 Char6"/>
    <w:link w:val="1353"/>
    <w:qFormat/>
    <w:uiPriority w:val="0"/>
    <w:rPr>
      <w:rFonts w:hint="default" w:ascii="Tahoma" w:hAnsi="Tahoma" w:cs="Times New Roman"/>
      <w:color w:val="000000"/>
      <w:sz w:val="28"/>
      <w:szCs w:val="16"/>
      <w:u w:val="none"/>
    </w:rPr>
  </w:style>
  <w:style w:type="paragraph" w:customStyle="1" w:styleId="1353">
    <w:name w:val="Body Text Indent 31"/>
    <w:basedOn w:val="1"/>
    <w:link w:val="1352"/>
    <w:qFormat/>
    <w:uiPriority w:val="0"/>
    <w:pPr>
      <w:widowControl/>
      <w:spacing w:line="400" w:lineRule="exact"/>
      <w:ind w:firstLine="420"/>
      <w:jc w:val="left"/>
    </w:pPr>
    <w:rPr>
      <w:rFonts w:ascii="Tahoma" w:hAnsi="Tahoma"/>
    </w:rPr>
  </w:style>
  <w:style w:type="character" w:customStyle="1" w:styleId="1354">
    <w:name w:val="A正文 Char Char"/>
    <w:link w:val="89"/>
    <w:qFormat/>
    <w:uiPriority w:val="0"/>
    <w:rPr>
      <w:rFonts w:hint="default" w:ascii="Times New Roman" w:hAnsi="Times New Roman" w:eastAsia="仿宋_GB2312" w:cs="Times New Roman"/>
      <w:color w:val="000000"/>
      <w:sz w:val="24"/>
      <w:szCs w:val="16"/>
      <w:u w:val="none"/>
    </w:rPr>
  </w:style>
  <w:style w:type="character" w:customStyle="1" w:styleId="1355">
    <w:name w:val="二级项 Char3"/>
    <w:qFormat/>
    <w:uiPriority w:val="0"/>
    <w:rPr>
      <w:rFonts w:hint="default" w:ascii="Arial" w:hAnsi="Arial" w:eastAsia="黑体" w:cs="Times New Roman"/>
      <w:b/>
      <w:bCs/>
      <w:color w:val="000000"/>
      <w:kern w:val="2"/>
      <w:sz w:val="24"/>
      <w:szCs w:val="24"/>
      <w:u w:val="none"/>
      <w:lang w:val="en-US" w:eastAsia="zh-CN"/>
    </w:rPr>
  </w:style>
  <w:style w:type="character" w:customStyle="1" w:styleId="1356">
    <w:name w:val="Char Char1121"/>
    <w:qFormat/>
    <w:uiPriority w:val="0"/>
    <w:rPr>
      <w:rFonts w:hint="default" w:ascii="黑体" w:hAnsi="Arial" w:eastAsia="黑体" w:cs="Times New Roman"/>
      <w:bCs/>
      <w:color w:val="000000"/>
      <w:kern w:val="2"/>
      <w:sz w:val="30"/>
      <w:szCs w:val="30"/>
      <w:u w:val="none"/>
      <w:lang w:val="en-US" w:eastAsia="zh-CN"/>
    </w:rPr>
  </w:style>
  <w:style w:type="character" w:customStyle="1" w:styleId="1357">
    <w:name w:val="标题4改 Char Char"/>
    <w:link w:val="1358"/>
    <w:qFormat/>
    <w:uiPriority w:val="0"/>
    <w:rPr>
      <w:rFonts w:hint="default" w:ascii="Times New Roman" w:hAnsi="Times New Roman" w:eastAsia="黑体" w:cs="Times New Roman"/>
      <w:color w:val="000000"/>
      <w:sz w:val="24"/>
      <w:szCs w:val="16"/>
      <w:u w:val="none"/>
    </w:rPr>
  </w:style>
  <w:style w:type="paragraph" w:customStyle="1" w:styleId="1358">
    <w:name w:val="标题4改"/>
    <w:basedOn w:val="1"/>
    <w:next w:val="1"/>
    <w:link w:val="1357"/>
    <w:qFormat/>
    <w:uiPriority w:val="0"/>
    <w:pPr>
      <w:widowControl/>
      <w:spacing w:before="120" w:after="120"/>
      <w:ind w:firstLine="0" w:firstLineChars="0"/>
      <w:jc w:val="left"/>
      <w:outlineLvl w:val="3"/>
    </w:pPr>
    <w:rPr>
      <w:rFonts w:eastAsia="黑体"/>
    </w:rPr>
  </w:style>
  <w:style w:type="character" w:customStyle="1" w:styleId="1359">
    <w:name w:val="题注 Char1111"/>
    <w:qFormat/>
    <w:uiPriority w:val="0"/>
    <w:rPr>
      <w:rFonts w:hint="default" w:ascii="黑体" w:hAnsi="Arial" w:eastAsia="黑体" w:cs="Arial"/>
      <w:b/>
      <w:color w:val="000000"/>
      <w:kern w:val="2"/>
      <w:sz w:val="24"/>
      <w:szCs w:val="24"/>
      <w:u w:val="none"/>
      <w:lang w:val="en-US" w:eastAsia="zh-CN"/>
    </w:rPr>
  </w:style>
  <w:style w:type="character" w:customStyle="1" w:styleId="1360">
    <w:name w:val="文字缩进 Char3"/>
    <w:qFormat/>
    <w:uiPriority w:val="0"/>
    <w:rPr>
      <w:rFonts w:hint="default" w:ascii="宋体" w:hAnsi="Courier New" w:eastAsia="宋体" w:cs="Times New Roman"/>
      <w:color w:val="000000"/>
      <w:kern w:val="2"/>
      <w:sz w:val="21"/>
      <w:szCs w:val="16"/>
      <w:u w:val="none"/>
      <w:lang w:val="en-US" w:eastAsia="zh-CN"/>
    </w:rPr>
  </w:style>
  <w:style w:type="character" w:customStyle="1" w:styleId="1361">
    <w:name w:val="题注 Char312"/>
    <w:qFormat/>
    <w:uiPriority w:val="0"/>
    <w:rPr>
      <w:rFonts w:hint="default" w:ascii="黑体" w:hAnsi="Arial" w:eastAsia="黑体" w:cs="Arial"/>
      <w:b/>
      <w:color w:val="000000"/>
      <w:kern w:val="2"/>
      <w:sz w:val="24"/>
      <w:szCs w:val="24"/>
      <w:u w:val="none"/>
      <w:lang w:val="en-US" w:eastAsia="zh-CN"/>
    </w:rPr>
  </w:style>
  <w:style w:type="character" w:customStyle="1" w:styleId="1362">
    <w:name w:val="燕山正文 Char14"/>
    <w:qFormat/>
    <w:uiPriority w:val="0"/>
    <w:rPr>
      <w:rFonts w:hint="default" w:ascii="宋体" w:hAnsi="Times New Roman" w:eastAsia="宋体" w:cs="宋体"/>
      <w:color w:val="000000"/>
      <w:kern w:val="2"/>
      <w:sz w:val="24"/>
      <w:szCs w:val="24"/>
      <w:u w:val="none"/>
      <w:lang w:val="en-US" w:eastAsia="zh-CN"/>
    </w:rPr>
  </w:style>
  <w:style w:type="character" w:customStyle="1" w:styleId="1363">
    <w:name w:val="24磅正文 Char"/>
    <w:qFormat/>
    <w:uiPriority w:val="0"/>
    <w:rPr>
      <w:rFonts w:hint="default" w:ascii="Times New Roman" w:hAnsi="Times New Roman" w:cs="Times New Roman"/>
      <w:color w:val="000000"/>
      <w:sz w:val="16"/>
      <w:szCs w:val="24"/>
      <w:u w:val="none"/>
    </w:rPr>
  </w:style>
  <w:style w:type="character" w:customStyle="1" w:styleId="1364">
    <w:name w:val="正文标题3 Char Char"/>
    <w:link w:val="1365"/>
    <w:qFormat/>
    <w:uiPriority w:val="0"/>
    <w:rPr>
      <w:rFonts w:hint="default" w:ascii="Times New Roman" w:hAnsi="Times New Roman" w:eastAsia="仿宋_GB2312" w:cs="Times New Roman"/>
      <w:b/>
      <w:color w:val="000000"/>
      <w:sz w:val="28"/>
      <w:szCs w:val="16"/>
      <w:u w:val="none"/>
    </w:rPr>
  </w:style>
  <w:style w:type="paragraph" w:customStyle="1" w:styleId="1365">
    <w:name w:val="正文标题3"/>
    <w:basedOn w:val="98"/>
    <w:link w:val="1364"/>
    <w:qFormat/>
    <w:uiPriority w:val="0"/>
    <w:pPr>
      <w:spacing w:beforeLines="50" w:afterLines="50" w:line="500" w:lineRule="exact"/>
      <w:outlineLvl w:val="2"/>
    </w:pPr>
    <w:rPr>
      <w:rFonts w:ascii="Times New Roman" w:hAnsi="Times New Roman" w:eastAsia="仿宋_GB2312" w:cs="Times New Roman"/>
      <w:b/>
      <w:color w:val="000000"/>
      <w:sz w:val="28"/>
      <w:szCs w:val="22"/>
    </w:rPr>
  </w:style>
  <w:style w:type="character" w:customStyle="1" w:styleId="1366">
    <w:name w:val="注释标题 Char3"/>
    <w:link w:val="1367"/>
    <w:qFormat/>
    <w:uiPriority w:val="0"/>
    <w:rPr>
      <w:rFonts w:hint="default" w:ascii="宋体" w:hAnsi="Times New Roman" w:cs="Times New Roman"/>
      <w:color w:val="000000"/>
      <w:sz w:val="16"/>
      <w:szCs w:val="16"/>
      <w:u w:val="none"/>
    </w:rPr>
  </w:style>
  <w:style w:type="paragraph" w:customStyle="1" w:styleId="1367">
    <w:name w:val="Note Heading1"/>
    <w:basedOn w:val="1"/>
    <w:next w:val="1"/>
    <w:link w:val="1366"/>
    <w:qFormat/>
    <w:uiPriority w:val="0"/>
    <w:pPr>
      <w:widowControl/>
      <w:jc w:val="center"/>
    </w:pPr>
    <w:rPr>
      <w:rFonts w:ascii="宋体"/>
    </w:rPr>
  </w:style>
  <w:style w:type="character" w:customStyle="1" w:styleId="1368">
    <w:name w:val="样式正文 Char Char"/>
    <w:link w:val="1369"/>
    <w:qFormat/>
    <w:uiPriority w:val="0"/>
    <w:rPr>
      <w:rFonts w:hint="default" w:ascii="Times New Roman" w:hAnsi="Times New Roman" w:cs="Times New Roman"/>
      <w:color w:val="000000"/>
      <w:sz w:val="24"/>
      <w:szCs w:val="16"/>
      <w:u w:val="none"/>
    </w:rPr>
  </w:style>
  <w:style w:type="paragraph" w:customStyle="1" w:styleId="1369">
    <w:name w:val="样式正文"/>
    <w:basedOn w:val="1"/>
    <w:link w:val="1368"/>
    <w:qFormat/>
    <w:uiPriority w:val="0"/>
    <w:pPr>
      <w:spacing w:line="400" w:lineRule="exact"/>
    </w:pPr>
  </w:style>
  <w:style w:type="character" w:customStyle="1" w:styleId="1370">
    <w:name w:val="dectext1"/>
    <w:qFormat/>
    <w:uiPriority w:val="0"/>
    <w:rPr>
      <w:rFonts w:hint="eastAsia" w:ascii="宋体" w:hAnsi="宋体" w:eastAsia="宋体" w:cs="Times New Roman"/>
      <w:color w:val="333333"/>
      <w:sz w:val="21"/>
      <w:szCs w:val="21"/>
      <w:u w:val="none"/>
    </w:rPr>
  </w:style>
  <w:style w:type="character" w:customStyle="1" w:styleId="1371">
    <w:name w:val="批注主题 Char"/>
    <w:link w:val="1372"/>
    <w:qFormat/>
    <w:uiPriority w:val="0"/>
    <w:rPr>
      <w:rFonts w:hint="default" w:ascii="Times New Roman" w:hAnsi="Times New Roman" w:cs="Times New Roman"/>
      <w:b/>
      <w:color w:val="000000"/>
      <w:sz w:val="24"/>
      <w:szCs w:val="16"/>
      <w:u w:val="none"/>
    </w:rPr>
  </w:style>
  <w:style w:type="paragraph" w:customStyle="1" w:styleId="1372">
    <w:name w:val="批注主题1"/>
    <w:basedOn w:val="22"/>
    <w:next w:val="22"/>
    <w:link w:val="1371"/>
    <w:qFormat/>
    <w:uiPriority w:val="99"/>
    <w:pPr>
      <w:widowControl/>
      <w:spacing w:line="240" w:lineRule="auto"/>
      <w:ind w:firstLine="0" w:firstLineChars="0"/>
    </w:pPr>
    <w:rPr>
      <w:b/>
      <w:sz w:val="24"/>
    </w:rPr>
  </w:style>
  <w:style w:type="character" w:customStyle="1" w:styleId="1373">
    <w:name w:val="标题 9 Char21"/>
    <w:qFormat/>
    <w:uiPriority w:val="0"/>
    <w:rPr>
      <w:rFonts w:hint="default" w:ascii="Arial" w:hAnsi="Arial" w:eastAsia="黑体" w:cs="Times New Roman"/>
      <w:color w:val="000000"/>
      <w:kern w:val="2"/>
      <w:sz w:val="24"/>
      <w:szCs w:val="21"/>
      <w:u w:val="none"/>
      <w:lang w:val="en-US" w:eastAsia="zh-CN"/>
    </w:rPr>
  </w:style>
  <w:style w:type="character" w:customStyle="1" w:styleId="1374">
    <w:name w:val="干标题(a) Char3"/>
    <w:qFormat/>
    <w:uiPriority w:val="0"/>
    <w:rPr>
      <w:rFonts w:hint="default" w:ascii="Arial" w:hAnsi="Arial" w:eastAsia="黑体" w:cs="Times New Roman"/>
      <w:color w:val="000000"/>
      <w:kern w:val="2"/>
      <w:sz w:val="21"/>
      <w:szCs w:val="21"/>
      <w:u w:val="none"/>
      <w:lang w:val="en-US" w:eastAsia="zh-CN"/>
    </w:rPr>
  </w:style>
  <w:style w:type="character" w:customStyle="1" w:styleId="1375">
    <w:name w:val="正文文本 3 Char3"/>
    <w:qFormat/>
    <w:uiPriority w:val="99"/>
    <w:rPr>
      <w:rFonts w:hint="default" w:ascii="Times New Roman" w:hAnsi="Times New Roman" w:eastAsia="宋体" w:cs="Times New Roman"/>
      <w:color w:val="000000"/>
      <w:kern w:val="2"/>
      <w:sz w:val="16"/>
      <w:szCs w:val="16"/>
      <w:u w:val="none"/>
      <w:lang w:val="en-US" w:eastAsia="zh-CN"/>
    </w:rPr>
  </w:style>
  <w:style w:type="character" w:customStyle="1" w:styleId="1376">
    <w:name w:val="HTML 打字机1"/>
    <w:qFormat/>
    <w:uiPriority w:val="0"/>
    <w:rPr>
      <w:rFonts w:hint="default" w:ascii="Courier New" w:hAnsi="Courier New" w:eastAsia="宋体" w:cs="Courier New"/>
      <w:color w:val="000000"/>
      <w:kern w:val="2"/>
      <w:sz w:val="20"/>
      <w:szCs w:val="20"/>
      <w:u w:val="none"/>
      <w:lang w:val="en-US" w:eastAsia="zh-CN"/>
    </w:rPr>
  </w:style>
  <w:style w:type="character" w:customStyle="1" w:styleId="1377">
    <w:name w:val="图名 Char"/>
    <w:link w:val="1378"/>
    <w:qFormat/>
    <w:uiPriority w:val="0"/>
    <w:rPr>
      <w:rFonts w:hint="default" w:ascii="宋体" w:hAnsi="Arial" w:eastAsia="宋体" w:cs="Times New Roman"/>
      <w:b/>
      <w:snapToGrid w:val="0"/>
      <w:color w:val="000000"/>
      <w:spacing w:val="6"/>
      <w:position w:val="10"/>
      <w:sz w:val="24"/>
      <w:szCs w:val="21"/>
      <w:u w:val="none"/>
    </w:rPr>
  </w:style>
  <w:style w:type="paragraph" w:customStyle="1" w:styleId="1378">
    <w:name w:val="图名"/>
    <w:basedOn w:val="1"/>
    <w:link w:val="1377"/>
    <w:qFormat/>
    <w:uiPriority w:val="0"/>
    <w:pPr>
      <w:adjustRightInd/>
      <w:spacing w:before="60" w:line="460" w:lineRule="atLeast"/>
      <w:ind w:firstLine="0" w:firstLineChars="0"/>
      <w:jc w:val="center"/>
    </w:pPr>
    <w:rPr>
      <w:rFonts w:ascii="宋体" w:hAnsi="Arial"/>
      <w:b/>
      <w:snapToGrid w:val="0"/>
      <w:color w:val="auto"/>
      <w:spacing w:val="6"/>
      <w:kern w:val="0"/>
      <w:position w:val="10"/>
      <w:szCs w:val="21"/>
    </w:rPr>
  </w:style>
  <w:style w:type="character" w:customStyle="1" w:styleId="1379">
    <w:name w:val="正文文本首行缩进 2 字符"/>
    <w:link w:val="61"/>
    <w:qFormat/>
    <w:uiPriority w:val="0"/>
    <w:rPr>
      <w:rFonts w:hint="default" w:ascii="Arial" w:hAnsi="Arial" w:eastAsia="宋体" w:cs="Times New Roman"/>
      <w:snapToGrid w:val="0"/>
      <w:color w:val="000000"/>
      <w:sz w:val="28"/>
      <w:szCs w:val="32"/>
      <w:u w:val="none"/>
    </w:rPr>
  </w:style>
  <w:style w:type="character" w:customStyle="1" w:styleId="1380">
    <w:name w:val="Char Char69"/>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381">
    <w:name w:val="font61"/>
    <w:qFormat/>
    <w:uiPriority w:val="0"/>
    <w:rPr>
      <w:rFonts w:hint="eastAsia" w:ascii="宋体" w:hAnsi="宋体" w:eastAsia="宋体" w:cs="宋体"/>
      <w:color w:val="000000"/>
      <w:sz w:val="22"/>
      <w:szCs w:val="22"/>
      <w:u w:val="none"/>
    </w:rPr>
  </w:style>
  <w:style w:type="character" w:customStyle="1" w:styleId="1382">
    <w:name w:val="正文001 Char"/>
    <w:link w:val="1383"/>
    <w:qFormat/>
    <w:uiPriority w:val="0"/>
    <w:rPr>
      <w:rFonts w:hint="default" w:ascii="Times New Roman" w:hAnsi="Times New Roman" w:eastAsia="宋体" w:cs="Times New Roman"/>
      <w:color w:val="000000"/>
      <w:sz w:val="24"/>
      <w:szCs w:val="16"/>
      <w:u w:val="none"/>
    </w:rPr>
  </w:style>
  <w:style w:type="paragraph" w:customStyle="1" w:styleId="1383">
    <w:name w:val="正文001"/>
    <w:basedOn w:val="1"/>
    <w:link w:val="1382"/>
    <w:qFormat/>
    <w:uiPriority w:val="0"/>
    <w:pPr>
      <w:adjustRightInd/>
      <w:snapToGrid/>
      <w:spacing w:line="500" w:lineRule="atLeast"/>
    </w:pPr>
    <w:rPr>
      <w:color w:val="auto"/>
      <w:kern w:val="0"/>
      <w:szCs w:val="20"/>
    </w:rPr>
  </w:style>
  <w:style w:type="character" w:customStyle="1" w:styleId="1384">
    <w:name w:val="表中文字 Char41"/>
    <w:qFormat/>
    <w:uiPriority w:val="0"/>
    <w:rPr>
      <w:rFonts w:hint="default" w:ascii="Arial" w:hAnsi="Arial" w:eastAsia="宋体" w:cs="Times New Roman"/>
      <w:color w:val="000000"/>
      <w:kern w:val="0"/>
      <w:sz w:val="20"/>
      <w:szCs w:val="24"/>
      <w:u w:val="none"/>
      <w:lang w:val="en-US" w:eastAsia="zh-TW"/>
    </w:rPr>
  </w:style>
  <w:style w:type="character" w:customStyle="1" w:styleId="1385">
    <w:name w:val="Char Char11110"/>
    <w:qFormat/>
    <w:uiPriority w:val="0"/>
    <w:rPr>
      <w:rFonts w:hint="default" w:ascii="黑体" w:hAnsi="Arial" w:eastAsia="黑体" w:cs="Times New Roman"/>
      <w:bCs/>
      <w:color w:val="000000"/>
      <w:kern w:val="2"/>
      <w:sz w:val="30"/>
      <w:szCs w:val="30"/>
      <w:u w:val="none"/>
      <w:lang w:val="en-US" w:eastAsia="zh-CN"/>
    </w:rPr>
  </w:style>
  <w:style w:type="character" w:customStyle="1" w:styleId="1386">
    <w:name w:val="正文修改 Char1413"/>
    <w:qFormat/>
    <w:uiPriority w:val="0"/>
    <w:rPr>
      <w:rFonts w:hint="default" w:ascii="宋体" w:hAnsi="Times New Roman" w:cs="宋体"/>
      <w:color w:val="000000"/>
      <w:kern w:val="2"/>
      <w:sz w:val="24"/>
      <w:szCs w:val="24"/>
      <w:u w:val="none"/>
    </w:rPr>
  </w:style>
  <w:style w:type="character" w:customStyle="1" w:styleId="1387">
    <w:name w:val="题注 Char8"/>
    <w:qFormat/>
    <w:uiPriority w:val="0"/>
    <w:rPr>
      <w:rFonts w:hint="default" w:ascii="黑体" w:hAnsi="Arial" w:eastAsia="黑体" w:cs="Arial"/>
      <w:b/>
      <w:color w:val="000000"/>
      <w:kern w:val="2"/>
      <w:sz w:val="24"/>
      <w:szCs w:val="24"/>
      <w:u w:val="none"/>
      <w:lang w:val="en-US" w:eastAsia="zh-CN"/>
    </w:rPr>
  </w:style>
  <w:style w:type="character" w:customStyle="1" w:styleId="1388">
    <w:name w:val="正文斜体 Char21"/>
    <w:qFormat/>
    <w:uiPriority w:val="0"/>
    <w:rPr>
      <w:rFonts w:hint="default" w:ascii="宋体" w:hAnsi="宋体" w:eastAsia="宋体" w:cs="Times New Roman"/>
      <w:i/>
      <w:iCs/>
      <w:color w:val="000000"/>
      <w:kern w:val="2"/>
      <w:sz w:val="24"/>
      <w:szCs w:val="24"/>
      <w:u w:val="none"/>
      <w:lang w:val="en-US" w:eastAsia="zh-CN"/>
    </w:rPr>
  </w:style>
  <w:style w:type="character" w:customStyle="1" w:styleId="1389">
    <w:name w:val="正文文本 3 Char31"/>
    <w:qFormat/>
    <w:uiPriority w:val="0"/>
    <w:rPr>
      <w:rFonts w:hint="default" w:ascii="Times New Roman" w:hAnsi="Times New Roman" w:eastAsia="宋体" w:cs="Times New Roman"/>
      <w:color w:val="000000"/>
      <w:kern w:val="2"/>
      <w:sz w:val="16"/>
      <w:szCs w:val="16"/>
      <w:u w:val="none"/>
      <w:lang w:val="en-US" w:eastAsia="zh-CN"/>
    </w:rPr>
  </w:style>
  <w:style w:type="character" w:customStyle="1" w:styleId="1390">
    <w:name w:val="页脚 Char4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1391">
    <w:name w:val="河石1 Char14"/>
    <w:qFormat/>
    <w:uiPriority w:val="0"/>
    <w:rPr>
      <w:rFonts w:hint="default" w:ascii="黑体" w:hAnsi="宋体" w:eastAsia="黑体" w:cs="Times New Roman"/>
      <w:bCs/>
      <w:color w:val="000000"/>
      <w:kern w:val="44"/>
      <w:sz w:val="32"/>
      <w:szCs w:val="32"/>
      <w:u w:val="none"/>
      <w:lang w:val="en-US" w:eastAsia="zh-CN"/>
    </w:rPr>
  </w:style>
  <w:style w:type="character" w:customStyle="1" w:styleId="1392">
    <w:name w:val="标题 5 Char1"/>
    <w:qFormat/>
    <w:uiPriority w:val="0"/>
    <w:rPr>
      <w:rFonts w:hint="default" w:ascii="Times New Roman" w:hAnsi="Times New Roman" w:eastAsia="仿宋_GB2312" w:cs="Times New Roman"/>
      <w:b/>
      <w:color w:val="000000"/>
      <w:kern w:val="2"/>
      <w:sz w:val="28"/>
      <w:szCs w:val="16"/>
      <w:u w:val="none"/>
    </w:rPr>
  </w:style>
  <w:style w:type="character" w:customStyle="1" w:styleId="1393">
    <w:name w:val="题注 Char53"/>
    <w:qFormat/>
    <w:uiPriority w:val="0"/>
    <w:rPr>
      <w:rFonts w:hint="default" w:ascii="黑体" w:hAnsi="Arial" w:eastAsia="黑体" w:cs="Arial"/>
      <w:b/>
      <w:color w:val="000000"/>
      <w:kern w:val="2"/>
      <w:sz w:val="24"/>
      <w:szCs w:val="24"/>
      <w:u w:val="none"/>
      <w:lang w:val="en-US" w:eastAsia="zh-CN"/>
    </w:rPr>
  </w:style>
  <w:style w:type="character" w:customStyle="1" w:styleId="1394">
    <w:name w:val="Char Char1211"/>
    <w:qFormat/>
    <w:uiPriority w:val="0"/>
    <w:rPr>
      <w:rFonts w:hint="default" w:ascii="黑体" w:hAnsi="Arial" w:eastAsia="黑体" w:cs="Times New Roman"/>
      <w:b/>
      <w:bCs/>
      <w:color w:val="000000"/>
      <w:kern w:val="2"/>
      <w:sz w:val="30"/>
      <w:szCs w:val="30"/>
      <w:u w:val="none"/>
      <w:lang w:val="en-US" w:eastAsia="zh-CN"/>
    </w:rPr>
  </w:style>
  <w:style w:type="character" w:customStyle="1" w:styleId="1395">
    <w:name w:val="页脚 Char31"/>
    <w:qFormat/>
    <w:uiPriority w:val="0"/>
    <w:rPr>
      <w:rFonts w:hint="default" w:ascii="Times New Roman" w:hAnsi="Times New Roman" w:eastAsia="宋体" w:cs="Times New Roman"/>
      <w:color w:val="000000"/>
      <w:kern w:val="2"/>
      <w:sz w:val="18"/>
      <w:szCs w:val="18"/>
      <w:u w:val="none"/>
      <w:lang w:val="en-US" w:eastAsia="zh-CN"/>
    </w:rPr>
  </w:style>
  <w:style w:type="character" w:customStyle="1" w:styleId="1396">
    <w:name w:val="表中文字 Char251"/>
    <w:qFormat/>
    <w:uiPriority w:val="0"/>
    <w:rPr>
      <w:rFonts w:hint="default" w:ascii="宋体" w:hAnsi="Times New Roman" w:eastAsia="宋体" w:cs="Times New Roman"/>
      <w:color w:val="000000"/>
      <w:kern w:val="2"/>
      <w:sz w:val="21"/>
      <w:szCs w:val="21"/>
      <w:u w:val="none"/>
      <w:lang w:val="en-US" w:eastAsia="zh-CN"/>
    </w:rPr>
  </w:style>
  <w:style w:type="character" w:customStyle="1" w:styleId="1397">
    <w:name w:val="Char Char651"/>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398">
    <w:name w:val="z-Bottom of Form Char1"/>
    <w:link w:val="1399"/>
    <w:qFormat/>
    <w:uiPriority w:val="0"/>
    <w:rPr>
      <w:rFonts w:hint="default" w:ascii="Arial" w:hAnsi="Arial" w:eastAsia="仿宋_GB2312" w:cs="Times New Roman"/>
      <w:vanish/>
      <w:color w:val="000000"/>
      <w:sz w:val="16"/>
      <w:szCs w:val="16"/>
      <w:u w:val="none"/>
    </w:rPr>
  </w:style>
  <w:style w:type="paragraph" w:customStyle="1" w:styleId="1399">
    <w:name w:val="z-窗体底端2"/>
    <w:basedOn w:val="1"/>
    <w:next w:val="1"/>
    <w:link w:val="1398"/>
    <w:qFormat/>
    <w:uiPriority w:val="0"/>
    <w:pPr>
      <w:pBdr>
        <w:top w:val="single" w:color="auto" w:sz="6" w:space="1"/>
      </w:pBdr>
      <w:spacing w:line="300" w:lineRule="auto"/>
      <w:jc w:val="center"/>
    </w:pPr>
    <w:rPr>
      <w:rFonts w:ascii="Arial" w:hAnsi="Arial"/>
      <w:vanish/>
      <w:sz w:val="16"/>
    </w:rPr>
  </w:style>
  <w:style w:type="character" w:customStyle="1" w:styleId="1400">
    <w:name w:val="标题4 Char2"/>
    <w:qFormat/>
    <w:uiPriority w:val="0"/>
    <w:rPr>
      <w:rFonts w:hint="default" w:ascii="黑体" w:hAnsi="Arial" w:eastAsia="黑体" w:cs="Times New Roman"/>
      <w:b/>
      <w:bCs/>
      <w:color w:val="000000"/>
      <w:kern w:val="2"/>
      <w:sz w:val="24"/>
      <w:szCs w:val="28"/>
      <w:u w:val="none"/>
      <w:lang w:val="en-US" w:eastAsia="zh-CN"/>
    </w:rPr>
  </w:style>
  <w:style w:type="character" w:customStyle="1" w:styleId="1401">
    <w:name w:val="样式 标题 3 + 仿宋_GB23121 Char Char"/>
    <w:link w:val="1402"/>
    <w:qFormat/>
    <w:uiPriority w:val="0"/>
    <w:rPr>
      <w:rFonts w:ascii="仿宋_GB2312" w:hAnsi="仿宋_GB2312"/>
      <w:b/>
      <w:color w:val="000000"/>
      <w:kern w:val="2"/>
      <w:sz w:val="24"/>
      <w:szCs w:val="22"/>
    </w:rPr>
  </w:style>
  <w:style w:type="paragraph" w:customStyle="1" w:styleId="1402">
    <w:name w:val="样式 标题 3 + 仿宋_GB23121"/>
    <w:basedOn w:val="4"/>
    <w:link w:val="1401"/>
    <w:qFormat/>
    <w:uiPriority w:val="0"/>
    <w:rPr>
      <w:rFonts w:ascii="仿宋_GB2312" w:hAnsi="仿宋_GB2312"/>
      <w:bCs w:val="0"/>
      <w:szCs w:val="22"/>
    </w:rPr>
  </w:style>
  <w:style w:type="character" w:customStyle="1" w:styleId="1403">
    <w:name w:val="unnamed11"/>
    <w:qFormat/>
    <w:uiPriority w:val="0"/>
    <w:rPr>
      <w:rFonts w:hint="default" w:ascii="Times New Roman" w:hAnsi="Times New Roman" w:eastAsia="宋体" w:cs="Times New Roman"/>
      <w:color w:val="000000"/>
      <w:kern w:val="2"/>
      <w:sz w:val="18"/>
      <w:szCs w:val="28"/>
      <w:u w:val="none"/>
      <w:lang w:val="en-US" w:eastAsia="zh-CN"/>
    </w:rPr>
  </w:style>
  <w:style w:type="character" w:customStyle="1" w:styleId="1404">
    <w:name w:val="表格内字体 Char71"/>
    <w:qFormat/>
    <w:uiPriority w:val="0"/>
    <w:rPr>
      <w:rFonts w:hint="default" w:ascii="宋体" w:hAnsi="宋体" w:eastAsia="宋体" w:cs="Times New Roman"/>
      <w:color w:val="000000"/>
      <w:kern w:val="2"/>
      <w:sz w:val="21"/>
      <w:szCs w:val="24"/>
      <w:u w:val="none"/>
      <w:lang w:val="en-US" w:eastAsia="zh-CN"/>
    </w:rPr>
  </w:style>
  <w:style w:type="character" w:customStyle="1" w:styleId="1405">
    <w:name w:val="批注框文本 字符"/>
    <w:link w:val="40"/>
    <w:qFormat/>
    <w:uiPriority w:val="0"/>
    <w:rPr>
      <w:rFonts w:hint="default" w:ascii="Calibri" w:hAnsi="Calibri" w:eastAsia="仿宋_GB2312" w:cs="Times New Roman"/>
      <w:color w:val="000000"/>
      <w:sz w:val="18"/>
      <w:szCs w:val="18"/>
      <w:u w:val="none"/>
    </w:rPr>
  </w:style>
  <w:style w:type="character" w:customStyle="1" w:styleId="1406">
    <w:name w:val="表格内容 Char21"/>
    <w:qFormat/>
    <w:uiPriority w:val="0"/>
    <w:rPr>
      <w:rFonts w:hint="default" w:ascii="Times New Roman" w:hAnsi="Times New Roman" w:eastAsia="宋体" w:cs="Times New Roman"/>
      <w:color w:val="000000"/>
      <w:kern w:val="2"/>
      <w:sz w:val="21"/>
      <w:szCs w:val="21"/>
      <w:u w:val="none"/>
      <w:lang w:val="en-US" w:eastAsia="zh-CN"/>
    </w:rPr>
  </w:style>
  <w:style w:type="character" w:customStyle="1" w:styleId="1407">
    <w:name w:val="注释 Char Char"/>
    <w:link w:val="1408"/>
    <w:qFormat/>
    <w:uiPriority w:val="0"/>
    <w:rPr>
      <w:rFonts w:hint="default" w:ascii="宋体" w:hAnsi="Times New Roman" w:eastAsia="仿宋_GB2312" w:cs="Times New Roman"/>
      <w:color w:val="000000"/>
      <w:spacing w:val="4"/>
      <w:sz w:val="24"/>
      <w:szCs w:val="16"/>
      <w:u w:val="none"/>
    </w:rPr>
  </w:style>
  <w:style w:type="paragraph" w:customStyle="1" w:styleId="1408">
    <w:name w:val="注释"/>
    <w:basedOn w:val="1"/>
    <w:link w:val="1407"/>
    <w:qFormat/>
    <w:uiPriority w:val="99"/>
    <w:pPr>
      <w:widowControl/>
      <w:spacing w:before="156"/>
      <w:jc w:val="left"/>
      <w:textAlignment w:val="baseline"/>
    </w:pPr>
    <w:rPr>
      <w:rFonts w:ascii="宋体"/>
      <w:spacing w:val="4"/>
    </w:rPr>
  </w:style>
  <w:style w:type="character" w:customStyle="1" w:styleId="1409">
    <w:name w:val="正文首行缩进 Char1 Char Char3"/>
    <w:qFormat/>
    <w:uiPriority w:val="99"/>
    <w:rPr>
      <w:rFonts w:hint="default" w:ascii="Times New Roman" w:hAnsi="Times New Roman" w:eastAsia="宋体" w:cs="Times New Roman"/>
      <w:color w:val="000000"/>
      <w:kern w:val="2"/>
      <w:sz w:val="21"/>
      <w:szCs w:val="24"/>
      <w:u w:val="none"/>
      <w:lang w:val="en-US" w:eastAsia="zh-CN"/>
    </w:rPr>
  </w:style>
  <w:style w:type="character" w:customStyle="1" w:styleId="1410">
    <w:name w:val="正文样式 Char Char"/>
    <w:link w:val="1411"/>
    <w:qFormat/>
    <w:uiPriority w:val="0"/>
    <w:rPr>
      <w:rFonts w:hint="default" w:ascii="Times New Roman" w:hAnsi="Times New Roman" w:cs="Times New Roman"/>
      <w:color w:val="000000"/>
      <w:spacing w:val="10"/>
      <w:sz w:val="24"/>
      <w:szCs w:val="16"/>
      <w:u w:val="none"/>
    </w:rPr>
  </w:style>
  <w:style w:type="paragraph" w:customStyle="1" w:styleId="1411">
    <w:name w:val="正文样式"/>
    <w:basedOn w:val="1"/>
    <w:link w:val="1410"/>
    <w:qFormat/>
    <w:uiPriority w:val="0"/>
    <w:pPr>
      <w:spacing w:before="156" w:after="156"/>
      <w:ind w:firstLine="480"/>
    </w:pPr>
    <w:rPr>
      <w:spacing w:val="10"/>
    </w:rPr>
  </w:style>
  <w:style w:type="character" w:customStyle="1" w:styleId="1412">
    <w:name w:val="燕山正文 Char18"/>
    <w:qFormat/>
    <w:uiPriority w:val="0"/>
    <w:rPr>
      <w:rFonts w:hint="default" w:ascii="宋体" w:hAnsi="Times New Roman" w:eastAsia="宋体" w:cs="宋体"/>
      <w:color w:val="000000"/>
      <w:kern w:val="2"/>
      <w:sz w:val="24"/>
      <w:szCs w:val="24"/>
      <w:u w:val="none"/>
      <w:lang w:val="en-US" w:eastAsia="zh-CN"/>
    </w:rPr>
  </w:style>
  <w:style w:type="character" w:customStyle="1" w:styleId="1413">
    <w:name w:val="标题 4 Char2"/>
    <w:qFormat/>
    <w:uiPriority w:val="0"/>
    <w:rPr>
      <w:rFonts w:hint="default" w:ascii="黑体" w:hAnsi="Arial" w:eastAsia="黑体" w:cs="Times New Roman"/>
      <w:b/>
      <w:bCs/>
      <w:color w:val="000000"/>
      <w:kern w:val="2"/>
      <w:sz w:val="24"/>
      <w:szCs w:val="24"/>
      <w:u w:val="none"/>
      <w:lang w:val="en-US" w:eastAsia="zh-CN"/>
    </w:rPr>
  </w:style>
  <w:style w:type="character" w:customStyle="1" w:styleId="1414">
    <w:name w:val="标题5"/>
    <w:qFormat/>
    <w:uiPriority w:val="0"/>
    <w:rPr>
      <w:rFonts w:hint="default" w:ascii="宋体" w:hAnsi="宋体" w:eastAsia="黑体" w:cs="宋体"/>
      <w:color w:val="000000"/>
      <w:kern w:val="2"/>
      <w:sz w:val="28"/>
      <w:szCs w:val="24"/>
      <w:u w:val="none"/>
      <w:lang w:val="en-US" w:eastAsia="zh-CN"/>
    </w:rPr>
  </w:style>
  <w:style w:type="character" w:customStyle="1" w:styleId="1415">
    <w:name w:val="标题4新 Char Char"/>
    <w:link w:val="1416"/>
    <w:qFormat/>
    <w:uiPriority w:val="0"/>
    <w:rPr>
      <w:rFonts w:hint="default" w:ascii="Times New Roman" w:hAnsi="Times New Roman" w:eastAsia="仿宋_GB2312" w:cs="Times New Roman"/>
      <w:b/>
      <w:color w:val="000000"/>
      <w:sz w:val="28"/>
      <w:szCs w:val="16"/>
      <w:u w:val="none"/>
    </w:rPr>
  </w:style>
  <w:style w:type="paragraph" w:customStyle="1" w:styleId="1416">
    <w:name w:val="标题4新"/>
    <w:basedOn w:val="25"/>
    <w:link w:val="1415"/>
    <w:qFormat/>
    <w:uiPriority w:val="0"/>
    <w:pPr>
      <w:spacing w:line="500" w:lineRule="exact"/>
      <w:outlineLvl w:val="3"/>
    </w:pPr>
    <w:rPr>
      <w:b/>
      <w:sz w:val="28"/>
    </w:rPr>
  </w:style>
  <w:style w:type="character" w:customStyle="1" w:styleId="1417">
    <w:name w:val="正文样式 Char"/>
    <w:qFormat/>
    <w:uiPriority w:val="0"/>
    <w:rPr>
      <w:rFonts w:hint="default" w:ascii="Times New Roman" w:hAnsi="Times New Roman" w:cs="Times New Roman"/>
      <w:snapToGrid w:val="0"/>
      <w:color w:val="000000"/>
      <w:sz w:val="24"/>
      <w:szCs w:val="24"/>
      <w:u w:val="none"/>
      <w:lang w:val="en-US" w:eastAsia="zh-CN" w:bidi="ar-SA"/>
    </w:rPr>
  </w:style>
  <w:style w:type="character" w:customStyle="1" w:styleId="1418">
    <w:name w:val="Char Char"/>
    <w:qFormat/>
    <w:uiPriority w:val="0"/>
    <w:rPr>
      <w:rFonts w:hint="default" w:ascii="Times New Roman" w:hAnsi="Times New Roman" w:cs="Times New Roman"/>
      <w:color w:val="000000"/>
      <w:kern w:val="2"/>
      <w:sz w:val="21"/>
      <w:szCs w:val="16"/>
      <w:u w:val="none"/>
    </w:rPr>
  </w:style>
  <w:style w:type="character" w:customStyle="1" w:styleId="1419">
    <w:name w:val="chen表头1 Char Char"/>
    <w:link w:val="1420"/>
    <w:qFormat/>
    <w:uiPriority w:val="0"/>
    <w:rPr>
      <w:rFonts w:hint="default" w:ascii="Times New Roman" w:hAnsi="Times New Roman" w:eastAsia="楷体_GB2312" w:cs="Times New Roman"/>
      <w:b/>
      <w:color w:val="000000"/>
      <w:sz w:val="24"/>
      <w:szCs w:val="16"/>
      <w:u w:val="none"/>
    </w:rPr>
  </w:style>
  <w:style w:type="paragraph" w:customStyle="1" w:styleId="1420">
    <w:name w:val="chen表头1"/>
    <w:basedOn w:val="1"/>
    <w:link w:val="1419"/>
    <w:qFormat/>
    <w:uiPriority w:val="0"/>
    <w:pPr>
      <w:spacing w:after="120"/>
      <w:jc w:val="center"/>
    </w:pPr>
    <w:rPr>
      <w:rFonts w:eastAsia="楷体_GB2312"/>
      <w:b/>
    </w:rPr>
  </w:style>
  <w:style w:type="character" w:customStyle="1" w:styleId="1421">
    <w:name w:val="样式 正文缩进 + 宋体 黑色 Char4"/>
    <w:qFormat/>
    <w:uiPriority w:val="0"/>
    <w:rPr>
      <w:rFonts w:hint="default" w:ascii="宋体" w:hAnsi="宋体" w:eastAsia="宋体" w:cs="Times New Roman"/>
      <w:color w:val="000000"/>
      <w:kern w:val="2"/>
      <w:sz w:val="24"/>
      <w:szCs w:val="24"/>
      <w:u w:val="none"/>
      <w:lang w:val="en-US" w:eastAsia="zh-CN"/>
    </w:rPr>
  </w:style>
  <w:style w:type="character" w:customStyle="1" w:styleId="1422">
    <w:name w:val="河石1 Char22"/>
    <w:qFormat/>
    <w:uiPriority w:val="0"/>
    <w:rPr>
      <w:rFonts w:hint="default" w:ascii="黑体" w:hAnsi="宋体" w:eastAsia="黑体" w:cs="Times New Roman"/>
      <w:bCs/>
      <w:color w:val="000000"/>
      <w:kern w:val="44"/>
      <w:sz w:val="32"/>
      <w:szCs w:val="32"/>
      <w:u w:val="none"/>
      <w:lang w:val="en-US" w:eastAsia="zh-CN"/>
    </w:rPr>
  </w:style>
  <w:style w:type="character" w:customStyle="1" w:styleId="1423">
    <w:name w:val="A正文 Char31"/>
    <w:qFormat/>
    <w:uiPriority w:val="0"/>
    <w:rPr>
      <w:rFonts w:hint="default" w:ascii="Times New Roman" w:hAnsi="Times New Roman" w:eastAsia="仿宋_GB2312" w:cs="Times New Roman"/>
      <w:color w:val="000000"/>
      <w:kern w:val="0"/>
      <w:sz w:val="24"/>
      <w:szCs w:val="24"/>
      <w:u w:val="none"/>
      <w:lang w:val="en-US" w:eastAsia="zh-CN"/>
    </w:rPr>
  </w:style>
  <w:style w:type="character" w:customStyle="1" w:styleId="1424">
    <w:name w:val="页眉 Char1"/>
    <w:qFormat/>
    <w:uiPriority w:val="99"/>
    <w:rPr>
      <w:rFonts w:hint="default" w:ascii="Times New Roman" w:hAnsi="Times New Roman" w:eastAsia="仿宋_GB2312" w:cs="Times New Roman"/>
      <w:color w:val="000000"/>
      <w:sz w:val="18"/>
      <w:szCs w:val="16"/>
      <w:u w:val="none"/>
    </w:rPr>
  </w:style>
  <w:style w:type="character" w:customStyle="1" w:styleId="1425">
    <w:name w:val="at_6"/>
    <w:qFormat/>
    <w:uiPriority w:val="0"/>
    <w:rPr>
      <w:rFonts w:hint="default" w:ascii="Times New Roman" w:hAnsi="Times New Roman" w:cs="Times New Roman"/>
      <w:color w:val="000000"/>
      <w:sz w:val="16"/>
      <w:szCs w:val="16"/>
      <w:u w:val="none"/>
    </w:rPr>
  </w:style>
  <w:style w:type="character" w:customStyle="1" w:styleId="1426">
    <w:name w:val="A正文 Char21"/>
    <w:qFormat/>
    <w:uiPriority w:val="0"/>
    <w:rPr>
      <w:rFonts w:hint="default" w:ascii="Times New Roman" w:hAnsi="Times New Roman" w:eastAsia="仿宋_GB2312" w:cs="Times New Roman"/>
      <w:color w:val="000000"/>
      <w:kern w:val="2"/>
      <w:sz w:val="24"/>
      <w:szCs w:val="24"/>
      <w:u w:val="none"/>
      <w:lang w:val="en-US" w:eastAsia="zh-CN"/>
    </w:rPr>
  </w:style>
  <w:style w:type="character" w:customStyle="1" w:styleId="1427">
    <w:name w:val="Char Char1161"/>
    <w:qFormat/>
    <w:uiPriority w:val="0"/>
    <w:rPr>
      <w:rFonts w:hint="default" w:ascii="黑体" w:hAnsi="Arial" w:eastAsia="黑体" w:cs="Times New Roman"/>
      <w:bCs/>
      <w:color w:val="000000"/>
      <w:kern w:val="2"/>
      <w:sz w:val="30"/>
      <w:szCs w:val="30"/>
      <w:u w:val="none"/>
      <w:lang w:val="en-US" w:eastAsia="zh-CN"/>
    </w:rPr>
  </w:style>
  <w:style w:type="character" w:customStyle="1" w:styleId="1428">
    <w:name w:val="图、表标题 Char1"/>
    <w:link w:val="1429"/>
    <w:qFormat/>
    <w:uiPriority w:val="0"/>
    <w:rPr>
      <w:rFonts w:hint="default" w:ascii="Times New Roman" w:hAnsi="Times New Roman" w:cs="Times New Roman"/>
      <w:b/>
      <w:color w:val="000000"/>
      <w:spacing w:val="0"/>
      <w:sz w:val="21"/>
      <w:szCs w:val="16"/>
      <w:u w:val="none"/>
    </w:rPr>
  </w:style>
  <w:style w:type="paragraph" w:customStyle="1" w:styleId="1429">
    <w:name w:val="图、表标题"/>
    <w:basedOn w:val="1"/>
    <w:link w:val="1428"/>
    <w:qFormat/>
    <w:uiPriority w:val="0"/>
    <w:pPr>
      <w:jc w:val="center"/>
    </w:pPr>
    <w:rPr>
      <w:rFonts w:cs="Times New Roman"/>
      <w:b/>
      <w:sz w:val="21"/>
    </w:rPr>
  </w:style>
  <w:style w:type="character" w:customStyle="1" w:styleId="1430">
    <w:name w:val="Char Char617"/>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431">
    <w:name w:val="文字缩进 Char2"/>
    <w:qFormat/>
    <w:uiPriority w:val="0"/>
    <w:rPr>
      <w:rFonts w:hint="default" w:ascii="宋体" w:hAnsi="Courier New" w:eastAsia="宋体" w:cs="Times New Roman"/>
      <w:color w:val="000000"/>
      <w:kern w:val="2"/>
      <w:sz w:val="21"/>
      <w:szCs w:val="16"/>
      <w:u w:val="none"/>
      <w:lang w:val="en-US" w:eastAsia="zh-CN"/>
    </w:rPr>
  </w:style>
  <w:style w:type="character" w:customStyle="1" w:styleId="1432">
    <w:name w:val="hhcwt表格内文字 Char Char"/>
    <w:link w:val="1433"/>
    <w:qFormat/>
    <w:uiPriority w:val="0"/>
    <w:rPr>
      <w:rFonts w:hint="default" w:ascii="Times New Roman" w:hAnsi="Times New Roman" w:eastAsia="仿宋_GB2312" w:cs="Times New Roman"/>
      <w:color w:val="000000"/>
      <w:sz w:val="16"/>
      <w:szCs w:val="16"/>
      <w:u w:val="none"/>
    </w:rPr>
  </w:style>
  <w:style w:type="paragraph" w:customStyle="1" w:styleId="1433">
    <w:name w:val="hhcwt表格内文字"/>
    <w:basedOn w:val="1"/>
    <w:link w:val="1432"/>
    <w:qFormat/>
    <w:uiPriority w:val="0"/>
    <w:pPr>
      <w:widowControl/>
      <w:jc w:val="center"/>
    </w:pPr>
  </w:style>
  <w:style w:type="character" w:customStyle="1" w:styleId="1434">
    <w:name w:val="三级标题 Char23"/>
    <w:qFormat/>
    <w:uiPriority w:val="0"/>
    <w:rPr>
      <w:rFonts w:hint="default" w:ascii="黑体" w:hAnsi="宋体" w:eastAsia="黑体" w:cs="Times New Roman"/>
      <w:bCs/>
      <w:color w:val="000000"/>
      <w:kern w:val="2"/>
      <w:sz w:val="28"/>
      <w:szCs w:val="28"/>
      <w:u w:val="none"/>
      <w:lang w:val="en-US" w:eastAsia="zh-CN"/>
    </w:rPr>
  </w:style>
  <w:style w:type="character" w:customStyle="1" w:styleId="1435">
    <w:name w:val="样式 样式 标题 2标题 2节第一章 标题 2Heading 2 HiddenHeading 2 CCBSheading 2..... Char Char"/>
    <w:link w:val="1436"/>
    <w:qFormat/>
    <w:uiPriority w:val="0"/>
    <w:rPr>
      <w:rFonts w:hint="default" w:ascii="宋体" w:hAnsi="宋体" w:eastAsia="楷体_GB2312" w:cs="Times New Roman"/>
      <w:b/>
      <w:color w:val="000000"/>
      <w:sz w:val="32"/>
      <w:szCs w:val="16"/>
      <w:u w:val="none"/>
    </w:rPr>
  </w:style>
  <w:style w:type="paragraph" w:customStyle="1" w:styleId="1436">
    <w:name w:val="样式 样式 标题 2标题 2节第一章 标题 2Heading 2 HiddenHeading 2 CCBSheading 2....."/>
    <w:basedOn w:val="1"/>
    <w:link w:val="1435"/>
    <w:qFormat/>
    <w:uiPriority w:val="0"/>
    <w:pPr>
      <w:keepNext/>
      <w:keepLines/>
      <w:widowControl/>
      <w:spacing w:beforeLines="100" w:afterLines="100"/>
      <w:jc w:val="center"/>
      <w:outlineLvl w:val="1"/>
    </w:pPr>
    <w:rPr>
      <w:rFonts w:ascii="宋体" w:hAnsi="宋体" w:eastAsia="楷体_GB2312"/>
      <w:b/>
      <w:sz w:val="32"/>
    </w:rPr>
  </w:style>
  <w:style w:type="character" w:customStyle="1" w:styleId="1437">
    <w:name w:val="标题2"/>
    <w:qFormat/>
    <w:uiPriority w:val="0"/>
    <w:rPr>
      <w:rFonts w:hint="default" w:ascii="Times New Roman" w:hAnsi="Times New Roman" w:cs="Times New Roman"/>
      <w:color w:val="000000"/>
      <w:sz w:val="16"/>
      <w:szCs w:val="16"/>
      <w:u w:val="none"/>
    </w:rPr>
  </w:style>
  <w:style w:type="character" w:customStyle="1" w:styleId="1438">
    <w:name w:val="KY-正文 Char Char"/>
    <w:link w:val="1439"/>
    <w:qFormat/>
    <w:uiPriority w:val="0"/>
    <w:rPr>
      <w:rFonts w:hint="default" w:ascii="Times New Roman" w:hAnsi="Times New Roman" w:cs="Times New Roman"/>
      <w:color w:val="000000"/>
      <w:sz w:val="28"/>
      <w:szCs w:val="16"/>
      <w:u w:val="none"/>
    </w:rPr>
  </w:style>
  <w:style w:type="paragraph" w:customStyle="1" w:styleId="1439">
    <w:name w:val="KY-正文"/>
    <w:basedOn w:val="1"/>
    <w:link w:val="1438"/>
    <w:qFormat/>
    <w:uiPriority w:val="0"/>
  </w:style>
  <w:style w:type="character" w:styleId="1440">
    <w:name w:val="Placeholder Text"/>
    <w:qFormat/>
    <w:uiPriority w:val="0"/>
    <w:rPr>
      <w:rFonts w:hint="default" w:ascii="Times New Roman" w:hAnsi="Times New Roman" w:cs="Times New Roman"/>
      <w:color w:val="808080"/>
      <w:sz w:val="16"/>
      <w:szCs w:val="16"/>
      <w:u w:val="none"/>
    </w:rPr>
  </w:style>
  <w:style w:type="character" w:customStyle="1" w:styleId="1441">
    <w:name w:val="表格内容 Char31"/>
    <w:qFormat/>
    <w:uiPriority w:val="0"/>
    <w:rPr>
      <w:rFonts w:hint="default" w:ascii="Times New Roman" w:hAnsi="Times New Roman" w:eastAsia="宋体" w:cs="Times New Roman"/>
      <w:color w:val="000000"/>
      <w:kern w:val="2"/>
      <w:sz w:val="24"/>
      <w:szCs w:val="21"/>
      <w:u w:val="none"/>
      <w:lang w:val="en-US" w:eastAsia="zh-CN"/>
    </w:rPr>
  </w:style>
  <w:style w:type="character" w:customStyle="1" w:styleId="1442">
    <w:name w:val="标题 4 Char3"/>
    <w:qFormat/>
    <w:uiPriority w:val="0"/>
    <w:rPr>
      <w:rFonts w:hint="default" w:ascii="黑体" w:hAnsi="Arial" w:eastAsia="黑体" w:cs="Times New Roman"/>
      <w:b/>
      <w:bCs/>
      <w:color w:val="000000"/>
      <w:kern w:val="2"/>
      <w:sz w:val="24"/>
      <w:szCs w:val="24"/>
      <w:u w:val="none"/>
      <w:lang w:val="en-US" w:eastAsia="zh-CN"/>
    </w:rPr>
  </w:style>
  <w:style w:type="character" w:customStyle="1" w:styleId="1443">
    <w:name w:val="题注 Char3"/>
    <w:qFormat/>
    <w:uiPriority w:val="0"/>
    <w:rPr>
      <w:rFonts w:hint="default" w:ascii="黑体" w:hAnsi="Arial" w:eastAsia="黑体" w:cs="Arial"/>
      <w:b/>
      <w:color w:val="000000"/>
      <w:kern w:val="2"/>
      <w:sz w:val="24"/>
      <w:szCs w:val="24"/>
      <w:u w:val="none"/>
      <w:lang w:val="en-US" w:eastAsia="zh-CN"/>
    </w:rPr>
  </w:style>
  <w:style w:type="character" w:customStyle="1" w:styleId="1444">
    <w:name w:val="表格内字体 Char7"/>
    <w:qFormat/>
    <w:uiPriority w:val="0"/>
    <w:rPr>
      <w:rFonts w:hint="default" w:ascii="宋体" w:hAnsi="宋体" w:eastAsia="宋体" w:cs="Times New Roman"/>
      <w:color w:val="000000"/>
      <w:kern w:val="2"/>
      <w:sz w:val="21"/>
      <w:szCs w:val="24"/>
      <w:u w:val="none"/>
      <w:lang w:val="en-US" w:eastAsia="zh-CN"/>
    </w:rPr>
  </w:style>
  <w:style w:type="character" w:customStyle="1" w:styleId="1445">
    <w:name w:val="Char Char61"/>
    <w:qFormat/>
    <w:uiPriority w:val="0"/>
    <w:rPr>
      <w:rFonts w:hint="default" w:ascii="Times New Roman" w:hAnsi="Times New Roman" w:eastAsia="宋体" w:cs="Times New Roman"/>
      <w:b/>
      <w:bCs/>
      <w:color w:val="000000"/>
      <w:kern w:val="2"/>
      <w:sz w:val="28"/>
      <w:szCs w:val="28"/>
      <w:u w:val="none"/>
      <w:lang w:val="en-US" w:eastAsia="zh-CN"/>
    </w:rPr>
  </w:style>
  <w:style w:type="character" w:customStyle="1" w:styleId="1446">
    <w:name w:val="表格 标注 Char"/>
    <w:link w:val="1447"/>
    <w:qFormat/>
    <w:uiPriority w:val="0"/>
    <w:rPr>
      <w:rFonts w:hint="default" w:ascii="Times New Roman" w:hAnsi="Times New Roman" w:eastAsia="仿宋_GB2312" w:cs="Times New Roman"/>
      <w:color w:val="000000"/>
      <w:sz w:val="18"/>
      <w:szCs w:val="18"/>
      <w:u w:val="none"/>
    </w:rPr>
  </w:style>
  <w:style w:type="paragraph" w:customStyle="1" w:styleId="1447">
    <w:name w:val="表格 标注"/>
    <w:basedOn w:val="98"/>
    <w:link w:val="1446"/>
    <w:qFormat/>
    <w:uiPriority w:val="0"/>
    <w:pPr>
      <w:widowControl w:val="0"/>
    </w:pPr>
    <w:rPr>
      <w:rFonts w:ascii="Times New Roman" w:hAnsi="Times New Roman" w:eastAsia="仿宋_GB2312" w:cs="Times New Roman"/>
      <w:color w:val="000000"/>
      <w:sz w:val="18"/>
      <w:szCs w:val="18"/>
    </w:rPr>
  </w:style>
  <w:style w:type="character" w:customStyle="1" w:styleId="1448">
    <w:name w:val="题注 Char212"/>
    <w:qFormat/>
    <w:uiPriority w:val="0"/>
    <w:rPr>
      <w:rFonts w:hint="default" w:ascii="黑体" w:hAnsi="Arial" w:eastAsia="黑体" w:cs="Arial"/>
      <w:b/>
      <w:color w:val="000000"/>
      <w:kern w:val="2"/>
      <w:sz w:val="24"/>
      <w:szCs w:val="24"/>
      <w:u w:val="none"/>
      <w:lang w:val="en-US" w:eastAsia="zh-CN"/>
    </w:rPr>
  </w:style>
  <w:style w:type="character" w:customStyle="1" w:styleId="1449">
    <w:name w:val="Char Char6"/>
    <w:qFormat/>
    <w:uiPriority w:val="0"/>
    <w:rPr>
      <w:rFonts w:hint="default" w:ascii="DFKai-SB" w:hAnsi="Times New Roman" w:eastAsia="DFKai-SB" w:cs="Times New Roman"/>
      <w:color w:val="000000"/>
      <w:kern w:val="2"/>
      <w:sz w:val="28"/>
      <w:szCs w:val="24"/>
      <w:u w:val="none"/>
      <w:lang w:eastAsia="zh-TW"/>
    </w:rPr>
  </w:style>
  <w:style w:type="character" w:customStyle="1" w:styleId="1450">
    <w:name w:val="Char Char2112"/>
    <w:qFormat/>
    <w:uiPriority w:val="0"/>
    <w:rPr>
      <w:rFonts w:hint="default" w:ascii="黑体" w:hAnsi="Times New Roman" w:eastAsia="宋体" w:cs="Times New Roman"/>
      <w:color w:val="000000"/>
      <w:kern w:val="2"/>
      <w:sz w:val="16"/>
      <w:szCs w:val="16"/>
      <w:u w:val="none"/>
      <w:lang w:val="en-US" w:eastAsia="zh-CN"/>
    </w:rPr>
  </w:style>
  <w:style w:type="character" w:customStyle="1" w:styleId="1451">
    <w:name w:val="图题 Char3"/>
    <w:qFormat/>
    <w:uiPriority w:val="0"/>
    <w:rPr>
      <w:rFonts w:hint="default" w:ascii="黑体" w:hAnsi="宋体" w:eastAsia="黑体" w:cs="宋体"/>
      <w:b/>
      <w:bCs/>
      <w:color w:val="000000"/>
      <w:kern w:val="2"/>
      <w:sz w:val="24"/>
      <w:szCs w:val="24"/>
      <w:u w:val="none"/>
      <w:lang w:val="en-US" w:eastAsia="zh-CN"/>
    </w:rPr>
  </w:style>
  <w:style w:type="character" w:customStyle="1" w:styleId="1452">
    <w:name w:val="正文修改 Char123"/>
    <w:qFormat/>
    <w:uiPriority w:val="0"/>
    <w:rPr>
      <w:rFonts w:hint="default" w:ascii="宋体" w:hAnsi="宋体" w:eastAsia="宋体" w:cs="宋体"/>
      <w:color w:val="000000"/>
      <w:kern w:val="2"/>
      <w:sz w:val="24"/>
      <w:szCs w:val="24"/>
      <w:u w:val="none"/>
      <w:lang w:val="en-US" w:eastAsia="zh-CN"/>
    </w:rPr>
  </w:style>
  <w:style w:type="character" w:customStyle="1" w:styleId="1453">
    <w:name w:val="燕山正文 Char1"/>
    <w:link w:val="786"/>
    <w:qFormat/>
    <w:uiPriority w:val="0"/>
    <w:rPr>
      <w:rFonts w:hint="default" w:ascii="宋体" w:hAnsi="Times New Roman" w:eastAsia="Times New Roman" w:cs="Times New Roman"/>
      <w:color w:val="000000"/>
      <w:sz w:val="24"/>
      <w:szCs w:val="16"/>
      <w:u w:val="none"/>
    </w:rPr>
  </w:style>
  <w:style w:type="character" w:customStyle="1" w:styleId="1454">
    <w:name w:val="t_tag"/>
    <w:qFormat/>
    <w:uiPriority w:val="0"/>
    <w:rPr>
      <w:rFonts w:hint="default" w:ascii="Times New Roman" w:hAnsi="Times New Roman" w:cs="Times New Roman"/>
      <w:color w:val="000000"/>
      <w:sz w:val="16"/>
      <w:szCs w:val="16"/>
      <w:u w:val="none"/>
    </w:rPr>
  </w:style>
  <w:style w:type="character" w:customStyle="1" w:styleId="1455">
    <w:name w:val="标题2 Char11"/>
    <w:qFormat/>
    <w:uiPriority w:val="0"/>
    <w:rPr>
      <w:rFonts w:hint="default" w:ascii="宋体" w:hAnsi="宋体" w:eastAsia="宋体" w:cs="宋体"/>
      <w:color w:val="000000"/>
      <w:kern w:val="2"/>
      <w:sz w:val="24"/>
      <w:szCs w:val="24"/>
      <w:u w:val="none"/>
      <w:lang w:val="en-US" w:eastAsia="zh-CN"/>
    </w:rPr>
  </w:style>
  <w:style w:type="character" w:customStyle="1" w:styleId="1456">
    <w:name w:val="标题 3 Char1"/>
    <w:qFormat/>
    <w:uiPriority w:val="99"/>
    <w:rPr>
      <w:rFonts w:hint="default" w:ascii="Times New Roman" w:hAnsi="Times New Roman" w:eastAsia="仿宋_GB2312" w:cs="Times New Roman"/>
      <w:b/>
      <w:color w:val="000000"/>
      <w:sz w:val="32"/>
      <w:szCs w:val="16"/>
      <w:u w:val="none"/>
    </w:rPr>
  </w:style>
  <w:style w:type="character" w:customStyle="1" w:styleId="1457">
    <w:name w:val="正文文字 3 Char Char3"/>
    <w:qFormat/>
    <w:uiPriority w:val="0"/>
    <w:rPr>
      <w:rFonts w:hint="default" w:ascii="Times New Roman" w:hAnsi="Times New Roman" w:eastAsia="仿宋_GB2312" w:cs="Times New Roman"/>
      <w:color w:val="000000"/>
      <w:kern w:val="2"/>
      <w:sz w:val="28"/>
      <w:szCs w:val="24"/>
      <w:u w:val="none"/>
      <w:lang w:val="en-US" w:eastAsia="zh-CN"/>
    </w:rPr>
  </w:style>
  <w:style w:type="character" w:customStyle="1" w:styleId="1458">
    <w:name w:val="正文 段落3级 Char"/>
    <w:link w:val="1459"/>
    <w:qFormat/>
    <w:uiPriority w:val="0"/>
    <w:rPr>
      <w:rFonts w:hint="default" w:ascii="Times New Roman" w:hAnsi="Times New Roman" w:eastAsia="仿宋_GB2312" w:cs="Times New Roman"/>
      <w:b/>
      <w:bCs/>
      <w:color w:val="000000"/>
      <w:sz w:val="28"/>
      <w:szCs w:val="32"/>
      <w:u w:val="none"/>
    </w:rPr>
  </w:style>
  <w:style w:type="paragraph" w:customStyle="1" w:styleId="1459">
    <w:name w:val="正文 段落3级"/>
    <w:basedOn w:val="98"/>
    <w:link w:val="1458"/>
    <w:qFormat/>
    <w:uiPriority w:val="0"/>
    <w:pPr>
      <w:keepNext/>
      <w:keepLines/>
      <w:tabs>
        <w:tab w:val="left" w:pos="7230"/>
      </w:tabs>
      <w:spacing w:beforeLines="50" w:afterLines="50" w:line="500" w:lineRule="exact"/>
      <w:outlineLvl w:val="2"/>
    </w:pPr>
    <w:rPr>
      <w:rFonts w:ascii="Times New Roman" w:hAnsi="Times New Roman" w:eastAsia="仿宋_GB2312" w:cs="Times New Roman"/>
      <w:b/>
      <w:bCs/>
      <w:color w:val="000000"/>
      <w:sz w:val="28"/>
      <w:szCs w:val="32"/>
    </w:rPr>
  </w:style>
  <w:style w:type="character" w:customStyle="1" w:styleId="1460">
    <w:name w:val="Char Char415"/>
    <w:qFormat/>
    <w:uiPriority w:val="0"/>
    <w:rPr>
      <w:rFonts w:hint="default" w:ascii="黑体" w:hAnsi="Arial" w:eastAsia="黑体" w:cs="Times New Roman"/>
      <w:b/>
      <w:bCs/>
      <w:color w:val="000000"/>
      <w:kern w:val="2"/>
      <w:sz w:val="30"/>
      <w:szCs w:val="30"/>
      <w:u w:val="none"/>
      <w:lang w:val="en-US" w:eastAsia="zh-CN"/>
    </w:rPr>
  </w:style>
  <w:style w:type="character" w:customStyle="1" w:styleId="1461">
    <w:name w:val="正文（首行缩进两字） Char Char Char Char Char Char Char Char Char Char Char Char Char Char Char"/>
    <w:qFormat/>
    <w:uiPriority w:val="0"/>
    <w:rPr>
      <w:rFonts w:hint="default" w:ascii="宋体" w:hAnsi="宋体" w:eastAsia="宋体" w:cs="宋体"/>
      <w:color w:val="000000"/>
      <w:kern w:val="2"/>
      <w:sz w:val="30"/>
      <w:szCs w:val="24"/>
      <w:u w:val="none"/>
      <w:lang w:val="en-US" w:eastAsia="zh-CN"/>
    </w:rPr>
  </w:style>
  <w:style w:type="character" w:customStyle="1" w:styleId="1462">
    <w:name w:val="正文格式 Char21"/>
    <w:qFormat/>
    <w:uiPriority w:val="0"/>
    <w:rPr>
      <w:rFonts w:hint="default" w:ascii="宋体" w:hAnsi="宋体" w:eastAsia="宋体" w:cs="Times New Roman"/>
      <w:color w:val="000000"/>
      <w:kern w:val="2"/>
      <w:sz w:val="24"/>
      <w:szCs w:val="24"/>
      <w:u w:val="none"/>
      <w:lang w:val="en-US" w:eastAsia="zh-CN"/>
    </w:rPr>
  </w:style>
  <w:style w:type="character" w:customStyle="1" w:styleId="1463">
    <w:name w:val="表题1 Char431"/>
    <w:qFormat/>
    <w:uiPriority w:val="0"/>
    <w:rPr>
      <w:rFonts w:hint="default" w:ascii="黑体" w:hAnsi="Arial" w:eastAsia="黑体" w:cs="Arial"/>
      <w:b/>
      <w:color w:val="000000"/>
      <w:kern w:val="2"/>
      <w:sz w:val="24"/>
      <w:szCs w:val="24"/>
      <w:u w:val="none"/>
      <w:lang w:val="en-US" w:eastAsia="zh-CN"/>
    </w:rPr>
  </w:style>
  <w:style w:type="character" w:customStyle="1" w:styleId="1464">
    <w:name w:val="Char Char316"/>
    <w:qFormat/>
    <w:uiPriority w:val="0"/>
    <w:rPr>
      <w:rFonts w:hint="default" w:ascii="黑体" w:hAnsi="宋体" w:eastAsia="黑体" w:cs="Times New Roman"/>
      <w:b/>
      <w:bCs/>
      <w:color w:val="000000"/>
      <w:kern w:val="2"/>
      <w:sz w:val="28"/>
      <w:szCs w:val="28"/>
      <w:u w:val="none"/>
      <w:lang w:val="en-US" w:eastAsia="zh-CN"/>
    </w:rPr>
  </w:style>
  <w:style w:type="character" w:customStyle="1" w:styleId="1465">
    <w:name w:val="样式 表内小5 + 黑体 加粗 倾斜 下划线 Char2"/>
    <w:qFormat/>
    <w:uiPriority w:val="0"/>
    <w:rPr>
      <w:rFonts w:hint="default" w:ascii="黑体" w:hAnsi="黑体" w:eastAsia="黑体" w:cs="Times New Roman"/>
      <w:b/>
      <w:bCs/>
      <w:i/>
      <w:iCs/>
      <w:color w:val="000000"/>
      <w:kern w:val="2"/>
      <w:sz w:val="18"/>
      <w:szCs w:val="24"/>
      <w:u w:val="single"/>
      <w:lang w:val="en-US" w:eastAsia="zh-CN"/>
    </w:rPr>
  </w:style>
  <w:style w:type="character" w:customStyle="1" w:styleId="1466">
    <w:name w:val="表题1 Char6111"/>
    <w:qFormat/>
    <w:uiPriority w:val="0"/>
    <w:rPr>
      <w:rFonts w:hint="default" w:ascii="黑体" w:hAnsi="Arial" w:eastAsia="黑体" w:cs="Arial"/>
      <w:b/>
      <w:color w:val="000000"/>
      <w:kern w:val="2"/>
      <w:sz w:val="24"/>
      <w:szCs w:val="24"/>
      <w:u w:val="none"/>
      <w:lang w:val="en-US" w:eastAsia="zh-CN"/>
    </w:rPr>
  </w:style>
  <w:style w:type="character" w:customStyle="1" w:styleId="1467">
    <w:name w:val="正文文本 3 字符"/>
    <w:link w:val="23"/>
    <w:qFormat/>
    <w:uiPriority w:val="0"/>
    <w:rPr>
      <w:rFonts w:hint="default" w:ascii="宋体" w:hAnsi="宋体" w:eastAsia="华文楷体" w:cs="宋体"/>
      <w:color w:val="000000"/>
      <w:kern w:val="0"/>
      <w:sz w:val="28"/>
      <w:szCs w:val="24"/>
      <w:u w:val="none"/>
    </w:rPr>
  </w:style>
  <w:style w:type="character" w:customStyle="1" w:styleId="1468">
    <w:name w:val="Char Char412"/>
    <w:qFormat/>
    <w:uiPriority w:val="0"/>
    <w:rPr>
      <w:rFonts w:hint="default" w:ascii="黑体" w:hAnsi="Arial" w:eastAsia="黑体" w:cs="Times New Roman"/>
      <w:b/>
      <w:bCs/>
      <w:color w:val="000000"/>
      <w:kern w:val="2"/>
      <w:sz w:val="30"/>
      <w:szCs w:val="30"/>
      <w:u w:val="none"/>
      <w:lang w:val="en-US" w:eastAsia="zh-CN"/>
    </w:rPr>
  </w:style>
  <w:style w:type="character" w:customStyle="1" w:styleId="1469">
    <w:name w:val="标题 3 Char Char11"/>
    <w:qFormat/>
    <w:uiPriority w:val="0"/>
    <w:rPr>
      <w:rFonts w:hint="default" w:ascii="黑体" w:hAnsi="宋体" w:eastAsia="黑体" w:cs="Times New Roman"/>
      <w:bCs/>
      <w:color w:val="000000"/>
      <w:kern w:val="2"/>
      <w:sz w:val="28"/>
      <w:szCs w:val="28"/>
      <w:u w:val="none"/>
      <w:lang w:val="en-US" w:eastAsia="zh-CN"/>
    </w:rPr>
  </w:style>
  <w:style w:type="character" w:customStyle="1" w:styleId="1470">
    <w:name w:val="正文文字 3 Char Char2"/>
    <w:qFormat/>
    <w:uiPriority w:val="0"/>
    <w:rPr>
      <w:rFonts w:hint="default" w:ascii="Times New Roman" w:hAnsi="Times New Roman" w:eastAsia="仿宋_GB2312" w:cs="Times New Roman"/>
      <w:color w:val="000000"/>
      <w:kern w:val="2"/>
      <w:sz w:val="28"/>
      <w:szCs w:val="24"/>
      <w:u w:val="none"/>
      <w:lang w:val="en-US" w:eastAsia="zh-CN"/>
    </w:rPr>
  </w:style>
  <w:style w:type="character" w:customStyle="1" w:styleId="1471">
    <w:name w:val="正文01 Char"/>
    <w:qFormat/>
    <w:uiPriority w:val="0"/>
    <w:rPr>
      <w:rFonts w:hint="default" w:ascii="Times New Roman" w:hAnsi="Times New Roman" w:eastAsia="宋体" w:cs="Times New Roman"/>
      <w:color w:val="000000"/>
      <w:kern w:val="0"/>
      <w:sz w:val="24"/>
      <w:szCs w:val="24"/>
      <w:u w:val="none"/>
    </w:rPr>
  </w:style>
  <w:style w:type="character" w:customStyle="1" w:styleId="1472">
    <w:name w:val="标题 2+ 行距: 固定值 24 磅 Char Char"/>
    <w:link w:val="1473"/>
    <w:qFormat/>
    <w:uiPriority w:val="0"/>
    <w:rPr>
      <w:rFonts w:hint="default" w:ascii="Arial" w:hAnsi="Arial" w:eastAsia="黑体" w:cs="Times New Roman"/>
      <w:b/>
      <w:bCs/>
      <w:color w:val="000000"/>
      <w:sz w:val="32"/>
      <w:szCs w:val="32"/>
      <w:u w:val="none"/>
    </w:rPr>
  </w:style>
  <w:style w:type="paragraph" w:customStyle="1" w:styleId="1473">
    <w:name w:val="标题 2+ 行距: 固定值 24 磅 Char"/>
    <w:basedOn w:val="3"/>
    <w:link w:val="1472"/>
    <w:qFormat/>
    <w:uiPriority w:val="0"/>
    <w:pPr>
      <w:widowControl w:val="0"/>
      <w:numPr>
        <w:ilvl w:val="0"/>
        <w:numId w:val="0"/>
      </w:numPr>
      <w:spacing w:before="260" w:after="260" w:line="480" w:lineRule="exact"/>
      <w:jc w:val="both"/>
    </w:pPr>
    <w:rPr>
      <w:rFonts w:ascii="Arial" w:hAnsi="Arial" w:eastAsia="黑体"/>
      <w:kern w:val="2"/>
      <w:sz w:val="32"/>
    </w:rPr>
  </w:style>
  <w:style w:type="character" w:customStyle="1" w:styleId="1474">
    <w:name w:val="Char Char8"/>
    <w:qFormat/>
    <w:uiPriority w:val="0"/>
    <w:rPr>
      <w:rFonts w:hint="default" w:ascii="Times New Roman" w:hAnsi="Times New Roman" w:cs="Times New Roman"/>
      <w:color w:val="000000"/>
      <w:kern w:val="2"/>
      <w:sz w:val="24"/>
      <w:szCs w:val="16"/>
      <w:u w:val="none"/>
    </w:rPr>
  </w:style>
  <w:style w:type="character" w:customStyle="1" w:styleId="1475">
    <w:name w:val="标题 2 Char Char Char Char Char Char1"/>
    <w:qFormat/>
    <w:uiPriority w:val="0"/>
    <w:rPr>
      <w:rFonts w:hint="default" w:ascii="黑体" w:hAnsi="黑体" w:eastAsia="黑体" w:cs="宋体"/>
      <w:bCs/>
      <w:color w:val="000000"/>
      <w:kern w:val="2"/>
      <w:sz w:val="24"/>
      <w:szCs w:val="32"/>
      <w:u w:val="none"/>
    </w:rPr>
  </w:style>
  <w:style w:type="character" w:customStyle="1" w:styleId="1476">
    <w:name w:val="Char Char Char Char Char Char Char11"/>
    <w:link w:val="1477"/>
    <w:qFormat/>
    <w:uiPriority w:val="0"/>
    <w:rPr>
      <w:rFonts w:hint="default" w:ascii="Times New Roman" w:hAnsi="Times New Roman" w:cs="Times New Roman"/>
      <w:color w:val="000000"/>
      <w:sz w:val="24"/>
      <w:szCs w:val="16"/>
      <w:u w:val="none"/>
    </w:rPr>
  </w:style>
  <w:style w:type="paragraph" w:customStyle="1" w:styleId="1477">
    <w:name w:val="Char Char Char Char Char Char5"/>
    <w:basedOn w:val="1"/>
    <w:link w:val="1476"/>
    <w:qFormat/>
    <w:uiPriority w:val="0"/>
    <w:pPr>
      <w:widowControl/>
      <w:jc w:val="left"/>
    </w:pPr>
  </w:style>
  <w:style w:type="character" w:customStyle="1" w:styleId="1478">
    <w:name w:val="页脚 Char1"/>
    <w:qFormat/>
    <w:uiPriority w:val="99"/>
    <w:rPr>
      <w:rFonts w:hint="default" w:ascii="Times New Roman" w:hAnsi="Times New Roman" w:eastAsia="仿宋_GB2312" w:cs="Times New Roman"/>
      <w:color w:val="000000"/>
      <w:sz w:val="18"/>
      <w:szCs w:val="16"/>
      <w:u w:val="none"/>
    </w:rPr>
  </w:style>
  <w:style w:type="character" w:customStyle="1" w:styleId="1479">
    <w:name w:val="正文. Char"/>
    <w:link w:val="1480"/>
    <w:qFormat/>
    <w:uiPriority w:val="0"/>
    <w:rPr>
      <w:rFonts w:hint="default" w:ascii="Times New Roman;Symbol;Arial;婼" w:hAnsi="Times New Roman" w:eastAsia="Times New Roman;Symbol;Arial;婼" w:cs="Times New Roman"/>
      <w:color w:val="000000"/>
      <w:kern w:val="0"/>
      <w:sz w:val="16"/>
      <w:szCs w:val="21"/>
      <w:u w:val="none"/>
    </w:rPr>
  </w:style>
  <w:style w:type="paragraph" w:customStyle="1" w:styleId="1480">
    <w:name w:val="正文."/>
    <w:basedOn w:val="98"/>
    <w:link w:val="1479"/>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character" w:customStyle="1" w:styleId="1481">
    <w:name w:val="文档结构图 Char3"/>
    <w:qFormat/>
    <w:uiPriority w:val="0"/>
    <w:rPr>
      <w:rFonts w:hint="default" w:ascii="Times New Roman" w:hAnsi="Times New Roman" w:eastAsia="宋体" w:cs="Times New Roman"/>
      <w:color w:val="000000"/>
      <w:kern w:val="2"/>
      <w:sz w:val="21"/>
      <w:szCs w:val="24"/>
      <w:u w:val="none"/>
      <w:shd w:val="clear" w:color="auto" w:fill="000080"/>
      <w:lang w:val="en-US" w:eastAsia="zh-CN"/>
    </w:rPr>
  </w:style>
  <w:style w:type="character" w:customStyle="1" w:styleId="1482">
    <w:name w:val="Plain Text Char3"/>
    <w:qFormat/>
    <w:uiPriority w:val="0"/>
    <w:rPr>
      <w:rFonts w:hint="default" w:ascii="宋体" w:hAnsi="Courier New" w:cs="Courier New"/>
      <w:color w:val="000000"/>
      <w:kern w:val="2"/>
      <w:sz w:val="21"/>
      <w:szCs w:val="21"/>
      <w:u w:val="none"/>
    </w:rPr>
  </w:style>
  <w:style w:type="character" w:customStyle="1" w:styleId="1483">
    <w:name w:val="正文缩进 Char14"/>
    <w:qFormat/>
    <w:uiPriority w:val="0"/>
    <w:rPr>
      <w:rFonts w:hint="default" w:ascii="宋体" w:hAnsi="宋体" w:eastAsia="宋体" w:cs="宋体"/>
      <w:color w:val="000000"/>
      <w:kern w:val="2"/>
      <w:sz w:val="24"/>
      <w:szCs w:val="24"/>
      <w:u w:val="none"/>
      <w:lang w:val="en-US" w:eastAsia="zh-CN"/>
    </w:rPr>
  </w:style>
  <w:style w:type="character" w:customStyle="1" w:styleId="1484">
    <w:name w:val="福建正文缩进 Char21"/>
    <w:qFormat/>
    <w:uiPriority w:val="0"/>
    <w:rPr>
      <w:rFonts w:hint="default" w:ascii="宋体" w:hAnsi="宋体" w:eastAsia="宋体" w:cs="宋体"/>
      <w:color w:val="000000"/>
      <w:kern w:val="2"/>
      <w:sz w:val="24"/>
      <w:szCs w:val="24"/>
      <w:u w:val="none"/>
      <w:lang w:val="en-US" w:eastAsia="zh-CN"/>
    </w:rPr>
  </w:style>
  <w:style w:type="character" w:customStyle="1" w:styleId="1485">
    <w:name w:val="表格标题 Char"/>
    <w:qFormat/>
    <w:uiPriority w:val="0"/>
    <w:rPr>
      <w:rFonts w:hint="default" w:ascii="Arial" w:hAnsi="Arial" w:eastAsia="黑体" w:cs="Times New Roman"/>
      <w:color w:val="000000"/>
      <w:sz w:val="24"/>
      <w:szCs w:val="16"/>
      <w:u w:val="none"/>
      <w:lang w:val="en-US" w:eastAsia="zh-CN"/>
    </w:rPr>
  </w:style>
  <w:style w:type="character" w:customStyle="1" w:styleId="1486">
    <w:name w:val="表题1 Char412"/>
    <w:qFormat/>
    <w:uiPriority w:val="0"/>
    <w:rPr>
      <w:rFonts w:hint="default" w:ascii="黑体" w:hAnsi="Arial" w:eastAsia="黑体" w:cs="Arial"/>
      <w:b/>
      <w:color w:val="000000"/>
      <w:kern w:val="2"/>
      <w:sz w:val="24"/>
      <w:szCs w:val="24"/>
      <w:u w:val="none"/>
      <w:lang w:val="en-US" w:eastAsia="zh-CN"/>
    </w:rPr>
  </w:style>
  <w:style w:type="character" w:customStyle="1" w:styleId="1487">
    <w:name w:val="报告书表格 Char Char"/>
    <w:link w:val="1488"/>
    <w:qFormat/>
    <w:uiPriority w:val="0"/>
    <w:rPr>
      <w:rFonts w:hint="default" w:ascii="Times New Roman" w:hAnsi="Times New Roman" w:eastAsia="仿宋_GB2312" w:cs="Times New Roman"/>
      <w:color w:val="000000"/>
      <w:sz w:val="24"/>
      <w:szCs w:val="16"/>
      <w:u w:val="none"/>
    </w:rPr>
  </w:style>
  <w:style w:type="paragraph" w:customStyle="1" w:styleId="1488">
    <w:name w:val="报告书表格"/>
    <w:basedOn w:val="1"/>
    <w:link w:val="1487"/>
    <w:qFormat/>
    <w:uiPriority w:val="0"/>
    <w:pPr>
      <w:spacing w:line="400" w:lineRule="exact"/>
      <w:jc w:val="center"/>
      <w:textAlignment w:val="baseline"/>
    </w:pPr>
  </w:style>
  <w:style w:type="character" w:customStyle="1" w:styleId="1489">
    <w:name w:val="称呼 Char2"/>
    <w:link w:val="1490"/>
    <w:qFormat/>
    <w:uiPriority w:val="0"/>
    <w:rPr>
      <w:rFonts w:hint="default" w:ascii="Times New Roman" w:hAnsi="Times New Roman" w:cs="Times New Roman"/>
      <w:color w:val="000000"/>
      <w:sz w:val="28"/>
      <w:szCs w:val="16"/>
      <w:u w:val="none"/>
    </w:rPr>
  </w:style>
  <w:style w:type="paragraph" w:customStyle="1" w:styleId="1490">
    <w:name w:val="Salutation1"/>
    <w:basedOn w:val="1"/>
    <w:next w:val="1184"/>
    <w:link w:val="1489"/>
    <w:qFormat/>
    <w:uiPriority w:val="0"/>
  </w:style>
  <w:style w:type="character" w:customStyle="1" w:styleId="1491">
    <w:name w:val="Char Char51"/>
    <w:qFormat/>
    <w:uiPriority w:val="0"/>
    <w:rPr>
      <w:rFonts w:hint="default" w:ascii="黑体" w:hAnsi="宋体" w:eastAsia="黑体" w:cs="Times New Roman"/>
      <w:bCs/>
      <w:color w:val="000000"/>
      <w:kern w:val="2"/>
      <w:sz w:val="28"/>
      <w:szCs w:val="28"/>
      <w:u w:val="none"/>
      <w:lang w:val="en-US" w:eastAsia="zh-CN"/>
    </w:rPr>
  </w:style>
  <w:style w:type="character" w:customStyle="1" w:styleId="1492">
    <w:name w:val="样式 表内样式 + (符号) 宋体 Char1"/>
    <w:link w:val="1493"/>
    <w:qFormat/>
    <w:uiPriority w:val="0"/>
    <w:rPr>
      <w:rFonts w:hint="default" w:ascii="宋体" w:hAnsi="Times New Roman" w:cs="Times New Roman"/>
      <w:color w:val="000000"/>
      <w:sz w:val="18"/>
      <w:szCs w:val="16"/>
      <w:u w:val="none"/>
    </w:rPr>
  </w:style>
  <w:style w:type="paragraph" w:customStyle="1" w:styleId="1493">
    <w:name w:val="样式 表内样式 + (符号) 宋体"/>
    <w:basedOn w:val="1"/>
    <w:link w:val="1492"/>
    <w:qFormat/>
    <w:uiPriority w:val="0"/>
    <w:pPr>
      <w:keepLines/>
      <w:widowControl/>
      <w:kinsoku w:val="0"/>
      <w:overflowPunct w:val="0"/>
      <w:spacing w:line="300" w:lineRule="exact"/>
      <w:jc w:val="center"/>
    </w:pPr>
    <w:rPr>
      <w:rFonts w:ascii="宋体"/>
      <w:sz w:val="18"/>
    </w:rPr>
  </w:style>
  <w:style w:type="character" w:customStyle="1" w:styleId="1494">
    <w:name w:val="Char Char1124"/>
    <w:qFormat/>
    <w:uiPriority w:val="0"/>
    <w:rPr>
      <w:rFonts w:hint="default" w:ascii="黑体" w:hAnsi="Arial" w:eastAsia="黑体" w:cs="Times New Roman"/>
      <w:bCs/>
      <w:color w:val="000000"/>
      <w:kern w:val="2"/>
      <w:sz w:val="30"/>
      <w:szCs w:val="30"/>
      <w:u w:val="none"/>
      <w:lang w:val="en-US" w:eastAsia="zh-CN"/>
    </w:rPr>
  </w:style>
  <w:style w:type="character" w:customStyle="1" w:styleId="1495">
    <w:name w:val="Char Char610"/>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496">
    <w:name w:val="正文修改 Char12"/>
    <w:qFormat/>
    <w:uiPriority w:val="0"/>
    <w:rPr>
      <w:rFonts w:hint="default" w:ascii="宋体" w:hAnsi="宋体" w:eastAsia="宋体" w:cs="宋体"/>
      <w:color w:val="000000"/>
      <w:kern w:val="2"/>
      <w:sz w:val="24"/>
      <w:szCs w:val="24"/>
      <w:u w:val="none"/>
      <w:lang w:val="en-US" w:eastAsia="zh-CN"/>
    </w:rPr>
  </w:style>
  <w:style w:type="character" w:customStyle="1" w:styleId="1497">
    <w:name w:val="正文首行缩进 2 Char"/>
    <w:link w:val="1498"/>
    <w:qFormat/>
    <w:uiPriority w:val="0"/>
    <w:rPr>
      <w:rFonts w:hint="default" w:ascii="Arial" w:hAnsi="Arial" w:cs="Times New Roman"/>
      <w:color w:val="000000"/>
      <w:sz w:val="32"/>
      <w:szCs w:val="16"/>
      <w:u w:val="none"/>
    </w:rPr>
  </w:style>
  <w:style w:type="paragraph" w:customStyle="1" w:styleId="1498">
    <w:name w:val="Body Text First Indent 21"/>
    <w:basedOn w:val="206"/>
    <w:link w:val="1497"/>
    <w:qFormat/>
    <w:uiPriority w:val="0"/>
    <w:pPr>
      <w:spacing w:after="120" w:line="240" w:lineRule="auto"/>
      <w:ind w:left="420" w:leftChars="200" w:firstLine="420"/>
    </w:pPr>
    <w:rPr>
      <w:rFonts w:ascii="Arial" w:hAnsi="Arial"/>
      <w:sz w:val="32"/>
    </w:rPr>
  </w:style>
  <w:style w:type="character" w:customStyle="1" w:styleId="1499">
    <w:name w:val="图题注 Char2"/>
    <w:qFormat/>
    <w:uiPriority w:val="0"/>
    <w:rPr>
      <w:rFonts w:hint="default" w:ascii="黑体" w:hAnsi="Arial" w:eastAsia="黑体" w:cs="宋体"/>
      <w:b/>
      <w:bCs/>
      <w:color w:val="000000"/>
      <w:kern w:val="2"/>
      <w:sz w:val="24"/>
      <w:szCs w:val="24"/>
      <w:u w:val="none"/>
      <w:lang w:val="en-US" w:eastAsia="zh-CN"/>
    </w:rPr>
  </w:style>
  <w:style w:type="character" w:customStyle="1" w:styleId="1500">
    <w:name w:val="font21"/>
    <w:qFormat/>
    <w:uiPriority w:val="0"/>
    <w:rPr>
      <w:rFonts w:hint="default" w:ascii="Times New Roman" w:hAnsi="Times New Roman" w:cs="Times New Roman"/>
      <w:color w:val="000000"/>
      <w:sz w:val="12"/>
      <w:szCs w:val="12"/>
      <w:u w:val="none"/>
    </w:rPr>
  </w:style>
  <w:style w:type="character" w:customStyle="1" w:styleId="1501">
    <w:name w:val="Char Char81"/>
    <w:qFormat/>
    <w:uiPriority w:val="0"/>
    <w:rPr>
      <w:rFonts w:hint="default" w:ascii="Times New Roman" w:hAnsi="Times New Roman" w:eastAsia="宋体" w:cs="Times New Roman"/>
      <w:color w:val="000000"/>
      <w:kern w:val="2"/>
      <w:sz w:val="16"/>
      <w:szCs w:val="16"/>
      <w:u w:val="none"/>
      <w:lang w:val="en-US" w:eastAsia="zh-CN"/>
    </w:rPr>
  </w:style>
  <w:style w:type="character" w:customStyle="1" w:styleId="1502">
    <w:name w:val="题注 Char61"/>
    <w:qFormat/>
    <w:uiPriority w:val="0"/>
    <w:rPr>
      <w:rFonts w:hint="default" w:ascii="黑体" w:hAnsi="Arial" w:eastAsia="黑体" w:cs="Arial"/>
      <w:b/>
      <w:color w:val="000000"/>
      <w:kern w:val="2"/>
      <w:sz w:val="24"/>
      <w:szCs w:val="24"/>
      <w:u w:val="none"/>
      <w:lang w:val="en-US" w:eastAsia="zh-CN"/>
    </w:rPr>
  </w:style>
  <w:style w:type="character" w:customStyle="1" w:styleId="1503">
    <w:name w:val="燕山正文 Char161"/>
    <w:qFormat/>
    <w:uiPriority w:val="0"/>
    <w:rPr>
      <w:rFonts w:hint="default" w:ascii="宋体" w:hAnsi="Times New Roman" w:eastAsia="宋体" w:cs="宋体"/>
      <w:color w:val="000000"/>
      <w:kern w:val="2"/>
      <w:sz w:val="24"/>
      <w:szCs w:val="24"/>
      <w:u w:val="none"/>
      <w:lang w:val="en-US" w:eastAsia="zh-CN"/>
    </w:rPr>
  </w:style>
  <w:style w:type="character" w:customStyle="1" w:styleId="1504">
    <w:name w:val="Char Char1120"/>
    <w:qFormat/>
    <w:uiPriority w:val="0"/>
    <w:rPr>
      <w:rFonts w:hint="default" w:ascii="黑体" w:hAnsi="Arial" w:eastAsia="黑体" w:cs="Times New Roman"/>
      <w:bCs/>
      <w:color w:val="000000"/>
      <w:kern w:val="2"/>
      <w:sz w:val="30"/>
      <w:szCs w:val="30"/>
      <w:u w:val="none"/>
      <w:lang w:val="en-US" w:eastAsia="zh-CN"/>
    </w:rPr>
  </w:style>
  <w:style w:type="character" w:customStyle="1" w:styleId="1505">
    <w:name w:val="正文修改 Char1131"/>
    <w:qFormat/>
    <w:uiPriority w:val="0"/>
    <w:rPr>
      <w:rFonts w:hint="default" w:ascii="宋体" w:hAnsi="宋体" w:eastAsia="宋体" w:cs="宋体"/>
      <w:color w:val="000000"/>
      <w:kern w:val="2"/>
      <w:sz w:val="24"/>
      <w:szCs w:val="24"/>
      <w:u w:val="none"/>
      <w:lang w:val="en-US" w:eastAsia="zh-CN"/>
    </w:rPr>
  </w:style>
  <w:style w:type="character" w:customStyle="1" w:styleId="1506">
    <w:name w:val="正文文本 字符"/>
    <w:link w:val="25"/>
    <w:qFormat/>
    <w:uiPriority w:val="0"/>
    <w:rPr>
      <w:rFonts w:hint="default" w:ascii="Calibri" w:hAnsi="Calibri" w:eastAsia="仿宋_GB2312" w:cs="Times New Roman"/>
      <w:color w:val="000000"/>
      <w:sz w:val="24"/>
      <w:szCs w:val="16"/>
      <w:u w:val="none"/>
    </w:rPr>
  </w:style>
  <w:style w:type="character" w:customStyle="1" w:styleId="1507">
    <w:name w:val="题注 Char621"/>
    <w:qFormat/>
    <w:uiPriority w:val="0"/>
    <w:rPr>
      <w:rFonts w:hint="default" w:ascii="黑体" w:hAnsi="Arial" w:eastAsia="黑体" w:cs="Arial"/>
      <w:b/>
      <w:color w:val="000000"/>
      <w:kern w:val="2"/>
      <w:sz w:val="24"/>
      <w:szCs w:val="24"/>
      <w:u w:val="none"/>
      <w:lang w:val="en-US" w:eastAsia="zh-CN"/>
    </w:rPr>
  </w:style>
  <w:style w:type="character" w:customStyle="1" w:styleId="1508">
    <w:name w:val="Char Char632"/>
    <w:qFormat/>
    <w:uiPriority w:val="0"/>
    <w:rPr>
      <w:rFonts w:hint="default" w:ascii="黑体" w:hAnsi="Times New Roman" w:eastAsia="黑体" w:cs="Times New Roman"/>
      <w:b/>
      <w:bCs/>
      <w:color w:val="000000"/>
      <w:kern w:val="2"/>
      <w:sz w:val="28"/>
      <w:szCs w:val="28"/>
      <w:u w:val="none"/>
      <w:lang w:val="en-US" w:eastAsia="zh-CN"/>
    </w:rPr>
  </w:style>
  <w:style w:type="character" w:customStyle="1" w:styleId="1509">
    <w:name w:val="谏壁chen表格内文字 Char Char"/>
    <w:link w:val="1510"/>
    <w:qFormat/>
    <w:uiPriority w:val="0"/>
    <w:rPr>
      <w:rFonts w:hint="default" w:ascii="Times New Roman" w:hAnsi="Times New Roman" w:cs="Times New Roman"/>
      <w:color w:val="000000"/>
      <w:sz w:val="16"/>
      <w:szCs w:val="16"/>
      <w:u w:val="none"/>
    </w:rPr>
  </w:style>
  <w:style w:type="paragraph" w:customStyle="1" w:styleId="1510">
    <w:name w:val="谏壁chen表格内文字"/>
    <w:basedOn w:val="1"/>
    <w:link w:val="1509"/>
    <w:qFormat/>
    <w:uiPriority w:val="0"/>
    <w:pPr>
      <w:spacing w:line="240" w:lineRule="atLeast"/>
      <w:jc w:val="center"/>
    </w:pPr>
  </w:style>
  <w:style w:type="character" w:customStyle="1" w:styleId="1511">
    <w:name w:val="表格 普通文字 Char"/>
    <w:qFormat/>
    <w:uiPriority w:val="0"/>
    <w:rPr>
      <w:rFonts w:hint="default" w:ascii="Times New Roman" w:hAnsi="Times New Roman" w:eastAsia="仿宋_GB2312" w:cs="Times New Roman"/>
      <w:color w:val="000000"/>
      <w:sz w:val="16"/>
      <w:szCs w:val="21"/>
      <w:u w:val="none"/>
    </w:rPr>
  </w:style>
  <w:style w:type="character" w:customStyle="1" w:styleId="1512">
    <w:name w:val="样式 标题 2标题 2节第一章 标题 2Heading 2 HiddenHeading 2 CCBSheading 2...2 Char Char"/>
    <w:link w:val="1513"/>
    <w:qFormat/>
    <w:uiPriority w:val="0"/>
    <w:rPr>
      <w:rFonts w:ascii="楷体_GB2312" w:hAnsi="楷体_GB2312" w:eastAsia="楷体_GB2312"/>
      <w:b/>
      <w:color w:val="000000"/>
      <w:kern w:val="2"/>
      <w:sz w:val="32"/>
      <w:szCs w:val="22"/>
    </w:rPr>
  </w:style>
  <w:style w:type="paragraph" w:customStyle="1" w:styleId="1513">
    <w:name w:val="样式 标题 2标题 2节第一章 标题 2Heading 2 HiddenHeading 2 CCBSheading 2...2"/>
    <w:basedOn w:val="3"/>
    <w:link w:val="1512"/>
    <w:qFormat/>
    <w:uiPriority w:val="0"/>
    <w:rPr>
      <w:rFonts w:ascii="楷体_GB2312" w:hAnsi="楷体_GB2312" w:eastAsia="楷体_GB2312"/>
      <w:bCs w:val="0"/>
      <w:kern w:val="2"/>
      <w:sz w:val="32"/>
      <w:szCs w:val="22"/>
    </w:rPr>
  </w:style>
  <w:style w:type="character" w:customStyle="1" w:styleId="1514">
    <w:name w:val="正文修改 Char1112"/>
    <w:qFormat/>
    <w:uiPriority w:val="0"/>
    <w:rPr>
      <w:rFonts w:hint="default" w:ascii="宋体" w:hAnsi="宋体" w:eastAsia="宋体" w:cs="宋体"/>
      <w:color w:val="000000"/>
      <w:kern w:val="2"/>
      <w:sz w:val="24"/>
      <w:szCs w:val="24"/>
      <w:u w:val="none"/>
      <w:lang w:val="en-US" w:eastAsia="zh-CN"/>
    </w:rPr>
  </w:style>
  <w:style w:type="character" w:customStyle="1" w:styleId="1515">
    <w:name w:val="正文缩进 Char21"/>
    <w:qFormat/>
    <w:uiPriority w:val="0"/>
    <w:rPr>
      <w:rFonts w:hint="default" w:ascii="宋体" w:hAnsi="宋体" w:eastAsia="宋体" w:cs="宋体"/>
      <w:color w:val="000000"/>
      <w:kern w:val="2"/>
      <w:sz w:val="24"/>
      <w:szCs w:val="24"/>
      <w:u w:val="none"/>
      <w:lang w:val="en-US" w:eastAsia="zh-CN"/>
    </w:rPr>
  </w:style>
  <w:style w:type="character" w:customStyle="1" w:styleId="1516">
    <w:name w:val="图表题 Char2"/>
    <w:qFormat/>
    <w:uiPriority w:val="0"/>
    <w:rPr>
      <w:rFonts w:hint="default" w:ascii="黑体" w:hAnsi="宋体" w:eastAsia="黑体" w:cs="宋体"/>
      <w:b/>
      <w:bCs/>
      <w:color w:val="000000"/>
      <w:kern w:val="2"/>
      <w:sz w:val="24"/>
      <w:szCs w:val="24"/>
      <w:u w:val="none"/>
      <w:lang w:val="en-US" w:eastAsia="zh-CN"/>
    </w:rPr>
  </w:style>
  <w:style w:type="character" w:customStyle="1" w:styleId="1517">
    <w:name w:val="style81"/>
    <w:qFormat/>
    <w:uiPriority w:val="0"/>
    <w:rPr>
      <w:rFonts w:hint="default" w:ascii="宋体" w:hAnsi="宋体" w:eastAsia="黑体" w:cs="宋体"/>
      <w:color w:val="000000"/>
      <w:kern w:val="2"/>
      <w:sz w:val="24"/>
      <w:szCs w:val="24"/>
      <w:u w:val="none"/>
      <w:lang w:val="en-US" w:eastAsia="zh-CN"/>
    </w:rPr>
  </w:style>
  <w:style w:type="character" w:customStyle="1" w:styleId="1518">
    <w:name w:val="标题 1 Char4"/>
    <w:qFormat/>
    <w:uiPriority w:val="0"/>
    <w:rPr>
      <w:rFonts w:hint="default" w:ascii="黑体" w:hAnsi="宋体" w:eastAsia="黑体" w:cs="Times New Roman"/>
      <w:b/>
      <w:bCs/>
      <w:color w:val="000000"/>
      <w:kern w:val="44"/>
      <w:sz w:val="32"/>
      <w:szCs w:val="32"/>
      <w:u w:val="none"/>
      <w:lang w:val="en-US" w:eastAsia="zh-CN"/>
    </w:rPr>
  </w:style>
  <w:style w:type="paragraph" w:customStyle="1" w:styleId="1519">
    <w:name w:val="正文格式14"/>
    <w:basedOn w:val="1"/>
    <w:qFormat/>
    <w:uiPriority w:val="0"/>
    <w:pPr>
      <w:widowControl/>
      <w:ind w:firstLine="482"/>
      <w:jc w:val="left"/>
    </w:pPr>
    <w:rPr>
      <w:rFonts w:ascii="宋体" w:hAnsi="宋体" w:cs="宋体"/>
      <w:kern w:val="0"/>
      <w:szCs w:val="24"/>
    </w:rPr>
  </w:style>
  <w:style w:type="paragraph" w:customStyle="1" w:styleId="1520">
    <w:name w:val="Char Char Char Char Char1"/>
    <w:basedOn w:val="1"/>
    <w:qFormat/>
    <w:uiPriority w:val="0"/>
    <w:pPr>
      <w:widowControl/>
      <w:jc w:val="left"/>
    </w:pPr>
    <w:rPr>
      <w:rFonts w:ascii="宋体" w:hAnsi="宋体" w:cs="宋体"/>
      <w:kern w:val="0"/>
      <w:szCs w:val="24"/>
    </w:rPr>
  </w:style>
  <w:style w:type="paragraph" w:customStyle="1" w:styleId="1521">
    <w:name w:val="表111"/>
    <w:basedOn w:val="1"/>
    <w:qFormat/>
    <w:uiPriority w:val="0"/>
    <w:pPr>
      <w:widowControl/>
      <w:jc w:val="center"/>
    </w:pPr>
    <w:rPr>
      <w:rFonts w:ascii="宋体" w:hAnsi="宋体" w:cs="宋体"/>
      <w:kern w:val="0"/>
      <w:szCs w:val="24"/>
    </w:rPr>
  </w:style>
  <w:style w:type="paragraph" w:customStyle="1" w:styleId="1522">
    <w:name w:val="正文缩进2"/>
    <w:basedOn w:val="1"/>
    <w:qFormat/>
    <w:uiPriority w:val="0"/>
    <w:rPr>
      <w:rFonts w:ascii="仿宋_GB2312"/>
      <w:szCs w:val="20"/>
    </w:rPr>
  </w:style>
  <w:style w:type="paragraph" w:customStyle="1" w:styleId="1523">
    <w:name w:val="表内5中211"/>
    <w:basedOn w:val="1"/>
    <w:qFormat/>
    <w:uiPriority w:val="0"/>
    <w:pPr>
      <w:widowControl/>
      <w:jc w:val="center"/>
    </w:pPr>
    <w:rPr>
      <w:rFonts w:ascii="宋体" w:hAnsi="宋体" w:cs="Arial"/>
      <w:snapToGrid w:val="0"/>
      <w:kern w:val="0"/>
      <w:szCs w:val="21"/>
    </w:rPr>
  </w:style>
  <w:style w:type="paragraph" w:customStyle="1" w:styleId="1524">
    <w:name w:val="Char210"/>
    <w:basedOn w:val="1"/>
    <w:qFormat/>
    <w:uiPriority w:val="0"/>
    <w:pPr>
      <w:widowControl/>
      <w:ind w:left="-48"/>
      <w:jc w:val="left"/>
    </w:pPr>
    <w:rPr>
      <w:rFonts w:ascii="宋体" w:hAnsi="宋体" w:cs="宋体"/>
      <w:kern w:val="0"/>
      <w:szCs w:val="24"/>
    </w:rPr>
  </w:style>
  <w:style w:type="paragraph" w:customStyle="1" w:styleId="1525">
    <w:name w:val="报告样式"/>
    <w:basedOn w:val="1"/>
    <w:next w:val="1"/>
    <w:qFormat/>
    <w:uiPriority w:val="0"/>
    <w:rPr>
      <w:szCs w:val="24"/>
    </w:rPr>
  </w:style>
  <w:style w:type="paragraph" w:customStyle="1" w:styleId="1526">
    <w:name w:val="燕山正文11312"/>
    <w:basedOn w:val="1"/>
    <w:qFormat/>
    <w:uiPriority w:val="0"/>
    <w:pPr>
      <w:widowControl/>
      <w:tabs>
        <w:tab w:val="left" w:pos="4680"/>
      </w:tabs>
      <w:ind w:firstLine="480"/>
      <w:jc w:val="left"/>
    </w:pPr>
    <w:rPr>
      <w:rFonts w:ascii="宋体" w:hAnsi="宋体" w:cs="宋体"/>
      <w:bCs/>
      <w:snapToGrid w:val="0"/>
      <w:kern w:val="0"/>
      <w:szCs w:val="24"/>
    </w:rPr>
  </w:style>
  <w:style w:type="paragraph" w:customStyle="1" w:styleId="1527">
    <w:name w:val="表格中文字"/>
    <w:basedOn w:val="1"/>
    <w:qFormat/>
    <w:uiPriority w:val="0"/>
    <w:pPr>
      <w:adjustRightInd/>
      <w:snapToGrid/>
      <w:spacing w:line="240" w:lineRule="auto"/>
      <w:ind w:firstLine="0" w:firstLineChars="0"/>
      <w:jc w:val="center"/>
    </w:pPr>
    <w:rPr>
      <w:rFonts w:cs="Times New Roman"/>
      <w:kern w:val="18"/>
      <w:sz w:val="21"/>
      <w:szCs w:val="21"/>
    </w:rPr>
  </w:style>
  <w:style w:type="paragraph" w:customStyle="1" w:styleId="1528">
    <w:name w:val="Char Char Char Char1 Char Char Char3"/>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1529">
    <w:name w:val="默认段落字体 Para Char Char Char Char Char31"/>
    <w:basedOn w:val="1"/>
    <w:qFormat/>
    <w:uiPriority w:val="0"/>
    <w:pPr>
      <w:widowControl/>
      <w:jc w:val="left"/>
    </w:pPr>
    <w:rPr>
      <w:rFonts w:ascii="宋体" w:hAnsi="宋体" w:cs="宋体"/>
      <w:kern w:val="0"/>
      <w:szCs w:val="24"/>
    </w:rPr>
  </w:style>
  <w:style w:type="paragraph" w:customStyle="1" w:styleId="1530">
    <w:name w:val="表格内字体12"/>
    <w:basedOn w:val="418"/>
    <w:next w:val="418"/>
    <w:qFormat/>
    <w:uiPriority w:val="0"/>
    <w:pPr>
      <w:spacing w:line="240" w:lineRule="auto"/>
      <w:ind w:firstLine="0"/>
      <w:jc w:val="center"/>
    </w:pPr>
    <w:rPr>
      <w:rFonts w:hAnsi="宋体"/>
      <w:sz w:val="21"/>
      <w:szCs w:val="24"/>
    </w:rPr>
  </w:style>
  <w:style w:type="paragraph" w:customStyle="1" w:styleId="1531">
    <w:name w:val="图题2112"/>
    <w:basedOn w:val="418"/>
    <w:next w:val="418"/>
    <w:qFormat/>
    <w:uiPriority w:val="0"/>
    <w:pPr>
      <w:ind w:firstLine="0"/>
      <w:jc w:val="center"/>
    </w:pPr>
    <w:rPr>
      <w:rFonts w:ascii="黑体" w:hAnsi="宋体" w:eastAsia="黑体" w:cs="宋体"/>
      <w:b/>
      <w:bCs/>
      <w:szCs w:val="24"/>
    </w:rPr>
  </w:style>
  <w:style w:type="paragraph" w:customStyle="1" w:styleId="1532">
    <w:name w:val="黑体三号31"/>
    <w:basedOn w:val="418"/>
    <w:qFormat/>
    <w:uiPriority w:val="0"/>
    <w:pPr>
      <w:jc w:val="center"/>
    </w:pPr>
    <w:rPr>
      <w:rFonts w:ascii="黑体" w:hAnsi="宋体" w:eastAsia="黑体" w:cs="宋体"/>
      <w:b/>
      <w:bCs/>
      <w:sz w:val="32"/>
      <w:szCs w:val="20"/>
    </w:rPr>
  </w:style>
  <w:style w:type="paragraph" w:customStyle="1" w:styleId="1533">
    <w:name w:val="Char Char Char Char1 Char Char Char21"/>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1534">
    <w:name w:val="表题3133"/>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535">
    <w:name w:val="Char Char Char Char Char Char Char114"/>
    <w:basedOn w:val="1"/>
    <w:qFormat/>
    <w:uiPriority w:val="0"/>
    <w:pPr>
      <w:widowControl/>
      <w:jc w:val="left"/>
    </w:pPr>
    <w:rPr>
      <w:rFonts w:ascii="宋体" w:hAnsi="宋体" w:cs="宋体"/>
      <w:kern w:val="0"/>
      <w:szCs w:val="24"/>
    </w:rPr>
  </w:style>
  <w:style w:type="paragraph" w:customStyle="1" w:styleId="1536">
    <w:name w:val="默认段落字体 Para Char31"/>
    <w:basedOn w:val="1"/>
    <w:qFormat/>
    <w:uiPriority w:val="0"/>
    <w:pPr>
      <w:widowControl/>
      <w:jc w:val="left"/>
    </w:pPr>
    <w:rPr>
      <w:rFonts w:ascii="宋体" w:hAnsi="宋体" w:cs="宋体"/>
      <w:kern w:val="0"/>
      <w:szCs w:val="24"/>
    </w:rPr>
  </w:style>
  <w:style w:type="paragraph" w:customStyle="1" w:styleId="1537">
    <w:name w:val="标题43141"/>
    <w:basedOn w:val="1"/>
    <w:qFormat/>
    <w:uiPriority w:val="0"/>
    <w:pPr>
      <w:widowControl/>
      <w:spacing w:line="480" w:lineRule="exact"/>
      <w:jc w:val="center"/>
    </w:pPr>
    <w:rPr>
      <w:rFonts w:ascii="宋体" w:hAnsi="宋体" w:cs="宋体"/>
      <w:kern w:val="0"/>
      <w:szCs w:val="24"/>
    </w:rPr>
  </w:style>
  <w:style w:type="paragraph" w:customStyle="1" w:styleId="1538">
    <w:name w:val="Char123"/>
    <w:basedOn w:val="1"/>
    <w:qFormat/>
    <w:uiPriority w:val="0"/>
    <w:pPr>
      <w:widowControl/>
      <w:ind w:left="-48"/>
      <w:jc w:val="left"/>
    </w:pPr>
    <w:rPr>
      <w:rFonts w:ascii="宋体" w:hAnsi="宋体" w:cs="宋体"/>
      <w:kern w:val="0"/>
      <w:szCs w:val="24"/>
    </w:rPr>
  </w:style>
  <w:style w:type="paragraph" w:customStyle="1" w:styleId="1539">
    <w:name w:val="环评正文2"/>
    <w:basedOn w:val="98"/>
    <w:qFormat/>
    <w:uiPriority w:val="0"/>
    <w:pPr>
      <w:spacing w:line="440" w:lineRule="exact"/>
      <w:ind w:firstLine="200" w:firstLineChars="200"/>
    </w:pPr>
    <w:rPr>
      <w:rFonts w:ascii="Times New Roman" w:hAnsi="Times New Roman" w:cs="Times New Roman"/>
      <w:bCs/>
      <w:color w:val="000000"/>
    </w:rPr>
  </w:style>
  <w:style w:type="paragraph" w:customStyle="1" w:styleId="1540">
    <w:name w:val="表格内容13"/>
    <w:basedOn w:val="98"/>
    <w:qFormat/>
    <w:uiPriority w:val="0"/>
    <w:pPr>
      <w:jc w:val="center"/>
    </w:pPr>
    <w:rPr>
      <w:rFonts w:ascii="Times New Roman" w:hAnsi="Times New Roman" w:cs="Times New Roman"/>
      <w:color w:val="000000"/>
      <w:szCs w:val="21"/>
    </w:rPr>
  </w:style>
  <w:style w:type="paragraph" w:customStyle="1" w:styleId="1541">
    <w:name w:val="燕山正文117"/>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1542">
    <w:name w:val="谏壁表头（chen）"/>
    <w:basedOn w:val="1"/>
    <w:qFormat/>
    <w:uiPriority w:val="0"/>
    <w:pPr>
      <w:widowControl/>
      <w:jc w:val="center"/>
    </w:pPr>
    <w:rPr>
      <w:rFonts w:ascii="宋体" w:hAnsi="宋体" w:cs="宋体"/>
      <w:b/>
      <w:bCs/>
      <w:kern w:val="0"/>
      <w:szCs w:val="24"/>
    </w:rPr>
  </w:style>
  <w:style w:type="paragraph" w:customStyle="1" w:styleId="1543">
    <w:name w:val="燕山正文1111"/>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1544">
    <w:name w:val="BG1"/>
    <w:basedOn w:val="1"/>
    <w:qFormat/>
    <w:uiPriority w:val="0"/>
    <w:pPr>
      <w:spacing w:line="240" w:lineRule="exact"/>
      <w:jc w:val="center"/>
    </w:pPr>
    <w:rPr>
      <w:szCs w:val="24"/>
    </w:rPr>
  </w:style>
  <w:style w:type="paragraph" w:customStyle="1" w:styleId="1545">
    <w:name w:val="表格内字体9"/>
    <w:basedOn w:val="418"/>
    <w:next w:val="418"/>
    <w:qFormat/>
    <w:uiPriority w:val="0"/>
    <w:pPr>
      <w:spacing w:line="240" w:lineRule="auto"/>
      <w:ind w:firstLine="0"/>
      <w:jc w:val="center"/>
    </w:pPr>
    <w:rPr>
      <w:rFonts w:hAnsi="宋体"/>
      <w:sz w:val="21"/>
      <w:szCs w:val="24"/>
    </w:rPr>
  </w:style>
  <w:style w:type="paragraph" w:customStyle="1" w:styleId="1546">
    <w:name w:val="报告 Char"/>
    <w:basedOn w:val="1"/>
    <w:qFormat/>
    <w:uiPriority w:val="0"/>
    <w:pPr>
      <w:ind w:firstLine="505"/>
      <w:textAlignment w:val="baseline"/>
    </w:pPr>
    <w:rPr>
      <w:szCs w:val="24"/>
    </w:rPr>
  </w:style>
  <w:style w:type="paragraph" w:customStyle="1" w:styleId="1547">
    <w:name w:val="23-47表名"/>
    <w:basedOn w:val="1"/>
    <w:qFormat/>
    <w:uiPriority w:val="0"/>
    <w:pPr>
      <w:widowControl/>
      <w:spacing w:after="156" w:line="440" w:lineRule="exact"/>
      <w:jc w:val="center"/>
    </w:pPr>
    <w:rPr>
      <w:rFonts w:ascii="宋体" w:hAnsi="宋体" w:cs="宋体"/>
      <w:b/>
      <w:kern w:val="0"/>
      <w:szCs w:val="24"/>
    </w:rPr>
  </w:style>
  <w:style w:type="paragraph" w:customStyle="1" w:styleId="1548">
    <w:name w:val="样式 标题 3标题 3 Char CharH3h33rd level标题3 + 段前: 0.5 行"/>
    <w:basedOn w:val="4"/>
    <w:qFormat/>
    <w:uiPriority w:val="0"/>
    <w:pPr>
      <w:keepNext w:val="0"/>
      <w:keepLines w:val="0"/>
      <w:widowControl/>
      <w:spacing w:line="480" w:lineRule="exact"/>
      <w:jc w:val="center"/>
      <w:outlineLvl w:val="9"/>
    </w:pPr>
    <w:rPr>
      <w:rFonts w:ascii="楷体_GB2312" w:hAnsi="宋体" w:eastAsia="楷体_GB2312"/>
      <w:b w:val="0"/>
      <w:szCs w:val="28"/>
    </w:rPr>
  </w:style>
  <w:style w:type="paragraph" w:customStyle="1" w:styleId="1549">
    <w:name w:val="默认段落字体 Para Char Char Char Char12"/>
    <w:basedOn w:val="1"/>
    <w:qFormat/>
    <w:uiPriority w:val="0"/>
    <w:pPr>
      <w:widowControl/>
      <w:jc w:val="left"/>
    </w:pPr>
    <w:rPr>
      <w:rFonts w:ascii="宋体" w:hAnsi="宋体" w:cs="宋体"/>
      <w:kern w:val="0"/>
      <w:szCs w:val="24"/>
    </w:rPr>
  </w:style>
  <w:style w:type="paragraph" w:customStyle="1" w:styleId="1550">
    <w:name w:val="Char Char Char Char Char Char Char40"/>
    <w:basedOn w:val="1"/>
    <w:qFormat/>
    <w:uiPriority w:val="0"/>
    <w:pPr>
      <w:widowControl/>
      <w:jc w:val="left"/>
    </w:pPr>
    <w:rPr>
      <w:rFonts w:ascii="宋体" w:hAnsi="宋体" w:cs="宋体"/>
      <w:kern w:val="0"/>
      <w:szCs w:val="24"/>
    </w:rPr>
  </w:style>
  <w:style w:type="paragraph" w:customStyle="1" w:styleId="1551">
    <w:name w:val="正文格式＝7"/>
    <w:basedOn w:val="418"/>
    <w:next w:val="418"/>
    <w:qFormat/>
    <w:uiPriority w:val="0"/>
    <w:rPr>
      <w:rFonts w:hAnsi="宋体"/>
      <w:szCs w:val="24"/>
    </w:rPr>
  </w:style>
  <w:style w:type="paragraph" w:customStyle="1" w:styleId="1552">
    <w:name w:val="正文格式24"/>
    <w:basedOn w:val="1"/>
    <w:qFormat/>
    <w:uiPriority w:val="0"/>
    <w:pPr>
      <w:widowControl/>
      <w:ind w:firstLine="482"/>
      <w:jc w:val="left"/>
    </w:pPr>
    <w:rPr>
      <w:rFonts w:ascii="宋体" w:hAnsi="宋体" w:cs="宋体"/>
      <w:kern w:val="0"/>
      <w:szCs w:val="24"/>
    </w:rPr>
  </w:style>
  <w:style w:type="paragraph" w:customStyle="1" w:styleId="1553">
    <w:name w:val="正文缩31"/>
    <w:basedOn w:val="1"/>
    <w:qFormat/>
    <w:uiPriority w:val="0"/>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1554">
    <w:name w:val="Char Char2 Char Char Char Char121"/>
    <w:basedOn w:val="1"/>
    <w:qFormat/>
    <w:uiPriority w:val="0"/>
    <w:pPr>
      <w:widowControl/>
      <w:jc w:val="left"/>
    </w:pPr>
    <w:rPr>
      <w:rFonts w:ascii="宋体" w:hAnsi="宋体" w:cs="宋体"/>
      <w:kern w:val="0"/>
      <w:szCs w:val="24"/>
    </w:rPr>
  </w:style>
  <w:style w:type="paragraph" w:customStyle="1" w:styleId="1555">
    <w:name w:val="xl68"/>
    <w:basedOn w:val="1"/>
    <w:qFormat/>
    <w:uiPriority w:val="0"/>
    <w:pPr>
      <w:widowControl/>
      <w:pBdr>
        <w:right w:val="single" w:color="auto" w:sz="8" w:space="0"/>
      </w:pBdr>
      <w:spacing w:before="100" w:beforeAutospacing="1" w:after="100" w:afterAutospacing="1"/>
      <w:jc w:val="center"/>
    </w:pPr>
    <w:rPr>
      <w:kern w:val="0"/>
      <w:szCs w:val="21"/>
    </w:rPr>
  </w:style>
  <w:style w:type="paragraph" w:customStyle="1" w:styleId="1556">
    <w:name w:val="正文斜体2"/>
    <w:basedOn w:val="418"/>
    <w:next w:val="418"/>
    <w:qFormat/>
    <w:uiPriority w:val="0"/>
    <w:rPr>
      <w:rFonts w:hAnsi="宋体"/>
      <w:i/>
      <w:iCs/>
      <w:szCs w:val="24"/>
    </w:rPr>
  </w:style>
  <w:style w:type="paragraph" w:customStyle="1" w:styleId="1557">
    <w:name w:val="燕山正文11212"/>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1558">
    <w:name w:val="表内文字小2213"/>
    <w:basedOn w:val="1"/>
    <w:qFormat/>
    <w:uiPriority w:val="0"/>
    <w:pPr>
      <w:widowControl/>
      <w:jc w:val="center"/>
    </w:pPr>
    <w:rPr>
      <w:rFonts w:ascii="宋体" w:hAnsi="Times" w:cs="宋体"/>
      <w:bCs/>
      <w:kern w:val="0"/>
      <w:szCs w:val="20"/>
    </w:rPr>
  </w:style>
  <w:style w:type="paragraph" w:customStyle="1" w:styleId="1559">
    <w:name w:val="Char68"/>
    <w:basedOn w:val="1"/>
    <w:qFormat/>
    <w:uiPriority w:val="0"/>
    <w:pPr>
      <w:widowControl/>
      <w:ind w:left="-48"/>
      <w:jc w:val="left"/>
    </w:pPr>
    <w:rPr>
      <w:rFonts w:ascii="宋体" w:hAnsi="宋体" w:cs="宋体"/>
      <w:kern w:val="0"/>
      <w:szCs w:val="24"/>
    </w:rPr>
  </w:style>
  <w:style w:type="paragraph" w:customStyle="1" w:styleId="1560">
    <w:name w:val="样式 样式 宋体 + 首行缩进:  2 字符111"/>
    <w:basedOn w:val="1"/>
    <w:qFormat/>
    <w:uiPriority w:val="0"/>
    <w:pPr>
      <w:widowControl/>
      <w:ind w:firstLine="480"/>
      <w:jc w:val="left"/>
    </w:pPr>
    <w:rPr>
      <w:rFonts w:ascii="宋体" w:hAnsi="宋体" w:cs="宋体"/>
      <w:kern w:val="0"/>
      <w:szCs w:val="24"/>
    </w:rPr>
  </w:style>
  <w:style w:type="paragraph" w:customStyle="1" w:styleId="1561">
    <w:name w:val="样式 标题 1 + 段前: 1 行 段后: 1.5 行"/>
    <w:basedOn w:val="2"/>
    <w:qFormat/>
    <w:uiPriority w:val="0"/>
    <w:pPr>
      <w:numPr>
        <w:numId w:val="0"/>
      </w:numPr>
      <w:spacing w:beforeLines="100" w:after="156" w:line="300" w:lineRule="auto"/>
    </w:pPr>
    <w:rPr>
      <w:rFonts w:ascii="仿宋_GB2312" w:cs="宋体"/>
      <w:sz w:val="32"/>
      <w:szCs w:val="32"/>
    </w:rPr>
  </w:style>
  <w:style w:type="paragraph" w:customStyle="1" w:styleId="1562">
    <w:name w:val="正文文本缩进 32"/>
    <w:basedOn w:val="1"/>
    <w:qFormat/>
    <w:uiPriority w:val="0"/>
    <w:pPr>
      <w:widowControl/>
      <w:spacing w:after="120"/>
      <w:ind w:left="420" w:leftChars="200"/>
      <w:jc w:val="left"/>
    </w:pPr>
    <w:rPr>
      <w:rFonts w:ascii="宋体" w:hAnsi="宋体" w:cs="宋体"/>
      <w:kern w:val="0"/>
      <w:sz w:val="16"/>
      <w:szCs w:val="16"/>
    </w:rPr>
  </w:style>
  <w:style w:type="paragraph" w:customStyle="1" w:styleId="1563">
    <w:name w:val="Table Paragraph"/>
    <w:basedOn w:val="1"/>
    <w:qFormat/>
    <w:uiPriority w:val="1"/>
    <w:pPr>
      <w:widowControl/>
      <w:jc w:val="left"/>
    </w:pPr>
    <w:rPr>
      <w:rFonts w:cs="黑体"/>
      <w:kern w:val="0"/>
      <w:sz w:val="22"/>
      <w:lang w:eastAsia="en-US"/>
    </w:rPr>
  </w:style>
  <w:style w:type="paragraph" w:customStyle="1" w:styleId="1564">
    <w:name w:val="表内文字小31411"/>
    <w:basedOn w:val="1"/>
    <w:qFormat/>
    <w:uiPriority w:val="0"/>
    <w:pPr>
      <w:widowControl/>
      <w:jc w:val="center"/>
    </w:pPr>
    <w:rPr>
      <w:rFonts w:ascii="宋体" w:hAnsi="Times" w:cs="宋体"/>
      <w:bCs/>
      <w:color w:val="003366"/>
      <w:kern w:val="0"/>
      <w:szCs w:val="20"/>
    </w:rPr>
  </w:style>
  <w:style w:type="paragraph" w:customStyle="1" w:styleId="1565">
    <w:name w:val="表中文字3"/>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1566">
    <w:name w:val="文本123"/>
    <w:basedOn w:val="112"/>
    <w:qFormat/>
    <w:uiPriority w:val="0"/>
    <w:pPr>
      <w:tabs>
        <w:tab w:val="left" w:pos="958"/>
      </w:tabs>
      <w:spacing w:line="460" w:lineRule="exact"/>
      <w:ind w:left="958" w:hanging="420"/>
      <w:outlineLvl w:val="7"/>
    </w:pPr>
    <w:rPr>
      <w:rFonts w:ascii="Calibri" w:hAnsi="Calibri"/>
    </w:rPr>
  </w:style>
  <w:style w:type="paragraph" w:customStyle="1" w:styleId="1567">
    <w:name w:val="Char Char2 Char Char Char Char10"/>
    <w:basedOn w:val="1"/>
    <w:qFormat/>
    <w:uiPriority w:val="0"/>
    <w:pPr>
      <w:widowControl/>
      <w:jc w:val="left"/>
    </w:pPr>
    <w:rPr>
      <w:rFonts w:ascii="宋体" w:hAnsi="宋体" w:cs="宋体"/>
      <w:kern w:val="0"/>
      <w:szCs w:val="24"/>
    </w:rPr>
  </w:style>
  <w:style w:type="paragraph" w:customStyle="1" w:styleId="1568">
    <w:name w:val="列表接续 41"/>
    <w:basedOn w:val="1"/>
    <w:qFormat/>
    <w:uiPriority w:val="0"/>
    <w:pPr>
      <w:widowControl/>
      <w:spacing w:after="120"/>
      <w:ind w:left="1680" w:leftChars="800"/>
      <w:jc w:val="left"/>
    </w:pPr>
    <w:rPr>
      <w:rFonts w:ascii="宋体" w:hAnsi="宋体" w:cs="宋体"/>
      <w:kern w:val="0"/>
      <w:szCs w:val="24"/>
    </w:rPr>
  </w:style>
  <w:style w:type="paragraph" w:customStyle="1" w:styleId="1569">
    <w:name w:val="图题222"/>
    <w:basedOn w:val="418"/>
    <w:next w:val="418"/>
    <w:qFormat/>
    <w:uiPriority w:val="0"/>
    <w:pPr>
      <w:ind w:firstLine="0"/>
      <w:jc w:val="center"/>
    </w:pPr>
    <w:rPr>
      <w:rFonts w:ascii="黑体" w:hAnsi="宋体" w:eastAsia="黑体" w:cs="宋体"/>
      <w:b/>
      <w:bCs/>
      <w:szCs w:val="24"/>
    </w:rPr>
  </w:style>
  <w:style w:type="paragraph" w:customStyle="1" w:styleId="1570">
    <w:name w:val="表内文字小31112"/>
    <w:basedOn w:val="1"/>
    <w:qFormat/>
    <w:uiPriority w:val="0"/>
    <w:pPr>
      <w:widowControl/>
      <w:jc w:val="center"/>
    </w:pPr>
    <w:rPr>
      <w:rFonts w:ascii="宋体" w:hAnsi="Times" w:cs="宋体"/>
      <w:bCs/>
      <w:color w:val="003366"/>
      <w:kern w:val="0"/>
      <w:szCs w:val="20"/>
    </w:rPr>
  </w:style>
  <w:style w:type="paragraph" w:customStyle="1" w:styleId="1571">
    <w:name w:val="二级条标题"/>
    <w:next w:val="1"/>
    <w:qFormat/>
    <w:uiPriority w:val="0"/>
    <w:pPr>
      <w:tabs>
        <w:tab w:val="left" w:pos="980"/>
        <w:tab w:val="left" w:pos="1080"/>
        <w:tab w:val="left" w:pos="1260"/>
        <w:tab w:val="left" w:pos="1401"/>
        <w:tab w:val="left" w:pos="1680"/>
        <w:tab w:val="left" w:pos="2240"/>
      </w:tabs>
      <w:outlineLvl w:val="3"/>
    </w:pPr>
    <w:rPr>
      <w:rFonts w:ascii="Times New Roman" w:hAnsi="Times New Roman" w:eastAsia="宋体" w:cs="Times New Roman"/>
      <w:lang w:val="en-US" w:eastAsia="zh-CN" w:bidi="ar-SA"/>
    </w:rPr>
  </w:style>
  <w:style w:type="paragraph" w:customStyle="1" w:styleId="1572">
    <w:name w:val="一级条标题"/>
    <w:basedOn w:val="3"/>
    <w:next w:val="1"/>
    <w:qFormat/>
    <w:uiPriority w:val="0"/>
    <w:pPr>
      <w:keepNext w:val="0"/>
      <w:keepLines w:val="0"/>
      <w:numPr>
        <w:ilvl w:val="0"/>
        <w:numId w:val="0"/>
      </w:numPr>
      <w:tabs>
        <w:tab w:val="left" w:pos="1080"/>
        <w:tab w:val="left" w:pos="1260"/>
      </w:tabs>
      <w:spacing w:before="0" w:after="0" w:line="240" w:lineRule="auto"/>
      <w:outlineLvl w:val="2"/>
    </w:pPr>
    <w:rPr>
      <w:rFonts w:ascii="黑体" w:eastAsia="黑体"/>
      <w:b w:val="0"/>
      <w:bCs w:val="0"/>
      <w:sz w:val="21"/>
      <w:szCs w:val="20"/>
    </w:rPr>
  </w:style>
  <w:style w:type="paragraph" w:customStyle="1" w:styleId="1573">
    <w:name w:val="黑体三号13"/>
    <w:basedOn w:val="418"/>
    <w:qFormat/>
    <w:uiPriority w:val="0"/>
    <w:pPr>
      <w:jc w:val="center"/>
    </w:pPr>
    <w:rPr>
      <w:rFonts w:ascii="黑体" w:hAnsi="宋体" w:eastAsia="黑体" w:cs="宋体"/>
      <w:b/>
      <w:bCs/>
      <w:sz w:val="32"/>
      <w:szCs w:val="20"/>
    </w:rPr>
  </w:style>
  <w:style w:type="paragraph" w:customStyle="1" w:styleId="1574">
    <w:name w:val="样式44"/>
    <w:basedOn w:val="25"/>
    <w:qFormat/>
    <w:uiPriority w:val="0"/>
    <w:pPr>
      <w:widowControl/>
      <w:spacing w:after="120" w:line="240" w:lineRule="auto"/>
      <w:jc w:val="left"/>
    </w:pPr>
    <w:rPr>
      <w:sz w:val="21"/>
      <w:szCs w:val="24"/>
    </w:rPr>
  </w:style>
  <w:style w:type="paragraph" w:customStyle="1" w:styleId="1575">
    <w:name w:val="正文格式＝521"/>
    <w:basedOn w:val="418"/>
    <w:next w:val="418"/>
    <w:qFormat/>
    <w:uiPriority w:val="0"/>
    <w:rPr>
      <w:rFonts w:hAnsi="宋体"/>
      <w:szCs w:val="24"/>
    </w:rPr>
  </w:style>
  <w:style w:type="paragraph" w:customStyle="1" w:styleId="1576">
    <w:name w:val="T正文"/>
    <w:basedOn w:val="98"/>
    <w:qFormat/>
    <w:uiPriority w:val="0"/>
    <w:pPr>
      <w:widowControl w:val="0"/>
      <w:adjustRightInd w:val="0"/>
      <w:snapToGrid w:val="0"/>
      <w:ind w:firstLine="200" w:firstLineChars="200"/>
    </w:pPr>
    <w:rPr>
      <w:rFonts w:ascii="Times New Roman" w:hAnsi="Times New Roman" w:eastAsia="仿宋_GB2312" w:cs="Times New Roman"/>
      <w:color w:val="000000"/>
      <w:sz w:val="28"/>
    </w:rPr>
  </w:style>
  <w:style w:type="paragraph" w:customStyle="1" w:styleId="1577">
    <w:name w:val="Char71"/>
    <w:basedOn w:val="1"/>
    <w:qFormat/>
    <w:uiPriority w:val="0"/>
    <w:pPr>
      <w:widowControl/>
      <w:ind w:left="-48"/>
      <w:jc w:val="left"/>
    </w:pPr>
    <w:rPr>
      <w:rFonts w:ascii="宋体" w:hAnsi="宋体" w:cs="宋体"/>
      <w:kern w:val="0"/>
      <w:szCs w:val="24"/>
    </w:rPr>
  </w:style>
  <w:style w:type="paragraph" w:customStyle="1" w:styleId="1578">
    <w:name w:val="表内文字小31311"/>
    <w:basedOn w:val="1"/>
    <w:qFormat/>
    <w:uiPriority w:val="0"/>
    <w:pPr>
      <w:widowControl/>
      <w:jc w:val="center"/>
    </w:pPr>
    <w:rPr>
      <w:rFonts w:ascii="宋体" w:hAnsi="Times" w:cs="宋体"/>
      <w:bCs/>
      <w:color w:val="003366"/>
      <w:kern w:val="0"/>
      <w:szCs w:val="20"/>
    </w:rPr>
  </w:style>
  <w:style w:type="paragraph" w:customStyle="1" w:styleId="1579">
    <w:name w:val="表内54151"/>
    <w:basedOn w:val="1"/>
    <w:qFormat/>
    <w:uiPriority w:val="0"/>
    <w:pPr>
      <w:widowControl/>
      <w:spacing w:line="300" w:lineRule="auto"/>
      <w:jc w:val="center"/>
    </w:pPr>
    <w:rPr>
      <w:rFonts w:ascii="宋体" w:hAnsi="宋体" w:cs="宋体"/>
      <w:kern w:val="0"/>
      <w:szCs w:val="20"/>
    </w:rPr>
  </w:style>
  <w:style w:type="paragraph" w:customStyle="1" w:styleId="1580">
    <w:name w:val="标题411111"/>
    <w:basedOn w:val="1"/>
    <w:qFormat/>
    <w:uiPriority w:val="0"/>
    <w:pPr>
      <w:widowControl/>
      <w:spacing w:line="300" w:lineRule="auto"/>
      <w:jc w:val="left"/>
    </w:pPr>
    <w:rPr>
      <w:rFonts w:ascii="黑体" w:hAnsi="宋体" w:eastAsia="黑体" w:cs="宋体"/>
      <w:bCs/>
      <w:kern w:val="0"/>
      <w:szCs w:val="20"/>
    </w:rPr>
  </w:style>
  <w:style w:type="paragraph" w:customStyle="1" w:styleId="1581">
    <w:name w:val="正文样式一"/>
    <w:basedOn w:val="1"/>
    <w:qFormat/>
    <w:uiPriority w:val="0"/>
    <w:pPr>
      <w:widowControl/>
      <w:spacing w:line="400" w:lineRule="atLeast"/>
      <w:ind w:firstLine="510"/>
      <w:jc w:val="left"/>
      <w:textAlignment w:val="baseline"/>
    </w:pPr>
    <w:rPr>
      <w:rFonts w:ascii="宋体" w:hAnsi="宋体" w:cs="宋体"/>
      <w:kern w:val="0"/>
      <w:szCs w:val="20"/>
    </w:rPr>
  </w:style>
  <w:style w:type="paragraph" w:customStyle="1" w:styleId="1582">
    <w:name w:val="3xi1"/>
    <w:basedOn w:val="1"/>
    <w:qFormat/>
    <w:uiPriority w:val="0"/>
    <w:pPr>
      <w:widowControl/>
      <w:spacing w:before="100" w:beforeAutospacing="1" w:after="100" w:afterAutospacing="1"/>
      <w:jc w:val="left"/>
    </w:pPr>
    <w:rPr>
      <w:rFonts w:ascii="宋体" w:hAnsi="宋体" w:cs="宋体"/>
      <w:kern w:val="0"/>
      <w:szCs w:val="24"/>
    </w:rPr>
  </w:style>
  <w:style w:type="paragraph" w:customStyle="1" w:styleId="1583">
    <w:name w:val="报告表格"/>
    <w:basedOn w:val="1"/>
    <w:qFormat/>
    <w:uiPriority w:val="0"/>
    <w:pPr>
      <w:widowControl/>
      <w:autoSpaceDE w:val="0"/>
      <w:autoSpaceDN w:val="0"/>
      <w:spacing w:before="40" w:after="40"/>
      <w:jc w:val="center"/>
      <w:textAlignment w:val="bottom"/>
    </w:pPr>
    <w:rPr>
      <w:rFonts w:ascii="宋体" w:hAnsi="宋体" w:cs="宋体"/>
      <w:kern w:val="0"/>
      <w:szCs w:val="20"/>
    </w:rPr>
  </w:style>
  <w:style w:type="paragraph" w:customStyle="1" w:styleId="1584">
    <w:name w:val="表内54153"/>
    <w:basedOn w:val="1"/>
    <w:qFormat/>
    <w:uiPriority w:val="0"/>
    <w:pPr>
      <w:widowControl/>
      <w:spacing w:line="300" w:lineRule="auto"/>
      <w:jc w:val="center"/>
    </w:pPr>
    <w:rPr>
      <w:rFonts w:ascii="宋体" w:hAnsi="宋体" w:cs="宋体"/>
      <w:kern w:val="0"/>
      <w:szCs w:val="20"/>
    </w:rPr>
  </w:style>
  <w:style w:type="paragraph" w:customStyle="1" w:styleId="1585">
    <w:name w:val="黑体三号44"/>
    <w:basedOn w:val="418"/>
    <w:qFormat/>
    <w:uiPriority w:val="0"/>
    <w:pPr>
      <w:jc w:val="center"/>
    </w:pPr>
    <w:rPr>
      <w:rFonts w:ascii="黑体" w:hAnsi="宋体" w:eastAsia="黑体" w:cs="宋体"/>
      <w:b/>
      <w:bCs/>
      <w:sz w:val="32"/>
      <w:szCs w:val="20"/>
    </w:rPr>
  </w:style>
  <w:style w:type="paragraph" w:customStyle="1" w:styleId="1586">
    <w:name w:val="表题31"/>
    <w:basedOn w:val="752"/>
    <w:qFormat/>
    <w:uiPriority w:val="0"/>
    <w:pPr>
      <w:widowControl/>
      <w:tabs>
        <w:tab w:val="left" w:pos="4305"/>
      </w:tabs>
      <w:spacing w:after="0"/>
      <w:ind w:left="0" w:leftChars="0" w:firstLine="561" w:firstLineChars="0"/>
      <w:jc w:val="left"/>
    </w:pPr>
    <w:rPr>
      <w:rFonts w:ascii="宋体" w:hAnsi="宋体" w:cs="宋体"/>
      <w:sz w:val="24"/>
      <w:szCs w:val="24"/>
    </w:rPr>
  </w:style>
  <w:style w:type="paragraph" w:customStyle="1" w:styleId="1587">
    <w:name w:val="标题431112"/>
    <w:basedOn w:val="1"/>
    <w:qFormat/>
    <w:uiPriority w:val="0"/>
    <w:pPr>
      <w:widowControl/>
      <w:spacing w:line="480" w:lineRule="exact"/>
      <w:jc w:val="center"/>
    </w:pPr>
    <w:rPr>
      <w:rFonts w:ascii="宋体" w:hAnsi="宋体" w:cs="宋体"/>
      <w:kern w:val="0"/>
      <w:szCs w:val="24"/>
    </w:rPr>
  </w:style>
  <w:style w:type="paragraph" w:customStyle="1" w:styleId="1588">
    <w:name w:val="表2111"/>
    <w:basedOn w:val="1"/>
    <w:qFormat/>
    <w:uiPriority w:val="0"/>
    <w:pPr>
      <w:widowControl/>
      <w:jc w:val="center"/>
    </w:pPr>
    <w:rPr>
      <w:rFonts w:ascii="宋体" w:hAnsi="宋体" w:cs="宋体"/>
      <w:kern w:val="0"/>
      <w:szCs w:val="24"/>
    </w:rPr>
  </w:style>
  <w:style w:type="paragraph" w:customStyle="1" w:styleId="1589">
    <w:name w:val="Char Char Char Char Char Char Char122"/>
    <w:basedOn w:val="1"/>
    <w:qFormat/>
    <w:uiPriority w:val="0"/>
    <w:pPr>
      <w:widowControl/>
      <w:jc w:val="left"/>
    </w:pPr>
    <w:rPr>
      <w:rFonts w:ascii="宋体" w:hAnsi="宋体" w:cs="宋体"/>
      <w:kern w:val="0"/>
      <w:szCs w:val="20"/>
    </w:rPr>
  </w:style>
  <w:style w:type="paragraph" w:customStyle="1" w:styleId="1590">
    <w:name w:val="表内541511"/>
    <w:basedOn w:val="1"/>
    <w:qFormat/>
    <w:uiPriority w:val="0"/>
    <w:pPr>
      <w:widowControl/>
      <w:spacing w:line="300" w:lineRule="auto"/>
      <w:jc w:val="center"/>
    </w:pPr>
    <w:rPr>
      <w:rFonts w:ascii="宋体" w:hAnsi="宋体" w:cs="宋体"/>
      <w:kern w:val="0"/>
      <w:szCs w:val="20"/>
    </w:rPr>
  </w:style>
  <w:style w:type="paragraph" w:customStyle="1" w:styleId="1591">
    <w:name w:val="xl6312"/>
    <w:basedOn w:val="1"/>
    <w:qFormat/>
    <w:uiPriority w:val="0"/>
    <w:pPr>
      <w:widowControl/>
      <w:spacing w:before="100" w:beforeAutospacing="1" w:after="100" w:afterAutospacing="1"/>
      <w:jc w:val="center"/>
      <w:textAlignment w:val="center"/>
    </w:pPr>
    <w:rPr>
      <w:rFonts w:hint="eastAsia" w:ascii="黑体" w:hAnsi="宋体" w:eastAsia="黑体" w:cs="宋体"/>
      <w:kern w:val="0"/>
      <w:szCs w:val="24"/>
    </w:rPr>
  </w:style>
  <w:style w:type="paragraph" w:customStyle="1" w:styleId="1592">
    <w:name w:val="图题312"/>
    <w:basedOn w:val="418"/>
    <w:next w:val="418"/>
    <w:qFormat/>
    <w:uiPriority w:val="0"/>
    <w:pPr>
      <w:ind w:firstLine="0"/>
      <w:jc w:val="center"/>
    </w:pPr>
    <w:rPr>
      <w:rFonts w:ascii="黑体" w:hAnsi="宋体" w:eastAsia="黑体" w:cs="宋体"/>
      <w:b/>
      <w:bCs/>
      <w:szCs w:val="24"/>
    </w:rPr>
  </w:style>
  <w:style w:type="paragraph" w:customStyle="1" w:styleId="1593">
    <w:name w:val="Default31"/>
    <w:basedOn w:val="98"/>
    <w:qFormat/>
    <w:uiPriority w:val="0"/>
    <w:pPr>
      <w:widowControl w:val="0"/>
      <w:autoSpaceDE w:val="0"/>
      <w:autoSpaceDN w:val="0"/>
      <w:adjustRightInd w:val="0"/>
    </w:pPr>
    <w:rPr>
      <w:rFonts w:ascii="宋体" w:hAnsi="Times New Roman" w:cs="Times New Roman"/>
      <w:color w:val="000000"/>
    </w:rPr>
  </w:style>
  <w:style w:type="paragraph" w:customStyle="1" w:styleId="1594">
    <w:name w:val="缩进"/>
    <w:basedOn w:val="1"/>
    <w:qFormat/>
    <w:uiPriority w:val="0"/>
    <w:pPr>
      <w:autoSpaceDE w:val="0"/>
      <w:autoSpaceDN w:val="0"/>
      <w:spacing w:line="400" w:lineRule="atLeast"/>
      <w:ind w:firstLine="425"/>
      <w:textAlignment w:val="baseline"/>
    </w:pPr>
    <w:rPr>
      <w:szCs w:val="20"/>
    </w:rPr>
  </w:style>
  <w:style w:type="paragraph" w:customStyle="1" w:styleId="1595">
    <w:name w:val="列表 21"/>
    <w:basedOn w:val="1"/>
    <w:qFormat/>
    <w:uiPriority w:val="99"/>
    <w:pPr>
      <w:widowControl/>
      <w:ind w:left="100" w:leftChars="200" w:hanging="200" w:hangingChars="200"/>
      <w:jc w:val="left"/>
    </w:pPr>
    <w:rPr>
      <w:rFonts w:ascii="宋体" w:hAnsi="宋体" w:cs="宋体"/>
      <w:kern w:val="0"/>
      <w:szCs w:val="24"/>
    </w:rPr>
  </w:style>
  <w:style w:type="paragraph" w:customStyle="1" w:styleId="1596">
    <w:name w:val="font11"/>
    <w:basedOn w:val="1"/>
    <w:qFormat/>
    <w:uiPriority w:val="0"/>
    <w:pPr>
      <w:widowControl/>
      <w:spacing w:before="100" w:beforeAutospacing="1" w:after="100" w:afterAutospacing="1"/>
      <w:jc w:val="left"/>
    </w:pPr>
    <w:rPr>
      <w:rFonts w:hint="eastAsia" w:ascii="PMingLiU" w:eastAsia="PMingLiU"/>
      <w:kern w:val="0"/>
      <w:sz w:val="14"/>
      <w:szCs w:val="14"/>
      <w:lang w:eastAsia="zh-TW"/>
    </w:rPr>
  </w:style>
  <w:style w:type="paragraph" w:customStyle="1" w:styleId="1597">
    <w:name w:val="Default11"/>
    <w:basedOn w:val="98"/>
    <w:qFormat/>
    <w:uiPriority w:val="0"/>
    <w:pPr>
      <w:widowControl w:val="0"/>
      <w:autoSpaceDE w:val="0"/>
      <w:autoSpaceDN w:val="0"/>
      <w:adjustRightInd w:val="0"/>
    </w:pPr>
    <w:rPr>
      <w:rFonts w:ascii="宋体" w:hAnsi="Times New Roman" w:cs="Times New Roman"/>
      <w:color w:val="000000"/>
    </w:rPr>
  </w:style>
  <w:style w:type="paragraph" w:customStyle="1" w:styleId="1598">
    <w:name w:val="23-47表名12"/>
    <w:basedOn w:val="1"/>
    <w:qFormat/>
    <w:uiPriority w:val="0"/>
    <w:pPr>
      <w:widowControl/>
      <w:spacing w:after="156" w:line="440" w:lineRule="exact"/>
      <w:jc w:val="center"/>
    </w:pPr>
    <w:rPr>
      <w:rFonts w:ascii="宋体" w:hAnsi="宋体" w:cs="宋体"/>
      <w:b/>
      <w:kern w:val="0"/>
      <w:szCs w:val="24"/>
    </w:rPr>
  </w:style>
  <w:style w:type="paragraph" w:customStyle="1" w:styleId="1599">
    <w:name w:val="表题1212"/>
    <w:basedOn w:val="17"/>
    <w:qFormat/>
    <w:uiPriority w:val="0"/>
    <w:pPr>
      <w:widowControl/>
      <w:ind w:firstLine="0" w:firstLineChars="0"/>
      <w:jc w:val="center"/>
    </w:pPr>
    <w:rPr>
      <w:rFonts w:ascii="黑体" w:cs="Arial"/>
    </w:rPr>
  </w:style>
  <w:style w:type="paragraph" w:customStyle="1" w:styleId="1600">
    <w:name w:val="黑体三号23"/>
    <w:basedOn w:val="418"/>
    <w:qFormat/>
    <w:uiPriority w:val="0"/>
    <w:pPr>
      <w:jc w:val="center"/>
    </w:pPr>
    <w:rPr>
      <w:rFonts w:ascii="黑体" w:hAnsi="宋体" w:eastAsia="黑体" w:cs="宋体"/>
      <w:b/>
      <w:bCs/>
      <w:sz w:val="32"/>
      <w:szCs w:val="20"/>
    </w:rPr>
  </w:style>
  <w:style w:type="paragraph" w:customStyle="1" w:styleId="1601">
    <w:name w:val="Char1111"/>
    <w:basedOn w:val="1"/>
    <w:qFormat/>
    <w:uiPriority w:val="0"/>
    <w:pPr>
      <w:widowControl/>
      <w:spacing w:before="156"/>
      <w:jc w:val="left"/>
    </w:pPr>
    <w:rPr>
      <w:rFonts w:ascii="黑体" w:hAnsi="宋体" w:eastAsia="黑体" w:cs="宋体"/>
      <w:kern w:val="0"/>
      <w:sz w:val="32"/>
      <w:szCs w:val="32"/>
    </w:rPr>
  </w:style>
  <w:style w:type="paragraph" w:customStyle="1" w:styleId="1602">
    <w:name w:val="正文修改31"/>
    <w:basedOn w:val="786"/>
    <w:qFormat/>
    <w:uiPriority w:val="0"/>
    <w:rPr>
      <w:rFonts w:hAnsi="宋体" w:eastAsia="宋体" w:cs="宋体"/>
      <w:szCs w:val="24"/>
    </w:rPr>
  </w:style>
  <w:style w:type="paragraph" w:customStyle="1" w:styleId="1603">
    <w:name w:val="表34"/>
    <w:basedOn w:val="1"/>
    <w:qFormat/>
    <w:uiPriority w:val="0"/>
    <w:pPr>
      <w:widowControl/>
      <w:jc w:val="center"/>
    </w:pPr>
    <w:rPr>
      <w:rFonts w:ascii="宋体" w:hAnsi="宋体" w:cs="宋体"/>
      <w:kern w:val="0"/>
      <w:szCs w:val="24"/>
    </w:rPr>
  </w:style>
  <w:style w:type="paragraph" w:customStyle="1" w:styleId="1604">
    <w:name w:val="表题3112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605">
    <w:name w:val="正文格式＝51"/>
    <w:basedOn w:val="418"/>
    <w:next w:val="418"/>
    <w:qFormat/>
    <w:uiPriority w:val="0"/>
    <w:rPr>
      <w:rFonts w:hAnsi="宋体"/>
      <w:szCs w:val="24"/>
    </w:rPr>
  </w:style>
  <w:style w:type="paragraph" w:customStyle="1" w:styleId="1606">
    <w:name w:val="表内文字小212111"/>
    <w:basedOn w:val="1"/>
    <w:qFormat/>
    <w:uiPriority w:val="0"/>
    <w:pPr>
      <w:widowControl/>
      <w:jc w:val="center"/>
    </w:pPr>
    <w:rPr>
      <w:rFonts w:ascii="宋体" w:hAnsi="Times" w:cs="宋体"/>
      <w:bCs/>
      <w:kern w:val="0"/>
      <w:szCs w:val="20"/>
    </w:rPr>
  </w:style>
  <w:style w:type="paragraph" w:customStyle="1" w:styleId="1607">
    <w:name w:val="表内文字小112"/>
    <w:basedOn w:val="1"/>
    <w:qFormat/>
    <w:uiPriority w:val="0"/>
    <w:pPr>
      <w:widowControl/>
      <w:jc w:val="left"/>
    </w:pPr>
    <w:rPr>
      <w:rFonts w:ascii="宋体" w:hAnsi="Times" w:cs="宋体"/>
      <w:kern w:val="0"/>
      <w:szCs w:val="20"/>
    </w:rPr>
  </w:style>
  <w:style w:type="paragraph" w:customStyle="1" w:styleId="1608">
    <w:name w:val="表题142"/>
    <w:basedOn w:val="17"/>
    <w:qFormat/>
    <w:uiPriority w:val="0"/>
    <w:pPr>
      <w:widowControl/>
      <w:ind w:firstLine="0" w:firstLineChars="0"/>
      <w:jc w:val="center"/>
    </w:pPr>
    <w:rPr>
      <w:rFonts w:ascii="黑体" w:cs="Arial"/>
      <w:b/>
    </w:rPr>
  </w:style>
  <w:style w:type="paragraph" w:customStyle="1" w:styleId="1609">
    <w:name w:val="表题15"/>
    <w:basedOn w:val="17"/>
    <w:qFormat/>
    <w:uiPriority w:val="0"/>
    <w:pPr>
      <w:widowControl/>
      <w:ind w:firstLine="0" w:firstLineChars="0"/>
      <w:jc w:val="center"/>
    </w:pPr>
    <w:rPr>
      <w:rFonts w:ascii="黑体" w:cs="Arial"/>
      <w:b/>
    </w:rPr>
  </w:style>
  <w:style w:type="paragraph" w:customStyle="1" w:styleId="1610">
    <w:name w:val="Char Char Char Char Char Char Char Char Char1"/>
    <w:basedOn w:val="1"/>
    <w:qFormat/>
    <w:uiPriority w:val="0"/>
    <w:pPr>
      <w:widowControl/>
      <w:jc w:val="left"/>
    </w:pPr>
    <w:rPr>
      <w:rFonts w:ascii="宋体" w:hAnsi="宋体" w:cs="宋体"/>
      <w:kern w:val="0"/>
      <w:szCs w:val="24"/>
    </w:rPr>
  </w:style>
  <w:style w:type="paragraph" w:customStyle="1" w:styleId="1611">
    <w:name w:val="正文格式＝23"/>
    <w:basedOn w:val="418"/>
    <w:next w:val="418"/>
    <w:qFormat/>
    <w:uiPriority w:val="0"/>
    <w:rPr>
      <w:rFonts w:hAnsi="宋体"/>
      <w:szCs w:val="24"/>
    </w:rPr>
  </w:style>
  <w:style w:type="paragraph" w:customStyle="1" w:styleId="1612">
    <w:name w:val="正文格式＝321"/>
    <w:basedOn w:val="418"/>
    <w:next w:val="418"/>
    <w:qFormat/>
    <w:uiPriority w:val="0"/>
    <w:rPr>
      <w:rFonts w:hAnsi="宋体"/>
      <w:szCs w:val="24"/>
    </w:rPr>
  </w:style>
  <w:style w:type="paragraph" w:customStyle="1" w:styleId="1613">
    <w:name w:val="Char121"/>
    <w:basedOn w:val="1"/>
    <w:qFormat/>
    <w:uiPriority w:val="0"/>
    <w:pPr>
      <w:widowControl/>
      <w:jc w:val="left"/>
    </w:pPr>
    <w:rPr>
      <w:rFonts w:ascii="宋体" w:hAnsi="宋体" w:cs="宋体"/>
      <w:kern w:val="0"/>
      <w:szCs w:val="24"/>
    </w:rPr>
  </w:style>
  <w:style w:type="paragraph" w:customStyle="1" w:styleId="1614">
    <w:name w:val="表内文字小21112"/>
    <w:basedOn w:val="1"/>
    <w:qFormat/>
    <w:uiPriority w:val="0"/>
    <w:pPr>
      <w:widowControl/>
      <w:jc w:val="center"/>
    </w:pPr>
    <w:rPr>
      <w:rFonts w:ascii="宋体" w:hAnsi="Times" w:cs="宋体"/>
      <w:bCs/>
      <w:kern w:val="0"/>
      <w:szCs w:val="20"/>
    </w:rPr>
  </w:style>
  <w:style w:type="paragraph" w:customStyle="1" w:styleId="1615">
    <w:name w:val="正文.112"/>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1616">
    <w:name w:val="Char113"/>
    <w:basedOn w:val="1"/>
    <w:qFormat/>
    <w:uiPriority w:val="0"/>
    <w:pPr>
      <w:widowControl/>
      <w:ind w:left="-48"/>
      <w:jc w:val="left"/>
    </w:pPr>
    <w:rPr>
      <w:rFonts w:ascii="宋体" w:hAnsi="宋体" w:cs="宋体"/>
      <w:kern w:val="0"/>
      <w:szCs w:val="24"/>
    </w:rPr>
  </w:style>
  <w:style w:type="paragraph" w:customStyle="1" w:styleId="1617">
    <w:name w:val="表内文字小224"/>
    <w:basedOn w:val="1"/>
    <w:qFormat/>
    <w:uiPriority w:val="0"/>
    <w:pPr>
      <w:widowControl/>
      <w:jc w:val="center"/>
    </w:pPr>
    <w:rPr>
      <w:rFonts w:ascii="宋体" w:hAnsi="Times" w:cs="宋体"/>
      <w:bCs/>
      <w:kern w:val="0"/>
      <w:szCs w:val="20"/>
    </w:rPr>
  </w:style>
  <w:style w:type="paragraph" w:customStyle="1" w:styleId="1618">
    <w:name w:val="表格111"/>
    <w:basedOn w:val="1"/>
    <w:qFormat/>
    <w:uiPriority w:val="0"/>
    <w:pPr>
      <w:widowControl/>
      <w:jc w:val="center"/>
      <w:textAlignment w:val="baseline"/>
    </w:pPr>
    <w:rPr>
      <w:rFonts w:ascii="宋体" w:hAnsi="宋体" w:cs="宋体"/>
      <w:kern w:val="0"/>
      <w:szCs w:val="20"/>
    </w:rPr>
  </w:style>
  <w:style w:type="paragraph" w:styleId="1619">
    <w:name w:val="List Paragraph"/>
    <w:basedOn w:val="1"/>
    <w:qFormat/>
    <w:uiPriority w:val="34"/>
    <w:pPr>
      <w:ind w:firstLine="420"/>
    </w:pPr>
  </w:style>
  <w:style w:type="paragraph" w:customStyle="1" w:styleId="1620">
    <w:name w:val="燕山正文11213"/>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1621">
    <w:name w:val="Char Char Char Char Char Char Char38"/>
    <w:basedOn w:val="1"/>
    <w:qFormat/>
    <w:uiPriority w:val="0"/>
    <w:pPr>
      <w:widowControl/>
      <w:jc w:val="left"/>
    </w:pPr>
    <w:rPr>
      <w:rFonts w:ascii="宋体" w:hAnsi="宋体" w:cs="宋体"/>
      <w:kern w:val="0"/>
      <w:szCs w:val="24"/>
    </w:rPr>
  </w:style>
  <w:style w:type="paragraph" w:customStyle="1" w:styleId="1622">
    <w:name w:val="样式 标题 2节 + 段前: 1 行 段后: 0.5 行1"/>
    <w:basedOn w:val="1"/>
    <w:qFormat/>
    <w:uiPriority w:val="0"/>
    <w:pPr>
      <w:widowControl/>
      <w:tabs>
        <w:tab w:val="left" w:pos="980"/>
      </w:tabs>
      <w:ind w:left="1400"/>
      <w:jc w:val="left"/>
    </w:pPr>
    <w:rPr>
      <w:rFonts w:ascii="宋体" w:hAnsi="宋体" w:cs="宋体"/>
      <w:kern w:val="0"/>
      <w:szCs w:val="24"/>
    </w:rPr>
  </w:style>
  <w:style w:type="paragraph" w:customStyle="1" w:styleId="1623">
    <w:name w:val="表内文字边11"/>
    <w:basedOn w:val="1"/>
    <w:qFormat/>
    <w:uiPriority w:val="0"/>
    <w:pPr>
      <w:widowControl/>
      <w:spacing w:line="240" w:lineRule="atLeast"/>
      <w:ind w:left="-21" w:leftChars="-10" w:right="-42" w:rightChars="-20"/>
      <w:jc w:val="left"/>
    </w:pPr>
    <w:rPr>
      <w:rFonts w:ascii="宋体" w:hAnsi="宋体" w:cs="宋体"/>
      <w:kern w:val="0"/>
      <w:szCs w:val="21"/>
    </w:rPr>
  </w:style>
  <w:style w:type="paragraph" w:customStyle="1" w:styleId="1624">
    <w:name w:val="燕山正文11321"/>
    <w:basedOn w:val="1"/>
    <w:qFormat/>
    <w:uiPriority w:val="0"/>
    <w:pPr>
      <w:widowControl/>
      <w:tabs>
        <w:tab w:val="left" w:pos="4680"/>
      </w:tabs>
      <w:ind w:firstLine="480"/>
      <w:jc w:val="left"/>
    </w:pPr>
    <w:rPr>
      <w:rFonts w:ascii="宋体" w:hAnsi="宋体" w:cs="宋体"/>
      <w:bCs/>
      <w:snapToGrid w:val="0"/>
      <w:kern w:val="0"/>
      <w:szCs w:val="24"/>
    </w:rPr>
  </w:style>
  <w:style w:type="paragraph" w:customStyle="1" w:styleId="1625">
    <w:name w:val="样式 标题 4无效格式无效格式1河石管道4H4H41小小节河石管道41H42H411小小节1河石管道42...3"/>
    <w:basedOn w:val="5"/>
    <w:qFormat/>
    <w:uiPriority w:val="0"/>
    <w:pPr>
      <w:numPr>
        <w:ilvl w:val="0"/>
        <w:numId w:val="0"/>
      </w:numPr>
      <w:spacing w:after="0" w:line="360" w:lineRule="auto"/>
      <w:ind w:left="664" w:hanging="864"/>
    </w:pPr>
    <w:rPr>
      <w:rFonts w:ascii="黑体" w:hAnsi="Arial" w:eastAsia="黑体"/>
      <w:b w:val="0"/>
      <w:bCs w:val="0"/>
      <w:kern w:val="2"/>
      <w:sz w:val="24"/>
      <w:szCs w:val="24"/>
    </w:rPr>
  </w:style>
  <w:style w:type="paragraph" w:customStyle="1" w:styleId="1626">
    <w:name w:val="表格03"/>
    <w:basedOn w:val="1"/>
    <w:qFormat/>
    <w:uiPriority w:val="0"/>
    <w:pPr>
      <w:widowControl/>
      <w:spacing w:line="400" w:lineRule="exact"/>
      <w:jc w:val="center"/>
    </w:pPr>
    <w:rPr>
      <w:rFonts w:ascii="宋体" w:hAnsi="宋体" w:cs="宋体"/>
      <w:kern w:val="0"/>
      <w:szCs w:val="21"/>
    </w:rPr>
  </w:style>
  <w:style w:type="paragraph" w:customStyle="1" w:styleId="1627">
    <w:name w:val="表内文字小2151"/>
    <w:basedOn w:val="1"/>
    <w:qFormat/>
    <w:uiPriority w:val="0"/>
    <w:pPr>
      <w:widowControl/>
      <w:jc w:val="center"/>
    </w:pPr>
    <w:rPr>
      <w:rFonts w:ascii="宋体" w:hAnsi="Times" w:cs="宋体"/>
      <w:bCs/>
      <w:kern w:val="0"/>
      <w:szCs w:val="20"/>
    </w:rPr>
  </w:style>
  <w:style w:type="paragraph" w:customStyle="1" w:styleId="1628">
    <w:name w:val="标题4121"/>
    <w:basedOn w:val="5"/>
    <w:next w:val="1"/>
    <w:qFormat/>
    <w:uiPriority w:val="0"/>
    <w:pPr>
      <w:numPr>
        <w:ilvl w:val="0"/>
        <w:numId w:val="0"/>
      </w:numPr>
      <w:spacing w:before="160" w:after="170" w:line="360" w:lineRule="auto"/>
    </w:pPr>
    <w:rPr>
      <w:rFonts w:ascii="黑体" w:hAnsi="Arial" w:eastAsia="黑体"/>
      <w:sz w:val="24"/>
    </w:rPr>
  </w:style>
  <w:style w:type="paragraph" w:customStyle="1" w:styleId="1629">
    <w:name w:val="表格内容1"/>
    <w:basedOn w:val="1"/>
    <w:qFormat/>
    <w:uiPriority w:val="0"/>
    <w:pPr>
      <w:widowControl/>
      <w:spacing w:beforeLines="15" w:afterLines="15" w:line="240" w:lineRule="exact"/>
      <w:jc w:val="center"/>
    </w:pPr>
    <w:rPr>
      <w:rFonts w:ascii="宋体" w:hAnsi="宋体" w:cs="宋体"/>
      <w:snapToGrid w:val="0"/>
      <w:kern w:val="0"/>
      <w:szCs w:val="24"/>
    </w:rPr>
  </w:style>
  <w:style w:type="paragraph" w:customStyle="1" w:styleId="1630">
    <w:name w:val="正文段落"/>
    <w:basedOn w:val="1"/>
    <w:qFormat/>
    <w:uiPriority w:val="99"/>
    <w:pPr>
      <w:widowControl/>
      <w:autoSpaceDE w:val="0"/>
      <w:autoSpaceDN w:val="0"/>
      <w:ind w:firstLine="499"/>
      <w:jc w:val="left"/>
      <w:textAlignment w:val="baseline"/>
    </w:pPr>
    <w:rPr>
      <w:rFonts w:ascii="宋体" w:hAnsi="Tms Rmn" w:cs="宋体"/>
      <w:kern w:val="0"/>
      <w:szCs w:val="20"/>
    </w:rPr>
  </w:style>
  <w:style w:type="paragraph" w:customStyle="1" w:styleId="1631">
    <w:name w:val="标题431121"/>
    <w:basedOn w:val="1"/>
    <w:qFormat/>
    <w:uiPriority w:val="0"/>
    <w:pPr>
      <w:widowControl/>
      <w:spacing w:line="480" w:lineRule="exact"/>
      <w:jc w:val="center"/>
    </w:pPr>
    <w:rPr>
      <w:rFonts w:ascii="宋体" w:hAnsi="宋体" w:cs="宋体"/>
      <w:kern w:val="0"/>
      <w:szCs w:val="24"/>
    </w:rPr>
  </w:style>
  <w:style w:type="paragraph" w:customStyle="1" w:styleId="1632">
    <w:name w:val="标准"/>
    <w:basedOn w:val="1"/>
    <w:qFormat/>
    <w:uiPriority w:val="0"/>
    <w:pPr>
      <w:widowControl/>
      <w:jc w:val="left"/>
      <w:textAlignment w:val="baseline"/>
    </w:pPr>
    <w:rPr>
      <w:rFonts w:ascii="宋体" w:hAnsi="宋体" w:cs="宋体"/>
      <w:kern w:val="0"/>
      <w:szCs w:val="20"/>
    </w:rPr>
  </w:style>
  <w:style w:type="paragraph" w:customStyle="1" w:styleId="1633">
    <w:name w:val="正文格式222"/>
    <w:basedOn w:val="1"/>
    <w:qFormat/>
    <w:uiPriority w:val="0"/>
    <w:pPr>
      <w:widowControl/>
      <w:ind w:firstLine="482"/>
      <w:jc w:val="left"/>
    </w:pPr>
    <w:rPr>
      <w:rFonts w:ascii="宋体" w:hAnsi="宋体" w:cs="宋体"/>
      <w:kern w:val="0"/>
      <w:szCs w:val="24"/>
    </w:rPr>
  </w:style>
  <w:style w:type="paragraph" w:customStyle="1" w:styleId="1634">
    <w:name w:val="表题314"/>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635">
    <w:name w:val="样式 正文缩进 + 宋体 黑色 首行缩进:  2 字符"/>
    <w:basedOn w:val="112"/>
    <w:qFormat/>
    <w:uiPriority w:val="0"/>
    <w:pPr>
      <w:ind w:firstLine="480"/>
    </w:pPr>
    <w:rPr>
      <w:rFonts w:cs="宋体"/>
      <w:color w:val="FF00FF"/>
    </w:rPr>
  </w:style>
  <w:style w:type="paragraph" w:customStyle="1" w:styleId="1636">
    <w:name w:val="纯文本2"/>
    <w:basedOn w:val="1"/>
    <w:qFormat/>
    <w:uiPriority w:val="0"/>
    <w:pPr>
      <w:widowControl/>
      <w:jc w:val="left"/>
    </w:pPr>
    <w:rPr>
      <w:rFonts w:ascii="宋体" w:hAnsi="Courier New"/>
      <w:szCs w:val="20"/>
    </w:rPr>
  </w:style>
  <w:style w:type="paragraph" w:customStyle="1" w:styleId="1637">
    <w:name w:val="Char24"/>
    <w:basedOn w:val="1"/>
    <w:qFormat/>
    <w:uiPriority w:val="0"/>
    <w:pPr>
      <w:widowControl/>
      <w:ind w:left="-48"/>
      <w:jc w:val="left"/>
    </w:pPr>
    <w:rPr>
      <w:rFonts w:ascii="宋体" w:hAnsi="宋体" w:cs="宋体"/>
      <w:kern w:val="0"/>
      <w:szCs w:val="24"/>
    </w:rPr>
  </w:style>
  <w:style w:type="paragraph" w:customStyle="1" w:styleId="1638">
    <w:name w:val="样式 表内小5 + 黑体 加粗 倾斜 下划线2"/>
    <w:basedOn w:val="1"/>
    <w:qFormat/>
    <w:uiPriority w:val="0"/>
    <w:pPr>
      <w:widowControl/>
      <w:spacing w:line="300" w:lineRule="auto"/>
      <w:jc w:val="left"/>
    </w:pPr>
    <w:rPr>
      <w:rFonts w:ascii="黑体" w:hAnsi="黑体" w:eastAsia="黑体" w:cs="宋体"/>
      <w:b/>
      <w:bCs/>
      <w:i/>
      <w:iCs/>
      <w:kern w:val="0"/>
      <w:sz w:val="18"/>
      <w:szCs w:val="24"/>
      <w:u w:val="single"/>
    </w:rPr>
  </w:style>
  <w:style w:type="paragraph" w:customStyle="1" w:styleId="1639">
    <w:name w:val="Char17"/>
    <w:basedOn w:val="1"/>
    <w:qFormat/>
    <w:uiPriority w:val="0"/>
    <w:pPr>
      <w:widowControl/>
      <w:ind w:left="-48"/>
      <w:jc w:val="left"/>
    </w:pPr>
    <w:rPr>
      <w:rFonts w:ascii="宋体" w:hAnsi="宋体" w:cs="宋体"/>
      <w:kern w:val="0"/>
      <w:szCs w:val="24"/>
    </w:rPr>
  </w:style>
  <w:style w:type="paragraph" w:customStyle="1" w:styleId="1640">
    <w:name w:val="正文格式＝711"/>
    <w:basedOn w:val="418"/>
    <w:next w:val="418"/>
    <w:qFormat/>
    <w:uiPriority w:val="0"/>
    <w:rPr>
      <w:rFonts w:hAnsi="宋体"/>
      <w:szCs w:val="24"/>
    </w:rPr>
  </w:style>
  <w:style w:type="paragraph" w:customStyle="1" w:styleId="1641">
    <w:name w:val="注释1"/>
    <w:basedOn w:val="418"/>
    <w:next w:val="25"/>
    <w:qFormat/>
    <w:uiPriority w:val="0"/>
    <w:pPr>
      <w:spacing w:before="120" w:after="120" w:line="240" w:lineRule="auto"/>
      <w:ind w:firstLine="200"/>
    </w:pPr>
    <w:rPr>
      <w:rFonts w:hAnsi="Times New Roman" w:cs="宋体"/>
      <w:sz w:val="21"/>
      <w:szCs w:val="20"/>
    </w:rPr>
  </w:style>
  <w:style w:type="paragraph" w:customStyle="1" w:styleId="1642">
    <w:name w:val="表内文字小2212"/>
    <w:basedOn w:val="1"/>
    <w:qFormat/>
    <w:uiPriority w:val="0"/>
    <w:pPr>
      <w:widowControl/>
      <w:jc w:val="center"/>
    </w:pPr>
    <w:rPr>
      <w:rFonts w:ascii="宋体" w:hAnsi="Times" w:cs="宋体"/>
      <w:bCs/>
      <w:kern w:val="0"/>
      <w:szCs w:val="20"/>
    </w:rPr>
  </w:style>
  <w:style w:type="paragraph" w:customStyle="1" w:styleId="1643">
    <w:name w:val="样式 正文缩进 + 宋体 黑色2"/>
    <w:basedOn w:val="112"/>
    <w:qFormat/>
    <w:uiPriority w:val="0"/>
  </w:style>
  <w:style w:type="paragraph" w:customStyle="1" w:styleId="1644">
    <w:name w:val="Char Char Char Char Char Char Char211"/>
    <w:basedOn w:val="1"/>
    <w:qFormat/>
    <w:uiPriority w:val="0"/>
    <w:pPr>
      <w:widowControl/>
      <w:jc w:val="left"/>
    </w:pPr>
    <w:rPr>
      <w:rFonts w:ascii="宋体" w:hAnsi="宋体" w:cs="宋体"/>
      <w:kern w:val="0"/>
      <w:szCs w:val="24"/>
    </w:rPr>
  </w:style>
  <w:style w:type="paragraph" w:customStyle="1" w:styleId="1645">
    <w:name w:val="表题1211"/>
    <w:basedOn w:val="17"/>
    <w:qFormat/>
    <w:uiPriority w:val="0"/>
    <w:pPr>
      <w:widowControl/>
      <w:ind w:firstLine="0" w:firstLineChars="0"/>
      <w:jc w:val="center"/>
    </w:pPr>
    <w:rPr>
      <w:rFonts w:ascii="黑体" w:cs="Arial"/>
    </w:rPr>
  </w:style>
  <w:style w:type="paragraph" w:customStyle="1" w:styleId="1646">
    <w:name w:val="依据文字"/>
    <w:basedOn w:val="1276"/>
    <w:qFormat/>
    <w:uiPriority w:val="0"/>
    <w:pPr>
      <w:tabs>
        <w:tab w:val="left" w:pos="420"/>
        <w:tab w:val="left" w:pos="870"/>
        <w:tab w:val="left" w:pos="3150"/>
      </w:tabs>
      <w:autoSpaceDE w:val="0"/>
      <w:autoSpaceDN w:val="0"/>
      <w:spacing w:beforeLines="25" w:line="336" w:lineRule="auto"/>
      <w:ind w:firstLine="527"/>
      <w:textAlignment w:val="baseline"/>
    </w:pPr>
    <w:rPr>
      <w:sz w:val="24"/>
    </w:rPr>
  </w:style>
  <w:style w:type="paragraph" w:customStyle="1" w:styleId="1647">
    <w:name w:val="Char317"/>
    <w:basedOn w:val="1"/>
    <w:qFormat/>
    <w:uiPriority w:val="0"/>
    <w:pPr>
      <w:widowControl/>
      <w:ind w:left="-48"/>
      <w:jc w:val="left"/>
    </w:pPr>
    <w:rPr>
      <w:rFonts w:ascii="宋体" w:hAnsi="宋体" w:cs="宋体"/>
      <w:kern w:val="0"/>
      <w:szCs w:val="24"/>
    </w:rPr>
  </w:style>
  <w:style w:type="paragraph" w:customStyle="1" w:styleId="1648">
    <w:name w:val="黑体三号413"/>
    <w:basedOn w:val="418"/>
    <w:qFormat/>
    <w:uiPriority w:val="0"/>
    <w:pPr>
      <w:jc w:val="center"/>
    </w:pPr>
    <w:rPr>
      <w:rFonts w:ascii="黑体" w:hAnsi="宋体" w:eastAsia="黑体" w:cs="宋体"/>
      <w:b/>
      <w:bCs/>
      <w:sz w:val="32"/>
      <w:szCs w:val="20"/>
    </w:rPr>
  </w:style>
  <w:style w:type="paragraph" w:customStyle="1" w:styleId="1649">
    <w:name w:val="表13"/>
    <w:basedOn w:val="1"/>
    <w:qFormat/>
    <w:uiPriority w:val="0"/>
    <w:pPr>
      <w:widowControl/>
      <w:jc w:val="center"/>
    </w:pPr>
    <w:rPr>
      <w:rFonts w:ascii="宋体" w:hAnsi="宋体" w:cs="宋体"/>
      <w:kern w:val="0"/>
      <w:szCs w:val="24"/>
    </w:rPr>
  </w:style>
  <w:style w:type="paragraph" w:customStyle="1" w:styleId="1650">
    <w:name w:val="表4"/>
    <w:basedOn w:val="1"/>
    <w:qFormat/>
    <w:uiPriority w:val="0"/>
    <w:pPr>
      <w:widowControl/>
      <w:jc w:val="center"/>
    </w:pPr>
    <w:rPr>
      <w:rFonts w:ascii="宋体" w:hAnsi="宋体" w:cs="宋体"/>
      <w:kern w:val="0"/>
      <w:szCs w:val="24"/>
    </w:rPr>
  </w:style>
  <w:style w:type="paragraph" w:customStyle="1" w:styleId="1651">
    <w:name w:val="Char Char2 Char Char Char Char42"/>
    <w:basedOn w:val="1"/>
    <w:qFormat/>
    <w:uiPriority w:val="0"/>
    <w:pPr>
      <w:widowControl/>
      <w:jc w:val="left"/>
    </w:pPr>
    <w:rPr>
      <w:rFonts w:ascii="宋体" w:hAnsi="宋体" w:cs="宋体"/>
      <w:kern w:val="0"/>
      <w:szCs w:val="24"/>
    </w:rPr>
  </w:style>
  <w:style w:type="paragraph" w:customStyle="1" w:styleId="1652">
    <w:name w:val="表内宋5112"/>
    <w:basedOn w:val="734"/>
    <w:qFormat/>
    <w:uiPriority w:val="0"/>
    <w:rPr>
      <w:rFonts w:ascii="宋体" w:hAnsi="宋体" w:cs="宋体"/>
      <w:sz w:val="21"/>
      <w:szCs w:val="24"/>
    </w:rPr>
  </w:style>
  <w:style w:type="paragraph" w:customStyle="1" w:styleId="1653">
    <w:name w:val="Char Char Char Char Char Char Char215"/>
    <w:basedOn w:val="1"/>
    <w:qFormat/>
    <w:uiPriority w:val="0"/>
    <w:pPr>
      <w:widowControl/>
      <w:jc w:val="left"/>
    </w:pPr>
    <w:rPr>
      <w:rFonts w:ascii="宋体" w:hAnsi="宋体" w:cs="宋体"/>
      <w:kern w:val="0"/>
      <w:szCs w:val="24"/>
    </w:rPr>
  </w:style>
  <w:style w:type="paragraph" w:customStyle="1" w:styleId="1654">
    <w:name w:val="样式221"/>
    <w:basedOn w:val="1"/>
    <w:qFormat/>
    <w:uiPriority w:val="0"/>
    <w:pPr>
      <w:widowControl/>
      <w:jc w:val="center"/>
      <w:textAlignment w:val="baseline"/>
      <w:outlineLvl w:val="0"/>
    </w:pPr>
    <w:rPr>
      <w:rFonts w:ascii="宋体" w:hAnsi="宋体" w:cs="宋体"/>
      <w:kern w:val="0"/>
      <w:szCs w:val="20"/>
    </w:rPr>
  </w:style>
  <w:style w:type="paragraph" w:customStyle="1" w:styleId="1655">
    <w:name w:val="正文格式81"/>
    <w:basedOn w:val="1"/>
    <w:qFormat/>
    <w:uiPriority w:val="0"/>
    <w:pPr>
      <w:widowControl/>
      <w:ind w:firstLine="482"/>
      <w:jc w:val="left"/>
    </w:pPr>
    <w:rPr>
      <w:rFonts w:ascii="宋体" w:hAnsi="宋体" w:cs="宋体"/>
      <w:kern w:val="0"/>
      <w:szCs w:val="24"/>
    </w:rPr>
  </w:style>
  <w:style w:type="paragraph" w:customStyle="1" w:styleId="1656">
    <w:name w:val="表内5921"/>
    <w:basedOn w:val="1"/>
    <w:qFormat/>
    <w:uiPriority w:val="0"/>
    <w:pPr>
      <w:widowControl/>
      <w:spacing w:line="300" w:lineRule="auto"/>
      <w:jc w:val="center"/>
    </w:pPr>
    <w:rPr>
      <w:rFonts w:ascii="宋体" w:hAnsi="宋体" w:cs="宋体"/>
      <w:snapToGrid w:val="0"/>
      <w:kern w:val="0"/>
      <w:szCs w:val="21"/>
    </w:rPr>
  </w:style>
  <w:style w:type="paragraph" w:customStyle="1" w:styleId="1657">
    <w:name w:val="标题41121"/>
    <w:basedOn w:val="1"/>
    <w:qFormat/>
    <w:uiPriority w:val="0"/>
    <w:pPr>
      <w:widowControl/>
      <w:spacing w:line="300" w:lineRule="auto"/>
      <w:jc w:val="left"/>
    </w:pPr>
    <w:rPr>
      <w:rFonts w:ascii="黑体" w:hAnsi="宋体" w:eastAsia="黑体" w:cs="宋体"/>
      <w:bCs/>
      <w:kern w:val="0"/>
      <w:szCs w:val="20"/>
    </w:rPr>
  </w:style>
  <w:style w:type="paragraph" w:customStyle="1" w:styleId="1658">
    <w:name w:val="样式123"/>
    <w:basedOn w:val="1586"/>
    <w:qFormat/>
    <w:uiPriority w:val="0"/>
    <w:pPr>
      <w:spacing w:line="240" w:lineRule="auto"/>
      <w:ind w:firstLine="0"/>
      <w:jc w:val="center"/>
    </w:pPr>
    <w:rPr>
      <w:rFonts w:cs="Times New Roman"/>
      <w:b/>
      <w:color w:val="auto"/>
      <w:szCs w:val="20"/>
    </w:rPr>
  </w:style>
  <w:style w:type="paragraph" w:customStyle="1" w:styleId="1659">
    <w:name w:val="表313"/>
    <w:basedOn w:val="1"/>
    <w:qFormat/>
    <w:uiPriority w:val="0"/>
    <w:pPr>
      <w:widowControl/>
      <w:jc w:val="center"/>
    </w:pPr>
    <w:rPr>
      <w:rFonts w:ascii="宋体" w:hAnsi="宋体" w:cs="宋体"/>
      <w:kern w:val="0"/>
      <w:szCs w:val="24"/>
    </w:rPr>
  </w:style>
  <w:style w:type="paragraph" w:customStyle="1" w:styleId="1660">
    <w:name w:val="燕山正文7"/>
    <w:basedOn w:val="1"/>
    <w:qFormat/>
    <w:uiPriority w:val="0"/>
    <w:pPr>
      <w:widowControl/>
      <w:tabs>
        <w:tab w:val="left" w:pos="4680"/>
      </w:tabs>
      <w:spacing w:line="480" w:lineRule="exact"/>
      <w:jc w:val="left"/>
    </w:pPr>
    <w:rPr>
      <w:rFonts w:ascii="宋体" w:hAnsi="宋体" w:cs="宋体"/>
      <w:kern w:val="0"/>
      <w:szCs w:val="24"/>
    </w:rPr>
  </w:style>
  <w:style w:type="paragraph" w:customStyle="1" w:styleId="1661">
    <w:name w:val="正文格式312"/>
    <w:basedOn w:val="1"/>
    <w:qFormat/>
    <w:uiPriority w:val="0"/>
    <w:pPr>
      <w:widowControl/>
      <w:ind w:firstLine="482"/>
      <w:jc w:val="left"/>
    </w:pPr>
    <w:rPr>
      <w:rFonts w:ascii="宋体" w:hAnsi="宋体" w:cs="宋体"/>
      <w:kern w:val="0"/>
      <w:szCs w:val="24"/>
    </w:rPr>
  </w:style>
  <w:style w:type="paragraph" w:customStyle="1" w:styleId="1662">
    <w:name w:val="表内文字小11"/>
    <w:basedOn w:val="1"/>
    <w:qFormat/>
    <w:uiPriority w:val="0"/>
    <w:pPr>
      <w:widowControl/>
      <w:jc w:val="left"/>
    </w:pPr>
    <w:rPr>
      <w:rFonts w:ascii="宋体" w:hAnsi="Times" w:cs="宋体"/>
      <w:kern w:val="0"/>
      <w:szCs w:val="20"/>
    </w:rPr>
  </w:style>
  <w:style w:type="paragraph" w:customStyle="1" w:styleId="1663">
    <w:name w:val="Default3"/>
    <w:basedOn w:val="98"/>
    <w:qFormat/>
    <w:uiPriority w:val="0"/>
    <w:pPr>
      <w:widowControl w:val="0"/>
      <w:autoSpaceDE w:val="0"/>
      <w:autoSpaceDN w:val="0"/>
      <w:adjustRightInd w:val="0"/>
    </w:pPr>
    <w:rPr>
      <w:rFonts w:ascii="宋体" w:hAnsi="Times New Roman" w:cs="Times New Roman"/>
      <w:color w:val="000000"/>
    </w:rPr>
  </w:style>
  <w:style w:type="paragraph" w:customStyle="1" w:styleId="1664">
    <w:name w:val="表题1312"/>
    <w:basedOn w:val="17"/>
    <w:qFormat/>
    <w:uiPriority w:val="0"/>
    <w:pPr>
      <w:widowControl/>
      <w:ind w:firstLine="0" w:firstLineChars="0"/>
      <w:jc w:val="center"/>
    </w:pPr>
    <w:rPr>
      <w:rFonts w:ascii="黑体" w:cs="Arial"/>
      <w:b/>
    </w:rPr>
  </w:style>
  <w:style w:type="paragraph" w:customStyle="1" w:styleId="1665">
    <w:name w:val="正文.2"/>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1666">
    <w:name w:val="默认段落字体 Para Char Char Char Char42"/>
    <w:basedOn w:val="1"/>
    <w:qFormat/>
    <w:uiPriority w:val="0"/>
    <w:pPr>
      <w:widowControl/>
      <w:jc w:val="left"/>
    </w:pPr>
    <w:rPr>
      <w:rFonts w:ascii="宋体" w:hAnsi="宋体" w:cs="宋体"/>
      <w:kern w:val="0"/>
      <w:szCs w:val="24"/>
    </w:rPr>
  </w:style>
  <w:style w:type="paragraph" w:customStyle="1" w:styleId="1667">
    <w:name w:val="默认段落字体 Para Char3111"/>
    <w:basedOn w:val="1"/>
    <w:qFormat/>
    <w:uiPriority w:val="0"/>
    <w:pPr>
      <w:widowControl/>
      <w:jc w:val="left"/>
    </w:pPr>
    <w:rPr>
      <w:rFonts w:ascii="宋体" w:hAnsi="宋体" w:cs="宋体"/>
      <w:kern w:val="0"/>
      <w:szCs w:val="24"/>
    </w:rPr>
  </w:style>
  <w:style w:type="paragraph" w:customStyle="1" w:styleId="1668">
    <w:name w:val="表文字541"/>
    <w:basedOn w:val="1"/>
    <w:qFormat/>
    <w:uiPriority w:val="0"/>
    <w:pPr>
      <w:widowControl/>
      <w:jc w:val="left"/>
      <w:textAlignment w:val="baseline"/>
    </w:pPr>
    <w:rPr>
      <w:rFonts w:ascii="宋体" w:hAnsi="宋体" w:cs="宋体"/>
      <w:kern w:val="0"/>
      <w:szCs w:val="20"/>
    </w:rPr>
  </w:style>
  <w:style w:type="paragraph" w:customStyle="1" w:styleId="1669">
    <w:name w:val="样式2－表格"/>
    <w:basedOn w:val="1"/>
    <w:next w:val="1"/>
    <w:semiHidden/>
    <w:qFormat/>
    <w:uiPriority w:val="0"/>
    <w:pPr>
      <w:tabs>
        <w:tab w:val="left" w:pos="427"/>
      </w:tabs>
      <w:spacing w:line="360" w:lineRule="exact"/>
      <w:jc w:val="center"/>
      <w:textAlignment w:val="center"/>
    </w:pPr>
    <w:rPr>
      <w:kern w:val="28"/>
      <w:szCs w:val="24"/>
    </w:rPr>
  </w:style>
  <w:style w:type="paragraph" w:customStyle="1" w:styleId="1670">
    <w:name w:val="黑体三号41"/>
    <w:basedOn w:val="418"/>
    <w:qFormat/>
    <w:uiPriority w:val="0"/>
    <w:pPr>
      <w:jc w:val="center"/>
    </w:pPr>
    <w:rPr>
      <w:rFonts w:ascii="黑体" w:hAnsi="宋体" w:eastAsia="黑体" w:cs="宋体"/>
      <w:b/>
      <w:bCs/>
      <w:sz w:val="32"/>
      <w:szCs w:val="20"/>
    </w:rPr>
  </w:style>
  <w:style w:type="paragraph" w:customStyle="1" w:styleId="1671">
    <w:name w:val="表格内字体24"/>
    <w:basedOn w:val="418"/>
    <w:next w:val="418"/>
    <w:qFormat/>
    <w:uiPriority w:val="0"/>
    <w:pPr>
      <w:spacing w:line="240" w:lineRule="auto"/>
      <w:ind w:firstLine="0"/>
      <w:jc w:val="center"/>
    </w:pPr>
    <w:rPr>
      <w:rFonts w:hAnsi="宋体"/>
      <w:sz w:val="21"/>
      <w:szCs w:val="24"/>
    </w:rPr>
  </w:style>
  <w:style w:type="paragraph" w:customStyle="1" w:styleId="1672">
    <w:name w:val="reader-word-layer reader-word-s18-18"/>
    <w:basedOn w:val="1"/>
    <w:qFormat/>
    <w:uiPriority w:val="0"/>
    <w:pPr>
      <w:widowControl/>
      <w:spacing w:before="100" w:beforeAutospacing="1" w:after="100" w:afterAutospacing="1"/>
      <w:jc w:val="left"/>
    </w:pPr>
    <w:rPr>
      <w:rFonts w:ascii="宋体" w:hAnsi="宋体" w:cs="宋体"/>
      <w:kern w:val="0"/>
      <w:szCs w:val="24"/>
    </w:rPr>
  </w:style>
  <w:style w:type="paragraph" w:customStyle="1" w:styleId="1673">
    <w:name w:val="Char58"/>
    <w:basedOn w:val="1"/>
    <w:qFormat/>
    <w:uiPriority w:val="0"/>
    <w:pPr>
      <w:widowControl/>
      <w:ind w:left="-48"/>
      <w:jc w:val="left"/>
    </w:pPr>
    <w:rPr>
      <w:rFonts w:ascii="宋体" w:hAnsi="宋体" w:cs="宋体"/>
      <w:kern w:val="0"/>
      <w:szCs w:val="24"/>
    </w:rPr>
  </w:style>
  <w:style w:type="paragraph" w:customStyle="1" w:styleId="1674">
    <w:name w:val="表内文字小1"/>
    <w:basedOn w:val="1"/>
    <w:qFormat/>
    <w:uiPriority w:val="0"/>
    <w:pPr>
      <w:widowControl/>
      <w:jc w:val="center"/>
    </w:pPr>
    <w:rPr>
      <w:rFonts w:ascii="宋体" w:hAnsi="Times" w:cs="宋体"/>
      <w:kern w:val="0"/>
      <w:szCs w:val="20"/>
    </w:rPr>
  </w:style>
  <w:style w:type="paragraph" w:customStyle="1" w:styleId="1675">
    <w:name w:val="图题81"/>
    <w:basedOn w:val="418"/>
    <w:next w:val="418"/>
    <w:qFormat/>
    <w:uiPriority w:val="0"/>
    <w:pPr>
      <w:ind w:firstLine="0"/>
      <w:jc w:val="center"/>
    </w:pPr>
    <w:rPr>
      <w:rFonts w:ascii="黑体" w:hAnsi="宋体" w:eastAsia="黑体" w:cs="宋体"/>
      <w:b/>
      <w:bCs/>
      <w:szCs w:val="24"/>
    </w:rPr>
  </w:style>
  <w:style w:type="paragraph" w:customStyle="1" w:styleId="1676">
    <w:name w:val="表内宋511"/>
    <w:basedOn w:val="734"/>
    <w:qFormat/>
    <w:uiPriority w:val="0"/>
    <w:rPr>
      <w:rFonts w:ascii="宋体" w:hAnsi="宋体" w:cs="宋体"/>
      <w:sz w:val="21"/>
      <w:szCs w:val="24"/>
    </w:rPr>
  </w:style>
  <w:style w:type="paragraph" w:customStyle="1" w:styleId="1677">
    <w:name w:val="A正文4"/>
    <w:basedOn w:val="1"/>
    <w:qFormat/>
    <w:uiPriority w:val="0"/>
    <w:pPr>
      <w:widowControl/>
      <w:overflowPunct w:val="0"/>
      <w:autoSpaceDE w:val="0"/>
      <w:autoSpaceDN w:val="0"/>
      <w:jc w:val="left"/>
      <w:textAlignment w:val="baseline"/>
    </w:pPr>
    <w:rPr>
      <w:rFonts w:ascii="宋体" w:hAnsi="宋体" w:cs="宋体"/>
      <w:kern w:val="0"/>
      <w:szCs w:val="24"/>
    </w:rPr>
  </w:style>
  <w:style w:type="paragraph" w:customStyle="1" w:styleId="1678">
    <w:name w:val="表中文字112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1679">
    <w:name w:val="xl67"/>
    <w:basedOn w:val="1"/>
    <w:qFormat/>
    <w:uiPriority w:val="0"/>
    <w:pPr>
      <w:widowControl/>
      <w:pBdr>
        <w:top w:val="single" w:color="auto" w:sz="12" w:space="0"/>
        <w:bottom w:val="single" w:color="auto" w:sz="8" w:space="0"/>
      </w:pBdr>
      <w:spacing w:before="100" w:beforeAutospacing="1" w:after="100" w:afterAutospacing="1"/>
      <w:jc w:val="center"/>
    </w:pPr>
    <w:rPr>
      <w:rFonts w:ascii="仿宋" w:hAnsi="仿宋" w:eastAsia="仿宋" w:cs="宋体"/>
      <w:kern w:val="0"/>
      <w:szCs w:val="21"/>
    </w:rPr>
  </w:style>
  <w:style w:type="paragraph" w:customStyle="1" w:styleId="1680">
    <w:name w:val="样式 样式 标题 3 + 段前: 0.5 行 段后: 0.5 行 + 段前: 0.5 行 段后: 0.5 行"/>
    <w:basedOn w:val="1"/>
    <w:qFormat/>
    <w:uiPriority w:val="0"/>
    <w:pPr>
      <w:keepNext/>
      <w:keepLines/>
      <w:widowControl/>
      <w:spacing w:before="156" w:after="156" w:line="300" w:lineRule="auto"/>
      <w:ind w:left="180"/>
      <w:jc w:val="left"/>
      <w:outlineLvl w:val="2"/>
    </w:pPr>
    <w:rPr>
      <w:rFonts w:ascii="仿宋_GB2312" w:hAnsi="宋体" w:cs="宋体"/>
      <w:b/>
      <w:kern w:val="0"/>
      <w:sz w:val="30"/>
      <w:szCs w:val="30"/>
    </w:rPr>
  </w:style>
  <w:style w:type="paragraph" w:customStyle="1" w:styleId="1681">
    <w:name w:val="附件11"/>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1682">
    <w:name w:val="图题22"/>
    <w:basedOn w:val="418"/>
    <w:next w:val="418"/>
    <w:qFormat/>
    <w:uiPriority w:val="0"/>
    <w:pPr>
      <w:ind w:firstLine="0"/>
      <w:jc w:val="center"/>
    </w:pPr>
    <w:rPr>
      <w:rFonts w:ascii="黑体" w:hAnsi="宋体" w:eastAsia="黑体" w:cs="宋体"/>
      <w:b/>
      <w:bCs/>
      <w:szCs w:val="24"/>
    </w:rPr>
  </w:style>
  <w:style w:type="paragraph" w:customStyle="1" w:styleId="1683">
    <w:name w:val="附件33"/>
    <w:basedOn w:val="2"/>
    <w:next w:val="418"/>
    <w:qFormat/>
    <w:uiPriority w:val="0"/>
    <w:pPr>
      <w:numPr>
        <w:numId w:val="0"/>
      </w:numPr>
      <w:spacing w:before="220" w:after="120"/>
    </w:pPr>
    <w:rPr>
      <w:rFonts w:ascii="黑体" w:eastAsia="黑体"/>
      <w:sz w:val="32"/>
      <w:szCs w:val="32"/>
    </w:rPr>
  </w:style>
  <w:style w:type="paragraph" w:customStyle="1" w:styleId="1684">
    <w:name w:val="Char1412"/>
    <w:basedOn w:val="1"/>
    <w:qFormat/>
    <w:uiPriority w:val="0"/>
    <w:pPr>
      <w:widowControl/>
      <w:ind w:left="-48"/>
      <w:jc w:val="left"/>
    </w:pPr>
    <w:rPr>
      <w:rFonts w:ascii="宋体" w:hAnsi="宋体" w:cs="宋体"/>
      <w:kern w:val="0"/>
      <w:szCs w:val="24"/>
    </w:rPr>
  </w:style>
  <w:style w:type="paragraph" w:customStyle="1" w:styleId="1685">
    <w:name w:val="图题23"/>
    <w:basedOn w:val="418"/>
    <w:next w:val="418"/>
    <w:qFormat/>
    <w:uiPriority w:val="0"/>
    <w:pPr>
      <w:ind w:firstLine="0"/>
      <w:jc w:val="center"/>
    </w:pPr>
    <w:rPr>
      <w:rFonts w:ascii="黑体" w:hAnsi="宋体" w:eastAsia="黑体" w:cs="宋体"/>
      <w:b/>
      <w:bCs/>
      <w:szCs w:val="24"/>
    </w:rPr>
  </w:style>
  <w:style w:type="paragraph" w:customStyle="1" w:styleId="1686">
    <w:name w:val="Char Char2 Char Char Char Char30"/>
    <w:basedOn w:val="1"/>
    <w:qFormat/>
    <w:uiPriority w:val="0"/>
    <w:pPr>
      <w:widowControl/>
      <w:jc w:val="left"/>
    </w:pPr>
    <w:rPr>
      <w:rFonts w:ascii="宋体" w:hAnsi="宋体" w:cs="宋体"/>
      <w:kern w:val="0"/>
      <w:szCs w:val="24"/>
    </w:rPr>
  </w:style>
  <w:style w:type="paragraph" w:customStyle="1" w:styleId="1687">
    <w:name w:val="索引标题1"/>
    <w:basedOn w:val="1"/>
    <w:qFormat/>
    <w:uiPriority w:val="0"/>
    <w:pPr>
      <w:widowControl/>
      <w:jc w:val="left"/>
    </w:pPr>
    <w:rPr>
      <w:rFonts w:ascii="宋体" w:hAnsi="宋体" w:cs="宋体"/>
      <w:kern w:val="0"/>
      <w:szCs w:val="24"/>
    </w:rPr>
  </w:style>
  <w:style w:type="paragraph" w:customStyle="1" w:styleId="1688">
    <w:name w:val="索引 11"/>
    <w:basedOn w:val="1"/>
    <w:next w:val="1"/>
    <w:qFormat/>
    <w:uiPriority w:val="0"/>
    <w:pPr>
      <w:jc w:val="center"/>
    </w:pPr>
    <w:rPr>
      <w:szCs w:val="24"/>
    </w:rPr>
  </w:style>
  <w:style w:type="paragraph" w:customStyle="1" w:styleId="1689">
    <w:name w:val="xl89"/>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仿宋" w:hAnsi="仿宋" w:eastAsia="仿宋" w:cs="宋体"/>
      <w:kern w:val="0"/>
      <w:szCs w:val="21"/>
    </w:rPr>
  </w:style>
  <w:style w:type="paragraph" w:customStyle="1" w:styleId="1690">
    <w:name w:val="样式 左侧:  -0.16 厘米1"/>
    <w:basedOn w:val="1"/>
    <w:qFormat/>
    <w:uiPriority w:val="0"/>
    <w:pPr>
      <w:widowControl/>
      <w:ind w:left="-90"/>
      <w:jc w:val="left"/>
    </w:pPr>
    <w:rPr>
      <w:rFonts w:ascii="宋体" w:hAnsi="宋体" w:cs="宋体"/>
      <w:snapToGrid w:val="0"/>
      <w:kern w:val="0"/>
      <w:szCs w:val="24"/>
    </w:rPr>
  </w:style>
  <w:style w:type="paragraph" w:customStyle="1" w:styleId="1691">
    <w:name w:val="Char1121"/>
    <w:basedOn w:val="1"/>
    <w:qFormat/>
    <w:uiPriority w:val="0"/>
    <w:pPr>
      <w:widowControl/>
      <w:ind w:left="-48"/>
      <w:jc w:val="left"/>
    </w:pPr>
    <w:rPr>
      <w:rFonts w:ascii="宋体" w:hAnsi="宋体" w:cs="宋体"/>
      <w:kern w:val="0"/>
      <w:szCs w:val="24"/>
    </w:rPr>
  </w:style>
  <w:style w:type="paragraph" w:customStyle="1" w:styleId="1692">
    <w:name w:val="表格内字体212"/>
    <w:basedOn w:val="418"/>
    <w:next w:val="418"/>
    <w:qFormat/>
    <w:uiPriority w:val="0"/>
    <w:pPr>
      <w:spacing w:line="240" w:lineRule="auto"/>
      <w:ind w:firstLine="0"/>
      <w:jc w:val="center"/>
    </w:pPr>
    <w:rPr>
      <w:rFonts w:hAnsi="宋体"/>
      <w:sz w:val="21"/>
      <w:szCs w:val="24"/>
    </w:rPr>
  </w:style>
  <w:style w:type="paragraph" w:customStyle="1" w:styleId="1693">
    <w:name w:val="注释11"/>
    <w:basedOn w:val="418"/>
    <w:next w:val="25"/>
    <w:qFormat/>
    <w:uiPriority w:val="0"/>
    <w:pPr>
      <w:spacing w:before="120" w:after="120" w:line="240" w:lineRule="auto"/>
      <w:ind w:firstLine="200"/>
    </w:pPr>
    <w:rPr>
      <w:rFonts w:hAnsi="Times New Roman" w:cs="宋体"/>
      <w:sz w:val="21"/>
      <w:szCs w:val="20"/>
    </w:rPr>
  </w:style>
  <w:style w:type="paragraph" w:customStyle="1" w:styleId="1694">
    <w:name w:val="表内54143"/>
    <w:basedOn w:val="1"/>
    <w:qFormat/>
    <w:uiPriority w:val="0"/>
    <w:pPr>
      <w:widowControl/>
      <w:spacing w:line="300" w:lineRule="auto"/>
      <w:jc w:val="center"/>
    </w:pPr>
    <w:rPr>
      <w:rFonts w:ascii="宋体" w:hAnsi="宋体" w:cs="宋体"/>
      <w:kern w:val="0"/>
      <w:szCs w:val="20"/>
    </w:rPr>
  </w:style>
  <w:style w:type="paragraph" w:customStyle="1" w:styleId="1695">
    <w:name w:val="Char Char Char Char Char Char Char110"/>
    <w:basedOn w:val="1"/>
    <w:qFormat/>
    <w:uiPriority w:val="0"/>
    <w:pPr>
      <w:widowControl/>
      <w:jc w:val="left"/>
    </w:pPr>
    <w:rPr>
      <w:rFonts w:ascii="宋体" w:hAnsi="宋体" w:cs="宋体"/>
      <w:kern w:val="0"/>
      <w:szCs w:val="24"/>
    </w:rPr>
  </w:style>
  <w:style w:type="paragraph" w:customStyle="1" w:styleId="1696">
    <w:name w:val="表121"/>
    <w:basedOn w:val="1"/>
    <w:qFormat/>
    <w:uiPriority w:val="0"/>
    <w:pPr>
      <w:widowControl/>
      <w:jc w:val="center"/>
    </w:pPr>
    <w:rPr>
      <w:rFonts w:ascii="宋体" w:hAnsi="宋体" w:cs="宋体"/>
      <w:kern w:val="0"/>
      <w:szCs w:val="24"/>
    </w:rPr>
  </w:style>
  <w:style w:type="paragraph" w:customStyle="1" w:styleId="1697">
    <w:name w:val="表内宋514"/>
    <w:qFormat/>
    <w:uiPriority w:val="0"/>
    <w:pPr>
      <w:autoSpaceDE w:val="0"/>
      <w:autoSpaceDN w:val="0"/>
    </w:pPr>
    <w:rPr>
      <w:rFonts w:ascii="Times New Roman" w:hAnsi="Times New Roman" w:eastAsia="宋体" w:cs="Times New Roman"/>
      <w:w w:val="90"/>
      <w:lang w:val="en-US" w:eastAsia="zh-CN" w:bidi="ar-SA"/>
    </w:rPr>
  </w:style>
  <w:style w:type="paragraph" w:customStyle="1" w:styleId="1698">
    <w:name w:val="表内宋5中"/>
    <w:basedOn w:val="1"/>
    <w:qFormat/>
    <w:uiPriority w:val="0"/>
    <w:pPr>
      <w:widowControl/>
      <w:jc w:val="left"/>
      <w:textAlignment w:val="baseline"/>
    </w:pPr>
    <w:rPr>
      <w:rFonts w:ascii="宋体" w:hAnsi="宋体" w:cs="宋体"/>
      <w:kern w:val="0"/>
      <w:szCs w:val="20"/>
    </w:rPr>
  </w:style>
  <w:style w:type="paragraph" w:customStyle="1" w:styleId="1699">
    <w:name w:val="Char40"/>
    <w:basedOn w:val="1"/>
    <w:qFormat/>
    <w:uiPriority w:val="0"/>
    <w:pPr>
      <w:widowControl/>
      <w:ind w:left="-48"/>
      <w:jc w:val="left"/>
    </w:pPr>
    <w:rPr>
      <w:rFonts w:ascii="宋体" w:hAnsi="宋体" w:cs="宋体"/>
      <w:kern w:val="0"/>
      <w:szCs w:val="24"/>
    </w:rPr>
  </w:style>
  <w:style w:type="paragraph" w:customStyle="1" w:styleId="1700">
    <w:name w:val="正文格式＝81"/>
    <w:basedOn w:val="418"/>
    <w:next w:val="418"/>
    <w:qFormat/>
    <w:uiPriority w:val="0"/>
    <w:rPr>
      <w:rFonts w:hAnsi="宋体"/>
      <w:szCs w:val="24"/>
    </w:rPr>
  </w:style>
  <w:style w:type="paragraph" w:customStyle="1" w:styleId="1701">
    <w:name w:val="样式 环评标题1 + 三号 黑色"/>
    <w:basedOn w:val="1"/>
    <w:semiHidden/>
    <w:qFormat/>
    <w:uiPriority w:val="0"/>
    <w:pPr>
      <w:numPr>
        <w:ilvl w:val="0"/>
        <w:numId w:val="3"/>
      </w:numPr>
      <w:spacing w:before="156" w:after="156"/>
      <w:ind w:left="431" w:hanging="431"/>
      <w:outlineLvl w:val="0"/>
    </w:pPr>
    <w:rPr>
      <w:b/>
      <w:bCs/>
      <w:spacing w:val="20"/>
      <w:kern w:val="0"/>
      <w:sz w:val="44"/>
      <w:szCs w:val="44"/>
    </w:rPr>
  </w:style>
  <w:style w:type="paragraph" w:customStyle="1" w:styleId="1702">
    <w:name w:val="环评正文3"/>
    <w:basedOn w:val="98"/>
    <w:qFormat/>
    <w:uiPriority w:val="0"/>
    <w:pPr>
      <w:spacing w:line="440" w:lineRule="exact"/>
      <w:ind w:firstLine="200" w:firstLineChars="200"/>
    </w:pPr>
    <w:rPr>
      <w:rFonts w:ascii="Times New Roman" w:hAnsi="Times New Roman" w:cs="Times New Roman"/>
      <w:bCs/>
      <w:color w:val="000000"/>
    </w:rPr>
  </w:style>
  <w:style w:type="paragraph" w:customStyle="1" w:styleId="1703">
    <w:name w:val="标题431"/>
    <w:basedOn w:val="1"/>
    <w:qFormat/>
    <w:uiPriority w:val="0"/>
    <w:pPr>
      <w:widowControl/>
      <w:spacing w:line="480" w:lineRule="exact"/>
      <w:jc w:val="center"/>
    </w:pPr>
    <w:rPr>
      <w:rFonts w:ascii="宋体" w:hAnsi="宋体" w:cs="宋体"/>
      <w:kern w:val="0"/>
      <w:szCs w:val="24"/>
    </w:rPr>
  </w:style>
  <w:style w:type="paragraph" w:customStyle="1" w:styleId="1704">
    <w:name w:val="表内文字小21111"/>
    <w:basedOn w:val="1"/>
    <w:qFormat/>
    <w:uiPriority w:val="0"/>
    <w:pPr>
      <w:widowControl/>
      <w:jc w:val="center"/>
    </w:pPr>
    <w:rPr>
      <w:rFonts w:ascii="宋体" w:hAnsi="Times" w:cs="宋体"/>
      <w:bCs/>
      <w:kern w:val="0"/>
      <w:szCs w:val="20"/>
    </w:rPr>
  </w:style>
  <w:style w:type="paragraph" w:customStyle="1" w:styleId="1705">
    <w:name w:val="图题21"/>
    <w:basedOn w:val="418"/>
    <w:next w:val="418"/>
    <w:qFormat/>
    <w:uiPriority w:val="0"/>
    <w:pPr>
      <w:ind w:firstLine="0"/>
      <w:jc w:val="center"/>
    </w:pPr>
    <w:rPr>
      <w:rFonts w:ascii="黑体" w:hAnsi="宋体" w:eastAsia="黑体" w:cs="宋体"/>
      <w:b/>
      <w:bCs/>
      <w:szCs w:val="24"/>
    </w:rPr>
  </w:style>
  <w:style w:type="paragraph" w:customStyle="1" w:styleId="1706">
    <w:name w:val="reader-word-layer reader-word-s18-0"/>
    <w:basedOn w:val="1"/>
    <w:qFormat/>
    <w:uiPriority w:val="0"/>
    <w:pPr>
      <w:widowControl/>
      <w:spacing w:before="100" w:beforeAutospacing="1" w:after="100" w:afterAutospacing="1"/>
      <w:jc w:val="left"/>
    </w:pPr>
    <w:rPr>
      <w:rFonts w:ascii="宋体" w:hAnsi="宋体" w:cs="宋体"/>
      <w:kern w:val="0"/>
      <w:szCs w:val="24"/>
    </w:rPr>
  </w:style>
  <w:style w:type="paragraph" w:customStyle="1" w:styleId="1707">
    <w:name w:val="样式 标题 4无效格式无效格式1河石管道4H4H41小小节河石管道41H42H411小小节1河石管道42...111"/>
    <w:basedOn w:val="5"/>
    <w:qFormat/>
    <w:uiPriority w:val="0"/>
    <w:pPr>
      <w:numPr>
        <w:ilvl w:val="0"/>
        <w:numId w:val="0"/>
      </w:numPr>
      <w:spacing w:after="0" w:line="360" w:lineRule="auto"/>
      <w:ind w:left="664" w:hanging="864"/>
    </w:pPr>
    <w:rPr>
      <w:rFonts w:ascii="黑体" w:hAnsi="Arial" w:eastAsia="黑体" w:cs="宋体"/>
      <w:b w:val="0"/>
      <w:bCs w:val="0"/>
      <w:kern w:val="2"/>
      <w:sz w:val="24"/>
      <w:szCs w:val="20"/>
    </w:rPr>
  </w:style>
  <w:style w:type="paragraph" w:customStyle="1" w:styleId="1708">
    <w:name w:val="表内文字小2111"/>
    <w:basedOn w:val="1"/>
    <w:qFormat/>
    <w:uiPriority w:val="0"/>
    <w:pPr>
      <w:widowControl/>
      <w:jc w:val="center"/>
    </w:pPr>
    <w:rPr>
      <w:rFonts w:ascii="宋体" w:hAnsi="Times" w:cs="宋体"/>
      <w:bCs/>
      <w:kern w:val="0"/>
      <w:szCs w:val="20"/>
    </w:rPr>
  </w:style>
  <w:style w:type="paragraph" w:customStyle="1" w:styleId="1709">
    <w:name w:val="xl24111"/>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1710">
    <w:name w:val="Char Char Char Char Char Char Char216"/>
    <w:basedOn w:val="1"/>
    <w:qFormat/>
    <w:uiPriority w:val="0"/>
    <w:pPr>
      <w:widowControl/>
      <w:jc w:val="left"/>
    </w:pPr>
    <w:rPr>
      <w:rFonts w:ascii="宋体" w:hAnsi="宋体" w:cs="宋体"/>
      <w:kern w:val="0"/>
      <w:szCs w:val="24"/>
    </w:rPr>
  </w:style>
  <w:style w:type="paragraph" w:customStyle="1" w:styleId="1711">
    <w:name w:val="黑体三号52"/>
    <w:basedOn w:val="418"/>
    <w:qFormat/>
    <w:uiPriority w:val="0"/>
    <w:pPr>
      <w:jc w:val="center"/>
    </w:pPr>
    <w:rPr>
      <w:rFonts w:ascii="黑体" w:hAnsi="宋体" w:eastAsia="黑体" w:cs="宋体"/>
      <w:b/>
      <w:bCs/>
      <w:sz w:val="32"/>
      <w:szCs w:val="20"/>
    </w:rPr>
  </w:style>
  <w:style w:type="paragraph" w:customStyle="1" w:styleId="1712">
    <w:name w:val="正文修改7"/>
    <w:basedOn w:val="786"/>
    <w:qFormat/>
    <w:uiPriority w:val="0"/>
    <w:rPr>
      <w:rFonts w:hAnsi="宋体" w:eastAsia="宋体" w:cs="宋体"/>
      <w:szCs w:val="24"/>
    </w:rPr>
  </w:style>
  <w:style w:type="paragraph" w:customStyle="1" w:styleId="1713">
    <w:name w:val="图表题1"/>
    <w:basedOn w:val="418"/>
    <w:next w:val="418"/>
    <w:qFormat/>
    <w:uiPriority w:val="0"/>
    <w:pPr>
      <w:ind w:firstLine="0"/>
      <w:jc w:val="center"/>
    </w:pPr>
    <w:rPr>
      <w:rFonts w:ascii="黑体" w:hAnsi="宋体" w:eastAsia="黑体" w:cs="宋体"/>
      <w:b/>
      <w:bCs/>
      <w:szCs w:val="24"/>
    </w:rPr>
  </w:style>
  <w:style w:type="paragraph" w:customStyle="1" w:styleId="1714">
    <w:name w:val="表内54161"/>
    <w:basedOn w:val="1"/>
    <w:qFormat/>
    <w:uiPriority w:val="0"/>
    <w:pPr>
      <w:widowControl/>
      <w:spacing w:line="300" w:lineRule="auto"/>
      <w:jc w:val="center"/>
    </w:pPr>
    <w:rPr>
      <w:rFonts w:ascii="宋体" w:hAnsi="宋体" w:cs="宋体"/>
      <w:kern w:val="0"/>
      <w:szCs w:val="20"/>
    </w:rPr>
  </w:style>
  <w:style w:type="paragraph" w:customStyle="1" w:styleId="1715">
    <w:name w:val="表内文字小12"/>
    <w:basedOn w:val="1"/>
    <w:qFormat/>
    <w:uiPriority w:val="0"/>
    <w:pPr>
      <w:widowControl/>
      <w:jc w:val="center"/>
    </w:pPr>
    <w:rPr>
      <w:rFonts w:ascii="宋体" w:hAnsi="Times" w:cs="宋体"/>
      <w:kern w:val="0"/>
      <w:szCs w:val="20"/>
    </w:rPr>
  </w:style>
  <w:style w:type="paragraph" w:customStyle="1" w:styleId="1716">
    <w:name w:val="表中文字62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1717">
    <w:name w:val="燕山正文321"/>
    <w:basedOn w:val="1"/>
    <w:qFormat/>
    <w:uiPriority w:val="0"/>
    <w:pPr>
      <w:widowControl/>
      <w:tabs>
        <w:tab w:val="left" w:pos="4680"/>
      </w:tabs>
      <w:spacing w:line="480" w:lineRule="exact"/>
      <w:jc w:val="left"/>
    </w:pPr>
    <w:rPr>
      <w:rFonts w:ascii="宋体" w:hAnsi="宋体" w:cs="宋体"/>
      <w:kern w:val="0"/>
      <w:szCs w:val="24"/>
    </w:rPr>
  </w:style>
  <w:style w:type="paragraph" w:customStyle="1" w:styleId="1718">
    <w:name w:val="表内54113"/>
    <w:basedOn w:val="1"/>
    <w:qFormat/>
    <w:uiPriority w:val="0"/>
    <w:pPr>
      <w:widowControl/>
      <w:spacing w:line="300" w:lineRule="auto"/>
      <w:jc w:val="center"/>
    </w:pPr>
    <w:rPr>
      <w:rFonts w:ascii="宋体" w:hAnsi="宋体" w:cs="宋体"/>
      <w:kern w:val="0"/>
      <w:szCs w:val="20"/>
    </w:rPr>
  </w:style>
  <w:style w:type="paragraph" w:customStyle="1" w:styleId="1719">
    <w:name w:val="正文修改2"/>
    <w:basedOn w:val="786"/>
    <w:qFormat/>
    <w:uiPriority w:val="0"/>
    <w:rPr>
      <w:rFonts w:hAnsi="宋体" w:eastAsia="宋体" w:cs="宋体"/>
      <w:szCs w:val="24"/>
    </w:rPr>
  </w:style>
  <w:style w:type="paragraph" w:customStyle="1" w:styleId="1720">
    <w:name w:val="表题312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721">
    <w:name w:val="样式 表格内字体1 +1"/>
    <w:next w:val="559"/>
    <w:qFormat/>
    <w:uiPriority w:val="0"/>
    <w:rPr>
      <w:rFonts w:ascii="Times New Roman" w:hAnsi="Times New Roman" w:eastAsia="宋体" w:cs="宋体"/>
      <w:lang w:val="en-US" w:eastAsia="zh-CN" w:bidi="ar-SA"/>
    </w:rPr>
  </w:style>
  <w:style w:type="paragraph" w:customStyle="1" w:styleId="1722">
    <w:name w:val="表格内字体1"/>
    <w:basedOn w:val="418"/>
    <w:next w:val="418"/>
    <w:qFormat/>
    <w:uiPriority w:val="0"/>
    <w:pPr>
      <w:spacing w:line="240" w:lineRule="auto"/>
      <w:ind w:firstLine="0"/>
      <w:jc w:val="center"/>
    </w:pPr>
    <w:rPr>
      <w:rFonts w:hAnsi="宋体"/>
      <w:sz w:val="21"/>
      <w:szCs w:val="24"/>
    </w:rPr>
  </w:style>
  <w:style w:type="paragraph" w:customStyle="1" w:styleId="1723">
    <w:name w:val="表内5311"/>
    <w:basedOn w:val="1"/>
    <w:qFormat/>
    <w:uiPriority w:val="0"/>
    <w:pPr>
      <w:widowControl/>
      <w:spacing w:line="300" w:lineRule="auto"/>
      <w:jc w:val="left"/>
    </w:pPr>
    <w:rPr>
      <w:rFonts w:ascii="宋体" w:hAnsi="宋体" w:cs="宋体"/>
      <w:kern w:val="0"/>
      <w:szCs w:val="20"/>
    </w:rPr>
  </w:style>
  <w:style w:type="paragraph" w:customStyle="1" w:styleId="1724">
    <w:name w:val="样式 首行缩进:  0.85 厘米 行距: 固定值 23 磅"/>
    <w:basedOn w:val="1"/>
    <w:qFormat/>
    <w:uiPriority w:val="0"/>
    <w:pPr>
      <w:widowControl/>
      <w:spacing w:line="480" w:lineRule="exact"/>
      <w:ind w:firstLine="560"/>
      <w:jc w:val="left"/>
    </w:pPr>
    <w:rPr>
      <w:rFonts w:ascii="宋体" w:hAnsi="宋体" w:cs="宋体"/>
      <w:kern w:val="0"/>
      <w:szCs w:val="20"/>
    </w:rPr>
  </w:style>
  <w:style w:type="paragraph" w:customStyle="1" w:styleId="1725">
    <w:name w:val="正文修改32"/>
    <w:basedOn w:val="786"/>
    <w:qFormat/>
    <w:uiPriority w:val="0"/>
    <w:rPr>
      <w:rFonts w:hAnsi="宋体" w:eastAsia="宋体" w:cs="宋体"/>
      <w:szCs w:val="24"/>
    </w:rPr>
  </w:style>
  <w:style w:type="paragraph" w:customStyle="1" w:styleId="1726">
    <w:name w:val="图框"/>
    <w:basedOn w:val="1"/>
    <w:qFormat/>
    <w:uiPriority w:val="0"/>
    <w:pPr>
      <w:widowControl/>
      <w:jc w:val="center"/>
    </w:pPr>
    <w:rPr>
      <w:rFonts w:ascii="宋体" w:hAnsi="宋体" w:cs="宋体"/>
      <w:kern w:val="0"/>
      <w:szCs w:val="21"/>
    </w:rPr>
  </w:style>
  <w:style w:type="paragraph" w:customStyle="1" w:styleId="1727">
    <w:name w:val="表内文字边2"/>
    <w:basedOn w:val="1"/>
    <w:qFormat/>
    <w:uiPriority w:val="0"/>
    <w:pPr>
      <w:widowControl/>
      <w:spacing w:line="240" w:lineRule="atLeast"/>
      <w:ind w:left="-21" w:leftChars="-10" w:right="-42" w:rightChars="-20"/>
      <w:jc w:val="left"/>
    </w:pPr>
    <w:rPr>
      <w:rFonts w:ascii="宋体" w:hAnsi="宋体" w:cs="宋体"/>
      <w:kern w:val="0"/>
      <w:szCs w:val="21"/>
    </w:rPr>
  </w:style>
  <w:style w:type="paragraph" w:customStyle="1" w:styleId="1728">
    <w:name w:val="表格13"/>
    <w:basedOn w:val="1"/>
    <w:qFormat/>
    <w:uiPriority w:val="0"/>
    <w:pPr>
      <w:widowControl/>
      <w:jc w:val="center"/>
      <w:textAlignment w:val="baseline"/>
    </w:pPr>
    <w:rPr>
      <w:rFonts w:ascii="宋体" w:hAnsi="宋体" w:cs="宋体"/>
      <w:kern w:val="0"/>
      <w:szCs w:val="20"/>
    </w:rPr>
  </w:style>
  <w:style w:type="paragraph" w:customStyle="1" w:styleId="1729">
    <w:name w:val="表中文字121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1730">
    <w:name w:val="表内541412"/>
    <w:basedOn w:val="1"/>
    <w:qFormat/>
    <w:uiPriority w:val="0"/>
    <w:pPr>
      <w:widowControl/>
      <w:spacing w:line="300" w:lineRule="auto"/>
      <w:jc w:val="center"/>
    </w:pPr>
    <w:rPr>
      <w:rFonts w:ascii="宋体" w:hAnsi="宋体" w:cs="宋体"/>
      <w:kern w:val="0"/>
      <w:szCs w:val="20"/>
    </w:rPr>
  </w:style>
  <w:style w:type="paragraph" w:customStyle="1" w:styleId="1731">
    <w:name w:val="正文.111"/>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1732">
    <w:name w:val="xl28"/>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1733">
    <w:name w:val="谏壁标题3（chen）"/>
    <w:basedOn w:val="1"/>
    <w:qFormat/>
    <w:uiPriority w:val="0"/>
    <w:pPr>
      <w:keepNext/>
      <w:keepLines/>
      <w:widowControl/>
      <w:spacing w:before="100" w:after="120"/>
      <w:jc w:val="left"/>
      <w:outlineLvl w:val="2"/>
    </w:pPr>
    <w:rPr>
      <w:rFonts w:ascii="宋体" w:hAnsi="宋体" w:eastAsia="黑体" w:cs="宋体"/>
      <w:kern w:val="0"/>
      <w:sz w:val="30"/>
      <w:szCs w:val="32"/>
    </w:rPr>
  </w:style>
  <w:style w:type="paragraph" w:customStyle="1" w:styleId="1734">
    <w:name w:val="Char Char Char Char Char Char Char Char Char Char Char Char Char2"/>
    <w:basedOn w:val="1"/>
    <w:qFormat/>
    <w:uiPriority w:val="0"/>
    <w:pPr>
      <w:widowControl/>
      <w:jc w:val="left"/>
    </w:pPr>
    <w:rPr>
      <w:rFonts w:ascii="宋体" w:hAnsi="宋体" w:cs="宋体"/>
      <w:kern w:val="0"/>
      <w:szCs w:val="24"/>
    </w:rPr>
  </w:style>
  <w:style w:type="paragraph" w:customStyle="1" w:styleId="1735">
    <w:name w:val="Char431"/>
    <w:basedOn w:val="1"/>
    <w:qFormat/>
    <w:uiPriority w:val="0"/>
    <w:pPr>
      <w:widowControl/>
      <w:ind w:left="-48"/>
      <w:jc w:val="left"/>
    </w:pPr>
    <w:rPr>
      <w:rFonts w:ascii="宋体" w:hAnsi="宋体" w:cs="宋体"/>
      <w:kern w:val="0"/>
      <w:szCs w:val="24"/>
    </w:rPr>
  </w:style>
  <w:style w:type="paragraph" w:customStyle="1" w:styleId="1736">
    <w:name w:val="Char118"/>
    <w:basedOn w:val="1"/>
    <w:qFormat/>
    <w:uiPriority w:val="0"/>
    <w:pPr>
      <w:widowControl/>
      <w:spacing w:before="156"/>
      <w:jc w:val="left"/>
    </w:pPr>
    <w:rPr>
      <w:rFonts w:ascii="黑体" w:hAnsi="宋体" w:eastAsia="黑体" w:cs="宋体"/>
      <w:kern w:val="0"/>
      <w:sz w:val="32"/>
      <w:szCs w:val="32"/>
    </w:rPr>
  </w:style>
  <w:style w:type="paragraph" w:customStyle="1" w:styleId="1737">
    <w:name w:val="A正文31"/>
    <w:basedOn w:val="1"/>
    <w:qFormat/>
    <w:uiPriority w:val="0"/>
    <w:pPr>
      <w:widowControl/>
      <w:overflowPunct w:val="0"/>
      <w:autoSpaceDE w:val="0"/>
      <w:autoSpaceDN w:val="0"/>
      <w:jc w:val="left"/>
      <w:textAlignment w:val="baseline"/>
    </w:pPr>
    <w:rPr>
      <w:rFonts w:ascii="宋体" w:hAnsi="宋体" w:cs="宋体"/>
      <w:kern w:val="0"/>
      <w:szCs w:val="24"/>
    </w:rPr>
  </w:style>
  <w:style w:type="paragraph" w:customStyle="1" w:styleId="1738">
    <w:name w:val="Char1311"/>
    <w:basedOn w:val="1"/>
    <w:qFormat/>
    <w:uiPriority w:val="0"/>
    <w:pPr>
      <w:widowControl/>
      <w:ind w:left="-48"/>
      <w:jc w:val="left"/>
    </w:pPr>
    <w:rPr>
      <w:rFonts w:ascii="宋体" w:hAnsi="宋体" w:cs="宋体"/>
      <w:kern w:val="0"/>
      <w:szCs w:val="24"/>
    </w:rPr>
  </w:style>
  <w:style w:type="paragraph" w:customStyle="1" w:styleId="1739">
    <w:name w:val="默认段落字体 Para Char Char Char Char212"/>
    <w:basedOn w:val="1"/>
    <w:qFormat/>
    <w:uiPriority w:val="0"/>
    <w:pPr>
      <w:widowControl/>
      <w:jc w:val="left"/>
    </w:pPr>
    <w:rPr>
      <w:rFonts w:ascii="宋体" w:hAnsi="宋体" w:cs="宋体"/>
      <w:kern w:val="0"/>
      <w:szCs w:val="24"/>
    </w:rPr>
  </w:style>
  <w:style w:type="paragraph" w:customStyle="1" w:styleId="1740">
    <w:name w:val="表中文字5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1741">
    <w:name w:val="样式 标题 4无效格式无效格式1河石管道4H4H41小小节河石管道41H42H411小小节1河石管道42...1111"/>
    <w:basedOn w:val="5"/>
    <w:qFormat/>
    <w:uiPriority w:val="0"/>
    <w:pPr>
      <w:numPr>
        <w:ilvl w:val="0"/>
        <w:numId w:val="0"/>
      </w:numPr>
      <w:spacing w:after="0" w:line="360" w:lineRule="auto"/>
      <w:ind w:left="664" w:hanging="864"/>
    </w:pPr>
    <w:rPr>
      <w:rFonts w:ascii="黑体" w:hAnsi="Arial" w:eastAsia="黑体" w:cs="宋体"/>
      <w:b w:val="0"/>
      <w:bCs w:val="0"/>
      <w:kern w:val="2"/>
      <w:sz w:val="24"/>
      <w:szCs w:val="20"/>
    </w:rPr>
  </w:style>
  <w:style w:type="paragraph" w:customStyle="1" w:styleId="1742">
    <w:name w:val="新正文样式"/>
    <w:basedOn w:val="1"/>
    <w:qFormat/>
    <w:uiPriority w:val="0"/>
    <w:pPr>
      <w:widowControl/>
      <w:tabs>
        <w:tab w:val="left" w:pos="567"/>
      </w:tabs>
      <w:ind w:firstLine="567"/>
      <w:jc w:val="left"/>
    </w:pPr>
    <w:rPr>
      <w:rFonts w:ascii="宋体" w:hAnsi="宋体" w:cs="宋体"/>
      <w:spacing w:val="20"/>
      <w:kern w:val="0"/>
      <w:szCs w:val="20"/>
    </w:rPr>
  </w:style>
  <w:style w:type="paragraph" w:customStyle="1" w:styleId="1743">
    <w:name w:val="Char21"/>
    <w:basedOn w:val="1"/>
    <w:qFormat/>
    <w:uiPriority w:val="0"/>
    <w:pPr>
      <w:widowControl/>
      <w:jc w:val="left"/>
    </w:pPr>
    <w:rPr>
      <w:rFonts w:ascii="宋体" w:hAnsi="宋体" w:cs="宋体"/>
      <w:kern w:val="0"/>
      <w:szCs w:val="24"/>
    </w:rPr>
  </w:style>
  <w:style w:type="paragraph" w:customStyle="1" w:styleId="1744">
    <w:name w:val="燕山正文411"/>
    <w:basedOn w:val="1"/>
    <w:qFormat/>
    <w:uiPriority w:val="0"/>
    <w:pPr>
      <w:widowControl/>
      <w:tabs>
        <w:tab w:val="left" w:pos="4680"/>
      </w:tabs>
      <w:spacing w:line="480" w:lineRule="exact"/>
      <w:jc w:val="left"/>
    </w:pPr>
    <w:rPr>
      <w:rFonts w:ascii="宋体" w:hAnsi="宋体" w:cs="宋体"/>
      <w:kern w:val="0"/>
      <w:szCs w:val="24"/>
    </w:rPr>
  </w:style>
  <w:style w:type="paragraph" w:customStyle="1" w:styleId="1745">
    <w:name w:val="文本框"/>
    <w:basedOn w:val="1"/>
    <w:next w:val="1"/>
    <w:qFormat/>
    <w:uiPriority w:val="0"/>
    <w:pPr>
      <w:widowControl/>
      <w:spacing w:line="320" w:lineRule="exact"/>
      <w:jc w:val="center"/>
    </w:pPr>
    <w:rPr>
      <w:rFonts w:ascii="仿宋_GB2312" w:hAnsi="宋体" w:cs="宋体"/>
      <w:kern w:val="0"/>
      <w:szCs w:val="24"/>
    </w:rPr>
  </w:style>
  <w:style w:type="paragraph" w:customStyle="1" w:styleId="1746">
    <w:name w:val="Char Char2 Char Char Char Char12"/>
    <w:basedOn w:val="1"/>
    <w:qFormat/>
    <w:uiPriority w:val="0"/>
    <w:pPr>
      <w:widowControl/>
      <w:jc w:val="left"/>
    </w:pPr>
    <w:rPr>
      <w:rFonts w:ascii="宋体" w:hAnsi="宋体" w:cs="宋体"/>
      <w:kern w:val="0"/>
      <w:szCs w:val="24"/>
    </w:rPr>
  </w:style>
  <w:style w:type="paragraph" w:customStyle="1" w:styleId="1747">
    <w:name w:val="表内文字小3132"/>
    <w:basedOn w:val="1"/>
    <w:qFormat/>
    <w:uiPriority w:val="0"/>
    <w:pPr>
      <w:widowControl/>
      <w:jc w:val="center"/>
    </w:pPr>
    <w:rPr>
      <w:rFonts w:ascii="宋体" w:hAnsi="Times" w:cs="宋体"/>
      <w:bCs/>
      <w:color w:val="003366"/>
      <w:kern w:val="0"/>
      <w:szCs w:val="20"/>
    </w:rPr>
  </w:style>
  <w:style w:type="paragraph" w:customStyle="1" w:styleId="1748">
    <w:name w:val="xl631"/>
    <w:basedOn w:val="1"/>
    <w:qFormat/>
    <w:uiPriority w:val="0"/>
    <w:pPr>
      <w:widowControl/>
      <w:spacing w:before="100" w:beforeAutospacing="1" w:after="100" w:afterAutospacing="1"/>
      <w:jc w:val="center"/>
      <w:textAlignment w:val="center"/>
    </w:pPr>
    <w:rPr>
      <w:rFonts w:hint="eastAsia" w:ascii="黑体" w:hAnsi="宋体" w:eastAsia="黑体" w:cs="宋体"/>
      <w:kern w:val="0"/>
      <w:szCs w:val="24"/>
    </w:rPr>
  </w:style>
  <w:style w:type="paragraph" w:customStyle="1" w:styleId="1749">
    <w:name w:val="表中文字31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1750">
    <w:name w:val="表内宋51121"/>
    <w:basedOn w:val="734"/>
    <w:qFormat/>
    <w:uiPriority w:val="0"/>
    <w:rPr>
      <w:rFonts w:ascii="宋体" w:hAnsi="宋体" w:cs="宋体"/>
      <w:sz w:val="21"/>
      <w:szCs w:val="24"/>
    </w:rPr>
  </w:style>
  <w:style w:type="paragraph" w:customStyle="1" w:styleId="1751">
    <w:name w:val="表内5中1"/>
    <w:basedOn w:val="1"/>
    <w:qFormat/>
    <w:uiPriority w:val="0"/>
    <w:pPr>
      <w:widowControl/>
      <w:jc w:val="center"/>
    </w:pPr>
    <w:rPr>
      <w:rFonts w:ascii="宋体" w:hAnsi="宋体" w:cs="Arial"/>
      <w:snapToGrid w:val="0"/>
      <w:kern w:val="0"/>
      <w:szCs w:val="21"/>
    </w:rPr>
  </w:style>
  <w:style w:type="paragraph" w:customStyle="1" w:styleId="1752">
    <w:name w:val="正文修改42"/>
    <w:basedOn w:val="786"/>
    <w:qFormat/>
    <w:uiPriority w:val="0"/>
    <w:rPr>
      <w:rFonts w:hAnsi="宋体" w:eastAsia="宋体" w:cs="宋体"/>
      <w:szCs w:val="24"/>
    </w:rPr>
  </w:style>
  <w:style w:type="paragraph" w:customStyle="1" w:styleId="1753">
    <w:name w:val="样式 标题 2 + 段后: 0.5 行"/>
    <w:basedOn w:val="3"/>
    <w:qFormat/>
    <w:uiPriority w:val="0"/>
    <w:pPr>
      <w:keepNext w:val="0"/>
      <w:keepLines w:val="0"/>
      <w:numPr>
        <w:ilvl w:val="0"/>
        <w:numId w:val="0"/>
      </w:numPr>
      <w:tabs>
        <w:tab w:val="left" w:pos="630"/>
        <w:tab w:val="left" w:pos="840"/>
        <w:tab w:val="left" w:pos="1287"/>
        <w:tab w:val="left" w:pos="3920"/>
        <w:tab w:val="left" w:pos="5670"/>
      </w:tabs>
      <w:spacing w:before="60" w:after="0" w:line="240" w:lineRule="auto"/>
      <w:ind w:firstLine="567"/>
    </w:pPr>
    <w:rPr>
      <w:bCs w:val="0"/>
      <w:kern w:val="2"/>
      <w:sz w:val="30"/>
    </w:rPr>
  </w:style>
  <w:style w:type="paragraph" w:customStyle="1" w:styleId="1754">
    <w:name w:val="Char Char Char Char Char Char Char101"/>
    <w:basedOn w:val="1"/>
    <w:qFormat/>
    <w:uiPriority w:val="0"/>
    <w:pPr>
      <w:widowControl/>
      <w:jc w:val="left"/>
    </w:pPr>
    <w:rPr>
      <w:rFonts w:ascii="宋体" w:hAnsi="宋体" w:cs="宋体"/>
      <w:kern w:val="0"/>
      <w:szCs w:val="24"/>
    </w:rPr>
  </w:style>
  <w:style w:type="paragraph" w:customStyle="1" w:styleId="1755">
    <w:name w:val="Char137"/>
    <w:basedOn w:val="1"/>
    <w:qFormat/>
    <w:uiPriority w:val="0"/>
    <w:pPr>
      <w:widowControl/>
      <w:ind w:left="-48"/>
      <w:jc w:val="left"/>
    </w:pPr>
    <w:rPr>
      <w:rFonts w:ascii="宋体" w:hAnsi="宋体" w:cs="宋体"/>
      <w:kern w:val="0"/>
      <w:szCs w:val="24"/>
    </w:rPr>
  </w:style>
  <w:style w:type="paragraph" w:customStyle="1" w:styleId="1756">
    <w:name w:val="样式（大表格）"/>
    <w:basedOn w:val="1328"/>
    <w:qFormat/>
    <w:uiPriority w:val="0"/>
    <w:pPr>
      <w:widowControl/>
      <w:ind w:firstLine="0" w:firstLineChars="0"/>
    </w:pPr>
    <w:rPr>
      <w:rFonts w:eastAsia="宋体"/>
      <w:b w:val="0"/>
      <w:color w:val="FF0000"/>
      <w:sz w:val="24"/>
      <w:szCs w:val="24"/>
    </w:rPr>
  </w:style>
  <w:style w:type="paragraph" w:customStyle="1" w:styleId="1757">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PMingLiU"/>
      <w:kern w:val="0"/>
      <w:sz w:val="16"/>
      <w:szCs w:val="16"/>
      <w:lang w:eastAsia="zh-TW"/>
    </w:rPr>
  </w:style>
  <w:style w:type="paragraph" w:customStyle="1" w:styleId="1758">
    <w:name w:val="Char Char Char Char Char Char Char Char Char Char Char1 Char Char Char Char"/>
    <w:basedOn w:val="1"/>
    <w:qFormat/>
    <w:uiPriority w:val="0"/>
    <w:pPr>
      <w:widowControl/>
      <w:jc w:val="left"/>
    </w:pPr>
    <w:rPr>
      <w:rFonts w:ascii="宋体" w:hAnsi="宋体" w:cs="宋体"/>
      <w:kern w:val="0"/>
      <w:szCs w:val="24"/>
    </w:rPr>
  </w:style>
  <w:style w:type="paragraph" w:customStyle="1" w:styleId="1759">
    <w:name w:val="正文格式＝2"/>
    <w:basedOn w:val="418"/>
    <w:next w:val="418"/>
    <w:qFormat/>
    <w:uiPriority w:val="0"/>
    <w:rPr>
      <w:rFonts w:hAnsi="宋体"/>
      <w:szCs w:val="24"/>
    </w:rPr>
  </w:style>
  <w:style w:type="paragraph" w:customStyle="1" w:styleId="1760">
    <w:name w:val="默认段落字体 Para Char Char Char Char7"/>
    <w:basedOn w:val="1"/>
    <w:qFormat/>
    <w:uiPriority w:val="0"/>
    <w:pPr>
      <w:widowControl/>
      <w:jc w:val="left"/>
    </w:pPr>
    <w:rPr>
      <w:rFonts w:ascii="宋体" w:hAnsi="宋体" w:cs="宋体"/>
      <w:kern w:val="0"/>
      <w:szCs w:val="24"/>
    </w:rPr>
  </w:style>
  <w:style w:type="paragraph" w:customStyle="1" w:styleId="1761">
    <w:name w:val="正文格式＝41"/>
    <w:basedOn w:val="418"/>
    <w:next w:val="418"/>
    <w:qFormat/>
    <w:uiPriority w:val="0"/>
    <w:rPr>
      <w:rFonts w:hAnsi="宋体"/>
      <w:szCs w:val="24"/>
    </w:rPr>
  </w:style>
  <w:style w:type="paragraph" w:customStyle="1" w:styleId="1762">
    <w:name w:val="样式121"/>
    <w:basedOn w:val="1586"/>
    <w:qFormat/>
    <w:uiPriority w:val="0"/>
    <w:pPr>
      <w:spacing w:line="240" w:lineRule="auto"/>
      <w:ind w:firstLine="0"/>
      <w:jc w:val="center"/>
    </w:pPr>
    <w:rPr>
      <w:rFonts w:cs="Times New Roman"/>
      <w:b/>
      <w:color w:val="auto"/>
      <w:szCs w:val="20"/>
    </w:rPr>
  </w:style>
  <w:style w:type="paragraph" w:customStyle="1" w:styleId="1763">
    <w:name w:val="正文212"/>
    <w:basedOn w:val="98"/>
    <w:qFormat/>
    <w:uiPriority w:val="0"/>
    <w:pPr>
      <w:adjustRightInd w:val="0"/>
      <w:snapToGrid w:val="0"/>
      <w:spacing w:line="480" w:lineRule="atLeast"/>
      <w:jc w:val="center"/>
    </w:pPr>
    <w:rPr>
      <w:rFonts w:ascii="宋体" w:hAnsi="Times New Roman" w:cs="Times New Roman"/>
      <w:snapToGrid w:val="0"/>
      <w:color w:val="000000"/>
      <w:spacing w:val="6"/>
    </w:rPr>
  </w:style>
  <w:style w:type="paragraph" w:customStyle="1" w:styleId="1764">
    <w:name w:val="默认段落字体 Para Char Char Char Char611"/>
    <w:basedOn w:val="1"/>
    <w:qFormat/>
    <w:uiPriority w:val="0"/>
    <w:pPr>
      <w:widowControl/>
      <w:jc w:val="left"/>
    </w:pPr>
    <w:rPr>
      <w:rFonts w:ascii="宋体" w:hAnsi="宋体" w:cs="宋体"/>
      <w:kern w:val="0"/>
      <w:szCs w:val="24"/>
    </w:rPr>
  </w:style>
  <w:style w:type="paragraph" w:customStyle="1" w:styleId="1765">
    <w:name w:val="font7"/>
    <w:basedOn w:val="1"/>
    <w:qFormat/>
    <w:uiPriority w:val="0"/>
    <w:pPr>
      <w:widowControl/>
      <w:spacing w:before="100" w:beforeAutospacing="1" w:after="100" w:afterAutospacing="1"/>
      <w:jc w:val="left"/>
    </w:pPr>
    <w:rPr>
      <w:rFonts w:eastAsia="PMingLiU"/>
      <w:kern w:val="0"/>
      <w:sz w:val="22"/>
      <w:lang w:eastAsia="zh-TW"/>
    </w:rPr>
  </w:style>
  <w:style w:type="paragraph" w:customStyle="1" w:styleId="1766">
    <w:name w:val="图编号"/>
    <w:basedOn w:val="199"/>
    <w:qFormat/>
    <w:uiPriority w:val="0"/>
    <w:pPr>
      <w:tabs>
        <w:tab w:val="left" w:pos="675"/>
      </w:tabs>
      <w:spacing w:before="300" w:after="300"/>
      <w:ind w:left="675" w:hanging="315"/>
    </w:pPr>
    <w:rPr>
      <w:rFonts w:ascii="Times New Roman" w:hAnsi="Times New Roman" w:cs="宋体"/>
      <w:kern w:val="2"/>
    </w:rPr>
  </w:style>
  <w:style w:type="paragraph" w:customStyle="1" w:styleId="1767">
    <w:name w:val="yz"/>
    <w:basedOn w:val="25"/>
    <w:qFormat/>
    <w:uiPriority w:val="0"/>
    <w:pPr>
      <w:widowControl/>
      <w:tabs>
        <w:tab w:val="left" w:pos="900"/>
      </w:tabs>
      <w:spacing w:line="240" w:lineRule="auto"/>
      <w:jc w:val="left"/>
      <w:textAlignment w:val="baseline"/>
    </w:pPr>
    <w:rPr>
      <w:rFonts w:hint="eastAsia" w:ascii="宋体" w:hAnsi="宋体"/>
      <w:szCs w:val="20"/>
    </w:rPr>
  </w:style>
  <w:style w:type="paragraph" w:customStyle="1" w:styleId="1768">
    <w:name w:val="表内541121"/>
    <w:basedOn w:val="1"/>
    <w:qFormat/>
    <w:uiPriority w:val="0"/>
    <w:pPr>
      <w:widowControl/>
      <w:spacing w:line="300" w:lineRule="auto"/>
      <w:jc w:val="center"/>
    </w:pPr>
    <w:rPr>
      <w:rFonts w:ascii="宋体" w:hAnsi="宋体" w:cs="宋体"/>
      <w:kern w:val="0"/>
      <w:szCs w:val="20"/>
    </w:rPr>
  </w:style>
  <w:style w:type="paragraph" w:customStyle="1" w:styleId="1769">
    <w:name w:val="表中文字9"/>
    <w:basedOn w:val="1"/>
    <w:qFormat/>
    <w:uiPriority w:val="0"/>
    <w:pPr>
      <w:widowControl/>
      <w:spacing w:line="240" w:lineRule="atLeast"/>
      <w:ind w:right="-42" w:rightChars="-20"/>
      <w:jc w:val="center"/>
      <w:textAlignment w:val="baseline"/>
    </w:pPr>
    <w:rPr>
      <w:rFonts w:ascii="宋体" w:hAnsi="宋体" w:cs="宋体"/>
      <w:kern w:val="0"/>
      <w:szCs w:val="21"/>
    </w:rPr>
  </w:style>
  <w:style w:type="paragraph" w:customStyle="1" w:styleId="1770">
    <w:name w:val="表内5中4"/>
    <w:basedOn w:val="1"/>
    <w:qFormat/>
    <w:uiPriority w:val="0"/>
    <w:pPr>
      <w:widowControl/>
      <w:jc w:val="center"/>
    </w:pPr>
    <w:rPr>
      <w:rFonts w:ascii="宋体" w:hAnsi="宋体" w:cs="宋体"/>
      <w:bCs/>
      <w:kern w:val="0"/>
      <w:szCs w:val="20"/>
    </w:rPr>
  </w:style>
  <w:style w:type="paragraph" w:customStyle="1" w:styleId="1771">
    <w:name w:val="图表名称3"/>
    <w:basedOn w:val="482"/>
    <w:qFormat/>
    <w:uiPriority w:val="0"/>
    <w:pPr>
      <w:spacing w:after="0" w:line="480" w:lineRule="exact"/>
      <w:ind w:firstLine="0" w:firstLineChars="0"/>
      <w:jc w:val="center"/>
    </w:pPr>
    <w:rPr>
      <w:rFonts w:ascii="宋体" w:hAnsi="宋体"/>
      <w:bCs/>
      <w:szCs w:val="24"/>
    </w:rPr>
  </w:style>
  <w:style w:type="paragraph" w:customStyle="1" w:styleId="1772">
    <w:name w:val="Char1312"/>
    <w:basedOn w:val="1"/>
    <w:qFormat/>
    <w:uiPriority w:val="0"/>
    <w:pPr>
      <w:widowControl/>
      <w:ind w:left="-48"/>
      <w:jc w:val="left"/>
    </w:pPr>
    <w:rPr>
      <w:rFonts w:ascii="宋体" w:hAnsi="宋体" w:cs="宋体"/>
      <w:kern w:val="0"/>
      <w:szCs w:val="24"/>
    </w:rPr>
  </w:style>
  <w:style w:type="paragraph" w:customStyle="1" w:styleId="1773">
    <w:name w:val="默认段落字体 Para Char Char Char Char Char Char Char Char Char Char"/>
    <w:basedOn w:val="4"/>
    <w:qFormat/>
    <w:uiPriority w:val="0"/>
    <w:pPr>
      <w:tabs>
        <w:tab w:val="left" w:pos="360"/>
        <w:tab w:val="left" w:pos="900"/>
        <w:tab w:val="clear" w:pos="921"/>
      </w:tabs>
      <w:spacing w:before="120" w:after="120"/>
      <w:ind w:left="542" w:leftChars="-12" w:firstLine="200" w:firstLineChars="200"/>
    </w:pPr>
    <w:rPr>
      <w:rFonts w:eastAsia="黑体"/>
      <w:b w:val="0"/>
      <w:bCs w:val="0"/>
      <w:snapToGrid w:val="0"/>
      <w:szCs w:val="24"/>
    </w:rPr>
  </w:style>
  <w:style w:type="paragraph" w:customStyle="1" w:styleId="1774">
    <w:name w:val="表题122"/>
    <w:basedOn w:val="17"/>
    <w:qFormat/>
    <w:uiPriority w:val="0"/>
    <w:pPr>
      <w:widowControl/>
      <w:ind w:firstLine="0" w:firstLineChars="0"/>
      <w:jc w:val="center"/>
    </w:pPr>
    <w:rPr>
      <w:rFonts w:ascii="黑体" w:cs="Arial"/>
      <w:b/>
    </w:rPr>
  </w:style>
  <w:style w:type="paragraph" w:customStyle="1" w:styleId="1775">
    <w:name w:val="正文修改2111"/>
    <w:basedOn w:val="786"/>
    <w:qFormat/>
    <w:uiPriority w:val="0"/>
    <w:rPr>
      <w:rFonts w:hAnsi="宋体" w:eastAsia="宋体" w:cs="宋体"/>
      <w:szCs w:val="24"/>
    </w:rPr>
  </w:style>
  <w:style w:type="paragraph" w:customStyle="1" w:styleId="1776">
    <w:name w:val="样式 环评标题4 + 黑色"/>
    <w:basedOn w:val="1"/>
    <w:semiHidden/>
    <w:qFormat/>
    <w:uiPriority w:val="0"/>
    <w:pPr>
      <w:numPr>
        <w:ilvl w:val="3"/>
        <w:numId w:val="3"/>
      </w:numPr>
      <w:tabs>
        <w:tab w:val="left" w:pos="360"/>
        <w:tab w:val="clear" w:pos="864"/>
      </w:tabs>
      <w:ind w:left="851" w:hanging="851"/>
      <w:outlineLvl w:val="3"/>
    </w:pPr>
    <w:rPr>
      <w:bCs/>
      <w:snapToGrid w:val="0"/>
      <w:spacing w:val="12"/>
      <w:kern w:val="0"/>
      <w:szCs w:val="24"/>
    </w:rPr>
  </w:style>
  <w:style w:type="paragraph" w:customStyle="1" w:styleId="1777">
    <w:name w:val="Char Char Char Char1 Char Char Char22"/>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1778">
    <w:name w:val="Char45"/>
    <w:basedOn w:val="1"/>
    <w:qFormat/>
    <w:uiPriority w:val="0"/>
    <w:pPr>
      <w:widowControl/>
      <w:ind w:left="-48"/>
      <w:jc w:val="left"/>
    </w:pPr>
    <w:rPr>
      <w:rFonts w:ascii="宋体" w:hAnsi="宋体" w:cs="宋体"/>
      <w:kern w:val="0"/>
      <w:szCs w:val="24"/>
    </w:rPr>
  </w:style>
  <w:style w:type="paragraph" w:customStyle="1" w:styleId="1779">
    <w:name w:val="正文.3"/>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1780">
    <w:name w:val="表内宋5中221"/>
    <w:basedOn w:val="1"/>
    <w:qFormat/>
    <w:uiPriority w:val="0"/>
    <w:pPr>
      <w:widowControl/>
      <w:jc w:val="center"/>
      <w:textAlignment w:val="baseline"/>
    </w:pPr>
    <w:rPr>
      <w:rFonts w:ascii="宋体" w:hAnsi="宋体" w:cs="宋体"/>
      <w:kern w:val="0"/>
      <w:szCs w:val="20"/>
    </w:rPr>
  </w:style>
  <w:style w:type="paragraph" w:customStyle="1" w:styleId="1781">
    <w:name w:val="表内55"/>
    <w:basedOn w:val="1"/>
    <w:qFormat/>
    <w:uiPriority w:val="0"/>
    <w:pPr>
      <w:widowControl/>
      <w:spacing w:line="300" w:lineRule="auto"/>
      <w:jc w:val="left"/>
    </w:pPr>
    <w:rPr>
      <w:rFonts w:ascii="宋体" w:hAnsi="宋体" w:cs="宋体"/>
      <w:kern w:val="0"/>
      <w:sz w:val="18"/>
      <w:szCs w:val="20"/>
    </w:rPr>
  </w:style>
  <w:style w:type="paragraph" w:customStyle="1" w:styleId="1782">
    <w:name w:val="表题1121"/>
    <w:basedOn w:val="17"/>
    <w:qFormat/>
    <w:uiPriority w:val="0"/>
    <w:pPr>
      <w:widowControl/>
      <w:ind w:firstLine="0" w:firstLineChars="0"/>
      <w:jc w:val="center"/>
    </w:pPr>
    <w:rPr>
      <w:rFonts w:ascii="黑体" w:cs="Arial"/>
    </w:rPr>
  </w:style>
  <w:style w:type="paragraph" w:customStyle="1" w:styleId="1783">
    <w:name w:val="c3"/>
    <w:basedOn w:val="98"/>
    <w:qFormat/>
    <w:uiPriority w:val="0"/>
    <w:pPr>
      <w:widowControl w:val="0"/>
      <w:autoSpaceDE w:val="0"/>
      <w:autoSpaceDN w:val="0"/>
      <w:adjustRightInd w:val="0"/>
    </w:pPr>
    <w:rPr>
      <w:rFonts w:ascii="Arial" w:hAnsi="Arial" w:cs="Times New Roman"/>
      <w:color w:val="000000"/>
    </w:rPr>
  </w:style>
  <w:style w:type="paragraph" w:customStyle="1" w:styleId="1784">
    <w:name w:val="表格内字体4"/>
    <w:basedOn w:val="418"/>
    <w:next w:val="418"/>
    <w:qFormat/>
    <w:uiPriority w:val="0"/>
    <w:pPr>
      <w:spacing w:line="240" w:lineRule="auto"/>
      <w:ind w:firstLine="0"/>
      <w:jc w:val="center"/>
    </w:pPr>
    <w:rPr>
      <w:rFonts w:hAnsi="宋体"/>
      <w:sz w:val="21"/>
      <w:szCs w:val="24"/>
    </w:rPr>
  </w:style>
  <w:style w:type="paragraph" w:customStyle="1" w:styleId="1785">
    <w:name w:val="表格内字体2111"/>
    <w:basedOn w:val="418"/>
    <w:next w:val="418"/>
    <w:qFormat/>
    <w:uiPriority w:val="0"/>
    <w:pPr>
      <w:spacing w:line="240" w:lineRule="auto"/>
      <w:ind w:firstLine="0"/>
      <w:jc w:val="center"/>
    </w:pPr>
    <w:rPr>
      <w:rFonts w:hAnsi="宋体"/>
      <w:sz w:val="21"/>
      <w:szCs w:val="24"/>
    </w:rPr>
  </w:style>
  <w:style w:type="paragraph" w:customStyle="1" w:styleId="1786">
    <w:name w:val="附件3"/>
    <w:basedOn w:val="2"/>
    <w:next w:val="418"/>
    <w:qFormat/>
    <w:uiPriority w:val="0"/>
    <w:pPr>
      <w:numPr>
        <w:numId w:val="0"/>
      </w:numPr>
      <w:spacing w:after="120"/>
      <w:jc w:val="left"/>
    </w:pPr>
    <w:rPr>
      <w:rFonts w:ascii="黑体" w:eastAsia="黑体"/>
      <w:b w:val="0"/>
      <w:sz w:val="32"/>
      <w:szCs w:val="32"/>
    </w:rPr>
  </w:style>
  <w:style w:type="paragraph" w:customStyle="1" w:styleId="1787">
    <w:name w:val="图题211"/>
    <w:basedOn w:val="418"/>
    <w:next w:val="418"/>
    <w:qFormat/>
    <w:uiPriority w:val="0"/>
    <w:pPr>
      <w:ind w:firstLine="0"/>
      <w:jc w:val="center"/>
    </w:pPr>
    <w:rPr>
      <w:rFonts w:ascii="黑体" w:hAnsi="宋体" w:eastAsia="黑体" w:cs="宋体"/>
      <w:b/>
      <w:bCs/>
      <w:szCs w:val="24"/>
    </w:rPr>
  </w:style>
  <w:style w:type="paragraph" w:customStyle="1" w:styleId="1788">
    <w:name w:val="表内宋5中6"/>
    <w:basedOn w:val="1"/>
    <w:qFormat/>
    <w:uiPriority w:val="0"/>
    <w:pPr>
      <w:widowControl/>
      <w:jc w:val="left"/>
      <w:textAlignment w:val="baseline"/>
    </w:pPr>
    <w:rPr>
      <w:rFonts w:ascii="宋体" w:hAnsi="宋体" w:cs="宋体"/>
      <w:kern w:val="0"/>
      <w:szCs w:val="20"/>
    </w:rPr>
  </w:style>
  <w:style w:type="paragraph" w:customStyle="1" w:styleId="1789">
    <w:name w:val="xl2413"/>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1790">
    <w:name w:val="y表格"/>
    <w:basedOn w:val="25"/>
    <w:qFormat/>
    <w:uiPriority w:val="0"/>
    <w:pPr>
      <w:widowControl/>
      <w:spacing w:line="240" w:lineRule="auto"/>
      <w:jc w:val="center"/>
      <w:textAlignment w:val="baseline"/>
    </w:pPr>
    <w:rPr>
      <w:rFonts w:hint="eastAsia" w:ascii="宋体" w:hAnsi="宋体"/>
      <w:kern w:val="0"/>
      <w:szCs w:val="20"/>
    </w:rPr>
  </w:style>
  <w:style w:type="paragraph" w:customStyle="1" w:styleId="1791">
    <w:name w:val="表内513"/>
    <w:basedOn w:val="1"/>
    <w:qFormat/>
    <w:uiPriority w:val="0"/>
    <w:pPr>
      <w:widowControl/>
      <w:jc w:val="center"/>
    </w:pPr>
    <w:rPr>
      <w:rFonts w:ascii="宋体" w:hAnsi="宋体" w:cs="宋体"/>
      <w:kern w:val="0"/>
      <w:szCs w:val="21"/>
    </w:rPr>
  </w:style>
  <w:style w:type="paragraph" w:customStyle="1" w:styleId="1792">
    <w:name w:val="燕山正文1312"/>
    <w:basedOn w:val="1"/>
    <w:qFormat/>
    <w:uiPriority w:val="0"/>
    <w:pPr>
      <w:widowControl/>
      <w:tabs>
        <w:tab w:val="left" w:pos="4680"/>
      </w:tabs>
      <w:ind w:firstLine="480"/>
      <w:jc w:val="left"/>
    </w:pPr>
    <w:rPr>
      <w:rFonts w:ascii="宋体" w:hAnsi="宋体" w:cs="宋体"/>
      <w:bCs/>
      <w:kern w:val="0"/>
      <w:szCs w:val="24"/>
    </w:rPr>
  </w:style>
  <w:style w:type="paragraph" w:customStyle="1" w:styleId="1793">
    <w:name w:val="Char162"/>
    <w:basedOn w:val="1"/>
    <w:qFormat/>
    <w:uiPriority w:val="0"/>
    <w:pPr>
      <w:widowControl/>
      <w:ind w:left="-48"/>
      <w:jc w:val="left"/>
    </w:pPr>
    <w:rPr>
      <w:rFonts w:ascii="宋体" w:hAnsi="宋体" w:cs="宋体"/>
      <w:kern w:val="0"/>
      <w:szCs w:val="24"/>
    </w:rPr>
  </w:style>
  <w:style w:type="paragraph" w:customStyle="1" w:styleId="1794">
    <w:name w:val="正文格式711"/>
    <w:basedOn w:val="1"/>
    <w:qFormat/>
    <w:uiPriority w:val="0"/>
    <w:pPr>
      <w:widowControl/>
      <w:ind w:firstLine="482"/>
      <w:jc w:val="left"/>
    </w:pPr>
    <w:rPr>
      <w:rFonts w:ascii="宋体" w:hAnsi="宋体" w:cs="宋体"/>
      <w:kern w:val="0"/>
      <w:szCs w:val="24"/>
    </w:rPr>
  </w:style>
  <w:style w:type="paragraph" w:customStyle="1" w:styleId="1795">
    <w:name w:val="KY-附注"/>
    <w:basedOn w:val="1439"/>
    <w:qFormat/>
    <w:uiPriority w:val="0"/>
    <w:pPr>
      <w:ind w:firstLine="0" w:firstLineChars="0"/>
    </w:pPr>
  </w:style>
  <w:style w:type="paragraph" w:customStyle="1" w:styleId="1796">
    <w:name w:val="Char Char Char Char Char Char Char Char Char Char Char1 Char Char Char Char Char Char11"/>
    <w:basedOn w:val="1"/>
    <w:qFormat/>
    <w:uiPriority w:val="0"/>
    <w:pPr>
      <w:widowControl/>
      <w:jc w:val="left"/>
    </w:pPr>
    <w:rPr>
      <w:rFonts w:ascii="宋体" w:hAnsi="宋体" w:cs="宋体"/>
      <w:kern w:val="0"/>
      <w:szCs w:val="24"/>
    </w:rPr>
  </w:style>
  <w:style w:type="paragraph" w:customStyle="1" w:styleId="1797">
    <w:name w:val="标准31"/>
    <w:basedOn w:val="1"/>
    <w:qFormat/>
    <w:uiPriority w:val="0"/>
    <w:pPr>
      <w:widowControl/>
      <w:spacing w:before="120" w:line="336" w:lineRule="auto"/>
      <w:jc w:val="center"/>
      <w:textAlignment w:val="baseline"/>
    </w:pPr>
    <w:rPr>
      <w:rFonts w:ascii="黑体" w:hAnsi="宋体" w:eastAsia="黑体" w:cs="宋体"/>
      <w:kern w:val="0"/>
      <w:szCs w:val="20"/>
    </w:rPr>
  </w:style>
  <w:style w:type="paragraph" w:customStyle="1" w:styleId="1798">
    <w:name w:val="燕山正文114"/>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1799">
    <w:name w:val="表内宋5中122"/>
    <w:basedOn w:val="1"/>
    <w:qFormat/>
    <w:uiPriority w:val="0"/>
    <w:pPr>
      <w:widowControl/>
      <w:jc w:val="center"/>
      <w:textAlignment w:val="baseline"/>
    </w:pPr>
    <w:rPr>
      <w:rFonts w:ascii="宋体" w:hAnsi="宋体" w:cs="宋体"/>
      <w:kern w:val="0"/>
      <w:szCs w:val="20"/>
    </w:rPr>
  </w:style>
  <w:style w:type="paragraph" w:customStyle="1" w:styleId="1800">
    <w:name w:val="Char41"/>
    <w:basedOn w:val="1"/>
    <w:qFormat/>
    <w:uiPriority w:val="0"/>
    <w:pPr>
      <w:widowControl/>
      <w:ind w:left="-48"/>
      <w:jc w:val="left"/>
    </w:pPr>
    <w:rPr>
      <w:rFonts w:ascii="宋体" w:hAnsi="宋体" w:cs="宋体"/>
      <w:kern w:val="0"/>
      <w:szCs w:val="24"/>
    </w:rPr>
  </w:style>
  <w:style w:type="paragraph" w:customStyle="1" w:styleId="1801">
    <w:name w:val="_Style 175"/>
    <w:basedOn w:val="1"/>
    <w:next w:val="1619"/>
    <w:qFormat/>
    <w:uiPriority w:val="99"/>
    <w:pPr>
      <w:adjustRightInd/>
      <w:snapToGrid/>
      <w:spacing w:line="240" w:lineRule="auto"/>
      <w:ind w:firstLine="420"/>
    </w:pPr>
    <w:rPr>
      <w:color w:val="auto"/>
      <w:sz w:val="21"/>
      <w:szCs w:val="24"/>
    </w:rPr>
  </w:style>
  <w:style w:type="paragraph" w:customStyle="1" w:styleId="1802">
    <w:name w:val="默认段落字体 Para Char"/>
    <w:basedOn w:val="1"/>
    <w:next w:val="1"/>
    <w:qFormat/>
    <w:uiPriority w:val="0"/>
    <w:pPr>
      <w:keepNext/>
      <w:keepLines/>
      <w:widowControl/>
      <w:spacing w:before="360" w:after="480"/>
      <w:jc w:val="left"/>
      <w:textAlignment w:val="baseline"/>
      <w:outlineLvl w:val="3"/>
    </w:pPr>
    <w:rPr>
      <w:bCs/>
      <w:kern w:val="0"/>
      <w:szCs w:val="24"/>
    </w:rPr>
  </w:style>
  <w:style w:type="paragraph" w:customStyle="1" w:styleId="1803">
    <w:name w:val="表内5331"/>
    <w:basedOn w:val="1"/>
    <w:qFormat/>
    <w:uiPriority w:val="0"/>
    <w:pPr>
      <w:widowControl/>
      <w:spacing w:line="300" w:lineRule="auto"/>
      <w:jc w:val="left"/>
    </w:pPr>
    <w:rPr>
      <w:rFonts w:ascii="宋体" w:hAnsi="宋体" w:cs="宋体"/>
      <w:kern w:val="0"/>
      <w:szCs w:val="20"/>
    </w:rPr>
  </w:style>
  <w:style w:type="paragraph" w:customStyle="1" w:styleId="1804">
    <w:name w:val="Char320"/>
    <w:basedOn w:val="1"/>
    <w:qFormat/>
    <w:uiPriority w:val="0"/>
    <w:pPr>
      <w:widowControl/>
      <w:ind w:left="-48"/>
      <w:jc w:val="left"/>
    </w:pPr>
    <w:rPr>
      <w:rFonts w:ascii="宋体" w:hAnsi="宋体" w:cs="宋体"/>
      <w:kern w:val="0"/>
      <w:szCs w:val="24"/>
    </w:rPr>
  </w:style>
  <w:style w:type="paragraph" w:customStyle="1" w:styleId="1805">
    <w:name w:val="表文字542"/>
    <w:basedOn w:val="1"/>
    <w:qFormat/>
    <w:uiPriority w:val="0"/>
    <w:pPr>
      <w:widowControl/>
      <w:jc w:val="left"/>
      <w:textAlignment w:val="baseline"/>
    </w:pPr>
    <w:rPr>
      <w:rFonts w:ascii="宋体" w:hAnsi="宋体" w:cs="宋体"/>
      <w:kern w:val="0"/>
      <w:szCs w:val="20"/>
    </w:rPr>
  </w:style>
  <w:style w:type="paragraph" w:customStyle="1" w:styleId="1806">
    <w:name w:val="Char424"/>
    <w:basedOn w:val="1"/>
    <w:qFormat/>
    <w:uiPriority w:val="0"/>
    <w:pPr>
      <w:widowControl/>
      <w:ind w:left="-48"/>
      <w:jc w:val="left"/>
    </w:pPr>
    <w:rPr>
      <w:rFonts w:ascii="宋体" w:hAnsi="宋体" w:cs="宋体"/>
      <w:kern w:val="0"/>
      <w:szCs w:val="24"/>
    </w:rPr>
  </w:style>
  <w:style w:type="paragraph" w:customStyle="1" w:styleId="1807">
    <w:name w:val="表内531"/>
    <w:basedOn w:val="1"/>
    <w:qFormat/>
    <w:uiPriority w:val="0"/>
    <w:pPr>
      <w:widowControl/>
      <w:spacing w:line="300" w:lineRule="auto"/>
      <w:jc w:val="left"/>
    </w:pPr>
    <w:rPr>
      <w:rFonts w:ascii="宋体" w:hAnsi="宋体" w:cs="宋体"/>
      <w:kern w:val="0"/>
      <w:szCs w:val="20"/>
    </w:rPr>
  </w:style>
  <w:style w:type="paragraph" w:customStyle="1" w:styleId="1808">
    <w:name w:val="text2"/>
    <w:basedOn w:val="1"/>
    <w:qFormat/>
    <w:uiPriority w:val="0"/>
    <w:pPr>
      <w:widowControl/>
      <w:spacing w:before="100" w:beforeAutospacing="1" w:after="100" w:afterAutospacing="1"/>
      <w:jc w:val="left"/>
    </w:pPr>
    <w:rPr>
      <w:rFonts w:ascii="宋体" w:hAnsi="宋体" w:cs="宋体"/>
      <w:color w:val="666666"/>
      <w:kern w:val="0"/>
      <w:szCs w:val="24"/>
    </w:rPr>
  </w:style>
  <w:style w:type="paragraph" w:customStyle="1" w:styleId="1809">
    <w:name w:val="文本框4"/>
    <w:basedOn w:val="1"/>
    <w:qFormat/>
    <w:uiPriority w:val="0"/>
    <w:pPr>
      <w:widowControl/>
      <w:spacing w:after="6"/>
      <w:jc w:val="center"/>
    </w:pPr>
    <w:rPr>
      <w:rFonts w:ascii="宋体" w:hAnsi="宋体" w:cs="宋体"/>
      <w:kern w:val="0"/>
      <w:szCs w:val="24"/>
    </w:rPr>
  </w:style>
  <w:style w:type="paragraph" w:customStyle="1" w:styleId="1810">
    <w:name w:val="Fax Header2"/>
    <w:basedOn w:val="1"/>
    <w:qFormat/>
    <w:uiPriority w:val="0"/>
    <w:pPr>
      <w:widowControl/>
      <w:spacing w:before="240" w:after="60"/>
      <w:jc w:val="left"/>
    </w:pPr>
    <w:rPr>
      <w:rFonts w:ascii="宋体" w:hAnsi="宋体" w:cs="宋体"/>
      <w:kern w:val="0"/>
      <w:sz w:val="20"/>
      <w:szCs w:val="20"/>
    </w:rPr>
  </w:style>
  <w:style w:type="paragraph" w:customStyle="1" w:styleId="1811">
    <w:name w:val="表格内字体41"/>
    <w:basedOn w:val="418"/>
    <w:next w:val="418"/>
    <w:qFormat/>
    <w:uiPriority w:val="0"/>
    <w:pPr>
      <w:spacing w:line="240" w:lineRule="auto"/>
      <w:ind w:firstLine="0"/>
      <w:jc w:val="center"/>
    </w:pPr>
    <w:rPr>
      <w:rFonts w:hAnsi="宋体"/>
      <w:sz w:val="21"/>
      <w:szCs w:val="24"/>
    </w:rPr>
  </w:style>
  <w:style w:type="paragraph" w:customStyle="1" w:styleId="1812">
    <w:name w:val="表文字53"/>
    <w:basedOn w:val="1"/>
    <w:qFormat/>
    <w:uiPriority w:val="0"/>
    <w:pPr>
      <w:widowControl/>
      <w:jc w:val="left"/>
      <w:textAlignment w:val="baseline"/>
    </w:pPr>
    <w:rPr>
      <w:rFonts w:ascii="宋体" w:hAnsi="宋体" w:cs="宋体"/>
      <w:kern w:val="0"/>
      <w:szCs w:val="20"/>
    </w:rPr>
  </w:style>
  <w:style w:type="paragraph" w:customStyle="1" w:styleId="1813">
    <w:name w:val="Char Char Char Char1 Char Char Char18"/>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1814">
    <w:name w:val="表格内字体221"/>
    <w:basedOn w:val="418"/>
    <w:next w:val="418"/>
    <w:qFormat/>
    <w:uiPriority w:val="0"/>
    <w:pPr>
      <w:spacing w:line="240" w:lineRule="auto"/>
      <w:ind w:firstLine="0"/>
      <w:jc w:val="center"/>
    </w:pPr>
    <w:rPr>
      <w:rFonts w:hAnsi="宋体"/>
      <w:sz w:val="21"/>
      <w:szCs w:val="24"/>
    </w:rPr>
  </w:style>
  <w:style w:type="paragraph" w:customStyle="1" w:styleId="1815">
    <w:name w:val="表内541131"/>
    <w:basedOn w:val="1"/>
    <w:qFormat/>
    <w:uiPriority w:val="0"/>
    <w:pPr>
      <w:widowControl/>
      <w:spacing w:line="300" w:lineRule="auto"/>
      <w:jc w:val="center"/>
    </w:pPr>
    <w:rPr>
      <w:rFonts w:ascii="宋体" w:hAnsi="宋体" w:cs="宋体"/>
      <w:kern w:val="0"/>
      <w:szCs w:val="20"/>
    </w:rPr>
  </w:style>
  <w:style w:type="paragraph" w:customStyle="1" w:styleId="1816">
    <w:name w:val="3级标题"/>
    <w:basedOn w:val="1"/>
    <w:qFormat/>
    <w:uiPriority w:val="0"/>
    <w:pPr>
      <w:spacing w:before="300" w:line="460" w:lineRule="exact"/>
      <w:outlineLvl w:val="2"/>
    </w:pPr>
    <w:rPr>
      <w:rFonts w:ascii="Times New Roman" w:hAnsi="Times New Roman"/>
      <w:b/>
      <w:kern w:val="0"/>
      <w:szCs w:val="24"/>
    </w:rPr>
  </w:style>
  <w:style w:type="paragraph" w:customStyle="1" w:styleId="1817">
    <w:name w:val="6"/>
    <w:basedOn w:val="1"/>
    <w:next w:val="26"/>
    <w:qFormat/>
    <w:uiPriority w:val="0"/>
    <w:pPr>
      <w:spacing w:line="300" w:lineRule="auto"/>
      <w:ind w:firstLine="480"/>
    </w:pPr>
    <w:rPr>
      <w:szCs w:val="24"/>
    </w:rPr>
  </w:style>
  <w:style w:type="paragraph" w:customStyle="1" w:styleId="1818">
    <w:name w:val="Fax Header3"/>
    <w:basedOn w:val="1"/>
    <w:qFormat/>
    <w:uiPriority w:val="0"/>
    <w:pPr>
      <w:widowControl/>
      <w:spacing w:before="240" w:after="60"/>
      <w:jc w:val="left"/>
    </w:pPr>
    <w:rPr>
      <w:rFonts w:ascii="宋体" w:hAnsi="宋体" w:cs="宋体"/>
      <w:kern w:val="0"/>
      <w:sz w:val="20"/>
      <w:szCs w:val="20"/>
    </w:rPr>
  </w:style>
  <w:style w:type="paragraph" w:customStyle="1" w:styleId="1819">
    <w:name w:val="文本框14"/>
    <w:basedOn w:val="1"/>
    <w:qFormat/>
    <w:uiPriority w:val="0"/>
    <w:pPr>
      <w:widowControl/>
      <w:spacing w:after="6"/>
      <w:jc w:val="center"/>
    </w:pPr>
    <w:rPr>
      <w:rFonts w:ascii="宋体" w:hAnsi="宋体" w:cs="宋体"/>
      <w:kern w:val="0"/>
      <w:szCs w:val="24"/>
    </w:rPr>
  </w:style>
  <w:style w:type="paragraph" w:customStyle="1" w:styleId="1820">
    <w:name w:val="表内文字小31321"/>
    <w:basedOn w:val="1"/>
    <w:qFormat/>
    <w:uiPriority w:val="0"/>
    <w:pPr>
      <w:widowControl/>
      <w:jc w:val="center"/>
    </w:pPr>
    <w:rPr>
      <w:rFonts w:ascii="宋体" w:hAnsi="Times" w:cs="宋体"/>
      <w:bCs/>
      <w:color w:val="003366"/>
      <w:kern w:val="0"/>
      <w:szCs w:val="20"/>
    </w:rPr>
  </w:style>
  <w:style w:type="paragraph" w:customStyle="1" w:styleId="1821">
    <w:name w:val="样式211"/>
    <w:basedOn w:val="1"/>
    <w:qFormat/>
    <w:uiPriority w:val="0"/>
    <w:pPr>
      <w:widowControl/>
      <w:jc w:val="center"/>
      <w:textAlignment w:val="baseline"/>
      <w:outlineLvl w:val="0"/>
    </w:pPr>
    <w:rPr>
      <w:rFonts w:ascii="宋体" w:hAnsi="宋体" w:cs="宋体"/>
      <w:kern w:val="0"/>
      <w:szCs w:val="20"/>
    </w:rPr>
  </w:style>
  <w:style w:type="paragraph" w:customStyle="1" w:styleId="1822">
    <w:name w:val="表格内字体223"/>
    <w:basedOn w:val="418"/>
    <w:next w:val="418"/>
    <w:qFormat/>
    <w:uiPriority w:val="0"/>
    <w:pPr>
      <w:spacing w:line="240" w:lineRule="auto"/>
      <w:ind w:firstLine="0"/>
      <w:jc w:val="center"/>
    </w:pPr>
    <w:rPr>
      <w:rFonts w:hAnsi="宋体"/>
      <w:sz w:val="21"/>
      <w:szCs w:val="24"/>
    </w:rPr>
  </w:style>
  <w:style w:type="paragraph" w:customStyle="1" w:styleId="1823">
    <w:name w:val="Char3211"/>
    <w:basedOn w:val="1"/>
    <w:qFormat/>
    <w:uiPriority w:val="0"/>
    <w:pPr>
      <w:widowControl/>
      <w:ind w:left="-48"/>
      <w:jc w:val="left"/>
    </w:pPr>
    <w:rPr>
      <w:rFonts w:ascii="宋体" w:hAnsi="宋体" w:cs="宋体"/>
      <w:kern w:val="0"/>
      <w:szCs w:val="24"/>
    </w:rPr>
  </w:style>
  <w:style w:type="paragraph" w:customStyle="1" w:styleId="1824">
    <w:name w:val="正文文本2"/>
    <w:basedOn w:val="1"/>
    <w:qFormat/>
    <w:uiPriority w:val="0"/>
    <w:pPr>
      <w:widowControl/>
      <w:spacing w:after="120"/>
      <w:jc w:val="left"/>
    </w:pPr>
    <w:rPr>
      <w:rFonts w:hint="eastAsia" w:ascii="宋体" w:hAnsi="宋体" w:cs="宋体"/>
      <w:kern w:val="0"/>
      <w:szCs w:val="20"/>
    </w:rPr>
  </w:style>
  <w:style w:type="paragraph" w:customStyle="1" w:styleId="1825">
    <w:name w:val="表内宋5中2111"/>
    <w:basedOn w:val="1"/>
    <w:qFormat/>
    <w:uiPriority w:val="0"/>
    <w:pPr>
      <w:widowControl/>
      <w:jc w:val="center"/>
      <w:textAlignment w:val="baseline"/>
    </w:pPr>
    <w:rPr>
      <w:rFonts w:ascii="宋体" w:hAnsi="宋体" w:cs="宋体"/>
      <w:kern w:val="0"/>
      <w:szCs w:val="20"/>
    </w:rPr>
  </w:style>
  <w:style w:type="paragraph" w:customStyle="1" w:styleId="1826">
    <w:name w:val="附件112"/>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1827">
    <w:name w:val="Char Char Char Char Char Char Char19"/>
    <w:basedOn w:val="1"/>
    <w:qFormat/>
    <w:uiPriority w:val="0"/>
    <w:pPr>
      <w:widowControl/>
      <w:jc w:val="left"/>
    </w:pPr>
    <w:rPr>
      <w:rFonts w:ascii="宋体" w:hAnsi="宋体" w:cs="宋体"/>
      <w:kern w:val="0"/>
      <w:szCs w:val="24"/>
    </w:rPr>
  </w:style>
  <w:style w:type="paragraph" w:customStyle="1" w:styleId="1828">
    <w:name w:val="样式413"/>
    <w:basedOn w:val="25"/>
    <w:qFormat/>
    <w:uiPriority w:val="0"/>
    <w:pPr>
      <w:widowControl/>
      <w:tabs>
        <w:tab w:val="left" w:pos="1820"/>
      </w:tabs>
      <w:spacing w:line="240" w:lineRule="atLeast"/>
      <w:jc w:val="center"/>
    </w:pPr>
    <w:rPr>
      <w:rFonts w:eastAsia="幼圆"/>
      <w:kern w:val="0"/>
      <w:sz w:val="21"/>
      <w:szCs w:val="20"/>
    </w:rPr>
  </w:style>
  <w:style w:type="paragraph" w:customStyle="1" w:styleId="1829">
    <w:name w:val="表内541421"/>
    <w:basedOn w:val="1"/>
    <w:qFormat/>
    <w:uiPriority w:val="0"/>
    <w:pPr>
      <w:widowControl/>
      <w:spacing w:line="300" w:lineRule="auto"/>
      <w:jc w:val="center"/>
    </w:pPr>
    <w:rPr>
      <w:rFonts w:ascii="宋体" w:hAnsi="宋体" w:cs="宋体"/>
      <w:kern w:val="0"/>
      <w:szCs w:val="20"/>
    </w:rPr>
  </w:style>
  <w:style w:type="paragraph" w:customStyle="1" w:styleId="1830">
    <w:name w:val="表内宋5115"/>
    <w:basedOn w:val="734"/>
    <w:qFormat/>
    <w:uiPriority w:val="0"/>
    <w:rPr>
      <w:szCs w:val="24"/>
    </w:rPr>
  </w:style>
  <w:style w:type="paragraph" w:customStyle="1" w:styleId="1831">
    <w:name w:val="表格内字体111"/>
    <w:basedOn w:val="418"/>
    <w:qFormat/>
    <w:uiPriority w:val="0"/>
    <w:pPr>
      <w:spacing w:line="240" w:lineRule="auto"/>
      <w:ind w:firstLine="0"/>
      <w:jc w:val="center"/>
    </w:pPr>
    <w:rPr>
      <w:rFonts w:hAnsi="Times New Roman" w:cs="宋体"/>
      <w:sz w:val="21"/>
      <w:szCs w:val="20"/>
    </w:rPr>
  </w:style>
  <w:style w:type="paragraph" w:customStyle="1" w:styleId="1832">
    <w:name w:val="标题1"/>
    <w:basedOn w:val="1"/>
    <w:next w:val="1"/>
    <w:qFormat/>
    <w:uiPriority w:val="0"/>
    <w:pPr>
      <w:tabs>
        <w:tab w:val="left" w:pos="9193"/>
        <w:tab w:val="left" w:pos="9827"/>
      </w:tabs>
      <w:autoSpaceDE w:val="0"/>
      <w:autoSpaceDN w:val="0"/>
      <w:spacing w:line="640" w:lineRule="atLeast"/>
      <w:jc w:val="center"/>
    </w:pPr>
    <w:rPr>
      <w:rFonts w:eastAsia="方正小标宋_GBK"/>
      <w:snapToGrid w:val="0"/>
      <w:kern w:val="0"/>
      <w:sz w:val="44"/>
      <w:szCs w:val="20"/>
    </w:rPr>
  </w:style>
  <w:style w:type="paragraph" w:customStyle="1" w:styleId="1833">
    <w:name w:val="c21"/>
    <w:basedOn w:val="98"/>
    <w:qFormat/>
    <w:uiPriority w:val="0"/>
    <w:pPr>
      <w:widowControl w:val="0"/>
      <w:autoSpaceDE w:val="0"/>
      <w:autoSpaceDN w:val="0"/>
      <w:adjustRightInd w:val="0"/>
    </w:pPr>
    <w:rPr>
      <w:rFonts w:ascii="Arial" w:hAnsi="Arial" w:cs="Times New Roman"/>
      <w:color w:val="000000"/>
    </w:rPr>
  </w:style>
  <w:style w:type="paragraph" w:customStyle="1" w:styleId="1834">
    <w:name w:val="Char221"/>
    <w:basedOn w:val="1"/>
    <w:qFormat/>
    <w:uiPriority w:val="0"/>
    <w:pPr>
      <w:widowControl/>
      <w:spacing w:before="156"/>
      <w:jc w:val="left"/>
    </w:pPr>
    <w:rPr>
      <w:rFonts w:ascii="黑体" w:hAnsi="宋体" w:eastAsia="黑体" w:cs="宋体"/>
      <w:kern w:val="0"/>
      <w:sz w:val="32"/>
      <w:szCs w:val="32"/>
    </w:rPr>
  </w:style>
  <w:style w:type="paragraph" w:customStyle="1" w:styleId="1835">
    <w:name w:val="Char Char Char Char Char Char Char119"/>
    <w:basedOn w:val="1"/>
    <w:qFormat/>
    <w:uiPriority w:val="0"/>
    <w:pPr>
      <w:widowControl/>
      <w:jc w:val="left"/>
    </w:pPr>
    <w:rPr>
      <w:rFonts w:ascii="宋体" w:hAnsi="宋体" w:cs="宋体"/>
      <w:kern w:val="0"/>
      <w:szCs w:val="24"/>
    </w:rPr>
  </w:style>
  <w:style w:type="paragraph" w:customStyle="1" w:styleId="1836">
    <w:name w:val="正文文本 31"/>
    <w:basedOn w:val="1"/>
    <w:qFormat/>
    <w:uiPriority w:val="0"/>
    <w:pPr>
      <w:widowControl/>
      <w:jc w:val="left"/>
    </w:pPr>
    <w:rPr>
      <w:szCs w:val="24"/>
    </w:rPr>
  </w:style>
  <w:style w:type="paragraph" w:customStyle="1" w:styleId="1837">
    <w:name w:val="表中文字23"/>
    <w:basedOn w:val="1"/>
    <w:qFormat/>
    <w:uiPriority w:val="0"/>
    <w:pPr>
      <w:widowControl/>
      <w:spacing w:line="240" w:lineRule="atLeast"/>
      <w:ind w:right="-42" w:rightChars="-20"/>
      <w:jc w:val="center"/>
      <w:textAlignment w:val="baseline"/>
    </w:pPr>
    <w:rPr>
      <w:rFonts w:ascii="宋体" w:hAnsi="宋体" w:cs="宋体"/>
      <w:kern w:val="0"/>
      <w:szCs w:val="21"/>
    </w:rPr>
  </w:style>
  <w:style w:type="paragraph" w:customStyle="1" w:styleId="1838">
    <w:name w:val="正文斜体31"/>
    <w:basedOn w:val="418"/>
    <w:next w:val="418"/>
    <w:qFormat/>
    <w:uiPriority w:val="0"/>
    <w:rPr>
      <w:rFonts w:hAnsi="宋体"/>
      <w:i/>
      <w:iCs/>
      <w:szCs w:val="24"/>
    </w:rPr>
  </w:style>
  <w:style w:type="paragraph" w:customStyle="1" w:styleId="1839">
    <w:name w:val="样式 (中文) 黑体 五号 加粗 居中 行距: 单倍行距"/>
    <w:basedOn w:val="1"/>
    <w:qFormat/>
    <w:uiPriority w:val="0"/>
    <w:pPr>
      <w:jc w:val="center"/>
    </w:pPr>
    <w:rPr>
      <w:rFonts w:eastAsia="黑体" w:cs="宋体"/>
      <w:b/>
      <w:bCs/>
      <w:szCs w:val="20"/>
    </w:rPr>
  </w:style>
  <w:style w:type="paragraph" w:customStyle="1" w:styleId="1840">
    <w:name w:val="表3"/>
    <w:basedOn w:val="1"/>
    <w:qFormat/>
    <w:uiPriority w:val="0"/>
    <w:pPr>
      <w:widowControl/>
      <w:jc w:val="center"/>
    </w:pPr>
    <w:rPr>
      <w:rFonts w:ascii="宋体" w:hAnsi="宋体" w:cs="宋体"/>
      <w:kern w:val="0"/>
      <w:szCs w:val="24"/>
    </w:rPr>
  </w:style>
  <w:style w:type="paragraph" w:customStyle="1" w:styleId="1841">
    <w:name w:val="Char731"/>
    <w:basedOn w:val="1"/>
    <w:qFormat/>
    <w:uiPriority w:val="0"/>
    <w:pPr>
      <w:widowControl/>
      <w:ind w:left="-48"/>
      <w:jc w:val="left"/>
    </w:pPr>
    <w:rPr>
      <w:rFonts w:ascii="宋体" w:hAnsi="宋体" w:cs="宋体"/>
      <w:kern w:val="0"/>
      <w:szCs w:val="24"/>
    </w:rPr>
  </w:style>
  <w:style w:type="paragraph" w:customStyle="1" w:styleId="1842">
    <w:name w:val="表内5中412"/>
    <w:basedOn w:val="1"/>
    <w:qFormat/>
    <w:uiPriority w:val="0"/>
    <w:pPr>
      <w:widowControl/>
      <w:jc w:val="center"/>
    </w:pPr>
    <w:rPr>
      <w:rFonts w:ascii="宋体" w:hAnsi="宋体" w:cs="宋体"/>
      <w:bCs/>
      <w:kern w:val="0"/>
      <w:szCs w:val="20"/>
    </w:rPr>
  </w:style>
  <w:style w:type="paragraph" w:customStyle="1" w:styleId="1843">
    <w:name w:val="正文221"/>
    <w:basedOn w:val="98"/>
    <w:qFormat/>
    <w:uiPriority w:val="0"/>
    <w:pPr>
      <w:adjustRightInd w:val="0"/>
      <w:snapToGrid w:val="0"/>
      <w:spacing w:line="480" w:lineRule="atLeast"/>
      <w:jc w:val="center"/>
    </w:pPr>
    <w:rPr>
      <w:rFonts w:ascii="宋体" w:hAnsi="Times New Roman" w:cs="Times New Roman"/>
      <w:snapToGrid w:val="0"/>
      <w:color w:val="000000"/>
      <w:spacing w:val="6"/>
    </w:rPr>
  </w:style>
  <w:style w:type="paragraph" w:customStyle="1" w:styleId="1844">
    <w:name w:val="标题4311"/>
    <w:basedOn w:val="1"/>
    <w:qFormat/>
    <w:uiPriority w:val="0"/>
    <w:pPr>
      <w:widowControl/>
      <w:spacing w:line="480" w:lineRule="exact"/>
      <w:jc w:val="center"/>
    </w:pPr>
    <w:rPr>
      <w:rFonts w:ascii="宋体" w:hAnsi="宋体" w:cs="宋体"/>
      <w:kern w:val="0"/>
      <w:szCs w:val="24"/>
    </w:rPr>
  </w:style>
  <w:style w:type="paragraph" w:customStyle="1" w:styleId="1845">
    <w:name w:val="Char64"/>
    <w:basedOn w:val="1"/>
    <w:qFormat/>
    <w:uiPriority w:val="0"/>
    <w:pPr>
      <w:widowControl/>
      <w:spacing w:before="156"/>
      <w:jc w:val="left"/>
    </w:pPr>
    <w:rPr>
      <w:rFonts w:ascii="黑体" w:hAnsi="宋体" w:eastAsia="黑体" w:cs="宋体"/>
      <w:kern w:val="0"/>
      <w:sz w:val="32"/>
      <w:szCs w:val="32"/>
    </w:rPr>
  </w:style>
  <w:style w:type="paragraph" w:customStyle="1" w:styleId="1846">
    <w:name w:val="Char Char Char Char1 Char Char Char9"/>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1847">
    <w:name w:val="Char Char Char Char Char Char Char115"/>
    <w:basedOn w:val="1"/>
    <w:qFormat/>
    <w:uiPriority w:val="0"/>
    <w:pPr>
      <w:widowControl/>
      <w:jc w:val="left"/>
    </w:pPr>
    <w:rPr>
      <w:rFonts w:ascii="宋体" w:hAnsi="宋体" w:cs="宋体"/>
      <w:kern w:val="0"/>
      <w:szCs w:val="24"/>
    </w:rPr>
  </w:style>
  <w:style w:type="paragraph" w:customStyle="1" w:styleId="1848">
    <w:name w:val="图题41"/>
    <w:basedOn w:val="418"/>
    <w:next w:val="418"/>
    <w:qFormat/>
    <w:uiPriority w:val="0"/>
    <w:pPr>
      <w:ind w:firstLine="0"/>
      <w:jc w:val="center"/>
    </w:pPr>
    <w:rPr>
      <w:rFonts w:ascii="黑体" w:hAnsi="宋体" w:eastAsia="黑体" w:cs="宋体"/>
      <w:b/>
      <w:bCs/>
      <w:szCs w:val="24"/>
    </w:rPr>
  </w:style>
  <w:style w:type="paragraph" w:customStyle="1" w:styleId="1849">
    <w:name w:val="表内5913"/>
    <w:basedOn w:val="1"/>
    <w:qFormat/>
    <w:uiPriority w:val="0"/>
    <w:pPr>
      <w:widowControl/>
      <w:spacing w:line="300" w:lineRule="auto"/>
      <w:jc w:val="center"/>
    </w:pPr>
    <w:rPr>
      <w:rFonts w:ascii="宋体" w:hAnsi="宋体" w:cs="宋体"/>
      <w:snapToGrid w:val="0"/>
      <w:kern w:val="0"/>
      <w:szCs w:val="21"/>
    </w:rPr>
  </w:style>
  <w:style w:type="paragraph" w:customStyle="1" w:styleId="1850">
    <w:name w:val="项目名称"/>
    <w:basedOn w:val="1"/>
    <w:next w:val="1"/>
    <w:qFormat/>
    <w:uiPriority w:val="0"/>
    <w:pPr>
      <w:widowControl/>
      <w:spacing w:line="800" w:lineRule="atLeast"/>
      <w:jc w:val="center"/>
      <w:outlineLvl w:val="0"/>
    </w:pPr>
    <w:rPr>
      <w:rFonts w:ascii="黑体" w:hAnsi="宋体" w:eastAsia="黑体" w:cs="宋体"/>
      <w:kern w:val="0"/>
      <w:sz w:val="52"/>
      <w:szCs w:val="52"/>
    </w:rPr>
  </w:style>
  <w:style w:type="paragraph" w:customStyle="1" w:styleId="1851">
    <w:name w:val="封面标准文稿编辑信息3"/>
    <w:basedOn w:val="98"/>
    <w:qFormat/>
    <w:uiPriority w:val="0"/>
    <w:pPr>
      <w:spacing w:before="180" w:line="180" w:lineRule="exact"/>
      <w:jc w:val="center"/>
    </w:pPr>
    <w:rPr>
      <w:rFonts w:ascii="宋体" w:hAnsi="Times New Roman" w:cs="Times New Roman"/>
      <w:color w:val="000000"/>
    </w:rPr>
  </w:style>
  <w:style w:type="paragraph" w:customStyle="1" w:styleId="1852">
    <w:name w:val="默认段落字体 Para Char Char Char Char8"/>
    <w:basedOn w:val="1"/>
    <w:qFormat/>
    <w:uiPriority w:val="0"/>
    <w:pPr>
      <w:widowControl/>
      <w:jc w:val="left"/>
    </w:pPr>
    <w:rPr>
      <w:rFonts w:ascii="宋体" w:hAnsi="宋体" w:cs="宋体"/>
      <w:kern w:val="0"/>
      <w:szCs w:val="24"/>
    </w:rPr>
  </w:style>
  <w:style w:type="paragraph" w:customStyle="1" w:styleId="1853">
    <w:name w:val="正文格式61"/>
    <w:basedOn w:val="1"/>
    <w:qFormat/>
    <w:uiPriority w:val="0"/>
    <w:pPr>
      <w:widowControl/>
      <w:ind w:firstLine="482"/>
      <w:jc w:val="left"/>
    </w:pPr>
    <w:rPr>
      <w:rFonts w:ascii="宋体" w:hAnsi="宋体" w:cs="宋体"/>
      <w:kern w:val="0"/>
      <w:szCs w:val="24"/>
    </w:rPr>
  </w:style>
  <w:style w:type="paragraph" w:customStyle="1" w:styleId="1854">
    <w:name w:val="图题213"/>
    <w:basedOn w:val="418"/>
    <w:next w:val="418"/>
    <w:qFormat/>
    <w:uiPriority w:val="0"/>
    <w:pPr>
      <w:ind w:firstLine="0"/>
      <w:jc w:val="center"/>
    </w:pPr>
    <w:rPr>
      <w:rFonts w:ascii="黑体" w:hAnsi="宋体" w:eastAsia="黑体" w:cs="宋体"/>
      <w:b/>
      <w:bCs/>
      <w:szCs w:val="24"/>
    </w:rPr>
  </w:style>
  <w:style w:type="paragraph" w:customStyle="1" w:styleId="1855">
    <w:name w:val="Char60"/>
    <w:basedOn w:val="1"/>
    <w:qFormat/>
    <w:uiPriority w:val="0"/>
    <w:pPr>
      <w:widowControl/>
      <w:ind w:left="-48"/>
      <w:jc w:val="left"/>
    </w:pPr>
    <w:rPr>
      <w:rFonts w:ascii="宋体" w:hAnsi="宋体" w:cs="宋体"/>
      <w:kern w:val="0"/>
      <w:szCs w:val="24"/>
    </w:rPr>
  </w:style>
  <w:style w:type="paragraph" w:customStyle="1" w:styleId="1856">
    <w:name w:val="样式 仿宋_GB2312 小四 居中 行距: 固定值 20 磅"/>
    <w:basedOn w:val="1"/>
    <w:qFormat/>
    <w:uiPriority w:val="0"/>
    <w:pPr>
      <w:widowControl/>
      <w:spacing w:line="400" w:lineRule="exact"/>
      <w:jc w:val="center"/>
    </w:pPr>
    <w:rPr>
      <w:rFonts w:ascii="仿宋_GB2312" w:hAnsi="宋体" w:cs="宋体"/>
      <w:kern w:val="0"/>
      <w:szCs w:val="20"/>
    </w:rPr>
  </w:style>
  <w:style w:type="paragraph" w:customStyle="1" w:styleId="1857">
    <w:name w:val="表中文字312"/>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1858">
    <w:name w:val="Default1"/>
    <w:basedOn w:val="98"/>
    <w:qFormat/>
    <w:uiPriority w:val="0"/>
    <w:pPr>
      <w:widowControl w:val="0"/>
      <w:autoSpaceDE w:val="0"/>
      <w:autoSpaceDN w:val="0"/>
      <w:adjustRightInd w:val="0"/>
    </w:pPr>
    <w:rPr>
      <w:rFonts w:ascii="宋体" w:hAnsi="Times New Roman" w:cs="Times New Roman"/>
      <w:color w:val="000000"/>
    </w:rPr>
  </w:style>
  <w:style w:type="paragraph" w:customStyle="1" w:styleId="1859">
    <w:name w:val="表题31313"/>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860">
    <w:name w:val="表内文字边111"/>
    <w:basedOn w:val="1"/>
    <w:qFormat/>
    <w:uiPriority w:val="0"/>
    <w:pPr>
      <w:widowControl/>
      <w:spacing w:line="240" w:lineRule="atLeast"/>
      <w:ind w:left="-21" w:leftChars="-10" w:right="-42" w:rightChars="-20"/>
      <w:jc w:val="left"/>
    </w:pPr>
    <w:rPr>
      <w:rFonts w:ascii="宋体" w:hAnsi="宋体" w:cs="宋体"/>
      <w:kern w:val="0"/>
      <w:szCs w:val="21"/>
    </w:rPr>
  </w:style>
  <w:style w:type="paragraph" w:customStyle="1" w:styleId="1861">
    <w:name w:val="Char Char2 Char Char Char Char312"/>
    <w:basedOn w:val="1"/>
    <w:qFormat/>
    <w:uiPriority w:val="0"/>
    <w:pPr>
      <w:widowControl/>
      <w:jc w:val="left"/>
    </w:pPr>
    <w:rPr>
      <w:rFonts w:ascii="宋体" w:hAnsi="宋体" w:cs="宋体"/>
      <w:kern w:val="0"/>
      <w:szCs w:val="24"/>
    </w:rPr>
  </w:style>
  <w:style w:type="paragraph" w:customStyle="1" w:styleId="1862">
    <w:name w:val="表中文字311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1863">
    <w:name w:val="Char412"/>
    <w:basedOn w:val="1"/>
    <w:qFormat/>
    <w:uiPriority w:val="0"/>
    <w:pPr>
      <w:widowControl/>
      <w:ind w:left="-48"/>
      <w:jc w:val="left"/>
    </w:pPr>
    <w:rPr>
      <w:rFonts w:ascii="宋体" w:hAnsi="宋体" w:cs="宋体"/>
      <w:kern w:val="0"/>
      <w:szCs w:val="24"/>
    </w:rPr>
  </w:style>
  <w:style w:type="paragraph" w:customStyle="1" w:styleId="1864">
    <w:name w:val="xl2421"/>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1865">
    <w:name w:val="标题41111"/>
    <w:basedOn w:val="1"/>
    <w:qFormat/>
    <w:uiPriority w:val="0"/>
    <w:pPr>
      <w:widowControl/>
      <w:spacing w:line="300" w:lineRule="auto"/>
      <w:jc w:val="left"/>
    </w:pPr>
    <w:rPr>
      <w:rFonts w:ascii="黑体" w:hAnsi="宋体" w:eastAsia="黑体" w:cs="宋体"/>
      <w:bCs/>
      <w:kern w:val="0"/>
      <w:szCs w:val="20"/>
    </w:rPr>
  </w:style>
  <w:style w:type="paragraph" w:customStyle="1" w:styleId="1866">
    <w:name w:val="Char135"/>
    <w:basedOn w:val="1"/>
    <w:qFormat/>
    <w:uiPriority w:val="0"/>
    <w:pPr>
      <w:widowControl/>
      <w:ind w:left="-48"/>
      <w:jc w:val="left"/>
    </w:pPr>
    <w:rPr>
      <w:rFonts w:ascii="宋体" w:hAnsi="宋体" w:cs="宋体"/>
      <w:kern w:val="0"/>
      <w:szCs w:val="24"/>
    </w:rPr>
  </w:style>
  <w:style w:type="paragraph" w:customStyle="1" w:styleId="1867">
    <w:name w:val="Char Char Char Char Char Char Char210"/>
    <w:basedOn w:val="1"/>
    <w:qFormat/>
    <w:uiPriority w:val="0"/>
    <w:pPr>
      <w:widowControl/>
      <w:jc w:val="left"/>
    </w:pPr>
    <w:rPr>
      <w:rFonts w:ascii="宋体" w:hAnsi="宋体" w:cs="宋体"/>
      <w:kern w:val="0"/>
      <w:szCs w:val="24"/>
    </w:rPr>
  </w:style>
  <w:style w:type="paragraph" w:customStyle="1" w:styleId="1868">
    <w:name w:val="表字1"/>
    <w:basedOn w:val="1"/>
    <w:qFormat/>
    <w:uiPriority w:val="0"/>
    <w:pPr>
      <w:widowControl/>
      <w:jc w:val="center"/>
      <w:textAlignment w:val="baseline"/>
    </w:pPr>
    <w:rPr>
      <w:rFonts w:ascii="宋体" w:hAnsi="宋体" w:cs="宋体"/>
      <w:kern w:val="0"/>
      <w:szCs w:val="20"/>
    </w:rPr>
  </w:style>
  <w:style w:type="paragraph" w:customStyle="1" w:styleId="1869">
    <w:name w:val="福建正文缩进3"/>
    <w:basedOn w:val="112"/>
    <w:qFormat/>
    <w:uiPriority w:val="0"/>
    <w:pPr>
      <w:tabs>
        <w:tab w:val="left" w:pos="5837"/>
      </w:tabs>
      <w:spacing w:line="480" w:lineRule="exact"/>
    </w:pPr>
    <w:rPr>
      <w:rFonts w:cs="宋体"/>
    </w:rPr>
  </w:style>
  <w:style w:type="paragraph" w:customStyle="1" w:styleId="1870">
    <w:name w:val="1"/>
    <w:basedOn w:val="1"/>
    <w:next w:val="16"/>
    <w:qFormat/>
    <w:uiPriority w:val="0"/>
    <w:pPr>
      <w:spacing w:before="120" w:line="400" w:lineRule="exact"/>
      <w:ind w:firstLine="420"/>
      <w:textAlignment w:val="baseline"/>
    </w:pPr>
    <w:rPr>
      <w:kern w:val="28"/>
      <w:szCs w:val="20"/>
    </w:rPr>
  </w:style>
  <w:style w:type="paragraph" w:customStyle="1" w:styleId="1871">
    <w:name w:val="样式 样式 标题 1章标题章节H1NMP Heading 1Section HeadHeader1h11st leve... +..."/>
    <w:basedOn w:val="1"/>
    <w:qFormat/>
    <w:uiPriority w:val="0"/>
    <w:pPr>
      <w:keepNext/>
      <w:widowControl/>
      <w:spacing w:after="156"/>
      <w:jc w:val="left"/>
      <w:outlineLvl w:val="0"/>
    </w:pPr>
    <w:rPr>
      <w:rFonts w:ascii="仿宋_GB2312" w:hAnsi="宋体" w:cs="宋体"/>
      <w:b/>
      <w:bCs/>
      <w:kern w:val="0"/>
      <w:sz w:val="32"/>
      <w:szCs w:val="32"/>
    </w:rPr>
  </w:style>
  <w:style w:type="paragraph" w:customStyle="1" w:styleId="1872">
    <w:name w:val="标题4316"/>
    <w:basedOn w:val="1"/>
    <w:qFormat/>
    <w:uiPriority w:val="0"/>
    <w:pPr>
      <w:widowControl/>
      <w:spacing w:line="480" w:lineRule="exact"/>
      <w:jc w:val="center"/>
    </w:pPr>
    <w:rPr>
      <w:rFonts w:ascii="宋体" w:hAnsi="宋体" w:cs="宋体"/>
      <w:kern w:val="0"/>
      <w:szCs w:val="24"/>
    </w:rPr>
  </w:style>
  <w:style w:type="paragraph" w:customStyle="1" w:styleId="1873">
    <w:name w:val="黑体三号431"/>
    <w:basedOn w:val="418"/>
    <w:qFormat/>
    <w:uiPriority w:val="0"/>
    <w:pPr>
      <w:jc w:val="center"/>
    </w:pPr>
    <w:rPr>
      <w:rFonts w:ascii="黑体" w:hAnsi="宋体" w:eastAsia="黑体" w:cs="宋体"/>
      <w:b/>
      <w:bCs/>
      <w:sz w:val="32"/>
      <w:szCs w:val="20"/>
    </w:rPr>
  </w:style>
  <w:style w:type="paragraph" w:customStyle="1" w:styleId="1874">
    <w:name w:val="燕山正文1321"/>
    <w:basedOn w:val="1"/>
    <w:qFormat/>
    <w:uiPriority w:val="0"/>
    <w:pPr>
      <w:widowControl/>
      <w:tabs>
        <w:tab w:val="left" w:pos="4680"/>
      </w:tabs>
      <w:ind w:firstLine="480"/>
      <w:jc w:val="left"/>
    </w:pPr>
    <w:rPr>
      <w:rFonts w:ascii="宋体" w:hAnsi="宋体" w:cs="宋体"/>
      <w:bCs/>
      <w:kern w:val="0"/>
      <w:szCs w:val="24"/>
    </w:rPr>
  </w:style>
  <w:style w:type="paragraph" w:customStyle="1" w:styleId="1875">
    <w:name w:val="燕山正文131"/>
    <w:basedOn w:val="1"/>
    <w:qFormat/>
    <w:uiPriority w:val="0"/>
    <w:pPr>
      <w:widowControl/>
      <w:tabs>
        <w:tab w:val="left" w:pos="4680"/>
      </w:tabs>
      <w:ind w:firstLine="480"/>
      <w:jc w:val="left"/>
    </w:pPr>
    <w:rPr>
      <w:rFonts w:ascii="宋体" w:hAnsi="宋体" w:cs="宋体"/>
      <w:bCs/>
      <w:kern w:val="0"/>
      <w:szCs w:val="24"/>
    </w:rPr>
  </w:style>
  <w:style w:type="paragraph" w:customStyle="1" w:styleId="1876">
    <w:name w:val="图表名称4"/>
    <w:basedOn w:val="482"/>
    <w:qFormat/>
    <w:uiPriority w:val="0"/>
    <w:pPr>
      <w:spacing w:after="0" w:line="480" w:lineRule="exact"/>
      <w:ind w:firstLine="0" w:firstLineChars="0"/>
      <w:jc w:val="center"/>
    </w:pPr>
    <w:rPr>
      <w:rFonts w:ascii="宋体" w:hAnsi="宋体"/>
      <w:bCs/>
      <w:szCs w:val="24"/>
    </w:rPr>
  </w:style>
  <w:style w:type="paragraph" w:customStyle="1" w:styleId="1877">
    <w:name w:val="表格样式1"/>
    <w:basedOn w:val="1"/>
    <w:qFormat/>
    <w:uiPriority w:val="0"/>
    <w:pPr>
      <w:widowControl/>
      <w:spacing w:line="20" w:lineRule="atLeast"/>
      <w:jc w:val="center"/>
      <w:textAlignment w:val="baseline"/>
    </w:pPr>
    <w:rPr>
      <w:rFonts w:ascii="宋体" w:hAnsi="宋体" w:cs="宋体"/>
      <w:kern w:val="0"/>
      <w:szCs w:val="20"/>
    </w:rPr>
  </w:style>
  <w:style w:type="paragraph" w:customStyle="1" w:styleId="1878">
    <w:name w:val="Char Char2 Char Char Char Char113"/>
    <w:basedOn w:val="1"/>
    <w:qFormat/>
    <w:uiPriority w:val="0"/>
    <w:pPr>
      <w:widowControl/>
      <w:jc w:val="left"/>
    </w:pPr>
    <w:rPr>
      <w:rFonts w:ascii="宋体" w:hAnsi="宋体" w:cs="宋体"/>
      <w:kern w:val="0"/>
      <w:szCs w:val="24"/>
    </w:rPr>
  </w:style>
  <w:style w:type="paragraph" w:customStyle="1" w:styleId="1879">
    <w:name w:val="表题152"/>
    <w:basedOn w:val="17"/>
    <w:qFormat/>
    <w:uiPriority w:val="0"/>
    <w:pPr>
      <w:widowControl/>
      <w:ind w:firstLine="0" w:firstLineChars="0"/>
      <w:jc w:val="center"/>
    </w:pPr>
    <w:rPr>
      <w:rFonts w:ascii="黑体" w:cs="Arial"/>
      <w:b/>
    </w:rPr>
  </w:style>
  <w:style w:type="paragraph" w:customStyle="1" w:styleId="1880">
    <w:name w:val="福建正文缩进2"/>
    <w:basedOn w:val="112"/>
    <w:qFormat/>
    <w:uiPriority w:val="0"/>
    <w:pPr>
      <w:tabs>
        <w:tab w:val="left" w:pos="5837"/>
      </w:tabs>
      <w:spacing w:line="480" w:lineRule="exact"/>
    </w:pPr>
    <w:rPr>
      <w:rFonts w:cs="宋体"/>
    </w:rPr>
  </w:style>
  <w:style w:type="paragraph" w:customStyle="1" w:styleId="1881">
    <w:name w:val="注释2"/>
    <w:basedOn w:val="418"/>
    <w:next w:val="25"/>
    <w:qFormat/>
    <w:uiPriority w:val="0"/>
    <w:pPr>
      <w:spacing w:before="120" w:after="120" w:line="240" w:lineRule="auto"/>
      <w:ind w:firstLine="200"/>
    </w:pPr>
    <w:rPr>
      <w:rFonts w:hAnsi="Times New Roman" w:cs="宋体"/>
      <w:sz w:val="21"/>
      <w:szCs w:val="20"/>
    </w:rPr>
  </w:style>
  <w:style w:type="paragraph" w:customStyle="1" w:styleId="1882">
    <w:name w:val="附件41"/>
    <w:basedOn w:val="2"/>
    <w:next w:val="418"/>
    <w:qFormat/>
    <w:uiPriority w:val="0"/>
    <w:pPr>
      <w:numPr>
        <w:numId w:val="0"/>
      </w:numPr>
      <w:adjustRightInd/>
      <w:snapToGrid/>
      <w:spacing w:after="210"/>
      <w:jc w:val="left"/>
    </w:pPr>
    <w:rPr>
      <w:rFonts w:ascii="黑体" w:eastAsia="黑体"/>
      <w:sz w:val="32"/>
      <w:szCs w:val="32"/>
    </w:rPr>
  </w:style>
  <w:style w:type="paragraph" w:customStyle="1" w:styleId="1883">
    <w:name w:val="样式 样式 样式 样式 样式4 + 首行缩进:  0.75 字符 + 首行缩进:  2 字符 + 首行缩进:  2 字符 + 首..."/>
    <w:basedOn w:val="1"/>
    <w:qFormat/>
    <w:uiPriority w:val="0"/>
    <w:pPr>
      <w:spacing w:line="480" w:lineRule="exact"/>
      <w:ind w:firstLine="480"/>
      <w:jc w:val="center"/>
    </w:pPr>
    <w:rPr>
      <w:color w:val="0000FF"/>
      <w:szCs w:val="24"/>
    </w:rPr>
  </w:style>
  <w:style w:type="paragraph" w:customStyle="1" w:styleId="1884">
    <w:name w:val="表内宋5111"/>
    <w:basedOn w:val="734"/>
    <w:qFormat/>
    <w:uiPriority w:val="0"/>
    <w:rPr>
      <w:rFonts w:ascii="宋体" w:hAnsi="宋体" w:cs="宋体"/>
      <w:sz w:val="21"/>
      <w:szCs w:val="24"/>
    </w:rPr>
  </w:style>
  <w:style w:type="paragraph" w:customStyle="1" w:styleId="1885">
    <w:name w:val="表格内容11"/>
    <w:basedOn w:val="98"/>
    <w:qFormat/>
    <w:uiPriority w:val="0"/>
    <w:pPr>
      <w:jc w:val="center"/>
    </w:pPr>
    <w:rPr>
      <w:rFonts w:ascii="Times New Roman" w:hAnsi="Times New Roman" w:cs="Times New Roman"/>
      <w:color w:val="000000"/>
      <w:szCs w:val="21"/>
    </w:rPr>
  </w:style>
  <w:style w:type="paragraph" w:customStyle="1" w:styleId="1886">
    <w:name w:val="表内宋521"/>
    <w:basedOn w:val="1698"/>
    <w:qFormat/>
    <w:uiPriority w:val="0"/>
    <w:pPr>
      <w:autoSpaceDE w:val="0"/>
      <w:autoSpaceDN w:val="0"/>
      <w:textAlignment w:val="auto"/>
    </w:pPr>
    <w:rPr>
      <w:color w:val="auto"/>
      <w:w w:val="90"/>
    </w:rPr>
  </w:style>
  <w:style w:type="paragraph" w:customStyle="1" w:styleId="1887">
    <w:name w:val="Char1031"/>
    <w:basedOn w:val="1"/>
    <w:qFormat/>
    <w:uiPriority w:val="0"/>
    <w:pPr>
      <w:widowControl/>
      <w:jc w:val="left"/>
    </w:pPr>
    <w:rPr>
      <w:rFonts w:ascii="宋体" w:hAnsi="宋体" w:cs="宋体"/>
      <w:kern w:val="0"/>
      <w:szCs w:val="24"/>
    </w:rPr>
  </w:style>
  <w:style w:type="paragraph" w:customStyle="1" w:styleId="1888">
    <w:name w:val="表内54144"/>
    <w:basedOn w:val="1"/>
    <w:qFormat/>
    <w:uiPriority w:val="0"/>
    <w:pPr>
      <w:widowControl/>
      <w:spacing w:line="300" w:lineRule="auto"/>
      <w:jc w:val="center"/>
    </w:pPr>
    <w:rPr>
      <w:rFonts w:ascii="宋体" w:hAnsi="宋体" w:cs="宋体"/>
      <w:kern w:val="0"/>
      <w:szCs w:val="20"/>
    </w:rPr>
  </w:style>
  <w:style w:type="paragraph" w:customStyle="1" w:styleId="1889">
    <w:name w:val="封面标准文稿编辑信息31"/>
    <w:basedOn w:val="98"/>
    <w:qFormat/>
    <w:uiPriority w:val="0"/>
    <w:pPr>
      <w:spacing w:before="180" w:line="180" w:lineRule="exact"/>
      <w:jc w:val="center"/>
    </w:pPr>
    <w:rPr>
      <w:rFonts w:ascii="宋体" w:hAnsi="Times New Roman" w:cs="Times New Roman"/>
      <w:color w:val="000000"/>
    </w:rPr>
  </w:style>
  <w:style w:type="paragraph" w:customStyle="1" w:styleId="1890">
    <w:name w:val="标题43"/>
    <w:basedOn w:val="1"/>
    <w:qFormat/>
    <w:uiPriority w:val="0"/>
    <w:pPr>
      <w:widowControl/>
      <w:spacing w:line="300" w:lineRule="auto"/>
      <w:jc w:val="left"/>
    </w:pPr>
    <w:rPr>
      <w:rFonts w:ascii="黑体" w:hAnsi="宋体" w:eastAsia="黑体" w:cs="宋体"/>
      <w:bCs/>
      <w:kern w:val="0"/>
      <w:szCs w:val="24"/>
    </w:rPr>
  </w:style>
  <w:style w:type="paragraph" w:customStyle="1" w:styleId="1891">
    <w:name w:val="表左"/>
    <w:basedOn w:val="1"/>
    <w:qFormat/>
    <w:uiPriority w:val="0"/>
    <w:pPr>
      <w:widowControl/>
      <w:spacing w:line="280" w:lineRule="exact"/>
      <w:jc w:val="left"/>
    </w:pPr>
    <w:rPr>
      <w:rFonts w:ascii="宋体" w:hAnsi="宋体" w:cs="宋体"/>
      <w:kern w:val="0"/>
      <w:sz w:val="18"/>
      <w:szCs w:val="24"/>
    </w:rPr>
  </w:style>
  <w:style w:type="paragraph" w:customStyle="1" w:styleId="1892">
    <w:name w:val="表内593"/>
    <w:basedOn w:val="1"/>
    <w:qFormat/>
    <w:uiPriority w:val="0"/>
    <w:pPr>
      <w:widowControl/>
      <w:spacing w:line="300" w:lineRule="auto"/>
      <w:jc w:val="center"/>
    </w:pPr>
    <w:rPr>
      <w:rFonts w:ascii="宋体" w:hAnsi="宋体" w:cs="宋体"/>
      <w:snapToGrid w:val="0"/>
      <w:kern w:val="0"/>
      <w:szCs w:val="21"/>
    </w:rPr>
  </w:style>
  <w:style w:type="paragraph" w:customStyle="1" w:styleId="1893">
    <w:name w:val="标题423"/>
    <w:basedOn w:val="1"/>
    <w:qFormat/>
    <w:uiPriority w:val="0"/>
    <w:pPr>
      <w:widowControl/>
      <w:spacing w:line="300" w:lineRule="auto"/>
      <w:jc w:val="left"/>
    </w:pPr>
    <w:rPr>
      <w:rFonts w:ascii="黑体" w:hAnsi="宋体" w:eastAsia="黑体" w:cs="宋体"/>
      <w:bCs/>
      <w:kern w:val="0"/>
      <w:szCs w:val="24"/>
    </w:rPr>
  </w:style>
  <w:style w:type="paragraph" w:customStyle="1" w:styleId="1894">
    <w:name w:val="黑体三号3111"/>
    <w:basedOn w:val="418"/>
    <w:qFormat/>
    <w:uiPriority w:val="0"/>
    <w:pPr>
      <w:jc w:val="center"/>
    </w:pPr>
    <w:rPr>
      <w:rFonts w:ascii="黑体" w:hAnsi="宋体" w:eastAsia="黑体" w:cs="宋体"/>
      <w:b/>
      <w:bCs/>
      <w:sz w:val="32"/>
      <w:szCs w:val="20"/>
    </w:rPr>
  </w:style>
  <w:style w:type="paragraph" w:customStyle="1" w:styleId="1895">
    <w:name w:val="Char33"/>
    <w:basedOn w:val="1"/>
    <w:qFormat/>
    <w:uiPriority w:val="0"/>
    <w:pPr>
      <w:widowControl/>
      <w:ind w:left="-48"/>
      <w:jc w:val="left"/>
    </w:pPr>
    <w:rPr>
      <w:rFonts w:ascii="宋体" w:hAnsi="宋体" w:cs="宋体"/>
      <w:kern w:val="0"/>
      <w:szCs w:val="24"/>
    </w:rPr>
  </w:style>
  <w:style w:type="paragraph" w:customStyle="1" w:styleId="1896">
    <w:name w:val="字元 字元1"/>
    <w:basedOn w:val="1"/>
    <w:qFormat/>
    <w:uiPriority w:val="0"/>
    <w:rPr>
      <w:szCs w:val="24"/>
    </w:rPr>
  </w:style>
  <w:style w:type="paragraph" w:customStyle="1" w:styleId="1897">
    <w:name w:val="图表题13"/>
    <w:basedOn w:val="418"/>
    <w:next w:val="418"/>
    <w:qFormat/>
    <w:uiPriority w:val="0"/>
    <w:pPr>
      <w:ind w:firstLine="0"/>
      <w:jc w:val="center"/>
    </w:pPr>
    <w:rPr>
      <w:rFonts w:ascii="黑体" w:hAnsi="宋体" w:eastAsia="黑体" w:cs="宋体"/>
      <w:b/>
      <w:bCs/>
      <w:szCs w:val="24"/>
    </w:rPr>
  </w:style>
  <w:style w:type="paragraph" w:customStyle="1" w:styleId="1898">
    <w:name w:val="Char1012"/>
    <w:basedOn w:val="1"/>
    <w:qFormat/>
    <w:uiPriority w:val="0"/>
    <w:pPr>
      <w:widowControl/>
      <w:jc w:val="left"/>
    </w:pPr>
    <w:rPr>
      <w:rFonts w:ascii="宋体" w:hAnsi="宋体" w:cs="宋体"/>
      <w:kern w:val="0"/>
      <w:szCs w:val="24"/>
    </w:rPr>
  </w:style>
  <w:style w:type="paragraph" w:customStyle="1" w:styleId="1899">
    <w:name w:val="样式 表格 + 居中"/>
    <w:basedOn w:val="1"/>
    <w:qFormat/>
    <w:uiPriority w:val="0"/>
    <w:pPr>
      <w:widowControl/>
      <w:kinsoku w:val="0"/>
      <w:overflowPunct w:val="0"/>
      <w:jc w:val="center"/>
    </w:pPr>
    <w:rPr>
      <w:rFonts w:ascii="宋体" w:hAnsi="宋体" w:cs="宋体"/>
      <w:snapToGrid w:val="0"/>
      <w:kern w:val="0"/>
      <w:szCs w:val="24"/>
    </w:rPr>
  </w:style>
  <w:style w:type="paragraph" w:customStyle="1" w:styleId="1900">
    <w:name w:val="Char Char Char Char Char Char Char223"/>
    <w:basedOn w:val="1"/>
    <w:qFormat/>
    <w:uiPriority w:val="0"/>
    <w:pPr>
      <w:widowControl/>
      <w:jc w:val="left"/>
    </w:pPr>
    <w:rPr>
      <w:rFonts w:ascii="宋体" w:hAnsi="宋体" w:cs="宋体"/>
      <w:kern w:val="0"/>
      <w:szCs w:val="24"/>
    </w:rPr>
  </w:style>
  <w:style w:type="paragraph" w:customStyle="1" w:styleId="1901">
    <w:name w:val="燕山正文51"/>
    <w:basedOn w:val="1"/>
    <w:qFormat/>
    <w:uiPriority w:val="0"/>
    <w:pPr>
      <w:widowControl/>
      <w:tabs>
        <w:tab w:val="left" w:pos="4680"/>
      </w:tabs>
      <w:spacing w:line="480" w:lineRule="exact"/>
      <w:jc w:val="left"/>
    </w:pPr>
    <w:rPr>
      <w:rFonts w:ascii="宋体" w:hAnsi="宋体" w:cs="宋体"/>
      <w:kern w:val="0"/>
      <w:szCs w:val="24"/>
    </w:rPr>
  </w:style>
  <w:style w:type="paragraph" w:customStyle="1" w:styleId="1902">
    <w:name w:val="表内文字小241"/>
    <w:basedOn w:val="1"/>
    <w:qFormat/>
    <w:uiPriority w:val="0"/>
    <w:pPr>
      <w:widowControl/>
      <w:jc w:val="center"/>
    </w:pPr>
    <w:rPr>
      <w:rFonts w:ascii="宋体" w:hAnsi="Times" w:cs="宋体"/>
      <w:bCs/>
      <w:kern w:val="0"/>
      <w:szCs w:val="20"/>
    </w:rPr>
  </w:style>
  <w:style w:type="paragraph" w:customStyle="1" w:styleId="1903">
    <w:name w:val="黑体三号51"/>
    <w:basedOn w:val="418"/>
    <w:qFormat/>
    <w:uiPriority w:val="0"/>
    <w:pPr>
      <w:jc w:val="center"/>
    </w:pPr>
    <w:rPr>
      <w:rFonts w:ascii="黑体" w:hAnsi="宋体" w:eastAsia="黑体" w:cs="宋体"/>
      <w:b/>
      <w:bCs/>
      <w:sz w:val="32"/>
      <w:szCs w:val="20"/>
    </w:rPr>
  </w:style>
  <w:style w:type="paragraph" w:customStyle="1" w:styleId="1904">
    <w:name w:val="正文（缩进）"/>
    <w:basedOn w:val="1"/>
    <w:qFormat/>
    <w:uiPriority w:val="0"/>
    <w:pPr>
      <w:widowControl/>
      <w:jc w:val="left"/>
    </w:pPr>
    <w:rPr>
      <w:rFonts w:ascii="宋体" w:hAnsi="宋体" w:cs="宋体"/>
      <w:snapToGrid w:val="0"/>
      <w:kern w:val="0"/>
      <w:szCs w:val="24"/>
    </w:rPr>
  </w:style>
  <w:style w:type="paragraph" w:customStyle="1" w:styleId="1905">
    <w:name w:val="KY-图题"/>
    <w:basedOn w:val="1"/>
    <w:qFormat/>
    <w:uiPriority w:val="0"/>
    <w:pPr>
      <w:keepLines/>
      <w:tabs>
        <w:tab w:val="left" w:pos="567"/>
      </w:tabs>
      <w:spacing w:before="156" w:afterLines="100"/>
      <w:jc w:val="center"/>
    </w:pPr>
    <w:rPr>
      <w:rFonts w:ascii="黑体"/>
      <w:kern w:val="0"/>
      <w:szCs w:val="32"/>
    </w:rPr>
  </w:style>
  <w:style w:type="paragraph" w:customStyle="1" w:styleId="1906">
    <w:name w:val="Char410"/>
    <w:basedOn w:val="1"/>
    <w:qFormat/>
    <w:uiPriority w:val="0"/>
    <w:pPr>
      <w:widowControl/>
      <w:ind w:left="-48"/>
      <w:jc w:val="left"/>
    </w:pPr>
    <w:rPr>
      <w:rFonts w:ascii="宋体" w:hAnsi="宋体" w:cs="宋体"/>
      <w:kern w:val="0"/>
      <w:szCs w:val="24"/>
    </w:rPr>
  </w:style>
  <w:style w:type="paragraph" w:customStyle="1" w:styleId="1907">
    <w:name w:val="xl71"/>
    <w:basedOn w:val="1"/>
    <w:qFormat/>
    <w:uiPriority w:val="0"/>
    <w:pPr>
      <w:widowControl/>
      <w:pBdr>
        <w:bottom w:val="single" w:color="auto" w:sz="8" w:space="0"/>
        <w:right w:val="single" w:color="auto" w:sz="8" w:space="0"/>
      </w:pBdr>
      <w:spacing w:before="100" w:beforeAutospacing="1" w:after="100" w:afterAutospacing="1"/>
      <w:jc w:val="center"/>
    </w:pPr>
    <w:rPr>
      <w:rFonts w:ascii="仿宋" w:hAnsi="仿宋" w:eastAsia="仿宋" w:cs="宋体"/>
      <w:kern w:val="0"/>
      <w:szCs w:val="21"/>
    </w:rPr>
  </w:style>
  <w:style w:type="paragraph" w:customStyle="1" w:styleId="1908">
    <w:name w:val="Char Char Char Char Char Char Char2111"/>
    <w:basedOn w:val="1"/>
    <w:qFormat/>
    <w:uiPriority w:val="0"/>
    <w:pPr>
      <w:widowControl/>
      <w:jc w:val="left"/>
    </w:pPr>
    <w:rPr>
      <w:rFonts w:ascii="宋体" w:hAnsi="宋体" w:cs="宋体"/>
      <w:kern w:val="0"/>
      <w:szCs w:val="24"/>
    </w:rPr>
  </w:style>
  <w:style w:type="paragraph" w:customStyle="1" w:styleId="1909">
    <w:name w:val="表题93"/>
    <w:basedOn w:val="1636"/>
    <w:qFormat/>
    <w:uiPriority w:val="0"/>
    <w:pPr>
      <w:spacing w:line="300" w:lineRule="auto"/>
      <w:jc w:val="center"/>
    </w:pPr>
    <w:rPr>
      <w:rFonts w:ascii="黑体" w:eastAsia="黑体"/>
      <w:szCs w:val="22"/>
    </w:rPr>
  </w:style>
  <w:style w:type="paragraph" w:customStyle="1" w:styleId="1910">
    <w:name w:val="样式 正文(首行缩进) + 8 磅 加粗 首行缩进:  2 字符"/>
    <w:basedOn w:val="1"/>
    <w:qFormat/>
    <w:uiPriority w:val="0"/>
    <w:pPr>
      <w:widowControl/>
      <w:jc w:val="left"/>
    </w:pPr>
    <w:rPr>
      <w:rFonts w:ascii="宋体" w:hAnsi="宋体" w:cs="宋体"/>
      <w:b/>
      <w:bCs/>
      <w:snapToGrid w:val="0"/>
      <w:kern w:val="0"/>
      <w:sz w:val="16"/>
      <w:szCs w:val="20"/>
    </w:rPr>
  </w:style>
  <w:style w:type="paragraph" w:customStyle="1" w:styleId="1911">
    <w:name w:val="c111"/>
    <w:basedOn w:val="98"/>
    <w:qFormat/>
    <w:uiPriority w:val="0"/>
    <w:pPr>
      <w:widowControl w:val="0"/>
      <w:autoSpaceDE w:val="0"/>
      <w:autoSpaceDN w:val="0"/>
      <w:adjustRightInd w:val="0"/>
    </w:pPr>
    <w:rPr>
      <w:rFonts w:ascii="Arial" w:hAnsi="Arial" w:cs="Times New Roman"/>
      <w:color w:val="000000"/>
    </w:rPr>
  </w:style>
  <w:style w:type="paragraph" w:customStyle="1" w:styleId="1912">
    <w:name w:val="正文格式＝"/>
    <w:basedOn w:val="418"/>
    <w:next w:val="418"/>
    <w:qFormat/>
    <w:uiPriority w:val="0"/>
    <w:rPr>
      <w:rFonts w:hAnsi="宋体"/>
      <w:szCs w:val="24"/>
    </w:rPr>
  </w:style>
  <w:style w:type="paragraph" w:customStyle="1" w:styleId="1913">
    <w:name w:val="表内宋5中11"/>
    <w:basedOn w:val="1"/>
    <w:qFormat/>
    <w:uiPriority w:val="0"/>
    <w:pPr>
      <w:widowControl/>
      <w:jc w:val="center"/>
      <w:textAlignment w:val="baseline"/>
    </w:pPr>
    <w:rPr>
      <w:rFonts w:ascii="宋体" w:hAnsi="宋体" w:cs="宋体"/>
      <w:kern w:val="0"/>
      <w:szCs w:val="20"/>
    </w:rPr>
  </w:style>
  <w:style w:type="paragraph" w:customStyle="1" w:styleId="1914">
    <w:name w:val="表题3112"/>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915">
    <w:name w:val="表题1313"/>
    <w:basedOn w:val="17"/>
    <w:qFormat/>
    <w:uiPriority w:val="0"/>
    <w:pPr>
      <w:widowControl/>
      <w:ind w:firstLine="0" w:firstLineChars="0"/>
      <w:jc w:val="center"/>
    </w:pPr>
    <w:rPr>
      <w:rFonts w:ascii="黑体" w:cs="Arial"/>
      <w:b/>
    </w:rPr>
  </w:style>
  <w:style w:type="paragraph" w:customStyle="1" w:styleId="1916">
    <w:name w:val="表中文字212"/>
    <w:basedOn w:val="1"/>
    <w:qFormat/>
    <w:uiPriority w:val="0"/>
    <w:pPr>
      <w:widowControl/>
      <w:spacing w:line="240" w:lineRule="atLeast"/>
      <w:ind w:right="-42" w:rightChars="-20"/>
      <w:jc w:val="center"/>
      <w:textAlignment w:val="baseline"/>
    </w:pPr>
    <w:rPr>
      <w:rFonts w:ascii="宋体" w:hAnsi="宋体" w:cs="宋体"/>
      <w:kern w:val="0"/>
      <w:szCs w:val="21"/>
    </w:rPr>
  </w:style>
  <w:style w:type="paragraph" w:customStyle="1" w:styleId="1917">
    <w:name w:val="附件21"/>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1918">
    <w:name w:val="表内54124"/>
    <w:basedOn w:val="1"/>
    <w:qFormat/>
    <w:uiPriority w:val="0"/>
    <w:pPr>
      <w:widowControl/>
      <w:spacing w:line="300" w:lineRule="auto"/>
      <w:jc w:val="center"/>
    </w:pPr>
    <w:rPr>
      <w:rFonts w:ascii="宋体" w:hAnsi="宋体" w:cs="宋体"/>
      <w:kern w:val="0"/>
      <w:szCs w:val="20"/>
    </w:rPr>
  </w:style>
  <w:style w:type="paragraph" w:customStyle="1" w:styleId="1919">
    <w:name w:val="表内5931"/>
    <w:basedOn w:val="1"/>
    <w:qFormat/>
    <w:uiPriority w:val="0"/>
    <w:pPr>
      <w:widowControl/>
      <w:spacing w:line="300" w:lineRule="auto"/>
      <w:jc w:val="center"/>
    </w:pPr>
    <w:rPr>
      <w:rFonts w:ascii="宋体" w:hAnsi="宋体" w:cs="宋体"/>
      <w:snapToGrid w:val="0"/>
      <w:kern w:val="0"/>
      <w:szCs w:val="21"/>
    </w:rPr>
  </w:style>
  <w:style w:type="paragraph" w:customStyle="1" w:styleId="1920">
    <w:name w:val="表内5111"/>
    <w:basedOn w:val="1"/>
    <w:qFormat/>
    <w:uiPriority w:val="0"/>
    <w:pPr>
      <w:widowControl/>
      <w:jc w:val="center"/>
    </w:pPr>
    <w:rPr>
      <w:rFonts w:ascii="宋体" w:hAnsi="宋体" w:cs="宋体"/>
      <w:kern w:val="0"/>
      <w:sz w:val="20"/>
      <w:szCs w:val="20"/>
    </w:rPr>
  </w:style>
  <w:style w:type="paragraph" w:customStyle="1" w:styleId="1921">
    <w:name w:val="正文仿宋小四"/>
    <w:basedOn w:val="1"/>
    <w:qFormat/>
    <w:uiPriority w:val="0"/>
    <w:pPr>
      <w:widowControl/>
      <w:ind w:firstLine="480"/>
      <w:jc w:val="left"/>
    </w:pPr>
    <w:rPr>
      <w:rFonts w:ascii="宋体" w:hAnsi="宋体" w:cs="宋体"/>
      <w:kern w:val="0"/>
      <w:szCs w:val="24"/>
    </w:rPr>
  </w:style>
  <w:style w:type="paragraph" w:customStyle="1" w:styleId="1922">
    <w:name w:val="表题31111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923">
    <w:name w:val="样式 表格内字体 +11"/>
    <w:basedOn w:val="559"/>
    <w:qFormat/>
    <w:uiPriority w:val="0"/>
    <w:pPr>
      <w:spacing w:line="280" w:lineRule="exact"/>
      <w:ind w:firstLine="36"/>
      <w:jc w:val="both"/>
    </w:pPr>
    <w:rPr>
      <w:rFonts w:hAnsi="宋体"/>
      <w:sz w:val="21"/>
      <w:szCs w:val="24"/>
    </w:rPr>
  </w:style>
  <w:style w:type="paragraph" w:customStyle="1" w:styleId="1924">
    <w:name w:val="Default13"/>
    <w:basedOn w:val="98"/>
    <w:qFormat/>
    <w:uiPriority w:val="0"/>
    <w:pPr>
      <w:widowControl w:val="0"/>
      <w:autoSpaceDE w:val="0"/>
      <w:autoSpaceDN w:val="0"/>
      <w:adjustRightInd w:val="0"/>
    </w:pPr>
    <w:rPr>
      <w:rFonts w:ascii="宋体" w:hAnsi="Times New Roman" w:cs="Times New Roman"/>
      <w:color w:val="000000"/>
    </w:rPr>
  </w:style>
  <w:style w:type="paragraph" w:customStyle="1" w:styleId="1925">
    <w:name w:val="表题1412"/>
    <w:basedOn w:val="1"/>
    <w:qFormat/>
    <w:uiPriority w:val="0"/>
    <w:pPr>
      <w:widowControl/>
      <w:jc w:val="center"/>
    </w:pPr>
    <w:rPr>
      <w:rFonts w:ascii="黑体" w:hAnsi="宋体" w:eastAsia="黑体" w:cs="宋体"/>
      <w:kern w:val="0"/>
      <w:szCs w:val="24"/>
    </w:rPr>
  </w:style>
  <w:style w:type="paragraph" w:customStyle="1" w:styleId="1926">
    <w:name w:val="表内宋5111111"/>
    <w:basedOn w:val="734"/>
    <w:qFormat/>
    <w:uiPriority w:val="0"/>
    <w:rPr>
      <w:rFonts w:ascii="宋体" w:hAnsi="宋体" w:cs="宋体"/>
      <w:sz w:val="21"/>
      <w:szCs w:val="24"/>
    </w:rPr>
  </w:style>
  <w:style w:type="paragraph" w:customStyle="1" w:styleId="1927">
    <w:name w:val="表内5中2"/>
    <w:basedOn w:val="1"/>
    <w:qFormat/>
    <w:uiPriority w:val="0"/>
    <w:pPr>
      <w:widowControl/>
      <w:jc w:val="center"/>
    </w:pPr>
    <w:rPr>
      <w:rFonts w:ascii="宋体" w:hAnsi="宋体" w:cs="Arial"/>
      <w:snapToGrid w:val="0"/>
      <w:kern w:val="0"/>
      <w:szCs w:val="21"/>
    </w:rPr>
  </w:style>
  <w:style w:type="paragraph" w:customStyle="1" w:styleId="1928">
    <w:name w:val="Char432"/>
    <w:basedOn w:val="1"/>
    <w:qFormat/>
    <w:uiPriority w:val="0"/>
    <w:pPr>
      <w:widowControl/>
      <w:ind w:left="-48"/>
      <w:jc w:val="left"/>
    </w:pPr>
    <w:rPr>
      <w:rFonts w:ascii="宋体" w:hAnsi="宋体" w:cs="宋体"/>
      <w:kern w:val="0"/>
      <w:szCs w:val="24"/>
    </w:rPr>
  </w:style>
  <w:style w:type="paragraph" w:customStyle="1" w:styleId="1929">
    <w:name w:val="表内文字小21121"/>
    <w:basedOn w:val="1"/>
    <w:qFormat/>
    <w:uiPriority w:val="0"/>
    <w:pPr>
      <w:widowControl/>
      <w:jc w:val="center"/>
    </w:pPr>
    <w:rPr>
      <w:rFonts w:ascii="宋体" w:hAnsi="Times" w:cs="宋体"/>
      <w:bCs/>
      <w:kern w:val="0"/>
      <w:szCs w:val="20"/>
    </w:rPr>
  </w:style>
  <w:style w:type="paragraph" w:customStyle="1" w:styleId="1930">
    <w:name w:val="目录3"/>
    <w:basedOn w:val="1"/>
    <w:next w:val="1"/>
    <w:qFormat/>
    <w:uiPriority w:val="0"/>
    <w:pPr>
      <w:widowControl/>
      <w:tabs>
        <w:tab w:val="left" w:leader="dot" w:pos="8492"/>
      </w:tabs>
      <w:spacing w:line="748" w:lineRule="atLeast"/>
      <w:ind w:left="419" w:firstLine="419"/>
      <w:jc w:val="left"/>
    </w:pPr>
    <w:rPr>
      <w:rFonts w:ascii="宋体" w:hAnsi="宋体" w:cs="宋体"/>
      <w:kern w:val="0"/>
      <w:szCs w:val="20"/>
    </w:rPr>
  </w:style>
  <w:style w:type="paragraph" w:customStyle="1" w:styleId="1931">
    <w:name w:val="Char419"/>
    <w:basedOn w:val="1"/>
    <w:qFormat/>
    <w:uiPriority w:val="0"/>
    <w:pPr>
      <w:widowControl/>
      <w:ind w:left="-48"/>
      <w:jc w:val="left"/>
    </w:pPr>
    <w:rPr>
      <w:rFonts w:ascii="宋体" w:hAnsi="宋体" w:cs="宋体"/>
      <w:kern w:val="0"/>
      <w:szCs w:val="24"/>
    </w:rPr>
  </w:style>
  <w:style w:type="paragraph" w:customStyle="1" w:styleId="1932">
    <w:name w:val="样式 样式 宋体 + 首行缩进:  2 字符11"/>
    <w:basedOn w:val="1"/>
    <w:qFormat/>
    <w:uiPriority w:val="0"/>
    <w:pPr>
      <w:widowControl/>
      <w:ind w:firstLine="480"/>
      <w:jc w:val="left"/>
    </w:pPr>
    <w:rPr>
      <w:rFonts w:ascii="宋体" w:hAnsi="宋体" w:cs="宋体"/>
      <w:kern w:val="0"/>
      <w:szCs w:val="24"/>
    </w:rPr>
  </w:style>
  <w:style w:type="paragraph" w:customStyle="1" w:styleId="1933">
    <w:name w:val="表文字532"/>
    <w:basedOn w:val="1"/>
    <w:qFormat/>
    <w:uiPriority w:val="0"/>
    <w:pPr>
      <w:widowControl/>
      <w:jc w:val="left"/>
      <w:textAlignment w:val="baseline"/>
    </w:pPr>
    <w:rPr>
      <w:rFonts w:ascii="宋体" w:hAnsi="宋体" w:cs="宋体"/>
      <w:kern w:val="0"/>
      <w:szCs w:val="20"/>
    </w:rPr>
  </w:style>
  <w:style w:type="paragraph" w:customStyle="1" w:styleId="1934">
    <w:name w:val="新表"/>
    <w:basedOn w:val="1"/>
    <w:qFormat/>
    <w:uiPriority w:val="0"/>
    <w:pPr>
      <w:spacing w:line="360" w:lineRule="exact"/>
    </w:pPr>
    <w:rPr>
      <w:bCs/>
      <w:kern w:val="0"/>
      <w:szCs w:val="20"/>
    </w:rPr>
  </w:style>
  <w:style w:type="paragraph" w:customStyle="1" w:styleId="1935">
    <w:name w:val="三级标题"/>
    <w:basedOn w:val="1215"/>
    <w:qFormat/>
    <w:uiPriority w:val="0"/>
    <w:pPr>
      <w:spacing w:before="300"/>
      <w:ind w:firstLine="0" w:firstLineChars="0"/>
      <w:outlineLvl w:val="2"/>
    </w:pPr>
    <w:rPr>
      <w:b/>
      <w:szCs w:val="20"/>
    </w:rPr>
  </w:style>
  <w:style w:type="paragraph" w:customStyle="1" w:styleId="1936">
    <w:name w:val="样式 样式 宋体 + 首行缩进:  2 字符13"/>
    <w:basedOn w:val="1"/>
    <w:qFormat/>
    <w:uiPriority w:val="0"/>
    <w:pPr>
      <w:widowControl/>
      <w:ind w:firstLine="480"/>
      <w:jc w:val="left"/>
    </w:pPr>
    <w:rPr>
      <w:rFonts w:ascii="宋体" w:hAnsi="宋体" w:cs="宋体"/>
      <w:kern w:val="0"/>
      <w:szCs w:val="24"/>
    </w:rPr>
  </w:style>
  <w:style w:type="paragraph" w:customStyle="1" w:styleId="1937">
    <w:name w:val="xl39"/>
    <w:basedOn w:val="1"/>
    <w:qFormat/>
    <w:uiPriority w:val="0"/>
    <w:pPr>
      <w:widowControl/>
      <w:pBdr>
        <w:top w:val="double" w:color="auto" w:sz="6"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PMingLiU" w:eastAsia="PMingLiU"/>
      <w:kern w:val="0"/>
      <w:sz w:val="16"/>
      <w:szCs w:val="16"/>
      <w:lang w:eastAsia="zh-TW"/>
    </w:rPr>
  </w:style>
  <w:style w:type="paragraph" w:customStyle="1" w:styleId="1938">
    <w:name w:val="Char138"/>
    <w:basedOn w:val="1"/>
    <w:qFormat/>
    <w:uiPriority w:val="0"/>
    <w:pPr>
      <w:widowControl/>
      <w:ind w:left="-48"/>
      <w:jc w:val="left"/>
    </w:pPr>
    <w:rPr>
      <w:rFonts w:ascii="宋体" w:hAnsi="宋体" w:cs="宋体"/>
      <w:kern w:val="0"/>
      <w:szCs w:val="24"/>
    </w:rPr>
  </w:style>
  <w:style w:type="paragraph" w:customStyle="1" w:styleId="1939">
    <w:name w:val="样式 表内小5 + 黑体 加粗 倾斜 下划线12"/>
    <w:basedOn w:val="1"/>
    <w:qFormat/>
    <w:uiPriority w:val="0"/>
    <w:pPr>
      <w:widowControl/>
      <w:spacing w:line="300" w:lineRule="auto"/>
      <w:jc w:val="left"/>
    </w:pPr>
    <w:rPr>
      <w:rFonts w:ascii="黑体" w:hAnsi="黑体" w:eastAsia="黑体" w:cs="宋体"/>
      <w:b/>
      <w:bCs/>
      <w:i/>
      <w:iCs/>
      <w:kern w:val="0"/>
      <w:sz w:val="18"/>
      <w:szCs w:val="24"/>
      <w:u w:val="single"/>
    </w:rPr>
  </w:style>
  <w:style w:type="paragraph" w:customStyle="1" w:styleId="1940">
    <w:name w:val="表格内字体312"/>
    <w:basedOn w:val="418"/>
    <w:next w:val="418"/>
    <w:qFormat/>
    <w:uiPriority w:val="0"/>
    <w:pPr>
      <w:spacing w:line="240" w:lineRule="auto"/>
      <w:ind w:firstLine="0"/>
      <w:jc w:val="center"/>
    </w:pPr>
    <w:rPr>
      <w:rFonts w:hAnsi="宋体"/>
      <w:sz w:val="21"/>
      <w:szCs w:val="24"/>
    </w:rPr>
  </w:style>
  <w:style w:type="paragraph" w:customStyle="1" w:styleId="1941">
    <w:name w:val="批注框文本 Char Char"/>
    <w:basedOn w:val="1"/>
    <w:qFormat/>
    <w:uiPriority w:val="0"/>
    <w:pPr>
      <w:widowControl/>
      <w:jc w:val="left"/>
    </w:pPr>
    <w:rPr>
      <w:rFonts w:ascii="宋体" w:hAnsi="宋体" w:cs="宋体"/>
      <w:kern w:val="0"/>
      <w:sz w:val="18"/>
      <w:szCs w:val="20"/>
    </w:rPr>
  </w:style>
  <w:style w:type="paragraph" w:customStyle="1" w:styleId="1942">
    <w:name w:val="td"/>
    <w:basedOn w:val="1"/>
    <w:qFormat/>
    <w:uiPriority w:val="0"/>
    <w:pPr>
      <w:widowControl/>
      <w:adjustRightInd/>
      <w:snapToGrid/>
      <w:spacing w:before="100" w:beforeAutospacing="1" w:after="100" w:afterAutospacing="1" w:line="460" w:lineRule="atLeast"/>
      <w:ind w:firstLine="0" w:firstLineChars="0"/>
      <w:jc w:val="left"/>
    </w:pPr>
    <w:rPr>
      <w:rFonts w:ascii="Arial Unicode MS" w:hAnsi="Arial Unicode MS" w:eastAsia="Arial Unicode MS" w:cs="Arial Unicode MS"/>
      <w:color w:val="auto"/>
      <w:kern w:val="0"/>
      <w:szCs w:val="24"/>
    </w:rPr>
  </w:style>
  <w:style w:type="paragraph" w:customStyle="1" w:styleId="1943">
    <w:name w:val="表文字55"/>
    <w:basedOn w:val="1"/>
    <w:qFormat/>
    <w:uiPriority w:val="0"/>
    <w:pPr>
      <w:widowControl/>
      <w:jc w:val="left"/>
      <w:textAlignment w:val="baseline"/>
    </w:pPr>
    <w:rPr>
      <w:rFonts w:ascii="宋体" w:hAnsi="宋体" w:cs="宋体"/>
      <w:kern w:val="0"/>
      <w:szCs w:val="20"/>
    </w:rPr>
  </w:style>
  <w:style w:type="paragraph" w:customStyle="1" w:styleId="1944">
    <w:name w:val="黑体三号33"/>
    <w:basedOn w:val="418"/>
    <w:qFormat/>
    <w:uiPriority w:val="0"/>
    <w:pPr>
      <w:jc w:val="center"/>
    </w:pPr>
    <w:rPr>
      <w:rFonts w:ascii="黑体" w:hAnsi="宋体" w:eastAsia="黑体" w:cs="宋体"/>
      <w:b/>
      <w:bCs/>
      <w:sz w:val="32"/>
      <w:szCs w:val="20"/>
    </w:rPr>
  </w:style>
  <w:style w:type="paragraph" w:customStyle="1" w:styleId="1945">
    <w:name w:val="Char Char Char Char Char Char Char Char Char Char Char Char Char Char Char Char Char1"/>
    <w:basedOn w:val="1"/>
    <w:qFormat/>
    <w:uiPriority w:val="0"/>
    <w:pPr>
      <w:widowControl/>
      <w:jc w:val="left"/>
    </w:pPr>
    <w:rPr>
      <w:rFonts w:ascii="宋体" w:hAnsi="宋体" w:cs="宋体"/>
      <w:kern w:val="0"/>
      <w:szCs w:val="24"/>
    </w:rPr>
  </w:style>
  <w:style w:type="paragraph" w:customStyle="1" w:styleId="1946">
    <w:name w:val="表内5314"/>
    <w:basedOn w:val="1"/>
    <w:qFormat/>
    <w:uiPriority w:val="0"/>
    <w:pPr>
      <w:widowControl/>
      <w:spacing w:line="300" w:lineRule="auto"/>
      <w:jc w:val="left"/>
    </w:pPr>
    <w:rPr>
      <w:rFonts w:ascii="宋体" w:hAnsi="宋体" w:cs="宋体"/>
      <w:kern w:val="0"/>
      <w:szCs w:val="20"/>
    </w:rPr>
  </w:style>
  <w:style w:type="paragraph" w:customStyle="1" w:styleId="1947">
    <w:name w:val="xl86"/>
    <w:basedOn w:val="1"/>
    <w:qFormat/>
    <w:uiPriority w:val="0"/>
    <w:pPr>
      <w:widowControl/>
      <w:pBdr>
        <w:left w:val="single" w:color="auto" w:sz="8" w:space="0"/>
        <w:bottom w:val="single" w:color="auto" w:sz="8" w:space="0"/>
      </w:pBdr>
      <w:spacing w:before="100" w:beforeAutospacing="1" w:after="100" w:afterAutospacing="1"/>
      <w:jc w:val="center"/>
    </w:pPr>
    <w:rPr>
      <w:kern w:val="0"/>
      <w:szCs w:val="21"/>
    </w:rPr>
  </w:style>
  <w:style w:type="paragraph" w:customStyle="1" w:styleId="1948">
    <w:name w:val="表格内字体72"/>
    <w:basedOn w:val="418"/>
    <w:next w:val="418"/>
    <w:qFormat/>
    <w:uiPriority w:val="0"/>
    <w:pPr>
      <w:spacing w:line="240" w:lineRule="auto"/>
      <w:ind w:firstLine="0"/>
      <w:jc w:val="center"/>
    </w:pPr>
    <w:rPr>
      <w:rFonts w:hAnsi="宋体"/>
      <w:sz w:val="21"/>
      <w:szCs w:val="24"/>
    </w:rPr>
  </w:style>
  <w:style w:type="paragraph" w:customStyle="1" w:styleId="1949">
    <w:name w:val="表中文字14"/>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1950">
    <w:name w:val="Char53"/>
    <w:basedOn w:val="1"/>
    <w:qFormat/>
    <w:uiPriority w:val="0"/>
    <w:pPr>
      <w:widowControl/>
      <w:ind w:left="-45"/>
      <w:jc w:val="left"/>
    </w:pPr>
    <w:rPr>
      <w:rFonts w:ascii="宋体" w:hAnsi="宋体" w:cs="宋体"/>
      <w:kern w:val="0"/>
      <w:szCs w:val="24"/>
    </w:rPr>
  </w:style>
  <w:style w:type="paragraph" w:customStyle="1" w:styleId="1951">
    <w:name w:val="表内5414"/>
    <w:basedOn w:val="1"/>
    <w:qFormat/>
    <w:uiPriority w:val="0"/>
    <w:pPr>
      <w:widowControl/>
      <w:spacing w:line="300" w:lineRule="auto"/>
      <w:jc w:val="center"/>
    </w:pPr>
    <w:rPr>
      <w:rFonts w:ascii="宋体" w:hAnsi="宋体" w:cs="宋体"/>
      <w:kern w:val="0"/>
      <w:szCs w:val="20"/>
    </w:rPr>
  </w:style>
  <w:style w:type="paragraph" w:customStyle="1" w:styleId="1952">
    <w:name w:val="Char Char2 Char Char Char Char18"/>
    <w:basedOn w:val="1"/>
    <w:qFormat/>
    <w:uiPriority w:val="0"/>
    <w:pPr>
      <w:widowControl/>
      <w:jc w:val="left"/>
    </w:pPr>
    <w:rPr>
      <w:rFonts w:ascii="宋体" w:hAnsi="宋体" w:cs="宋体"/>
      <w:kern w:val="0"/>
      <w:szCs w:val="24"/>
    </w:rPr>
  </w:style>
  <w:style w:type="paragraph" w:customStyle="1" w:styleId="1953">
    <w:name w:val="Char5"/>
    <w:basedOn w:val="1"/>
    <w:qFormat/>
    <w:uiPriority w:val="0"/>
    <w:pPr>
      <w:widowControl/>
      <w:jc w:val="left"/>
    </w:pPr>
    <w:rPr>
      <w:rFonts w:ascii="宋体" w:hAnsi="宋体" w:cs="宋体"/>
      <w:kern w:val="0"/>
      <w:szCs w:val="24"/>
    </w:rPr>
  </w:style>
  <w:style w:type="paragraph" w:customStyle="1" w:styleId="1954">
    <w:name w:val="表内文字小3133"/>
    <w:basedOn w:val="1"/>
    <w:qFormat/>
    <w:uiPriority w:val="0"/>
    <w:pPr>
      <w:widowControl/>
      <w:jc w:val="center"/>
    </w:pPr>
    <w:rPr>
      <w:rFonts w:ascii="宋体" w:hAnsi="Times" w:cs="宋体"/>
      <w:bCs/>
      <w:color w:val="003366"/>
      <w:kern w:val="0"/>
      <w:szCs w:val="20"/>
    </w:rPr>
  </w:style>
  <w:style w:type="paragraph" w:customStyle="1" w:styleId="1955">
    <w:name w:val="图题24"/>
    <w:basedOn w:val="418"/>
    <w:next w:val="418"/>
    <w:qFormat/>
    <w:uiPriority w:val="0"/>
    <w:pPr>
      <w:ind w:firstLine="0"/>
      <w:jc w:val="center"/>
    </w:pPr>
    <w:rPr>
      <w:rFonts w:ascii="黑体" w:hAnsi="宋体" w:eastAsia="黑体" w:cs="宋体"/>
      <w:b/>
      <w:bCs/>
      <w:szCs w:val="24"/>
    </w:rPr>
  </w:style>
  <w:style w:type="paragraph" w:customStyle="1" w:styleId="1956">
    <w:name w:val="xl2411"/>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1957">
    <w:name w:val="表61"/>
    <w:basedOn w:val="1"/>
    <w:qFormat/>
    <w:uiPriority w:val="0"/>
    <w:pPr>
      <w:widowControl/>
      <w:jc w:val="center"/>
    </w:pPr>
    <w:rPr>
      <w:rFonts w:ascii="宋体" w:hAnsi="宋体" w:cs="宋体"/>
      <w:kern w:val="0"/>
      <w:szCs w:val="24"/>
    </w:rPr>
  </w:style>
  <w:style w:type="paragraph" w:customStyle="1" w:styleId="1958">
    <w:name w:val="表内5313"/>
    <w:basedOn w:val="1"/>
    <w:qFormat/>
    <w:uiPriority w:val="0"/>
    <w:pPr>
      <w:widowControl/>
      <w:spacing w:line="300" w:lineRule="auto"/>
      <w:jc w:val="left"/>
    </w:pPr>
    <w:rPr>
      <w:rFonts w:ascii="宋体" w:hAnsi="宋体" w:cs="宋体"/>
      <w:kern w:val="0"/>
      <w:szCs w:val="20"/>
    </w:rPr>
  </w:style>
  <w:style w:type="paragraph" w:customStyle="1" w:styleId="1959">
    <w:name w:val="默认段落字体 Para Char Char Char Char Char1"/>
    <w:basedOn w:val="1"/>
    <w:qFormat/>
    <w:uiPriority w:val="0"/>
    <w:pPr>
      <w:widowControl/>
      <w:jc w:val="left"/>
    </w:pPr>
    <w:rPr>
      <w:rFonts w:ascii="宋体" w:hAnsi="宋体" w:cs="宋体"/>
      <w:kern w:val="0"/>
      <w:szCs w:val="24"/>
    </w:rPr>
  </w:style>
  <w:style w:type="paragraph" w:customStyle="1" w:styleId="1960">
    <w:name w:val="黑体三号321"/>
    <w:basedOn w:val="418"/>
    <w:qFormat/>
    <w:uiPriority w:val="0"/>
    <w:pPr>
      <w:jc w:val="center"/>
    </w:pPr>
    <w:rPr>
      <w:rFonts w:ascii="黑体" w:hAnsi="宋体" w:eastAsia="黑体" w:cs="宋体"/>
      <w:b/>
      <w:bCs/>
      <w:sz w:val="32"/>
      <w:szCs w:val="20"/>
    </w:rPr>
  </w:style>
  <w:style w:type="paragraph" w:customStyle="1" w:styleId="1961">
    <w:name w:val="标题2-1"/>
    <w:basedOn w:val="3"/>
    <w:qFormat/>
    <w:uiPriority w:val="0"/>
    <w:pPr>
      <w:widowControl w:val="0"/>
      <w:numPr>
        <w:ilvl w:val="0"/>
        <w:numId w:val="0"/>
      </w:numPr>
      <w:spacing w:before="0" w:after="0" w:line="300" w:lineRule="auto"/>
    </w:pPr>
    <w:rPr>
      <w:rFonts w:cs="宋体"/>
      <w:bCs w:val="0"/>
      <w:snapToGrid w:val="0"/>
      <w:sz w:val="30"/>
      <w:szCs w:val="30"/>
    </w:rPr>
  </w:style>
  <w:style w:type="paragraph" w:customStyle="1" w:styleId="1962">
    <w:name w:val="样式132"/>
    <w:basedOn w:val="1586"/>
    <w:qFormat/>
    <w:uiPriority w:val="0"/>
    <w:pPr>
      <w:spacing w:line="240" w:lineRule="auto"/>
      <w:ind w:firstLine="0"/>
      <w:jc w:val="center"/>
    </w:pPr>
    <w:rPr>
      <w:rFonts w:cs="Times New Roman"/>
      <w:b/>
      <w:color w:val="auto"/>
      <w:szCs w:val="20"/>
    </w:rPr>
  </w:style>
  <w:style w:type="paragraph" w:customStyle="1" w:styleId="1963">
    <w:name w:val="Char46"/>
    <w:basedOn w:val="1"/>
    <w:qFormat/>
    <w:uiPriority w:val="0"/>
    <w:pPr>
      <w:widowControl/>
      <w:ind w:left="-48"/>
      <w:jc w:val="left"/>
    </w:pPr>
    <w:rPr>
      <w:rFonts w:ascii="宋体" w:hAnsi="宋体" w:cs="宋体"/>
      <w:kern w:val="0"/>
      <w:szCs w:val="24"/>
    </w:rPr>
  </w:style>
  <w:style w:type="paragraph" w:customStyle="1" w:styleId="1964">
    <w:name w:val="正文格式＝8"/>
    <w:basedOn w:val="418"/>
    <w:next w:val="418"/>
    <w:qFormat/>
    <w:uiPriority w:val="0"/>
    <w:rPr>
      <w:rFonts w:hAnsi="宋体"/>
      <w:szCs w:val="24"/>
    </w:rPr>
  </w:style>
  <w:style w:type="paragraph" w:customStyle="1" w:styleId="1965">
    <w:name w:val="默认段落字体 Para Char311"/>
    <w:basedOn w:val="1"/>
    <w:qFormat/>
    <w:uiPriority w:val="0"/>
    <w:pPr>
      <w:widowControl/>
      <w:jc w:val="left"/>
    </w:pPr>
    <w:rPr>
      <w:rFonts w:ascii="宋体" w:hAnsi="宋体" w:cs="宋体"/>
      <w:kern w:val="0"/>
      <w:szCs w:val="24"/>
    </w:rPr>
  </w:style>
  <w:style w:type="paragraph" w:customStyle="1" w:styleId="1966">
    <w:name w:val="附件211"/>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1967">
    <w:name w:val="正文格式＝33"/>
    <w:basedOn w:val="418"/>
    <w:next w:val="418"/>
    <w:qFormat/>
    <w:uiPriority w:val="0"/>
    <w:rPr>
      <w:rFonts w:hAnsi="宋体"/>
      <w:szCs w:val="24"/>
    </w:rPr>
  </w:style>
  <w:style w:type="paragraph" w:customStyle="1" w:styleId="1968">
    <w:name w:val="Char461"/>
    <w:basedOn w:val="1"/>
    <w:qFormat/>
    <w:uiPriority w:val="0"/>
    <w:pPr>
      <w:widowControl/>
      <w:ind w:left="-48"/>
      <w:jc w:val="left"/>
    </w:pPr>
    <w:rPr>
      <w:rFonts w:ascii="宋体" w:hAnsi="宋体" w:cs="宋体"/>
      <w:kern w:val="0"/>
      <w:szCs w:val="24"/>
    </w:rPr>
  </w:style>
  <w:style w:type="paragraph" w:customStyle="1" w:styleId="1969">
    <w:name w:val="黑体三号2"/>
    <w:basedOn w:val="418"/>
    <w:qFormat/>
    <w:uiPriority w:val="0"/>
    <w:pPr>
      <w:jc w:val="center"/>
    </w:pPr>
    <w:rPr>
      <w:rFonts w:ascii="黑体" w:hAnsi="宋体" w:eastAsia="黑体" w:cs="宋体"/>
      <w:b/>
      <w:bCs/>
      <w:sz w:val="32"/>
      <w:szCs w:val="20"/>
    </w:rPr>
  </w:style>
  <w:style w:type="paragraph" w:customStyle="1" w:styleId="1970">
    <w:name w:val="附件2"/>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1971">
    <w:name w:val="表内文字边3"/>
    <w:basedOn w:val="1"/>
    <w:qFormat/>
    <w:uiPriority w:val="0"/>
    <w:pPr>
      <w:widowControl/>
      <w:spacing w:line="240" w:lineRule="atLeast"/>
      <w:ind w:left="-21" w:leftChars="-10" w:right="-42" w:rightChars="-20"/>
      <w:jc w:val="left"/>
    </w:pPr>
    <w:rPr>
      <w:rFonts w:ascii="宋体" w:hAnsi="宋体" w:cs="宋体"/>
      <w:kern w:val="0"/>
      <w:szCs w:val="21"/>
    </w:rPr>
  </w:style>
  <w:style w:type="paragraph" w:customStyle="1" w:styleId="1972">
    <w:name w:val="表格内字体63"/>
    <w:basedOn w:val="418"/>
    <w:next w:val="418"/>
    <w:qFormat/>
    <w:uiPriority w:val="0"/>
    <w:pPr>
      <w:spacing w:line="240" w:lineRule="auto"/>
      <w:ind w:firstLine="0"/>
      <w:jc w:val="center"/>
    </w:pPr>
    <w:rPr>
      <w:rFonts w:hAnsi="宋体"/>
      <w:sz w:val="21"/>
      <w:szCs w:val="24"/>
    </w:rPr>
  </w:style>
  <w:style w:type="paragraph" w:customStyle="1" w:styleId="1973">
    <w:name w:val="样式1131"/>
    <w:basedOn w:val="1586"/>
    <w:qFormat/>
    <w:uiPriority w:val="0"/>
    <w:pPr>
      <w:spacing w:line="240" w:lineRule="auto"/>
      <w:ind w:firstLine="0"/>
      <w:jc w:val="center"/>
    </w:pPr>
    <w:rPr>
      <w:rFonts w:cs="Times New Roman"/>
      <w:b/>
      <w:color w:val="auto"/>
      <w:szCs w:val="20"/>
    </w:rPr>
  </w:style>
  <w:style w:type="paragraph" w:customStyle="1" w:styleId="1974">
    <w:name w:val="a3"/>
    <w:basedOn w:val="1"/>
    <w:qFormat/>
    <w:uiPriority w:val="0"/>
    <w:pPr>
      <w:widowControl/>
      <w:spacing w:before="100" w:beforeAutospacing="1" w:after="100" w:afterAutospacing="1"/>
      <w:jc w:val="left"/>
    </w:pPr>
    <w:rPr>
      <w:rFonts w:ascii="宋体" w:hAnsi="宋体" w:cs="宋体"/>
      <w:kern w:val="0"/>
      <w:szCs w:val="24"/>
    </w:rPr>
  </w:style>
  <w:style w:type="paragraph" w:customStyle="1" w:styleId="1975">
    <w:name w:val="正文格式212"/>
    <w:basedOn w:val="1"/>
    <w:qFormat/>
    <w:uiPriority w:val="0"/>
    <w:pPr>
      <w:widowControl/>
      <w:ind w:firstLine="482"/>
      <w:jc w:val="left"/>
    </w:pPr>
    <w:rPr>
      <w:rFonts w:ascii="宋体" w:hAnsi="宋体" w:cs="宋体"/>
      <w:kern w:val="0"/>
      <w:szCs w:val="24"/>
    </w:rPr>
  </w:style>
  <w:style w:type="paragraph" w:customStyle="1" w:styleId="1976">
    <w:name w:val="表内5中11"/>
    <w:basedOn w:val="1"/>
    <w:qFormat/>
    <w:uiPriority w:val="0"/>
    <w:pPr>
      <w:widowControl/>
      <w:jc w:val="center"/>
    </w:pPr>
    <w:rPr>
      <w:rFonts w:ascii="宋体" w:hAnsi="宋体" w:cs="Arial"/>
      <w:snapToGrid w:val="0"/>
      <w:kern w:val="0"/>
      <w:szCs w:val="21"/>
    </w:rPr>
  </w:style>
  <w:style w:type="paragraph" w:customStyle="1" w:styleId="1977">
    <w:name w:val="黑体三号3"/>
    <w:basedOn w:val="418"/>
    <w:qFormat/>
    <w:uiPriority w:val="0"/>
    <w:pPr>
      <w:jc w:val="center"/>
    </w:pPr>
    <w:rPr>
      <w:rFonts w:ascii="黑体" w:hAnsi="宋体" w:eastAsia="黑体" w:cs="宋体"/>
      <w:b/>
      <w:bCs/>
      <w:sz w:val="32"/>
      <w:szCs w:val="20"/>
    </w:rPr>
  </w:style>
  <w:style w:type="paragraph" w:customStyle="1" w:styleId="1978">
    <w:name w:val="Char3 Char Char Char"/>
    <w:basedOn w:val="1"/>
    <w:qFormat/>
    <w:uiPriority w:val="0"/>
    <w:pPr>
      <w:widowControl/>
      <w:spacing w:line="340" w:lineRule="exact"/>
      <w:ind w:firstLine="10" w:firstLineChars="4"/>
      <w:jc w:val="left"/>
    </w:pPr>
    <w:rPr>
      <w:rFonts w:ascii="宋体" w:hAnsi="宋体" w:cs="宋体"/>
      <w:kern w:val="0"/>
      <w:szCs w:val="28"/>
    </w:rPr>
  </w:style>
  <w:style w:type="paragraph" w:customStyle="1" w:styleId="1979">
    <w:name w:val="标题421"/>
    <w:basedOn w:val="1"/>
    <w:qFormat/>
    <w:uiPriority w:val="0"/>
    <w:pPr>
      <w:widowControl/>
      <w:spacing w:line="300" w:lineRule="auto"/>
      <w:jc w:val="left"/>
    </w:pPr>
    <w:rPr>
      <w:rFonts w:ascii="黑体" w:hAnsi="宋体" w:eastAsia="黑体" w:cs="宋体"/>
      <w:bCs/>
      <w:kern w:val="0"/>
      <w:szCs w:val="24"/>
    </w:rPr>
  </w:style>
  <w:style w:type="paragraph" w:customStyle="1" w:styleId="1980">
    <w:name w:val="Char Char Char Char Char Char Char217"/>
    <w:basedOn w:val="1"/>
    <w:qFormat/>
    <w:uiPriority w:val="0"/>
    <w:pPr>
      <w:widowControl/>
      <w:jc w:val="left"/>
    </w:pPr>
    <w:rPr>
      <w:rFonts w:ascii="宋体" w:hAnsi="宋体" w:cs="宋体"/>
      <w:kern w:val="0"/>
      <w:szCs w:val="24"/>
    </w:rPr>
  </w:style>
  <w:style w:type="paragraph" w:customStyle="1" w:styleId="1981">
    <w:name w:val="表内宋5中23"/>
    <w:basedOn w:val="1"/>
    <w:qFormat/>
    <w:uiPriority w:val="0"/>
    <w:pPr>
      <w:widowControl/>
      <w:jc w:val="center"/>
      <w:textAlignment w:val="baseline"/>
    </w:pPr>
    <w:rPr>
      <w:rFonts w:ascii="宋体" w:hAnsi="宋体" w:cs="宋体"/>
      <w:kern w:val="0"/>
      <w:szCs w:val="20"/>
    </w:rPr>
  </w:style>
  <w:style w:type="paragraph" w:customStyle="1" w:styleId="1982">
    <w:name w:val="默认段落字体 Para Char7"/>
    <w:basedOn w:val="1"/>
    <w:qFormat/>
    <w:uiPriority w:val="0"/>
    <w:pPr>
      <w:widowControl/>
      <w:jc w:val="left"/>
    </w:pPr>
    <w:rPr>
      <w:rFonts w:ascii="宋体" w:hAnsi="宋体" w:cs="宋体"/>
      <w:kern w:val="0"/>
      <w:szCs w:val="24"/>
    </w:rPr>
  </w:style>
  <w:style w:type="paragraph" w:customStyle="1" w:styleId="1983">
    <w:name w:val="表内文字小3142"/>
    <w:basedOn w:val="1"/>
    <w:qFormat/>
    <w:uiPriority w:val="0"/>
    <w:pPr>
      <w:widowControl/>
      <w:jc w:val="center"/>
    </w:pPr>
    <w:rPr>
      <w:rFonts w:ascii="宋体" w:hAnsi="Times" w:cs="宋体"/>
      <w:bCs/>
      <w:color w:val="003366"/>
      <w:kern w:val="0"/>
      <w:szCs w:val="20"/>
    </w:rPr>
  </w:style>
  <w:style w:type="paragraph" w:customStyle="1" w:styleId="1984">
    <w:name w:val="表格11"/>
    <w:basedOn w:val="1"/>
    <w:qFormat/>
    <w:uiPriority w:val="0"/>
    <w:pPr>
      <w:widowControl/>
      <w:jc w:val="center"/>
      <w:textAlignment w:val="baseline"/>
    </w:pPr>
    <w:rPr>
      <w:rFonts w:ascii="宋体" w:hAnsi="宋体" w:cs="宋体"/>
      <w:kern w:val="0"/>
      <w:szCs w:val="20"/>
    </w:rPr>
  </w:style>
  <w:style w:type="paragraph" w:customStyle="1" w:styleId="1985">
    <w:name w:val="样式 标题 3 + (西文)粗体"/>
    <w:basedOn w:val="4"/>
    <w:qFormat/>
    <w:uiPriority w:val="0"/>
  </w:style>
  <w:style w:type="paragraph" w:customStyle="1" w:styleId="1986">
    <w:name w:val="表题313"/>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1987">
    <w:name w:val="Char27"/>
    <w:basedOn w:val="1"/>
    <w:qFormat/>
    <w:uiPriority w:val="0"/>
    <w:pPr>
      <w:widowControl/>
      <w:ind w:left="-48"/>
      <w:jc w:val="left"/>
    </w:pPr>
    <w:rPr>
      <w:rFonts w:ascii="宋体" w:hAnsi="宋体" w:cs="宋体"/>
      <w:kern w:val="0"/>
      <w:szCs w:val="24"/>
    </w:rPr>
  </w:style>
  <w:style w:type="paragraph" w:customStyle="1" w:styleId="1988">
    <w:name w:val="Char Char Char Char Char Char Char Char Char Char Char Char Char Char Char Char Char Char Char Char Char Char Char Char Char Char"/>
    <w:basedOn w:val="1"/>
    <w:qFormat/>
    <w:uiPriority w:val="0"/>
    <w:pPr>
      <w:widowControl/>
      <w:jc w:val="left"/>
    </w:pPr>
    <w:rPr>
      <w:rFonts w:ascii="宋体" w:hAnsi="宋体" w:cs="宋体"/>
      <w:kern w:val="0"/>
      <w:szCs w:val="24"/>
    </w:rPr>
  </w:style>
  <w:style w:type="paragraph" w:customStyle="1" w:styleId="1989">
    <w:name w:val="正文.23"/>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1990">
    <w:name w:val="表中文字8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1991">
    <w:name w:val="表内小5中"/>
    <w:basedOn w:val="1"/>
    <w:qFormat/>
    <w:uiPriority w:val="0"/>
    <w:pPr>
      <w:widowControl/>
      <w:jc w:val="center"/>
    </w:pPr>
    <w:rPr>
      <w:rFonts w:ascii="宋体" w:hAnsi="宋体" w:cs="宋体"/>
      <w:kern w:val="0"/>
      <w:sz w:val="18"/>
      <w:szCs w:val="20"/>
    </w:rPr>
  </w:style>
  <w:style w:type="paragraph" w:customStyle="1" w:styleId="1992">
    <w:name w:val="Fax Header4"/>
    <w:basedOn w:val="1"/>
    <w:qFormat/>
    <w:uiPriority w:val="0"/>
    <w:pPr>
      <w:widowControl/>
      <w:spacing w:before="240" w:after="60"/>
      <w:jc w:val="left"/>
    </w:pPr>
    <w:rPr>
      <w:rFonts w:ascii="宋体" w:hAnsi="宋体" w:cs="宋体"/>
      <w:kern w:val="0"/>
      <w:sz w:val="20"/>
      <w:szCs w:val="20"/>
    </w:rPr>
  </w:style>
  <w:style w:type="paragraph" w:customStyle="1" w:styleId="1993">
    <w:name w:val="默认段落字体 Para Char51"/>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1994">
    <w:name w:val="Char136"/>
    <w:basedOn w:val="1"/>
    <w:qFormat/>
    <w:uiPriority w:val="0"/>
    <w:pPr>
      <w:widowControl/>
      <w:ind w:left="-48"/>
      <w:jc w:val="left"/>
    </w:pPr>
    <w:rPr>
      <w:rFonts w:ascii="宋体" w:hAnsi="宋体" w:cs="宋体"/>
      <w:kern w:val="0"/>
      <w:szCs w:val="24"/>
    </w:rPr>
  </w:style>
  <w:style w:type="paragraph" w:customStyle="1" w:styleId="1995">
    <w:name w:val="xl63"/>
    <w:basedOn w:val="1"/>
    <w:qFormat/>
    <w:uiPriority w:val="0"/>
    <w:pPr>
      <w:widowControl/>
      <w:pBdr>
        <w:top w:val="single" w:color="auto" w:sz="4" w:space="0"/>
        <w:left w:val="double" w:color="auto" w:sz="6" w:space="0"/>
        <w:bottom w:val="double" w:color="auto" w:sz="6" w:space="0"/>
        <w:right w:val="single" w:color="auto" w:sz="4" w:space="0"/>
      </w:pBdr>
      <w:spacing w:before="100" w:beforeAutospacing="1" w:after="100" w:afterAutospacing="1"/>
      <w:jc w:val="left"/>
      <w:textAlignment w:val="center"/>
    </w:pPr>
    <w:rPr>
      <w:rFonts w:hint="eastAsia" w:ascii="PMingLiU" w:eastAsia="PMingLiU"/>
      <w:kern w:val="0"/>
      <w:sz w:val="16"/>
      <w:szCs w:val="16"/>
      <w:lang w:eastAsia="zh-TW"/>
    </w:rPr>
  </w:style>
  <w:style w:type="paragraph" w:customStyle="1" w:styleId="1996">
    <w:name w:val="正文格式＝10"/>
    <w:basedOn w:val="418"/>
    <w:next w:val="418"/>
    <w:qFormat/>
    <w:uiPriority w:val="0"/>
    <w:rPr>
      <w:rFonts w:hAnsi="宋体"/>
      <w:szCs w:val="24"/>
    </w:rPr>
  </w:style>
  <w:style w:type="paragraph" w:customStyle="1" w:styleId="1997">
    <w:name w:val="Char Char Char Char2"/>
    <w:basedOn w:val="1"/>
    <w:qFormat/>
    <w:uiPriority w:val="0"/>
    <w:pPr>
      <w:widowControl/>
      <w:jc w:val="left"/>
    </w:pPr>
    <w:rPr>
      <w:rFonts w:ascii="仿宋_GB2312" w:hAnsi="宋体" w:cs="宋体"/>
      <w:kern w:val="24"/>
      <w:szCs w:val="20"/>
    </w:rPr>
  </w:style>
  <w:style w:type="paragraph" w:customStyle="1" w:styleId="1998">
    <w:name w:val="表格文字中"/>
    <w:basedOn w:val="1"/>
    <w:next w:val="482"/>
    <w:qFormat/>
    <w:uiPriority w:val="0"/>
    <w:pPr>
      <w:keepNext/>
      <w:widowControl/>
      <w:tabs>
        <w:tab w:val="left" w:pos="1727"/>
        <w:tab w:val="left" w:pos="1884"/>
      </w:tabs>
      <w:jc w:val="center"/>
    </w:pPr>
    <w:rPr>
      <w:rFonts w:ascii="宋体" w:hAnsi="宋体" w:cs="宋体"/>
      <w:kern w:val="0"/>
      <w:szCs w:val="24"/>
    </w:rPr>
  </w:style>
  <w:style w:type="paragraph" w:customStyle="1" w:styleId="1999">
    <w:name w:val="Char Char Char1"/>
    <w:basedOn w:val="1"/>
    <w:qFormat/>
    <w:uiPriority w:val="0"/>
    <w:pPr>
      <w:widowControl/>
      <w:jc w:val="left"/>
    </w:pPr>
    <w:rPr>
      <w:rFonts w:ascii="宋体" w:hAnsi="宋体" w:cs="宋体"/>
      <w:kern w:val="0"/>
      <w:szCs w:val="24"/>
    </w:rPr>
  </w:style>
  <w:style w:type="paragraph" w:customStyle="1" w:styleId="2000">
    <w:name w:val="福建正文缩进13"/>
    <w:basedOn w:val="112"/>
    <w:qFormat/>
    <w:uiPriority w:val="0"/>
    <w:pPr>
      <w:ind w:firstLine="567"/>
    </w:pPr>
    <w:rPr>
      <w:rFonts w:hAnsi="Calibri"/>
    </w:rPr>
  </w:style>
  <w:style w:type="paragraph" w:customStyle="1" w:styleId="2001">
    <w:name w:val="福建正文缩进11"/>
    <w:basedOn w:val="112"/>
    <w:qFormat/>
    <w:uiPriority w:val="0"/>
    <w:pPr>
      <w:ind w:firstLine="567"/>
    </w:pPr>
    <w:rPr>
      <w:rFonts w:hAnsi="Calibri"/>
    </w:rPr>
  </w:style>
  <w:style w:type="paragraph" w:customStyle="1" w:styleId="2002">
    <w:name w:val="表格文字居中 Char"/>
    <w:basedOn w:val="46"/>
    <w:qFormat/>
    <w:uiPriority w:val="0"/>
    <w:pPr>
      <w:keepNext/>
      <w:widowControl/>
      <w:tabs>
        <w:tab w:val="left" w:pos="-1820"/>
        <w:tab w:val="left" w:pos="1727"/>
        <w:tab w:val="left" w:pos="1884"/>
      </w:tabs>
      <w:spacing w:line="360" w:lineRule="auto"/>
      <w:ind w:left="-2" w:leftChars="-4" w:right="-176" w:rightChars="-84" w:hanging="6"/>
    </w:pPr>
    <w:rPr>
      <w:rFonts w:ascii="楷体_GB2312" w:hAnsi="楷体_GB2312" w:eastAsia="楷体_GB2312" w:cs="宋体"/>
      <w:kern w:val="0"/>
      <w:sz w:val="21"/>
      <w:szCs w:val="21"/>
    </w:rPr>
  </w:style>
  <w:style w:type="paragraph" w:customStyle="1" w:styleId="2003">
    <w:name w:val="Char Char Char Char Char Char Char251"/>
    <w:basedOn w:val="1"/>
    <w:qFormat/>
    <w:uiPriority w:val="0"/>
    <w:pPr>
      <w:widowControl/>
      <w:jc w:val="left"/>
    </w:pPr>
    <w:rPr>
      <w:rFonts w:ascii="宋体" w:hAnsi="宋体" w:cs="宋体"/>
      <w:kern w:val="0"/>
      <w:szCs w:val="24"/>
    </w:rPr>
  </w:style>
  <w:style w:type="paragraph" w:customStyle="1" w:styleId="2004">
    <w:name w:val="表题3143"/>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005">
    <w:name w:val="Char Char Char Char Char Char Char133"/>
    <w:basedOn w:val="1"/>
    <w:qFormat/>
    <w:uiPriority w:val="0"/>
    <w:pPr>
      <w:widowControl/>
      <w:jc w:val="left"/>
    </w:pPr>
    <w:rPr>
      <w:rFonts w:ascii="宋体" w:hAnsi="宋体" w:cs="宋体"/>
      <w:kern w:val="0"/>
      <w:szCs w:val="24"/>
    </w:rPr>
  </w:style>
  <w:style w:type="paragraph" w:customStyle="1" w:styleId="2006">
    <w:name w:val="标题4211"/>
    <w:basedOn w:val="1"/>
    <w:qFormat/>
    <w:uiPriority w:val="0"/>
    <w:pPr>
      <w:widowControl/>
      <w:spacing w:line="300" w:lineRule="auto"/>
      <w:jc w:val="left"/>
    </w:pPr>
    <w:rPr>
      <w:rFonts w:ascii="黑体" w:hAnsi="宋体" w:eastAsia="黑体" w:cs="宋体"/>
      <w:bCs/>
      <w:kern w:val="0"/>
      <w:szCs w:val="24"/>
    </w:rPr>
  </w:style>
  <w:style w:type="paragraph" w:customStyle="1" w:styleId="2007">
    <w:name w:val="块项目"/>
    <w:basedOn w:val="98"/>
    <w:next w:val="1"/>
    <w:qFormat/>
    <w:uiPriority w:val="0"/>
    <w:pPr>
      <w:tabs>
        <w:tab w:val="left" w:pos="976"/>
      </w:tabs>
      <w:spacing w:before="120" w:after="120"/>
      <w:ind w:left="992" w:hanging="527"/>
    </w:pPr>
    <w:rPr>
      <w:rFonts w:ascii="Times New Roman" w:hAnsi="Times New Roman" w:cs="Times New Roman"/>
      <w:b/>
      <w:color w:val="000000"/>
      <w:spacing w:val="20"/>
    </w:rPr>
  </w:style>
  <w:style w:type="paragraph" w:customStyle="1" w:styleId="2008">
    <w:name w:val="表格内容3"/>
    <w:basedOn w:val="98"/>
    <w:qFormat/>
    <w:uiPriority w:val="0"/>
    <w:pPr>
      <w:jc w:val="center"/>
    </w:pPr>
    <w:rPr>
      <w:rFonts w:ascii="Times New Roman" w:hAnsi="Times New Roman" w:cs="Times New Roman"/>
      <w:color w:val="000000"/>
      <w:szCs w:val="21"/>
    </w:rPr>
  </w:style>
  <w:style w:type="paragraph" w:customStyle="1" w:styleId="2009">
    <w:name w:val="表中文字211"/>
    <w:basedOn w:val="1"/>
    <w:qFormat/>
    <w:uiPriority w:val="0"/>
    <w:pPr>
      <w:widowControl/>
      <w:spacing w:line="240" w:lineRule="atLeast"/>
      <w:ind w:right="-42" w:rightChars="-20"/>
      <w:jc w:val="center"/>
      <w:textAlignment w:val="baseline"/>
    </w:pPr>
    <w:rPr>
      <w:rFonts w:ascii="宋体" w:hAnsi="宋体" w:cs="宋体"/>
      <w:kern w:val="0"/>
      <w:szCs w:val="21"/>
    </w:rPr>
  </w:style>
  <w:style w:type="paragraph" w:customStyle="1" w:styleId="2010">
    <w:name w:val="谏壁标题2(chen）"/>
    <w:basedOn w:val="1"/>
    <w:qFormat/>
    <w:uiPriority w:val="0"/>
    <w:pPr>
      <w:keepNext/>
      <w:keepLines/>
      <w:widowControl/>
      <w:spacing w:after="120"/>
      <w:jc w:val="left"/>
      <w:outlineLvl w:val="1"/>
    </w:pPr>
    <w:rPr>
      <w:rFonts w:ascii="宋体" w:hAnsi="宋体" w:eastAsia="黑体" w:cs="宋体"/>
      <w:kern w:val="0"/>
      <w:sz w:val="32"/>
      <w:szCs w:val="32"/>
    </w:rPr>
  </w:style>
  <w:style w:type="paragraph" w:customStyle="1" w:styleId="2011">
    <w:name w:val="样式 仿宋_GB2312 小四1"/>
    <w:basedOn w:val="1"/>
    <w:qFormat/>
    <w:uiPriority w:val="0"/>
    <w:pPr>
      <w:widowControl/>
      <w:ind w:firstLine="480"/>
      <w:jc w:val="left"/>
      <w:textAlignment w:val="baseline"/>
    </w:pPr>
    <w:rPr>
      <w:rFonts w:ascii="宋体" w:hAnsi="宋体" w:cs="宋体"/>
      <w:kern w:val="0"/>
      <w:szCs w:val="24"/>
    </w:rPr>
  </w:style>
  <w:style w:type="paragraph" w:customStyle="1" w:styleId="2012">
    <w:name w:val="Char Char Char Char Char Char Char Char Char Char"/>
    <w:basedOn w:val="1"/>
    <w:qFormat/>
    <w:uiPriority w:val="0"/>
    <w:pPr>
      <w:spacing w:line="240" w:lineRule="exact"/>
    </w:pPr>
    <w:rPr>
      <w:rFonts w:ascii="宋体" w:hAnsi="宋体" w:cs="宋体"/>
      <w:sz w:val="36"/>
      <w:szCs w:val="36"/>
    </w:rPr>
  </w:style>
  <w:style w:type="paragraph" w:customStyle="1" w:styleId="2013">
    <w:name w:val="Char14"/>
    <w:basedOn w:val="1"/>
    <w:qFormat/>
    <w:uiPriority w:val="0"/>
    <w:pPr>
      <w:widowControl/>
      <w:ind w:left="-48"/>
      <w:jc w:val="left"/>
    </w:pPr>
    <w:rPr>
      <w:rFonts w:ascii="宋体" w:hAnsi="宋体" w:cs="宋体"/>
      <w:kern w:val="0"/>
      <w:szCs w:val="24"/>
    </w:rPr>
  </w:style>
  <w:style w:type="paragraph" w:customStyle="1" w:styleId="2014">
    <w:name w:val="表体"/>
    <w:basedOn w:val="1"/>
    <w:qFormat/>
    <w:uiPriority w:val="0"/>
    <w:pPr>
      <w:overflowPunct w:val="0"/>
      <w:spacing w:line="300" w:lineRule="atLeast"/>
      <w:jc w:val="center"/>
    </w:pPr>
    <w:rPr>
      <w:kern w:val="24"/>
      <w:sz w:val="18"/>
      <w:szCs w:val="20"/>
    </w:rPr>
  </w:style>
  <w:style w:type="paragraph" w:customStyle="1" w:styleId="2015">
    <w:name w:val="正文格式＝312"/>
    <w:basedOn w:val="418"/>
    <w:next w:val="418"/>
    <w:qFormat/>
    <w:uiPriority w:val="0"/>
    <w:rPr>
      <w:rFonts w:hAnsi="宋体"/>
      <w:szCs w:val="24"/>
    </w:rPr>
  </w:style>
  <w:style w:type="paragraph" w:customStyle="1" w:styleId="2016">
    <w:name w:val="小四宋居中1.0"/>
    <w:basedOn w:val="1"/>
    <w:next w:val="1"/>
    <w:qFormat/>
    <w:uiPriority w:val="0"/>
    <w:pPr>
      <w:widowControl/>
      <w:spacing w:line="400" w:lineRule="exact"/>
      <w:jc w:val="center"/>
    </w:pPr>
    <w:rPr>
      <w:rFonts w:ascii="仿宋_GB2312" w:hAnsi="宋体" w:cs="宋体"/>
      <w:kern w:val="0"/>
      <w:szCs w:val="24"/>
    </w:rPr>
  </w:style>
  <w:style w:type="paragraph" w:customStyle="1" w:styleId="2017">
    <w:name w:val="样式 标题 4无效格式无效格式1河石管道4H4H41小小节河石管道41H42H411小小节1河石管道42..."/>
    <w:basedOn w:val="5"/>
    <w:qFormat/>
    <w:uiPriority w:val="0"/>
    <w:pPr>
      <w:numPr>
        <w:ilvl w:val="0"/>
        <w:numId w:val="0"/>
      </w:numPr>
      <w:spacing w:after="0" w:line="360" w:lineRule="auto"/>
      <w:ind w:left="664" w:hanging="864"/>
    </w:pPr>
    <w:rPr>
      <w:rFonts w:ascii="黑体" w:hAnsi="Arial" w:eastAsia="黑体"/>
      <w:b w:val="0"/>
      <w:bCs w:val="0"/>
      <w:kern w:val="2"/>
      <w:sz w:val="24"/>
      <w:szCs w:val="24"/>
    </w:rPr>
  </w:style>
  <w:style w:type="paragraph" w:customStyle="1" w:styleId="2018">
    <w:name w:val="默认段落字体 Para Char33"/>
    <w:basedOn w:val="1"/>
    <w:qFormat/>
    <w:uiPriority w:val="0"/>
    <w:pPr>
      <w:widowControl/>
      <w:jc w:val="left"/>
    </w:pPr>
    <w:rPr>
      <w:rFonts w:ascii="宋体" w:hAnsi="宋体" w:cs="宋体"/>
      <w:kern w:val="0"/>
      <w:szCs w:val="24"/>
    </w:rPr>
  </w:style>
  <w:style w:type="paragraph" w:customStyle="1" w:styleId="2019">
    <w:name w:val="表题3142"/>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020">
    <w:name w:val="标准1"/>
    <w:basedOn w:val="1"/>
    <w:qFormat/>
    <w:uiPriority w:val="0"/>
    <w:pPr>
      <w:widowControl/>
      <w:spacing w:before="120" w:line="336" w:lineRule="auto"/>
      <w:jc w:val="center"/>
      <w:textAlignment w:val="baseline"/>
    </w:pPr>
    <w:rPr>
      <w:rFonts w:ascii="黑体" w:hAnsi="宋体" w:eastAsia="黑体" w:cs="宋体"/>
      <w:kern w:val="0"/>
      <w:szCs w:val="20"/>
    </w:rPr>
  </w:style>
  <w:style w:type="paragraph" w:customStyle="1" w:styleId="2021">
    <w:name w:val="表内文字小3"/>
    <w:basedOn w:val="1"/>
    <w:qFormat/>
    <w:uiPriority w:val="0"/>
    <w:pPr>
      <w:widowControl/>
      <w:jc w:val="center"/>
    </w:pPr>
    <w:rPr>
      <w:rFonts w:ascii="宋体" w:hAnsi="Times" w:cs="宋体"/>
      <w:kern w:val="0"/>
      <w:szCs w:val="20"/>
    </w:rPr>
  </w:style>
  <w:style w:type="paragraph" w:customStyle="1" w:styleId="2022">
    <w:name w:val="表中文字114"/>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023">
    <w:name w:val="正文格式＝63"/>
    <w:basedOn w:val="418"/>
    <w:next w:val="418"/>
    <w:qFormat/>
    <w:uiPriority w:val="0"/>
    <w:rPr>
      <w:rFonts w:hAnsi="宋体"/>
      <w:szCs w:val="24"/>
    </w:rPr>
  </w:style>
  <w:style w:type="paragraph" w:customStyle="1" w:styleId="2024">
    <w:name w:val="Char Char Char Char Char Char Char311"/>
    <w:basedOn w:val="1"/>
    <w:qFormat/>
    <w:uiPriority w:val="0"/>
    <w:pPr>
      <w:widowControl/>
      <w:jc w:val="left"/>
    </w:pPr>
    <w:rPr>
      <w:rFonts w:ascii="宋体" w:hAnsi="宋体" w:cs="宋体"/>
      <w:kern w:val="0"/>
      <w:szCs w:val="24"/>
    </w:rPr>
  </w:style>
  <w:style w:type="paragraph" w:customStyle="1" w:styleId="2025">
    <w:name w:val="燕山正文1311"/>
    <w:basedOn w:val="1"/>
    <w:qFormat/>
    <w:uiPriority w:val="0"/>
    <w:pPr>
      <w:widowControl/>
      <w:tabs>
        <w:tab w:val="left" w:pos="4680"/>
      </w:tabs>
      <w:ind w:firstLine="480"/>
      <w:jc w:val="left"/>
    </w:pPr>
    <w:rPr>
      <w:rFonts w:ascii="宋体" w:hAnsi="宋体" w:cs="宋体"/>
      <w:bCs/>
      <w:kern w:val="0"/>
      <w:szCs w:val="24"/>
    </w:rPr>
  </w:style>
  <w:style w:type="paragraph" w:customStyle="1" w:styleId="2026">
    <w:name w:val="表内文字小81"/>
    <w:basedOn w:val="1"/>
    <w:qFormat/>
    <w:uiPriority w:val="0"/>
    <w:pPr>
      <w:widowControl/>
      <w:jc w:val="center"/>
    </w:pPr>
    <w:rPr>
      <w:rFonts w:ascii="宋体" w:hAnsi="Times" w:cs="宋体"/>
      <w:kern w:val="0"/>
      <w:szCs w:val="20"/>
    </w:rPr>
  </w:style>
  <w:style w:type="paragraph" w:customStyle="1" w:styleId="2027">
    <w:name w:val="Char171"/>
    <w:basedOn w:val="1"/>
    <w:qFormat/>
    <w:uiPriority w:val="0"/>
    <w:pPr>
      <w:widowControl/>
      <w:ind w:left="-48"/>
      <w:jc w:val="left"/>
    </w:pPr>
    <w:rPr>
      <w:rFonts w:ascii="宋体" w:hAnsi="宋体" w:cs="宋体"/>
      <w:kern w:val="0"/>
      <w:szCs w:val="24"/>
    </w:rPr>
  </w:style>
  <w:style w:type="paragraph" w:customStyle="1" w:styleId="2028">
    <w:name w:val="表内文字小1111"/>
    <w:basedOn w:val="1"/>
    <w:qFormat/>
    <w:uiPriority w:val="0"/>
    <w:pPr>
      <w:widowControl/>
      <w:jc w:val="left"/>
    </w:pPr>
    <w:rPr>
      <w:rFonts w:ascii="宋体" w:hAnsi="Times" w:cs="宋体"/>
      <w:kern w:val="0"/>
      <w:szCs w:val="20"/>
    </w:rPr>
  </w:style>
  <w:style w:type="paragraph" w:customStyle="1" w:styleId="2029">
    <w:name w:val="23-47表名1"/>
    <w:basedOn w:val="1"/>
    <w:qFormat/>
    <w:uiPriority w:val="0"/>
    <w:pPr>
      <w:widowControl/>
      <w:spacing w:after="156" w:line="440" w:lineRule="exact"/>
      <w:jc w:val="center"/>
    </w:pPr>
    <w:rPr>
      <w:rFonts w:ascii="宋体" w:hAnsi="宋体" w:cs="宋体"/>
      <w:b/>
      <w:kern w:val="0"/>
      <w:szCs w:val="24"/>
    </w:rPr>
  </w:style>
  <w:style w:type="paragraph" w:customStyle="1" w:styleId="2030">
    <w:name w:val="默认段落字体 Para Char Char Char Char9"/>
    <w:basedOn w:val="1"/>
    <w:qFormat/>
    <w:uiPriority w:val="0"/>
    <w:pPr>
      <w:widowControl/>
      <w:jc w:val="left"/>
    </w:pPr>
    <w:rPr>
      <w:rFonts w:ascii="宋体" w:hAnsi="宋体" w:cs="宋体"/>
      <w:kern w:val="0"/>
      <w:szCs w:val="24"/>
    </w:rPr>
  </w:style>
  <w:style w:type="paragraph" w:customStyle="1" w:styleId="2031">
    <w:name w:val="Char Char Char Char Char Char Char7"/>
    <w:basedOn w:val="1"/>
    <w:qFormat/>
    <w:uiPriority w:val="0"/>
    <w:pPr>
      <w:widowControl/>
      <w:jc w:val="left"/>
    </w:pPr>
    <w:rPr>
      <w:rFonts w:ascii="宋体" w:hAnsi="宋体" w:cs="宋体"/>
      <w:kern w:val="0"/>
      <w:szCs w:val="24"/>
    </w:rPr>
  </w:style>
  <w:style w:type="paragraph" w:customStyle="1" w:styleId="2032">
    <w:name w:val="Char Char Char Char Char Char Char42"/>
    <w:basedOn w:val="1"/>
    <w:qFormat/>
    <w:uiPriority w:val="0"/>
    <w:pPr>
      <w:widowControl/>
      <w:jc w:val="left"/>
    </w:pPr>
    <w:rPr>
      <w:rFonts w:ascii="宋体" w:hAnsi="宋体" w:cs="宋体"/>
      <w:kern w:val="0"/>
      <w:szCs w:val="24"/>
    </w:rPr>
  </w:style>
  <w:style w:type="paragraph" w:customStyle="1" w:styleId="2033">
    <w:name w:val="表中文字512"/>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034">
    <w:name w:val="Char Char Char Char Char Char Char45"/>
    <w:basedOn w:val="1"/>
    <w:qFormat/>
    <w:uiPriority w:val="0"/>
    <w:pPr>
      <w:widowControl/>
      <w:jc w:val="left"/>
    </w:pPr>
    <w:rPr>
      <w:rFonts w:ascii="宋体" w:hAnsi="宋体" w:cs="宋体"/>
      <w:kern w:val="0"/>
      <w:szCs w:val="24"/>
    </w:rPr>
  </w:style>
  <w:style w:type="paragraph" w:customStyle="1" w:styleId="2035">
    <w:name w:val="正文单倍行距"/>
    <w:basedOn w:val="1"/>
    <w:qFormat/>
    <w:uiPriority w:val="0"/>
    <w:pPr>
      <w:widowControl/>
      <w:tabs>
        <w:tab w:val="left" w:pos="8640"/>
      </w:tabs>
      <w:jc w:val="left"/>
    </w:pPr>
    <w:rPr>
      <w:rFonts w:ascii="宋体" w:hAnsi="宋体" w:cs="宋体"/>
      <w:kern w:val="0"/>
      <w:szCs w:val="24"/>
    </w:rPr>
  </w:style>
  <w:style w:type="paragraph" w:customStyle="1" w:styleId="2036">
    <w:name w:val="Char Char2 Char Char Char Char5"/>
    <w:basedOn w:val="1"/>
    <w:qFormat/>
    <w:uiPriority w:val="0"/>
    <w:pPr>
      <w:widowControl/>
      <w:jc w:val="left"/>
    </w:pPr>
    <w:rPr>
      <w:rFonts w:ascii="宋体" w:hAnsi="宋体" w:cs="宋体"/>
      <w:kern w:val="0"/>
      <w:szCs w:val="24"/>
    </w:rPr>
  </w:style>
  <w:style w:type="paragraph" w:customStyle="1" w:styleId="2037">
    <w:name w:val="表内5中411"/>
    <w:basedOn w:val="1"/>
    <w:qFormat/>
    <w:uiPriority w:val="0"/>
    <w:pPr>
      <w:widowControl/>
      <w:jc w:val="center"/>
    </w:pPr>
    <w:rPr>
      <w:rFonts w:ascii="宋体" w:hAnsi="宋体" w:cs="宋体"/>
      <w:bCs/>
      <w:kern w:val="0"/>
      <w:szCs w:val="20"/>
    </w:rPr>
  </w:style>
  <w:style w:type="paragraph" w:customStyle="1" w:styleId="2038">
    <w:name w:val="正文格式＝12"/>
    <w:basedOn w:val="418"/>
    <w:next w:val="418"/>
    <w:qFormat/>
    <w:uiPriority w:val="0"/>
    <w:rPr>
      <w:rFonts w:hAnsi="宋体"/>
      <w:szCs w:val="24"/>
    </w:rPr>
  </w:style>
  <w:style w:type="paragraph" w:customStyle="1" w:styleId="2039">
    <w:name w:val="默认段落字体 Para Char Char Char Char421"/>
    <w:basedOn w:val="1"/>
    <w:qFormat/>
    <w:uiPriority w:val="0"/>
    <w:pPr>
      <w:widowControl/>
      <w:jc w:val="left"/>
    </w:pPr>
    <w:rPr>
      <w:rFonts w:ascii="宋体" w:hAnsi="宋体" w:cs="宋体"/>
      <w:kern w:val="0"/>
      <w:szCs w:val="24"/>
    </w:rPr>
  </w:style>
  <w:style w:type="paragraph" w:customStyle="1" w:styleId="2040">
    <w:name w:val="xl88"/>
    <w:basedOn w:val="1"/>
    <w:qFormat/>
    <w:uiPriority w:val="0"/>
    <w:pPr>
      <w:widowControl/>
      <w:pBdr>
        <w:top w:val="single" w:color="auto" w:sz="8" w:space="0"/>
        <w:left w:val="single" w:color="auto" w:sz="8" w:space="0"/>
        <w:right w:val="single" w:color="auto" w:sz="8" w:space="0"/>
      </w:pBdr>
      <w:spacing w:before="100" w:beforeAutospacing="1" w:after="100" w:afterAutospacing="1"/>
      <w:jc w:val="center"/>
    </w:pPr>
    <w:rPr>
      <w:rFonts w:ascii="仿宋" w:hAnsi="仿宋" w:eastAsia="仿宋" w:cs="宋体"/>
      <w:kern w:val="0"/>
      <w:szCs w:val="21"/>
    </w:rPr>
  </w:style>
  <w:style w:type="paragraph" w:customStyle="1" w:styleId="2041">
    <w:name w:val="标题4111"/>
    <w:basedOn w:val="1"/>
    <w:qFormat/>
    <w:uiPriority w:val="0"/>
    <w:pPr>
      <w:widowControl/>
      <w:spacing w:line="300" w:lineRule="auto"/>
      <w:jc w:val="left"/>
    </w:pPr>
    <w:rPr>
      <w:rFonts w:ascii="黑体" w:hAnsi="宋体" w:eastAsia="黑体" w:cs="宋体"/>
      <w:bCs/>
      <w:kern w:val="0"/>
      <w:szCs w:val="20"/>
    </w:rPr>
  </w:style>
  <w:style w:type="paragraph" w:customStyle="1" w:styleId="2042">
    <w:name w:val="表内宋5中14"/>
    <w:basedOn w:val="1"/>
    <w:qFormat/>
    <w:uiPriority w:val="0"/>
    <w:pPr>
      <w:widowControl/>
      <w:jc w:val="center"/>
      <w:textAlignment w:val="baseline"/>
    </w:pPr>
    <w:rPr>
      <w:rFonts w:ascii="宋体" w:hAnsi="宋体" w:cs="宋体"/>
      <w:kern w:val="0"/>
      <w:szCs w:val="20"/>
    </w:rPr>
  </w:style>
  <w:style w:type="paragraph" w:customStyle="1" w:styleId="2043">
    <w:name w:val="表内5412"/>
    <w:basedOn w:val="1"/>
    <w:qFormat/>
    <w:uiPriority w:val="0"/>
    <w:pPr>
      <w:widowControl/>
      <w:spacing w:line="300" w:lineRule="auto"/>
      <w:jc w:val="center"/>
    </w:pPr>
    <w:rPr>
      <w:rFonts w:ascii="宋体" w:hAnsi="宋体" w:cs="宋体"/>
      <w:kern w:val="0"/>
      <w:szCs w:val="20"/>
    </w:rPr>
  </w:style>
  <w:style w:type="paragraph" w:customStyle="1" w:styleId="2044">
    <w:name w:val="文本框22"/>
    <w:basedOn w:val="1"/>
    <w:qFormat/>
    <w:uiPriority w:val="0"/>
    <w:pPr>
      <w:widowControl/>
      <w:spacing w:after="6"/>
      <w:jc w:val="center"/>
    </w:pPr>
    <w:rPr>
      <w:rFonts w:ascii="宋体" w:hAnsi="宋体" w:cs="宋体"/>
      <w:kern w:val="0"/>
      <w:szCs w:val="24"/>
    </w:rPr>
  </w:style>
  <w:style w:type="paragraph" w:customStyle="1" w:styleId="2045">
    <w:name w:val="燕山正文11113"/>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2046">
    <w:name w:val="Char Char Char Char1 Char Char Char6"/>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2047">
    <w:name w:val="样式 标题 3 + 段前: 12 磅3"/>
    <w:basedOn w:val="4"/>
    <w:qFormat/>
    <w:uiPriority w:val="0"/>
    <w:pPr>
      <w:keepNext w:val="0"/>
      <w:keepLines w:val="0"/>
      <w:widowControl/>
      <w:autoSpaceDE w:val="0"/>
      <w:autoSpaceDN w:val="0"/>
      <w:jc w:val="both"/>
    </w:pPr>
    <w:rPr>
      <w:rFonts w:ascii="黑体" w:hAnsi="宋体" w:eastAsia="黑体" w:cs="宋体"/>
      <w:b w:val="0"/>
      <w:bCs w:val="0"/>
      <w:kern w:val="21"/>
      <w:szCs w:val="20"/>
    </w:rPr>
  </w:style>
  <w:style w:type="paragraph" w:customStyle="1" w:styleId="2048">
    <w:name w:val="Char6111"/>
    <w:basedOn w:val="1"/>
    <w:qFormat/>
    <w:uiPriority w:val="0"/>
    <w:pPr>
      <w:widowControl/>
      <w:spacing w:before="156"/>
      <w:jc w:val="left"/>
    </w:pPr>
    <w:rPr>
      <w:rFonts w:ascii="黑体" w:hAnsi="宋体" w:eastAsia="黑体" w:cs="宋体"/>
      <w:kern w:val="0"/>
      <w:sz w:val="32"/>
      <w:szCs w:val="32"/>
    </w:rPr>
  </w:style>
  <w:style w:type="paragraph" w:customStyle="1" w:styleId="2049">
    <w:name w:val="表内文字小31313"/>
    <w:basedOn w:val="1"/>
    <w:qFormat/>
    <w:uiPriority w:val="0"/>
    <w:pPr>
      <w:widowControl/>
      <w:jc w:val="center"/>
    </w:pPr>
    <w:rPr>
      <w:rFonts w:ascii="宋体" w:hAnsi="Times" w:cs="宋体"/>
      <w:bCs/>
      <w:color w:val="003366"/>
      <w:kern w:val="0"/>
      <w:szCs w:val="20"/>
    </w:rPr>
  </w:style>
  <w:style w:type="paragraph" w:customStyle="1" w:styleId="2050">
    <w:name w:val="A正文1"/>
    <w:basedOn w:val="1"/>
    <w:qFormat/>
    <w:uiPriority w:val="0"/>
    <w:pPr>
      <w:widowControl/>
      <w:overflowPunct w:val="0"/>
      <w:autoSpaceDE w:val="0"/>
      <w:autoSpaceDN w:val="0"/>
      <w:jc w:val="left"/>
      <w:textAlignment w:val="baseline"/>
    </w:pPr>
    <w:rPr>
      <w:rFonts w:ascii="宋体" w:hAnsi="宋体" w:cs="宋体"/>
      <w:kern w:val="0"/>
      <w:szCs w:val="24"/>
    </w:rPr>
  </w:style>
  <w:style w:type="paragraph" w:customStyle="1" w:styleId="2051">
    <w:name w:val="10"/>
    <w:basedOn w:val="1"/>
    <w:next w:val="1"/>
    <w:qFormat/>
    <w:uiPriority w:val="0"/>
    <w:pPr>
      <w:spacing w:line="312" w:lineRule="atLeast"/>
      <w:textAlignment w:val="baseline"/>
    </w:pPr>
    <w:rPr>
      <w:kern w:val="0"/>
      <w:szCs w:val="20"/>
    </w:rPr>
  </w:style>
  <w:style w:type="paragraph" w:customStyle="1" w:styleId="2052">
    <w:name w:val="Char451"/>
    <w:basedOn w:val="1"/>
    <w:qFormat/>
    <w:uiPriority w:val="0"/>
    <w:pPr>
      <w:widowControl/>
      <w:ind w:left="-48"/>
      <w:jc w:val="left"/>
    </w:pPr>
    <w:rPr>
      <w:rFonts w:ascii="宋体" w:hAnsi="宋体" w:cs="宋体"/>
      <w:kern w:val="0"/>
      <w:szCs w:val="24"/>
    </w:rPr>
  </w:style>
  <w:style w:type="paragraph" w:customStyle="1" w:styleId="2053">
    <w:name w:val="表内53211"/>
    <w:basedOn w:val="1"/>
    <w:qFormat/>
    <w:uiPriority w:val="0"/>
    <w:pPr>
      <w:widowControl/>
      <w:spacing w:line="300" w:lineRule="auto"/>
      <w:jc w:val="left"/>
    </w:pPr>
    <w:rPr>
      <w:rFonts w:ascii="宋体" w:hAnsi="宋体" w:cs="宋体"/>
      <w:kern w:val="0"/>
      <w:szCs w:val="20"/>
    </w:rPr>
  </w:style>
  <w:style w:type="paragraph" w:customStyle="1" w:styleId="2054">
    <w:name w:val="样式421"/>
    <w:basedOn w:val="25"/>
    <w:qFormat/>
    <w:uiPriority w:val="0"/>
    <w:pPr>
      <w:widowControl/>
      <w:tabs>
        <w:tab w:val="left" w:pos="1820"/>
      </w:tabs>
      <w:spacing w:line="240" w:lineRule="atLeast"/>
      <w:jc w:val="center"/>
    </w:pPr>
    <w:rPr>
      <w:rFonts w:eastAsia="幼圆"/>
      <w:kern w:val="0"/>
      <w:sz w:val="21"/>
      <w:szCs w:val="20"/>
    </w:rPr>
  </w:style>
  <w:style w:type="paragraph" w:customStyle="1" w:styleId="2055">
    <w:name w:val="char"/>
    <w:basedOn w:val="1"/>
    <w:qFormat/>
    <w:uiPriority w:val="0"/>
    <w:pPr>
      <w:widowControl/>
      <w:spacing w:after="160" w:line="240" w:lineRule="exact"/>
      <w:jc w:val="left"/>
    </w:pPr>
    <w:rPr>
      <w:rFonts w:ascii="Verdana" w:hAnsi="Verdana" w:cs="”“Times New Roman”“"/>
      <w:kern w:val="0"/>
      <w:szCs w:val="20"/>
      <w:lang w:eastAsia="en-US"/>
    </w:rPr>
  </w:style>
  <w:style w:type="paragraph" w:customStyle="1" w:styleId="2056">
    <w:name w:val="正文格式＝2111"/>
    <w:basedOn w:val="418"/>
    <w:next w:val="418"/>
    <w:qFormat/>
    <w:uiPriority w:val="0"/>
    <w:rPr>
      <w:rFonts w:hAnsi="宋体"/>
      <w:szCs w:val="24"/>
    </w:rPr>
  </w:style>
  <w:style w:type="paragraph" w:customStyle="1" w:styleId="2057">
    <w:name w:val="清除格式"/>
    <w:basedOn w:val="1"/>
    <w:qFormat/>
    <w:uiPriority w:val="0"/>
    <w:rPr>
      <w:rFonts w:ascii="宋体" w:hAnsi="宋体" w:cs="宋体"/>
      <w:szCs w:val="24"/>
    </w:rPr>
  </w:style>
  <w:style w:type="paragraph" w:customStyle="1" w:styleId="2058">
    <w:name w:val="表文字54"/>
    <w:basedOn w:val="1"/>
    <w:qFormat/>
    <w:uiPriority w:val="0"/>
    <w:pPr>
      <w:widowControl/>
      <w:jc w:val="left"/>
      <w:textAlignment w:val="baseline"/>
    </w:pPr>
    <w:rPr>
      <w:rFonts w:ascii="宋体" w:hAnsi="宋体" w:cs="宋体"/>
      <w:kern w:val="0"/>
      <w:szCs w:val="20"/>
    </w:rPr>
  </w:style>
  <w:style w:type="paragraph" w:customStyle="1" w:styleId="2059">
    <w:name w:val="表格内字体62"/>
    <w:basedOn w:val="418"/>
    <w:next w:val="418"/>
    <w:qFormat/>
    <w:uiPriority w:val="0"/>
    <w:pPr>
      <w:spacing w:line="240" w:lineRule="auto"/>
      <w:ind w:firstLine="0"/>
      <w:jc w:val="center"/>
    </w:pPr>
    <w:rPr>
      <w:rFonts w:hAnsi="宋体"/>
      <w:sz w:val="21"/>
      <w:szCs w:val="24"/>
    </w:rPr>
  </w:style>
  <w:style w:type="paragraph" w:customStyle="1" w:styleId="2060">
    <w:name w:val="样式9"/>
    <w:basedOn w:val="4"/>
    <w:qFormat/>
    <w:uiPriority w:val="0"/>
    <w:pPr>
      <w:widowControl/>
    </w:pPr>
    <w:rPr>
      <w:rFonts w:eastAsia="黑体"/>
      <w:b w:val="0"/>
      <w:szCs w:val="28"/>
    </w:rPr>
  </w:style>
  <w:style w:type="paragraph" w:customStyle="1" w:styleId="2061">
    <w:name w:val="黑体三号212"/>
    <w:basedOn w:val="418"/>
    <w:qFormat/>
    <w:uiPriority w:val="0"/>
    <w:pPr>
      <w:jc w:val="center"/>
    </w:pPr>
    <w:rPr>
      <w:rFonts w:ascii="黑体" w:hAnsi="宋体" w:eastAsia="黑体" w:cs="宋体"/>
      <w:b/>
      <w:bCs/>
      <w:sz w:val="32"/>
      <w:szCs w:val="20"/>
    </w:rPr>
  </w:style>
  <w:style w:type="paragraph" w:customStyle="1" w:styleId="2062">
    <w:name w:val="表内5911"/>
    <w:basedOn w:val="1"/>
    <w:qFormat/>
    <w:uiPriority w:val="0"/>
    <w:pPr>
      <w:widowControl/>
      <w:spacing w:line="300" w:lineRule="auto"/>
      <w:jc w:val="center"/>
    </w:pPr>
    <w:rPr>
      <w:rFonts w:ascii="宋体" w:hAnsi="宋体" w:cs="宋体"/>
      <w:snapToGrid w:val="0"/>
      <w:kern w:val="0"/>
      <w:szCs w:val="21"/>
    </w:rPr>
  </w:style>
  <w:style w:type="paragraph" w:customStyle="1" w:styleId="2063">
    <w:name w:val="表中文字34"/>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064">
    <w:name w:val="表内54123"/>
    <w:basedOn w:val="1"/>
    <w:qFormat/>
    <w:uiPriority w:val="0"/>
    <w:pPr>
      <w:widowControl/>
      <w:spacing w:line="300" w:lineRule="auto"/>
      <w:jc w:val="center"/>
    </w:pPr>
    <w:rPr>
      <w:rFonts w:ascii="宋体" w:hAnsi="宋体" w:cs="宋体"/>
      <w:kern w:val="0"/>
      <w:szCs w:val="20"/>
    </w:rPr>
  </w:style>
  <w:style w:type="paragraph" w:customStyle="1" w:styleId="2065">
    <w:name w:val="Char Char1 Char Char Char Char Char Char Char Char Char Char Char Char Char Char Char Char Char Char Char Char1 Char"/>
    <w:basedOn w:val="1"/>
    <w:qFormat/>
    <w:uiPriority w:val="0"/>
    <w:pPr>
      <w:adjustRightInd/>
      <w:snapToGrid/>
      <w:spacing w:before="60"/>
    </w:pPr>
    <w:rPr>
      <w:rFonts w:ascii="宋体" w:hAnsi="宋体" w:cs="宋体"/>
      <w:color w:val="auto"/>
      <w:szCs w:val="24"/>
    </w:rPr>
  </w:style>
  <w:style w:type="paragraph" w:customStyle="1" w:styleId="2066">
    <w:name w:val="reader-word-layer reader-word-s18-23"/>
    <w:basedOn w:val="1"/>
    <w:qFormat/>
    <w:uiPriority w:val="0"/>
    <w:pPr>
      <w:widowControl/>
      <w:spacing w:before="100" w:beforeAutospacing="1" w:after="100" w:afterAutospacing="1"/>
      <w:jc w:val="left"/>
    </w:pPr>
    <w:rPr>
      <w:rFonts w:ascii="宋体" w:hAnsi="宋体" w:cs="宋体"/>
      <w:kern w:val="0"/>
      <w:szCs w:val="24"/>
    </w:rPr>
  </w:style>
  <w:style w:type="paragraph" w:customStyle="1" w:styleId="2067">
    <w:name w:val="little"/>
    <w:basedOn w:val="1"/>
    <w:qFormat/>
    <w:uiPriority w:val="0"/>
    <w:pPr>
      <w:widowControl/>
      <w:spacing w:before="100" w:beforeAutospacing="1" w:after="100" w:afterAutospacing="1"/>
      <w:jc w:val="left"/>
    </w:pPr>
    <w:rPr>
      <w:rFonts w:ascii="宋体" w:hAnsi="宋体" w:cs="宋体"/>
      <w:kern w:val="0"/>
      <w:szCs w:val="24"/>
    </w:rPr>
  </w:style>
  <w:style w:type="paragraph" w:customStyle="1" w:styleId="2068">
    <w:name w:val="表格内字体412"/>
    <w:basedOn w:val="418"/>
    <w:next w:val="418"/>
    <w:qFormat/>
    <w:uiPriority w:val="0"/>
    <w:pPr>
      <w:spacing w:line="240" w:lineRule="auto"/>
      <w:ind w:firstLine="0"/>
      <w:jc w:val="center"/>
    </w:pPr>
    <w:rPr>
      <w:rFonts w:hAnsi="宋体"/>
      <w:sz w:val="21"/>
      <w:szCs w:val="24"/>
    </w:rPr>
  </w:style>
  <w:style w:type="paragraph" w:customStyle="1" w:styleId="2069">
    <w:name w:val="表格内字体2112"/>
    <w:basedOn w:val="418"/>
    <w:next w:val="418"/>
    <w:qFormat/>
    <w:uiPriority w:val="0"/>
    <w:pPr>
      <w:spacing w:line="240" w:lineRule="auto"/>
      <w:ind w:firstLine="0"/>
      <w:jc w:val="center"/>
    </w:pPr>
    <w:rPr>
      <w:rFonts w:hAnsi="宋体"/>
      <w:sz w:val="21"/>
      <w:szCs w:val="24"/>
    </w:rPr>
  </w:style>
  <w:style w:type="paragraph" w:customStyle="1" w:styleId="2070">
    <w:name w:val="Char Char11 Char Char"/>
    <w:basedOn w:val="1"/>
    <w:qFormat/>
    <w:uiPriority w:val="0"/>
    <w:rPr>
      <w:szCs w:val="24"/>
    </w:rPr>
  </w:style>
  <w:style w:type="paragraph" w:customStyle="1" w:styleId="2071">
    <w:name w:val="表内5322"/>
    <w:basedOn w:val="1"/>
    <w:qFormat/>
    <w:uiPriority w:val="0"/>
    <w:pPr>
      <w:widowControl/>
      <w:spacing w:line="300" w:lineRule="auto"/>
      <w:jc w:val="left"/>
    </w:pPr>
    <w:rPr>
      <w:rFonts w:ascii="宋体" w:hAnsi="宋体" w:cs="宋体"/>
      <w:kern w:val="0"/>
      <w:szCs w:val="20"/>
    </w:rPr>
  </w:style>
  <w:style w:type="paragraph" w:customStyle="1" w:styleId="2072">
    <w:name w:val="表131"/>
    <w:basedOn w:val="1"/>
    <w:qFormat/>
    <w:uiPriority w:val="0"/>
    <w:pPr>
      <w:widowControl/>
      <w:jc w:val="center"/>
    </w:pPr>
    <w:rPr>
      <w:rFonts w:ascii="宋体" w:hAnsi="宋体" w:cs="宋体"/>
      <w:kern w:val="0"/>
      <w:szCs w:val="24"/>
    </w:rPr>
  </w:style>
  <w:style w:type="paragraph" w:customStyle="1" w:styleId="2073">
    <w:name w:val="正文999"/>
    <w:basedOn w:val="1"/>
    <w:qFormat/>
    <w:uiPriority w:val="0"/>
    <w:pPr>
      <w:widowControl/>
      <w:ind w:firstLine="480"/>
      <w:jc w:val="left"/>
    </w:pPr>
    <w:rPr>
      <w:rFonts w:ascii="宋体" w:hAnsi="宋体" w:cs="宋体"/>
      <w:kern w:val="0"/>
      <w:szCs w:val="24"/>
    </w:rPr>
  </w:style>
  <w:style w:type="paragraph" w:customStyle="1" w:styleId="2074">
    <w:name w:val="标题412"/>
    <w:basedOn w:val="5"/>
    <w:next w:val="1"/>
    <w:qFormat/>
    <w:uiPriority w:val="0"/>
    <w:pPr>
      <w:numPr>
        <w:ilvl w:val="0"/>
        <w:numId w:val="0"/>
      </w:numPr>
      <w:spacing w:before="160" w:after="170" w:line="360" w:lineRule="auto"/>
    </w:pPr>
    <w:rPr>
      <w:rFonts w:ascii="黑体" w:hAnsi="Arial" w:eastAsia="黑体"/>
      <w:sz w:val="24"/>
    </w:rPr>
  </w:style>
  <w:style w:type="paragraph" w:customStyle="1" w:styleId="2075">
    <w:name w:val="燕山正文12"/>
    <w:basedOn w:val="1"/>
    <w:qFormat/>
    <w:uiPriority w:val="0"/>
    <w:pPr>
      <w:widowControl/>
      <w:tabs>
        <w:tab w:val="left" w:pos="4680"/>
      </w:tabs>
      <w:spacing w:line="480" w:lineRule="exact"/>
      <w:jc w:val="left"/>
    </w:pPr>
    <w:rPr>
      <w:rFonts w:ascii="宋体" w:hAnsi="宋体" w:cs="宋体"/>
      <w:kern w:val="0"/>
      <w:szCs w:val="24"/>
    </w:rPr>
  </w:style>
  <w:style w:type="paragraph" w:customStyle="1" w:styleId="2076">
    <w:name w:val="表内文字小2211"/>
    <w:basedOn w:val="1"/>
    <w:qFormat/>
    <w:uiPriority w:val="0"/>
    <w:pPr>
      <w:widowControl/>
      <w:jc w:val="center"/>
    </w:pPr>
    <w:rPr>
      <w:rFonts w:ascii="宋体" w:hAnsi="Times" w:cs="宋体"/>
      <w:bCs/>
      <w:kern w:val="0"/>
      <w:szCs w:val="20"/>
    </w:rPr>
  </w:style>
  <w:style w:type="paragraph" w:customStyle="1" w:styleId="2077">
    <w:name w:val="寄信人地址1"/>
    <w:basedOn w:val="1"/>
    <w:qFormat/>
    <w:uiPriority w:val="0"/>
    <w:pPr>
      <w:widowControl/>
      <w:jc w:val="left"/>
    </w:pPr>
    <w:rPr>
      <w:rFonts w:ascii="Arial" w:hAnsi="Arial" w:cs="Arial"/>
      <w:kern w:val="0"/>
      <w:szCs w:val="24"/>
    </w:rPr>
  </w:style>
  <w:style w:type="paragraph" w:customStyle="1" w:styleId="2078">
    <w:name w:val="条(三级)"/>
    <w:basedOn w:val="1"/>
    <w:next w:val="1"/>
    <w:qFormat/>
    <w:uiPriority w:val="0"/>
    <w:pPr>
      <w:keepNext/>
      <w:keepLines/>
      <w:widowControl/>
      <w:spacing w:line="460" w:lineRule="exact"/>
      <w:jc w:val="left"/>
      <w:textAlignment w:val="baseline"/>
    </w:pPr>
    <w:rPr>
      <w:rFonts w:ascii="宋体" w:hAnsi="Arial" w:cs="宋体"/>
      <w:spacing w:val="3"/>
      <w:kern w:val="24"/>
      <w:szCs w:val="20"/>
    </w:rPr>
  </w:style>
  <w:style w:type="paragraph" w:customStyle="1" w:styleId="2079">
    <w:name w:val="正文图"/>
    <w:basedOn w:val="1"/>
    <w:qFormat/>
    <w:uiPriority w:val="0"/>
    <w:pPr>
      <w:widowControl/>
      <w:spacing w:before="40"/>
      <w:jc w:val="center"/>
      <w:textAlignment w:val="baseline"/>
    </w:pPr>
    <w:rPr>
      <w:rFonts w:ascii="宋体" w:hAnsi="宋体" w:cs="宋体"/>
      <w:kern w:val="0"/>
      <w:szCs w:val="20"/>
    </w:rPr>
  </w:style>
  <w:style w:type="paragraph" w:customStyle="1" w:styleId="2080">
    <w:name w:val="图题53"/>
    <w:basedOn w:val="418"/>
    <w:next w:val="418"/>
    <w:qFormat/>
    <w:uiPriority w:val="0"/>
    <w:pPr>
      <w:ind w:firstLine="0"/>
      <w:jc w:val="center"/>
    </w:pPr>
    <w:rPr>
      <w:rFonts w:ascii="黑体" w:hAnsi="宋体" w:eastAsia="黑体" w:cs="宋体"/>
      <w:b/>
      <w:bCs/>
      <w:szCs w:val="24"/>
    </w:rPr>
  </w:style>
  <w:style w:type="paragraph" w:customStyle="1" w:styleId="2081">
    <w:name w:val="样式 标题 4无效格式无效格式1河石管道4H4H41小小节河石管道41H42H411小小节1河石管道42...14"/>
    <w:basedOn w:val="5"/>
    <w:qFormat/>
    <w:uiPriority w:val="0"/>
    <w:pPr>
      <w:numPr>
        <w:ilvl w:val="0"/>
        <w:numId w:val="0"/>
      </w:numPr>
      <w:spacing w:after="0" w:line="360" w:lineRule="auto"/>
      <w:ind w:left="664" w:hanging="864"/>
    </w:pPr>
    <w:rPr>
      <w:rFonts w:ascii="黑体" w:hAnsi="Arial" w:eastAsia="黑体" w:cs="宋体"/>
      <w:b w:val="0"/>
      <w:bCs w:val="0"/>
      <w:kern w:val="2"/>
      <w:sz w:val="24"/>
      <w:szCs w:val="20"/>
    </w:rPr>
  </w:style>
  <w:style w:type="paragraph" w:customStyle="1" w:styleId="2082">
    <w:name w:val="Char4111"/>
    <w:basedOn w:val="1"/>
    <w:qFormat/>
    <w:uiPriority w:val="0"/>
    <w:pPr>
      <w:widowControl/>
      <w:ind w:left="-48"/>
      <w:jc w:val="left"/>
    </w:pPr>
    <w:rPr>
      <w:rFonts w:ascii="宋体" w:hAnsi="宋体" w:cs="宋体"/>
      <w:kern w:val="0"/>
      <w:szCs w:val="24"/>
    </w:rPr>
  </w:style>
  <w:style w:type="paragraph" w:customStyle="1" w:styleId="2083">
    <w:name w:val="正文格式3"/>
    <w:basedOn w:val="1"/>
    <w:qFormat/>
    <w:uiPriority w:val="0"/>
    <w:pPr>
      <w:widowControl/>
      <w:ind w:firstLine="482"/>
      <w:jc w:val="left"/>
    </w:pPr>
    <w:rPr>
      <w:rFonts w:ascii="宋体" w:hAnsi="宋体" w:cs="宋体"/>
      <w:kern w:val="0"/>
      <w:szCs w:val="24"/>
    </w:rPr>
  </w:style>
  <w:style w:type="paragraph" w:customStyle="1" w:styleId="2084">
    <w:name w:val="样式 环评标题2 + 黑色"/>
    <w:basedOn w:val="950"/>
    <w:semiHidden/>
    <w:qFormat/>
    <w:uiPriority w:val="0"/>
    <w:pPr>
      <w:numPr>
        <w:numId w:val="3"/>
      </w:numPr>
      <w:tabs>
        <w:tab w:val="left" w:pos="360"/>
        <w:tab w:val="left" w:pos="432"/>
        <w:tab w:val="left" w:pos="567"/>
        <w:tab w:val="left" w:pos="840"/>
        <w:tab w:val="clear" w:pos="576"/>
      </w:tabs>
      <w:spacing w:after="120"/>
      <w:ind w:left="578" w:hanging="578"/>
    </w:pPr>
    <w:rPr>
      <w:bCs/>
      <w:sz w:val="24"/>
      <w:szCs w:val="24"/>
    </w:rPr>
  </w:style>
  <w:style w:type="paragraph" w:customStyle="1" w:styleId="2085">
    <w:name w:val="燕山正文1121"/>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2086">
    <w:name w:val="标题41112"/>
    <w:basedOn w:val="1"/>
    <w:qFormat/>
    <w:uiPriority w:val="0"/>
    <w:pPr>
      <w:widowControl/>
      <w:spacing w:line="300" w:lineRule="auto"/>
      <w:jc w:val="left"/>
    </w:pPr>
    <w:rPr>
      <w:rFonts w:ascii="黑体" w:hAnsi="宋体" w:eastAsia="黑体" w:cs="宋体"/>
      <w:bCs/>
      <w:kern w:val="0"/>
      <w:szCs w:val="20"/>
    </w:rPr>
  </w:style>
  <w:style w:type="paragraph" w:customStyle="1" w:styleId="2087">
    <w:name w:val="标准21"/>
    <w:basedOn w:val="1"/>
    <w:qFormat/>
    <w:uiPriority w:val="0"/>
    <w:pPr>
      <w:widowControl/>
      <w:spacing w:before="120" w:line="336" w:lineRule="auto"/>
      <w:jc w:val="center"/>
      <w:textAlignment w:val="baseline"/>
    </w:pPr>
    <w:rPr>
      <w:rFonts w:ascii="黑体" w:hAnsi="宋体" w:eastAsia="黑体" w:cs="宋体"/>
      <w:kern w:val="0"/>
      <w:szCs w:val="20"/>
    </w:rPr>
  </w:style>
  <w:style w:type="paragraph" w:customStyle="1" w:styleId="2088">
    <w:name w:val="Char56"/>
    <w:basedOn w:val="1"/>
    <w:qFormat/>
    <w:uiPriority w:val="0"/>
    <w:pPr>
      <w:widowControl/>
      <w:ind w:left="-48"/>
      <w:jc w:val="left"/>
    </w:pPr>
    <w:rPr>
      <w:rFonts w:ascii="宋体" w:hAnsi="宋体" w:cs="宋体"/>
      <w:kern w:val="0"/>
      <w:szCs w:val="24"/>
    </w:rPr>
  </w:style>
  <w:style w:type="paragraph" w:customStyle="1" w:styleId="2089">
    <w:name w:val="Char913"/>
    <w:basedOn w:val="1"/>
    <w:qFormat/>
    <w:uiPriority w:val="0"/>
    <w:pPr>
      <w:widowControl/>
      <w:ind w:left="-48"/>
      <w:jc w:val="left"/>
    </w:pPr>
    <w:rPr>
      <w:rFonts w:ascii="宋体" w:hAnsi="宋体" w:cs="宋体"/>
      <w:kern w:val="0"/>
      <w:szCs w:val="24"/>
    </w:rPr>
  </w:style>
  <w:style w:type="paragraph" w:customStyle="1" w:styleId="2090">
    <w:name w:val="表内宋512"/>
    <w:basedOn w:val="1698"/>
    <w:qFormat/>
    <w:uiPriority w:val="0"/>
    <w:pPr>
      <w:autoSpaceDE w:val="0"/>
      <w:autoSpaceDN w:val="0"/>
      <w:textAlignment w:val="auto"/>
    </w:pPr>
    <w:rPr>
      <w:color w:val="auto"/>
      <w:w w:val="90"/>
    </w:rPr>
  </w:style>
  <w:style w:type="paragraph" w:customStyle="1" w:styleId="2091">
    <w:name w:val="表内文字小317"/>
    <w:basedOn w:val="1"/>
    <w:qFormat/>
    <w:uiPriority w:val="0"/>
    <w:pPr>
      <w:widowControl/>
      <w:jc w:val="center"/>
    </w:pPr>
    <w:rPr>
      <w:rFonts w:ascii="宋体" w:hAnsi="Times" w:cs="宋体"/>
      <w:bCs/>
      <w:color w:val="003366"/>
      <w:kern w:val="0"/>
      <w:szCs w:val="20"/>
    </w:rPr>
  </w:style>
  <w:style w:type="paragraph" w:customStyle="1" w:styleId="2092">
    <w:name w:val="Char1511"/>
    <w:basedOn w:val="1"/>
    <w:qFormat/>
    <w:uiPriority w:val="0"/>
    <w:pPr>
      <w:widowControl/>
      <w:spacing w:before="156"/>
      <w:jc w:val="left"/>
    </w:pPr>
    <w:rPr>
      <w:rFonts w:ascii="黑体" w:hAnsi="宋体" w:eastAsia="黑体" w:cs="宋体"/>
      <w:kern w:val="0"/>
      <w:sz w:val="32"/>
      <w:szCs w:val="32"/>
    </w:rPr>
  </w:style>
  <w:style w:type="paragraph" w:customStyle="1" w:styleId="2093">
    <w:name w:val="Char Char Char Char Char Char Char71"/>
    <w:basedOn w:val="1"/>
    <w:qFormat/>
    <w:uiPriority w:val="0"/>
    <w:pPr>
      <w:widowControl/>
      <w:jc w:val="left"/>
    </w:pPr>
    <w:rPr>
      <w:rFonts w:ascii="宋体" w:hAnsi="宋体" w:cs="宋体"/>
      <w:kern w:val="0"/>
      <w:szCs w:val="24"/>
    </w:rPr>
  </w:style>
  <w:style w:type="paragraph" w:customStyle="1" w:styleId="2094">
    <w:name w:val="样式 段前: 7.8 磅 段后: 7.8 磅"/>
    <w:basedOn w:val="1"/>
    <w:qFormat/>
    <w:uiPriority w:val="0"/>
    <w:pPr>
      <w:spacing w:before="156" w:after="156" w:line="460" w:lineRule="exact"/>
    </w:pPr>
    <w:rPr>
      <w:rFonts w:cs="宋体"/>
      <w:szCs w:val="24"/>
    </w:rPr>
  </w:style>
  <w:style w:type="paragraph" w:customStyle="1" w:styleId="2095">
    <w:name w:val="Char Char2 Char Char Char Char16"/>
    <w:basedOn w:val="1"/>
    <w:qFormat/>
    <w:uiPriority w:val="0"/>
    <w:pPr>
      <w:widowControl/>
      <w:jc w:val="left"/>
    </w:pPr>
    <w:rPr>
      <w:rFonts w:ascii="宋体" w:hAnsi="宋体" w:cs="宋体"/>
      <w:kern w:val="0"/>
      <w:szCs w:val="24"/>
    </w:rPr>
  </w:style>
  <w:style w:type="paragraph" w:customStyle="1" w:styleId="2096">
    <w:name w:val="Char330"/>
    <w:basedOn w:val="1"/>
    <w:qFormat/>
    <w:uiPriority w:val="0"/>
    <w:pPr>
      <w:widowControl/>
      <w:ind w:left="-48"/>
      <w:jc w:val="left"/>
    </w:pPr>
    <w:rPr>
      <w:rFonts w:ascii="宋体" w:hAnsi="宋体" w:cs="宋体"/>
      <w:kern w:val="0"/>
      <w:szCs w:val="24"/>
    </w:rPr>
  </w:style>
  <w:style w:type="paragraph" w:customStyle="1" w:styleId="2097">
    <w:name w:val="黑体三号32"/>
    <w:basedOn w:val="418"/>
    <w:qFormat/>
    <w:uiPriority w:val="0"/>
    <w:pPr>
      <w:jc w:val="center"/>
    </w:pPr>
    <w:rPr>
      <w:rFonts w:ascii="黑体" w:hAnsi="宋体" w:eastAsia="黑体" w:cs="宋体"/>
      <w:b/>
      <w:bCs/>
      <w:sz w:val="32"/>
      <w:szCs w:val="20"/>
    </w:rPr>
  </w:style>
  <w:style w:type="paragraph" w:customStyle="1" w:styleId="2098">
    <w:name w:val="框图内容"/>
    <w:basedOn w:val="1"/>
    <w:qFormat/>
    <w:uiPriority w:val="0"/>
    <w:pPr>
      <w:widowControl/>
      <w:jc w:val="center"/>
    </w:pPr>
    <w:rPr>
      <w:rFonts w:ascii="宋体" w:hAnsi="宋体" w:cs="宋体"/>
      <w:kern w:val="0"/>
      <w:szCs w:val="24"/>
    </w:rPr>
  </w:style>
  <w:style w:type="paragraph" w:customStyle="1" w:styleId="2099">
    <w:name w:val="样式 标题 4无效格式无效格式1河石管道4H4H41小小节河石管道41H42H411小小节1河石管道42...21"/>
    <w:basedOn w:val="5"/>
    <w:qFormat/>
    <w:uiPriority w:val="0"/>
    <w:pPr>
      <w:numPr>
        <w:ilvl w:val="0"/>
        <w:numId w:val="0"/>
      </w:numPr>
      <w:spacing w:after="0" w:line="360" w:lineRule="auto"/>
      <w:ind w:left="664" w:hanging="864"/>
    </w:pPr>
    <w:rPr>
      <w:rFonts w:ascii="黑体" w:hAnsi="Arial" w:eastAsia="黑体"/>
      <w:b w:val="0"/>
      <w:bCs w:val="0"/>
      <w:kern w:val="2"/>
      <w:sz w:val="24"/>
      <w:szCs w:val="24"/>
    </w:rPr>
  </w:style>
  <w:style w:type="paragraph" w:customStyle="1" w:styleId="2100">
    <w:name w:val="默认段落字体 Para Char71"/>
    <w:basedOn w:val="1"/>
    <w:qFormat/>
    <w:uiPriority w:val="0"/>
    <w:pPr>
      <w:widowControl/>
      <w:jc w:val="left"/>
    </w:pPr>
    <w:rPr>
      <w:rFonts w:ascii="宋体" w:hAnsi="宋体" w:cs="宋体"/>
      <w:kern w:val="0"/>
      <w:szCs w:val="24"/>
    </w:rPr>
  </w:style>
  <w:style w:type="paragraph" w:customStyle="1" w:styleId="2101">
    <w:name w:val="Char44"/>
    <w:basedOn w:val="1"/>
    <w:qFormat/>
    <w:uiPriority w:val="0"/>
    <w:pPr>
      <w:widowControl/>
      <w:ind w:left="-48"/>
      <w:jc w:val="left"/>
    </w:pPr>
    <w:rPr>
      <w:rFonts w:ascii="宋体" w:hAnsi="宋体" w:cs="宋体"/>
      <w:kern w:val="0"/>
      <w:szCs w:val="24"/>
    </w:rPr>
  </w:style>
  <w:style w:type="paragraph" w:customStyle="1" w:styleId="2102">
    <w:name w:val="Char Char Char Char Char Char Char Char Char Char Char1 Char Char Char Char Char Char1 Char Char Char Char Char Char Char Char Char Char Char Char1"/>
    <w:basedOn w:val="1"/>
    <w:qFormat/>
    <w:uiPriority w:val="0"/>
    <w:pPr>
      <w:widowControl/>
      <w:jc w:val="left"/>
    </w:pPr>
    <w:rPr>
      <w:rFonts w:ascii="宋体" w:hAnsi="宋体" w:cs="宋体"/>
      <w:kern w:val="0"/>
      <w:szCs w:val="24"/>
    </w:rPr>
  </w:style>
  <w:style w:type="paragraph" w:customStyle="1" w:styleId="2103">
    <w:name w:val="表内5418"/>
    <w:basedOn w:val="1"/>
    <w:qFormat/>
    <w:uiPriority w:val="0"/>
    <w:pPr>
      <w:widowControl/>
      <w:spacing w:line="300" w:lineRule="auto"/>
      <w:jc w:val="center"/>
    </w:pPr>
    <w:rPr>
      <w:rFonts w:ascii="宋体" w:hAnsi="宋体" w:cs="宋体"/>
      <w:kern w:val="0"/>
      <w:szCs w:val="20"/>
    </w:rPr>
  </w:style>
  <w:style w:type="paragraph" w:customStyle="1" w:styleId="2104">
    <w:name w:val="Char10"/>
    <w:basedOn w:val="1"/>
    <w:qFormat/>
    <w:uiPriority w:val="0"/>
    <w:pPr>
      <w:widowControl/>
      <w:jc w:val="left"/>
    </w:pPr>
    <w:rPr>
      <w:rFonts w:ascii="宋体" w:hAnsi="宋体" w:cs="宋体"/>
      <w:kern w:val="0"/>
      <w:szCs w:val="24"/>
    </w:rPr>
  </w:style>
  <w:style w:type="paragraph" w:customStyle="1" w:styleId="2105">
    <w:name w:val="燕山正文11111"/>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2106">
    <w:name w:val="默认段落字体 Para Char Char Char Char21"/>
    <w:basedOn w:val="1"/>
    <w:qFormat/>
    <w:uiPriority w:val="0"/>
    <w:pPr>
      <w:widowControl/>
      <w:jc w:val="left"/>
    </w:pPr>
    <w:rPr>
      <w:rFonts w:ascii="宋体" w:hAnsi="宋体" w:cs="宋体"/>
      <w:kern w:val="0"/>
      <w:szCs w:val="24"/>
    </w:rPr>
  </w:style>
  <w:style w:type="paragraph" w:customStyle="1" w:styleId="2107">
    <w:name w:val="Char Char Char Char Char Char Char1211"/>
    <w:basedOn w:val="1"/>
    <w:qFormat/>
    <w:uiPriority w:val="0"/>
    <w:pPr>
      <w:widowControl/>
      <w:jc w:val="left"/>
    </w:pPr>
    <w:rPr>
      <w:rFonts w:ascii="宋体" w:hAnsi="宋体" w:cs="宋体"/>
      <w:kern w:val="0"/>
      <w:szCs w:val="20"/>
    </w:rPr>
  </w:style>
  <w:style w:type="paragraph" w:customStyle="1" w:styleId="2108">
    <w:name w:val="默认段落字体 Para Char Char Char Char52"/>
    <w:basedOn w:val="1"/>
    <w:qFormat/>
    <w:uiPriority w:val="0"/>
    <w:pPr>
      <w:widowControl/>
      <w:jc w:val="left"/>
    </w:pPr>
    <w:rPr>
      <w:rFonts w:ascii="宋体" w:hAnsi="宋体" w:cs="宋体"/>
      <w:kern w:val="0"/>
      <w:szCs w:val="24"/>
    </w:rPr>
  </w:style>
  <w:style w:type="paragraph" w:customStyle="1" w:styleId="2109">
    <w:name w:val="标题41131"/>
    <w:basedOn w:val="1"/>
    <w:qFormat/>
    <w:uiPriority w:val="0"/>
    <w:pPr>
      <w:widowControl/>
      <w:spacing w:line="300" w:lineRule="auto"/>
      <w:jc w:val="left"/>
    </w:pPr>
    <w:rPr>
      <w:rFonts w:ascii="黑体" w:hAnsi="宋体" w:eastAsia="黑体" w:cs="宋体"/>
      <w:bCs/>
      <w:kern w:val="0"/>
      <w:szCs w:val="20"/>
    </w:rPr>
  </w:style>
  <w:style w:type="paragraph" w:customStyle="1" w:styleId="2110">
    <w:name w:val="Char94"/>
    <w:basedOn w:val="1"/>
    <w:qFormat/>
    <w:uiPriority w:val="0"/>
    <w:pPr>
      <w:widowControl/>
      <w:ind w:left="-48"/>
      <w:jc w:val="left"/>
    </w:pPr>
    <w:rPr>
      <w:rFonts w:ascii="宋体" w:hAnsi="宋体" w:cs="宋体"/>
      <w:kern w:val="0"/>
      <w:szCs w:val="24"/>
    </w:rPr>
  </w:style>
  <w:style w:type="paragraph" w:customStyle="1" w:styleId="2111">
    <w:name w:val="pic-info"/>
    <w:basedOn w:val="1"/>
    <w:qFormat/>
    <w:uiPriority w:val="99"/>
    <w:pPr>
      <w:widowControl/>
      <w:spacing w:before="100" w:beforeAutospacing="1" w:after="100" w:afterAutospacing="1"/>
      <w:jc w:val="left"/>
    </w:pPr>
    <w:rPr>
      <w:rFonts w:ascii="宋体" w:hAnsi="宋体" w:cs="宋体"/>
      <w:kern w:val="0"/>
      <w:szCs w:val="24"/>
    </w:rPr>
  </w:style>
  <w:style w:type="paragraph" w:customStyle="1" w:styleId="2112">
    <w:name w:val="Char Char Char Char Char Char Char1110"/>
    <w:basedOn w:val="1"/>
    <w:qFormat/>
    <w:uiPriority w:val="0"/>
    <w:pPr>
      <w:widowControl/>
      <w:jc w:val="left"/>
    </w:pPr>
    <w:rPr>
      <w:rFonts w:ascii="宋体" w:hAnsi="宋体" w:cs="宋体"/>
      <w:kern w:val="0"/>
      <w:szCs w:val="24"/>
    </w:rPr>
  </w:style>
  <w:style w:type="paragraph" w:customStyle="1" w:styleId="2113">
    <w:name w:val="样式1311"/>
    <w:basedOn w:val="1586"/>
    <w:qFormat/>
    <w:uiPriority w:val="0"/>
    <w:pPr>
      <w:spacing w:line="240" w:lineRule="auto"/>
      <w:ind w:firstLine="0"/>
      <w:jc w:val="center"/>
    </w:pPr>
    <w:rPr>
      <w:rFonts w:cs="Times New Roman"/>
      <w:b/>
      <w:color w:val="auto"/>
      <w:szCs w:val="20"/>
    </w:rPr>
  </w:style>
  <w:style w:type="paragraph" w:customStyle="1" w:styleId="2114">
    <w:name w:val="表题311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115">
    <w:name w:val="Char Char Char Char Char Char Char Char Char Char Char Char Char Char Char Char Char Char Char Char Char Char Char Char Char Char Char Char Char Char Char Char Char Char Char Char Char Char Char Char Char Char"/>
    <w:basedOn w:val="1"/>
    <w:qFormat/>
    <w:uiPriority w:val="0"/>
    <w:pPr>
      <w:widowControl/>
      <w:jc w:val="left"/>
    </w:pPr>
    <w:rPr>
      <w:rFonts w:ascii="宋体" w:hAnsi="宋体" w:cs="宋体"/>
      <w:kern w:val="0"/>
      <w:szCs w:val="24"/>
    </w:rPr>
  </w:style>
  <w:style w:type="paragraph" w:customStyle="1" w:styleId="2116">
    <w:name w:val="Char Char Char Char Char Char Char17"/>
    <w:basedOn w:val="1"/>
    <w:qFormat/>
    <w:uiPriority w:val="0"/>
    <w:pPr>
      <w:widowControl/>
      <w:jc w:val="left"/>
    </w:pPr>
    <w:rPr>
      <w:rFonts w:ascii="宋体" w:hAnsi="宋体" w:cs="宋体"/>
      <w:kern w:val="0"/>
      <w:szCs w:val="24"/>
    </w:rPr>
  </w:style>
  <w:style w:type="paragraph" w:customStyle="1" w:styleId="2117">
    <w:name w:val="标题43122"/>
    <w:basedOn w:val="1"/>
    <w:qFormat/>
    <w:uiPriority w:val="0"/>
    <w:pPr>
      <w:widowControl/>
      <w:spacing w:line="480" w:lineRule="exact"/>
      <w:jc w:val="center"/>
    </w:pPr>
    <w:rPr>
      <w:rFonts w:ascii="宋体" w:hAnsi="宋体" w:cs="宋体"/>
      <w:kern w:val="0"/>
      <w:szCs w:val="24"/>
    </w:rPr>
  </w:style>
  <w:style w:type="paragraph" w:customStyle="1" w:styleId="2118">
    <w:name w:val="附件311"/>
    <w:basedOn w:val="2"/>
    <w:next w:val="418"/>
    <w:qFormat/>
    <w:uiPriority w:val="0"/>
    <w:pPr>
      <w:numPr>
        <w:numId w:val="0"/>
      </w:numPr>
      <w:spacing w:after="120"/>
      <w:jc w:val="left"/>
    </w:pPr>
    <w:rPr>
      <w:rFonts w:ascii="黑体" w:eastAsia="黑体"/>
      <w:b w:val="0"/>
      <w:sz w:val="32"/>
      <w:szCs w:val="32"/>
    </w:rPr>
  </w:style>
  <w:style w:type="paragraph" w:customStyle="1" w:styleId="2119">
    <w:name w:val="Char Char Char Char Char Char Char2211"/>
    <w:basedOn w:val="1"/>
    <w:qFormat/>
    <w:uiPriority w:val="0"/>
    <w:pPr>
      <w:widowControl/>
      <w:jc w:val="left"/>
    </w:pPr>
    <w:rPr>
      <w:rFonts w:ascii="宋体" w:hAnsi="宋体" w:cs="宋体"/>
      <w:kern w:val="0"/>
      <w:szCs w:val="24"/>
    </w:rPr>
  </w:style>
  <w:style w:type="paragraph" w:customStyle="1" w:styleId="2120">
    <w:name w:val="正文修改13"/>
    <w:basedOn w:val="786"/>
    <w:qFormat/>
    <w:uiPriority w:val="0"/>
    <w:rPr>
      <w:rFonts w:hAnsi="宋体" w:eastAsia="宋体" w:cs="宋体"/>
      <w:szCs w:val="24"/>
    </w:rPr>
  </w:style>
  <w:style w:type="paragraph" w:customStyle="1" w:styleId="2121">
    <w:name w:val="表内文字小41"/>
    <w:basedOn w:val="1"/>
    <w:qFormat/>
    <w:uiPriority w:val="0"/>
    <w:pPr>
      <w:widowControl/>
      <w:jc w:val="center"/>
    </w:pPr>
    <w:rPr>
      <w:rFonts w:ascii="宋体" w:hAnsi="Times" w:cs="宋体"/>
      <w:kern w:val="0"/>
      <w:szCs w:val="20"/>
    </w:rPr>
  </w:style>
  <w:style w:type="paragraph" w:customStyle="1" w:styleId="2122">
    <w:name w:val="表内文字小3123"/>
    <w:basedOn w:val="1"/>
    <w:qFormat/>
    <w:uiPriority w:val="0"/>
    <w:pPr>
      <w:widowControl/>
      <w:jc w:val="center"/>
    </w:pPr>
    <w:rPr>
      <w:rFonts w:ascii="宋体" w:hAnsi="Times" w:cs="宋体"/>
      <w:bCs/>
      <w:color w:val="003366"/>
      <w:kern w:val="0"/>
      <w:szCs w:val="20"/>
    </w:rPr>
  </w:style>
  <w:style w:type="paragraph" w:customStyle="1" w:styleId="2123">
    <w:name w:val="表内文字小3112"/>
    <w:basedOn w:val="1"/>
    <w:qFormat/>
    <w:uiPriority w:val="0"/>
    <w:pPr>
      <w:widowControl/>
      <w:jc w:val="center"/>
    </w:pPr>
    <w:rPr>
      <w:rFonts w:ascii="宋体" w:hAnsi="Times" w:cs="宋体"/>
      <w:bCs/>
      <w:color w:val="003366"/>
      <w:kern w:val="0"/>
      <w:szCs w:val="20"/>
    </w:rPr>
  </w:style>
  <w:style w:type="paragraph" w:customStyle="1" w:styleId="2124">
    <w:name w:val="表中文字21"/>
    <w:basedOn w:val="1"/>
    <w:qFormat/>
    <w:uiPriority w:val="0"/>
    <w:pPr>
      <w:widowControl/>
      <w:spacing w:line="240" w:lineRule="atLeast"/>
      <w:ind w:right="-42" w:rightChars="-20"/>
      <w:jc w:val="center"/>
      <w:textAlignment w:val="baseline"/>
    </w:pPr>
    <w:rPr>
      <w:rFonts w:ascii="宋体" w:hAnsi="宋体" w:cs="宋体"/>
      <w:kern w:val="0"/>
      <w:szCs w:val="21"/>
    </w:rPr>
  </w:style>
  <w:style w:type="paragraph" w:customStyle="1" w:styleId="2125">
    <w:name w:val="表内文字小3124"/>
    <w:basedOn w:val="1"/>
    <w:qFormat/>
    <w:uiPriority w:val="0"/>
    <w:pPr>
      <w:widowControl/>
      <w:jc w:val="center"/>
    </w:pPr>
    <w:rPr>
      <w:rFonts w:ascii="宋体" w:hAnsi="Times" w:cs="宋体"/>
      <w:bCs/>
      <w:color w:val="003366"/>
      <w:kern w:val="0"/>
      <w:szCs w:val="20"/>
    </w:rPr>
  </w:style>
  <w:style w:type="paragraph" w:customStyle="1" w:styleId="2126">
    <w:name w:val="正文修改52"/>
    <w:basedOn w:val="786"/>
    <w:qFormat/>
    <w:uiPriority w:val="0"/>
    <w:rPr>
      <w:rFonts w:hAnsi="宋体" w:eastAsia="宋体" w:cs="宋体"/>
      <w:szCs w:val="24"/>
    </w:rPr>
  </w:style>
  <w:style w:type="paragraph" w:customStyle="1" w:styleId="2127">
    <w:name w:val="标准11"/>
    <w:basedOn w:val="1"/>
    <w:qFormat/>
    <w:uiPriority w:val="0"/>
    <w:pPr>
      <w:widowControl/>
      <w:spacing w:before="120" w:line="336" w:lineRule="auto"/>
      <w:jc w:val="center"/>
      <w:textAlignment w:val="baseline"/>
    </w:pPr>
    <w:rPr>
      <w:rFonts w:ascii="黑体" w:hAnsi="宋体" w:eastAsia="黑体" w:cs="宋体"/>
      <w:kern w:val="0"/>
      <w:szCs w:val="20"/>
    </w:rPr>
  </w:style>
  <w:style w:type="paragraph" w:customStyle="1" w:styleId="2128">
    <w:name w:val="文本框112"/>
    <w:basedOn w:val="1"/>
    <w:qFormat/>
    <w:uiPriority w:val="0"/>
    <w:pPr>
      <w:widowControl/>
      <w:spacing w:after="6"/>
      <w:jc w:val="center"/>
    </w:pPr>
    <w:rPr>
      <w:rFonts w:ascii="宋体" w:hAnsi="宋体" w:cs="宋体"/>
      <w:kern w:val="0"/>
      <w:szCs w:val="24"/>
    </w:rPr>
  </w:style>
  <w:style w:type="paragraph" w:customStyle="1" w:styleId="2129">
    <w:name w:val="Char322"/>
    <w:basedOn w:val="1"/>
    <w:qFormat/>
    <w:uiPriority w:val="0"/>
    <w:pPr>
      <w:widowControl/>
      <w:ind w:left="-48"/>
      <w:jc w:val="left"/>
    </w:pPr>
    <w:rPr>
      <w:rFonts w:ascii="宋体" w:hAnsi="宋体" w:cs="宋体"/>
      <w:kern w:val="0"/>
      <w:szCs w:val="24"/>
    </w:rPr>
  </w:style>
  <w:style w:type="paragraph" w:customStyle="1" w:styleId="2130">
    <w:name w:val="表文字5112"/>
    <w:basedOn w:val="1"/>
    <w:qFormat/>
    <w:uiPriority w:val="0"/>
    <w:pPr>
      <w:widowControl/>
      <w:jc w:val="left"/>
      <w:textAlignment w:val="baseline"/>
    </w:pPr>
    <w:rPr>
      <w:rFonts w:ascii="宋体" w:hAnsi="宋体" w:cs="宋体"/>
      <w:kern w:val="0"/>
      <w:szCs w:val="20"/>
    </w:rPr>
  </w:style>
  <w:style w:type="paragraph" w:customStyle="1" w:styleId="2131">
    <w:name w:val="表题31211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132">
    <w:name w:val="默认段落字体 Para Char Char Char Char Char12"/>
    <w:basedOn w:val="1"/>
    <w:qFormat/>
    <w:uiPriority w:val="0"/>
    <w:pPr>
      <w:widowControl/>
      <w:jc w:val="left"/>
    </w:pPr>
    <w:rPr>
      <w:rFonts w:ascii="宋体" w:hAnsi="宋体" w:cs="宋体"/>
      <w:kern w:val="0"/>
      <w:szCs w:val="24"/>
    </w:rPr>
  </w:style>
  <w:style w:type="paragraph" w:customStyle="1" w:styleId="2133">
    <w:name w:val="表231"/>
    <w:basedOn w:val="1"/>
    <w:qFormat/>
    <w:uiPriority w:val="0"/>
    <w:pPr>
      <w:widowControl/>
      <w:jc w:val="center"/>
    </w:pPr>
    <w:rPr>
      <w:rFonts w:ascii="宋体" w:hAnsi="宋体" w:cs="宋体"/>
      <w:kern w:val="0"/>
      <w:szCs w:val="24"/>
    </w:rPr>
  </w:style>
  <w:style w:type="paragraph" w:customStyle="1" w:styleId="2134">
    <w:name w:val="图题注1"/>
    <w:basedOn w:val="17"/>
    <w:qFormat/>
    <w:uiPriority w:val="0"/>
    <w:pPr>
      <w:widowControl/>
      <w:ind w:firstLine="0" w:firstLineChars="0"/>
      <w:jc w:val="center"/>
    </w:pPr>
    <w:rPr>
      <w:rFonts w:ascii="黑体" w:cs="宋体"/>
      <w:b/>
      <w:bCs/>
    </w:rPr>
  </w:style>
  <w:style w:type="paragraph" w:customStyle="1" w:styleId="2135">
    <w:name w:val="燕山正文11121"/>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2136">
    <w:name w:val="Char172"/>
    <w:basedOn w:val="1"/>
    <w:qFormat/>
    <w:uiPriority w:val="0"/>
    <w:pPr>
      <w:widowControl/>
      <w:ind w:left="-48"/>
      <w:jc w:val="left"/>
    </w:pPr>
    <w:rPr>
      <w:rFonts w:ascii="宋体" w:hAnsi="宋体" w:cs="宋体"/>
      <w:kern w:val="0"/>
      <w:szCs w:val="24"/>
    </w:rPr>
  </w:style>
  <w:style w:type="paragraph" w:customStyle="1" w:styleId="2137">
    <w:name w:val="表内541212"/>
    <w:basedOn w:val="1"/>
    <w:qFormat/>
    <w:uiPriority w:val="0"/>
    <w:pPr>
      <w:widowControl/>
      <w:spacing w:line="300" w:lineRule="auto"/>
      <w:jc w:val="center"/>
    </w:pPr>
    <w:rPr>
      <w:rFonts w:ascii="宋体" w:hAnsi="宋体" w:cs="宋体"/>
      <w:kern w:val="0"/>
      <w:szCs w:val="20"/>
    </w:rPr>
  </w:style>
  <w:style w:type="paragraph" w:customStyle="1" w:styleId="2138">
    <w:name w:val="样式2111"/>
    <w:basedOn w:val="1"/>
    <w:qFormat/>
    <w:uiPriority w:val="0"/>
    <w:pPr>
      <w:widowControl/>
      <w:jc w:val="center"/>
      <w:textAlignment w:val="baseline"/>
      <w:outlineLvl w:val="0"/>
    </w:pPr>
    <w:rPr>
      <w:rFonts w:ascii="宋体" w:hAnsi="宋体" w:cs="宋体"/>
      <w:kern w:val="0"/>
      <w:szCs w:val="20"/>
    </w:rPr>
  </w:style>
  <w:style w:type="paragraph" w:customStyle="1" w:styleId="2139">
    <w:name w:val="正文表标题"/>
    <w:basedOn w:val="98"/>
    <w:next w:val="1"/>
    <w:qFormat/>
    <w:uiPriority w:val="0"/>
    <w:pPr>
      <w:spacing w:beforeLines="50" w:afterLines="50"/>
      <w:jc w:val="center"/>
    </w:pPr>
    <w:rPr>
      <w:rFonts w:ascii="Times New Roman" w:hAnsi="Times New Roman" w:eastAsia="黑体" w:cs="Times New Roman"/>
      <w:color w:val="000000"/>
    </w:rPr>
  </w:style>
  <w:style w:type="paragraph" w:customStyle="1" w:styleId="2140">
    <w:name w:val="表题1511"/>
    <w:basedOn w:val="17"/>
    <w:qFormat/>
    <w:uiPriority w:val="0"/>
    <w:pPr>
      <w:widowControl/>
      <w:ind w:firstLine="0" w:firstLineChars="0"/>
      <w:jc w:val="center"/>
    </w:pPr>
    <w:rPr>
      <w:rFonts w:ascii="黑体" w:cs="Arial"/>
      <w:b/>
    </w:rPr>
  </w:style>
  <w:style w:type="paragraph" w:customStyle="1" w:styleId="2141">
    <w:name w:val="Char Char Char Char Char Char Char Char Char Char Char Char2"/>
    <w:basedOn w:val="1"/>
    <w:qFormat/>
    <w:uiPriority w:val="0"/>
    <w:pPr>
      <w:widowControl/>
      <w:jc w:val="left"/>
    </w:pPr>
    <w:rPr>
      <w:rFonts w:ascii="宋体" w:hAnsi="宋体" w:cs="宋体"/>
      <w:kern w:val="0"/>
      <w:szCs w:val="24"/>
    </w:rPr>
  </w:style>
  <w:style w:type="paragraph" w:customStyle="1" w:styleId="2142">
    <w:name w:val="燕山正文311"/>
    <w:basedOn w:val="1"/>
    <w:qFormat/>
    <w:uiPriority w:val="0"/>
    <w:pPr>
      <w:widowControl/>
      <w:tabs>
        <w:tab w:val="left" w:pos="4680"/>
      </w:tabs>
      <w:spacing w:line="480" w:lineRule="exact"/>
      <w:jc w:val="left"/>
    </w:pPr>
    <w:rPr>
      <w:rFonts w:ascii="宋体" w:hAnsi="宋体" w:cs="宋体"/>
      <w:kern w:val="0"/>
      <w:szCs w:val="24"/>
    </w:rPr>
  </w:style>
  <w:style w:type="paragraph" w:customStyle="1" w:styleId="2143">
    <w:name w:val="样式 表格内字体1 +12"/>
    <w:basedOn w:val="1722"/>
    <w:next w:val="559"/>
    <w:qFormat/>
    <w:uiPriority w:val="0"/>
    <w:rPr>
      <w:rFonts w:hAnsi="Times New Roman" w:cs="宋体"/>
      <w:szCs w:val="20"/>
    </w:rPr>
  </w:style>
  <w:style w:type="paragraph" w:customStyle="1" w:styleId="2144">
    <w:name w:val="Char82"/>
    <w:basedOn w:val="1"/>
    <w:qFormat/>
    <w:uiPriority w:val="0"/>
    <w:pPr>
      <w:widowControl/>
      <w:ind w:left="-48"/>
      <w:jc w:val="left"/>
    </w:pPr>
    <w:rPr>
      <w:rFonts w:ascii="宋体" w:hAnsi="宋体" w:cs="宋体"/>
      <w:kern w:val="0"/>
      <w:szCs w:val="24"/>
    </w:rPr>
  </w:style>
  <w:style w:type="paragraph" w:customStyle="1" w:styleId="2145">
    <w:name w:val="默认段落字体 Para Char211"/>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2146">
    <w:name w:val="Char Char Char Char Char Char Char121"/>
    <w:basedOn w:val="1"/>
    <w:qFormat/>
    <w:uiPriority w:val="0"/>
    <w:pPr>
      <w:widowControl/>
      <w:jc w:val="left"/>
    </w:pPr>
    <w:rPr>
      <w:rFonts w:ascii="宋体" w:hAnsi="宋体" w:cs="宋体"/>
      <w:kern w:val="0"/>
      <w:szCs w:val="20"/>
    </w:rPr>
  </w:style>
  <w:style w:type="paragraph" w:customStyle="1" w:styleId="2147">
    <w:name w:val="文本框31"/>
    <w:basedOn w:val="1"/>
    <w:qFormat/>
    <w:uiPriority w:val="0"/>
    <w:pPr>
      <w:widowControl/>
      <w:spacing w:after="6"/>
      <w:jc w:val="center"/>
    </w:pPr>
    <w:rPr>
      <w:rFonts w:ascii="宋体" w:hAnsi="宋体" w:cs="宋体"/>
      <w:kern w:val="0"/>
      <w:szCs w:val="24"/>
    </w:rPr>
  </w:style>
  <w:style w:type="paragraph" w:customStyle="1" w:styleId="2148">
    <w:name w:val="表中文字112"/>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149">
    <w:name w:val="表内文字小3121"/>
    <w:basedOn w:val="1"/>
    <w:qFormat/>
    <w:uiPriority w:val="0"/>
    <w:pPr>
      <w:widowControl/>
      <w:jc w:val="center"/>
    </w:pPr>
    <w:rPr>
      <w:rFonts w:ascii="宋体" w:hAnsi="Times" w:cs="宋体"/>
      <w:bCs/>
      <w:color w:val="003366"/>
      <w:kern w:val="0"/>
      <w:szCs w:val="20"/>
    </w:rPr>
  </w:style>
  <w:style w:type="paragraph" w:customStyle="1" w:styleId="2150">
    <w:name w:val="默认段落字体 Para Char Char Char Char62"/>
    <w:basedOn w:val="1"/>
    <w:qFormat/>
    <w:uiPriority w:val="0"/>
    <w:pPr>
      <w:widowControl/>
      <w:jc w:val="left"/>
    </w:pPr>
    <w:rPr>
      <w:rFonts w:ascii="宋体" w:hAnsi="宋体" w:cs="宋体"/>
      <w:kern w:val="0"/>
      <w:szCs w:val="24"/>
    </w:rPr>
  </w:style>
  <w:style w:type="paragraph" w:customStyle="1" w:styleId="2151">
    <w:name w:val="正文格式＝22"/>
    <w:basedOn w:val="418"/>
    <w:next w:val="418"/>
    <w:qFormat/>
    <w:uiPriority w:val="0"/>
    <w:rPr>
      <w:rFonts w:hAnsi="宋体"/>
      <w:szCs w:val="24"/>
    </w:rPr>
  </w:style>
  <w:style w:type="paragraph" w:customStyle="1" w:styleId="2152">
    <w:name w:val="正文格式＝43"/>
    <w:basedOn w:val="418"/>
    <w:next w:val="418"/>
    <w:qFormat/>
    <w:uiPriority w:val="0"/>
    <w:rPr>
      <w:rFonts w:hAnsi="宋体"/>
      <w:szCs w:val="24"/>
    </w:rPr>
  </w:style>
  <w:style w:type="paragraph" w:customStyle="1" w:styleId="2153">
    <w:name w:val="表内文字小821"/>
    <w:basedOn w:val="1"/>
    <w:qFormat/>
    <w:uiPriority w:val="0"/>
    <w:pPr>
      <w:widowControl/>
      <w:jc w:val="center"/>
    </w:pPr>
    <w:rPr>
      <w:rFonts w:ascii="宋体" w:hAnsi="Times" w:cs="宋体"/>
      <w:kern w:val="0"/>
      <w:szCs w:val="20"/>
    </w:rPr>
  </w:style>
  <w:style w:type="paragraph" w:customStyle="1" w:styleId="2154">
    <w:name w:val="环评正文31"/>
    <w:basedOn w:val="98"/>
    <w:qFormat/>
    <w:uiPriority w:val="0"/>
    <w:pPr>
      <w:spacing w:line="440" w:lineRule="exact"/>
      <w:ind w:firstLine="200" w:firstLineChars="200"/>
    </w:pPr>
    <w:rPr>
      <w:rFonts w:ascii="Times New Roman" w:hAnsi="Times New Roman" w:cs="Times New Roman"/>
      <w:bCs/>
      <w:color w:val="000000"/>
    </w:rPr>
  </w:style>
  <w:style w:type="paragraph" w:customStyle="1" w:styleId="2155">
    <w:name w:val="表格内字体14"/>
    <w:basedOn w:val="418"/>
    <w:next w:val="418"/>
    <w:qFormat/>
    <w:uiPriority w:val="0"/>
    <w:pPr>
      <w:spacing w:line="240" w:lineRule="auto"/>
      <w:ind w:firstLine="0"/>
      <w:jc w:val="center"/>
    </w:pPr>
    <w:rPr>
      <w:rFonts w:hAnsi="宋体"/>
      <w:sz w:val="21"/>
      <w:szCs w:val="24"/>
    </w:rPr>
  </w:style>
  <w:style w:type="paragraph" w:customStyle="1" w:styleId="2156">
    <w:name w:val="xl76"/>
    <w:basedOn w:val="1"/>
    <w:qFormat/>
    <w:uiPriority w:val="0"/>
    <w:pPr>
      <w:widowControl/>
      <w:pBdr>
        <w:bottom w:val="single" w:color="auto" w:sz="12" w:space="0"/>
        <w:right w:val="single" w:color="auto" w:sz="8" w:space="0"/>
      </w:pBdr>
      <w:spacing w:before="100" w:beforeAutospacing="1" w:after="100" w:afterAutospacing="1"/>
      <w:jc w:val="center"/>
    </w:pPr>
    <w:rPr>
      <w:kern w:val="0"/>
      <w:szCs w:val="21"/>
    </w:rPr>
  </w:style>
  <w:style w:type="paragraph" w:customStyle="1" w:styleId="2157">
    <w:name w:val="Char430"/>
    <w:basedOn w:val="1"/>
    <w:qFormat/>
    <w:uiPriority w:val="0"/>
    <w:pPr>
      <w:widowControl/>
      <w:ind w:left="-48"/>
      <w:jc w:val="left"/>
    </w:pPr>
    <w:rPr>
      <w:rFonts w:ascii="宋体" w:hAnsi="宋体" w:cs="宋体"/>
      <w:kern w:val="0"/>
      <w:szCs w:val="24"/>
    </w:rPr>
  </w:style>
  <w:style w:type="paragraph" w:customStyle="1" w:styleId="2158">
    <w:name w:val="默认段落字体 Para Char Char Char Char Char2"/>
    <w:basedOn w:val="1"/>
    <w:qFormat/>
    <w:uiPriority w:val="0"/>
    <w:pPr>
      <w:widowControl/>
      <w:jc w:val="left"/>
    </w:pPr>
    <w:rPr>
      <w:rFonts w:ascii="宋体" w:hAnsi="宋体" w:cs="宋体"/>
      <w:kern w:val="0"/>
      <w:szCs w:val="24"/>
    </w:rPr>
  </w:style>
  <w:style w:type="paragraph" w:customStyle="1" w:styleId="2159">
    <w:name w:val="表内文字小31"/>
    <w:basedOn w:val="1"/>
    <w:qFormat/>
    <w:uiPriority w:val="0"/>
    <w:pPr>
      <w:widowControl/>
      <w:jc w:val="center"/>
    </w:pPr>
    <w:rPr>
      <w:rFonts w:ascii="宋体" w:hAnsi="Times" w:cs="宋体"/>
      <w:bCs/>
      <w:color w:val="003366"/>
      <w:kern w:val="0"/>
      <w:szCs w:val="20"/>
    </w:rPr>
  </w:style>
  <w:style w:type="paragraph" w:customStyle="1" w:styleId="2160">
    <w:name w:val="表题2112"/>
    <w:basedOn w:val="1"/>
    <w:qFormat/>
    <w:uiPriority w:val="0"/>
    <w:pPr>
      <w:widowControl/>
      <w:jc w:val="center"/>
    </w:pPr>
    <w:rPr>
      <w:rFonts w:ascii="黑体" w:hAnsi="宋体" w:eastAsia="黑体" w:cs="宋体"/>
      <w:kern w:val="0"/>
      <w:szCs w:val="24"/>
    </w:rPr>
  </w:style>
  <w:style w:type="paragraph" w:customStyle="1" w:styleId="2161">
    <w:name w:val="xl38"/>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PMingLiU" w:eastAsia="PMingLiU"/>
      <w:kern w:val="0"/>
      <w:szCs w:val="24"/>
      <w:lang w:eastAsia="zh-TW"/>
    </w:rPr>
  </w:style>
  <w:style w:type="paragraph" w:customStyle="1" w:styleId="2162">
    <w:name w:val="样式 正文缩进 + 宋体 黑色 首行缩进:  2 字符12"/>
    <w:basedOn w:val="112"/>
    <w:qFormat/>
    <w:uiPriority w:val="0"/>
    <w:pPr>
      <w:ind w:firstLine="480"/>
    </w:pPr>
    <w:rPr>
      <w:rFonts w:cs="宋体"/>
      <w:color w:val="FF00FF"/>
    </w:rPr>
  </w:style>
  <w:style w:type="paragraph" w:customStyle="1" w:styleId="2163">
    <w:name w:val="燕山正文32"/>
    <w:basedOn w:val="1"/>
    <w:qFormat/>
    <w:uiPriority w:val="0"/>
    <w:pPr>
      <w:widowControl/>
      <w:tabs>
        <w:tab w:val="left" w:pos="4680"/>
      </w:tabs>
      <w:spacing w:line="480" w:lineRule="exact"/>
      <w:jc w:val="left"/>
    </w:pPr>
    <w:rPr>
      <w:rFonts w:ascii="宋体" w:hAnsi="宋体" w:cs="宋体"/>
      <w:kern w:val="0"/>
      <w:szCs w:val="24"/>
    </w:rPr>
  </w:style>
  <w:style w:type="paragraph" w:customStyle="1" w:styleId="2164">
    <w:name w:val="Char6"/>
    <w:basedOn w:val="1"/>
    <w:qFormat/>
    <w:uiPriority w:val="0"/>
    <w:pPr>
      <w:widowControl/>
      <w:spacing w:before="156"/>
      <w:jc w:val="left"/>
    </w:pPr>
    <w:rPr>
      <w:rFonts w:ascii="黑体" w:hAnsi="宋体" w:eastAsia="黑体" w:cs="宋体"/>
      <w:kern w:val="0"/>
      <w:sz w:val="32"/>
      <w:szCs w:val="32"/>
    </w:rPr>
  </w:style>
  <w:style w:type="paragraph" w:customStyle="1" w:styleId="2165">
    <w:name w:val="正文格式＝411"/>
    <w:basedOn w:val="418"/>
    <w:next w:val="418"/>
    <w:qFormat/>
    <w:uiPriority w:val="0"/>
    <w:rPr>
      <w:rFonts w:hAnsi="宋体"/>
      <w:szCs w:val="24"/>
    </w:rPr>
  </w:style>
  <w:style w:type="paragraph" w:customStyle="1" w:styleId="2166">
    <w:name w:val="Char143"/>
    <w:basedOn w:val="1"/>
    <w:qFormat/>
    <w:uiPriority w:val="0"/>
    <w:pPr>
      <w:widowControl/>
      <w:ind w:left="-48"/>
      <w:jc w:val="left"/>
    </w:pPr>
    <w:rPr>
      <w:rFonts w:ascii="宋体" w:hAnsi="宋体" w:cs="宋体"/>
      <w:kern w:val="0"/>
      <w:szCs w:val="24"/>
    </w:rPr>
  </w:style>
  <w:style w:type="paragraph" w:customStyle="1" w:styleId="2167">
    <w:name w:val="正文格式84"/>
    <w:basedOn w:val="1"/>
    <w:qFormat/>
    <w:uiPriority w:val="0"/>
    <w:pPr>
      <w:widowControl/>
      <w:ind w:firstLine="482"/>
      <w:jc w:val="left"/>
    </w:pPr>
    <w:rPr>
      <w:rFonts w:ascii="宋体" w:hAnsi="宋体" w:cs="宋体"/>
      <w:kern w:val="0"/>
      <w:szCs w:val="24"/>
    </w:rPr>
  </w:style>
  <w:style w:type="paragraph" w:customStyle="1" w:styleId="2168">
    <w:name w:val="Char Char Char Char Char Char Char27"/>
    <w:basedOn w:val="1"/>
    <w:qFormat/>
    <w:uiPriority w:val="99"/>
    <w:pPr>
      <w:widowControl/>
      <w:jc w:val="left"/>
    </w:pPr>
    <w:rPr>
      <w:rFonts w:ascii="宋体" w:hAnsi="宋体" w:cs="宋体"/>
      <w:kern w:val="0"/>
      <w:szCs w:val="24"/>
    </w:rPr>
  </w:style>
  <w:style w:type="paragraph" w:customStyle="1" w:styleId="2169">
    <w:name w:val="表内文字小2114"/>
    <w:basedOn w:val="1"/>
    <w:qFormat/>
    <w:uiPriority w:val="0"/>
    <w:pPr>
      <w:widowControl/>
      <w:jc w:val="center"/>
    </w:pPr>
    <w:rPr>
      <w:rFonts w:ascii="宋体" w:hAnsi="Times" w:cs="宋体"/>
      <w:bCs/>
      <w:kern w:val="0"/>
      <w:szCs w:val="20"/>
    </w:rPr>
  </w:style>
  <w:style w:type="paragraph" w:customStyle="1" w:styleId="2170">
    <w:name w:val="表中文字122"/>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171">
    <w:name w:val="Char325"/>
    <w:basedOn w:val="1"/>
    <w:qFormat/>
    <w:uiPriority w:val="0"/>
    <w:pPr>
      <w:widowControl/>
      <w:ind w:left="-48"/>
      <w:jc w:val="left"/>
    </w:pPr>
    <w:rPr>
      <w:rFonts w:ascii="宋体" w:hAnsi="宋体" w:cs="宋体"/>
      <w:kern w:val="0"/>
      <w:szCs w:val="24"/>
    </w:rPr>
  </w:style>
  <w:style w:type="paragraph" w:customStyle="1" w:styleId="2172">
    <w:name w:val="表题4112"/>
    <w:basedOn w:val="752"/>
    <w:qFormat/>
    <w:uiPriority w:val="0"/>
    <w:pPr>
      <w:widowControl/>
      <w:tabs>
        <w:tab w:val="left" w:pos="4305"/>
      </w:tabs>
      <w:spacing w:after="0" w:line="240" w:lineRule="auto"/>
      <w:ind w:left="0" w:leftChars="0" w:firstLine="0" w:firstLineChars="0"/>
      <w:jc w:val="center"/>
    </w:pPr>
    <w:rPr>
      <w:rFonts w:ascii="宋体" w:hAnsi="宋体" w:cs="宋体"/>
      <w:sz w:val="24"/>
      <w:szCs w:val="24"/>
    </w:rPr>
  </w:style>
  <w:style w:type="paragraph" w:customStyle="1" w:styleId="2173">
    <w:name w:val="Char Char Char Char1 Char Char Char14"/>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2174">
    <w:name w:val="xl23"/>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Arial Unicode MS"/>
      <w:kern w:val="0"/>
      <w:sz w:val="18"/>
      <w:szCs w:val="18"/>
    </w:rPr>
  </w:style>
  <w:style w:type="paragraph" w:customStyle="1" w:styleId="2175">
    <w:name w:val="表格内字体44"/>
    <w:basedOn w:val="418"/>
    <w:next w:val="418"/>
    <w:qFormat/>
    <w:uiPriority w:val="0"/>
    <w:pPr>
      <w:spacing w:line="240" w:lineRule="auto"/>
      <w:ind w:firstLine="0"/>
      <w:jc w:val="center"/>
    </w:pPr>
    <w:rPr>
      <w:rFonts w:hAnsi="宋体"/>
      <w:sz w:val="21"/>
      <w:szCs w:val="24"/>
    </w:rPr>
  </w:style>
  <w:style w:type="paragraph" w:customStyle="1" w:styleId="2176">
    <w:name w:val="表题3122"/>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177">
    <w:name w:val="文本框文字"/>
    <w:basedOn w:val="1"/>
    <w:qFormat/>
    <w:uiPriority w:val="0"/>
    <w:pPr>
      <w:widowControl/>
      <w:jc w:val="center"/>
      <w:textAlignment w:val="baseline"/>
    </w:pPr>
    <w:rPr>
      <w:rFonts w:ascii="宋体" w:hAnsi="宋体" w:cs="宋体"/>
      <w:kern w:val="0"/>
      <w:szCs w:val="20"/>
    </w:rPr>
  </w:style>
  <w:style w:type="paragraph" w:customStyle="1" w:styleId="2178">
    <w:name w:val="Fax Header21"/>
    <w:basedOn w:val="1"/>
    <w:qFormat/>
    <w:uiPriority w:val="0"/>
    <w:pPr>
      <w:widowControl/>
      <w:spacing w:before="240" w:after="60"/>
      <w:jc w:val="left"/>
    </w:pPr>
    <w:rPr>
      <w:rFonts w:ascii="宋体" w:hAnsi="宋体" w:cs="宋体"/>
      <w:kern w:val="0"/>
      <w:sz w:val="20"/>
      <w:szCs w:val="20"/>
    </w:rPr>
  </w:style>
  <w:style w:type="paragraph" w:customStyle="1" w:styleId="2179">
    <w:name w:val="样式 标题 4无效格式无效格式1河石管道4H4H41小小节河石管道41H42H411小小节1河石管道42...112"/>
    <w:basedOn w:val="5"/>
    <w:qFormat/>
    <w:uiPriority w:val="0"/>
    <w:pPr>
      <w:numPr>
        <w:ilvl w:val="0"/>
        <w:numId w:val="0"/>
      </w:numPr>
      <w:spacing w:after="0" w:line="360" w:lineRule="auto"/>
      <w:ind w:left="664" w:hanging="864"/>
    </w:pPr>
    <w:rPr>
      <w:rFonts w:ascii="黑体" w:hAnsi="Arial" w:eastAsia="黑体" w:cs="宋体"/>
      <w:b w:val="0"/>
      <w:bCs w:val="0"/>
      <w:kern w:val="2"/>
      <w:sz w:val="24"/>
      <w:szCs w:val="20"/>
    </w:rPr>
  </w:style>
  <w:style w:type="paragraph" w:customStyle="1" w:styleId="2180">
    <w:name w:val="表题143"/>
    <w:basedOn w:val="17"/>
    <w:qFormat/>
    <w:uiPriority w:val="0"/>
    <w:pPr>
      <w:widowControl/>
      <w:ind w:firstLine="0" w:firstLineChars="0"/>
      <w:jc w:val="center"/>
    </w:pPr>
    <w:rPr>
      <w:rFonts w:ascii="黑体" w:cs="Arial"/>
      <w:b/>
    </w:rPr>
  </w:style>
  <w:style w:type="paragraph" w:customStyle="1" w:styleId="2181">
    <w:name w:val="附件"/>
    <w:basedOn w:val="2"/>
    <w:next w:val="418"/>
    <w:qFormat/>
    <w:uiPriority w:val="0"/>
    <w:pPr>
      <w:numPr>
        <w:numId w:val="0"/>
      </w:numPr>
      <w:adjustRightInd/>
      <w:snapToGrid/>
      <w:spacing w:after="210"/>
      <w:jc w:val="left"/>
    </w:pPr>
    <w:rPr>
      <w:rFonts w:ascii="黑体" w:eastAsia="黑体"/>
      <w:sz w:val="32"/>
      <w:szCs w:val="32"/>
    </w:rPr>
  </w:style>
  <w:style w:type="paragraph" w:customStyle="1" w:styleId="2182">
    <w:name w:val="Char Char2 Char Char Char Char4"/>
    <w:basedOn w:val="1"/>
    <w:qFormat/>
    <w:uiPriority w:val="0"/>
    <w:pPr>
      <w:widowControl/>
      <w:jc w:val="left"/>
    </w:pPr>
    <w:rPr>
      <w:rFonts w:ascii="宋体" w:hAnsi="宋体" w:cs="宋体"/>
      <w:kern w:val="0"/>
      <w:szCs w:val="24"/>
    </w:rPr>
  </w:style>
  <w:style w:type="paragraph" w:customStyle="1" w:styleId="2183">
    <w:name w:val="正文修改24"/>
    <w:basedOn w:val="786"/>
    <w:qFormat/>
    <w:uiPriority w:val="0"/>
    <w:rPr>
      <w:rFonts w:hAnsi="宋体" w:eastAsia="宋体" w:cs="宋体"/>
      <w:szCs w:val="24"/>
    </w:rPr>
  </w:style>
  <w:style w:type="paragraph" w:customStyle="1" w:styleId="2184">
    <w:name w:val="我的样式（正文）"/>
    <w:basedOn w:val="1"/>
    <w:qFormat/>
    <w:uiPriority w:val="0"/>
    <w:pPr>
      <w:widowControl/>
      <w:tabs>
        <w:tab w:val="left" w:pos="360"/>
      </w:tabs>
      <w:spacing w:line="440" w:lineRule="exact"/>
      <w:jc w:val="left"/>
    </w:pPr>
    <w:rPr>
      <w:rFonts w:ascii="宋体" w:hAnsi="宋体" w:cs="宋体"/>
      <w:kern w:val="0"/>
      <w:szCs w:val="20"/>
    </w:rPr>
  </w:style>
  <w:style w:type="paragraph" w:customStyle="1" w:styleId="2185">
    <w:name w:val="附件13"/>
    <w:basedOn w:val="2"/>
    <w:next w:val="418"/>
    <w:qFormat/>
    <w:uiPriority w:val="0"/>
    <w:pPr>
      <w:numPr>
        <w:numId w:val="0"/>
      </w:numPr>
      <w:spacing w:before="220"/>
    </w:pPr>
    <w:rPr>
      <w:rFonts w:ascii="黑体" w:eastAsia="黑体"/>
      <w:sz w:val="32"/>
      <w:szCs w:val="32"/>
    </w:rPr>
  </w:style>
  <w:style w:type="paragraph" w:customStyle="1" w:styleId="2186">
    <w:name w:val="正文格式93"/>
    <w:basedOn w:val="1"/>
    <w:qFormat/>
    <w:uiPriority w:val="0"/>
    <w:pPr>
      <w:widowControl/>
      <w:ind w:firstLine="482"/>
      <w:jc w:val="left"/>
    </w:pPr>
    <w:rPr>
      <w:rFonts w:ascii="宋体" w:hAnsi="宋体" w:cs="宋体"/>
      <w:kern w:val="0"/>
      <w:szCs w:val="24"/>
    </w:rPr>
  </w:style>
  <w:style w:type="paragraph" w:customStyle="1" w:styleId="2187">
    <w:name w:val="表22"/>
    <w:basedOn w:val="1"/>
    <w:qFormat/>
    <w:uiPriority w:val="0"/>
    <w:pPr>
      <w:widowControl/>
      <w:jc w:val="center"/>
    </w:pPr>
    <w:rPr>
      <w:rFonts w:ascii="宋体" w:hAnsi="宋体" w:cs="宋体"/>
      <w:kern w:val="0"/>
      <w:szCs w:val="24"/>
    </w:rPr>
  </w:style>
  <w:style w:type="paragraph" w:customStyle="1" w:styleId="2188">
    <w:name w:val="Char Char Char Char Char Char Char6"/>
    <w:basedOn w:val="1"/>
    <w:qFormat/>
    <w:uiPriority w:val="0"/>
    <w:pPr>
      <w:widowControl/>
      <w:jc w:val="left"/>
    </w:pPr>
    <w:rPr>
      <w:rFonts w:ascii="宋体" w:hAnsi="宋体" w:cs="宋体"/>
      <w:kern w:val="0"/>
      <w:szCs w:val="20"/>
    </w:rPr>
  </w:style>
  <w:style w:type="paragraph" w:customStyle="1" w:styleId="2189">
    <w:name w:val="样式 表内小5 + 黑体 加粗 倾斜 下划线11"/>
    <w:basedOn w:val="1"/>
    <w:qFormat/>
    <w:uiPriority w:val="0"/>
    <w:pPr>
      <w:widowControl/>
      <w:spacing w:line="300" w:lineRule="auto"/>
      <w:jc w:val="left"/>
    </w:pPr>
    <w:rPr>
      <w:rFonts w:ascii="黑体" w:hAnsi="黑体" w:eastAsia="黑体" w:cs="宋体"/>
      <w:b/>
      <w:bCs/>
      <w:i/>
      <w:iCs/>
      <w:kern w:val="0"/>
      <w:sz w:val="18"/>
      <w:szCs w:val="24"/>
      <w:u w:val="single"/>
    </w:rPr>
  </w:style>
  <w:style w:type="paragraph" w:customStyle="1" w:styleId="2190">
    <w:name w:val="Char Char Char Char Char Char Char8"/>
    <w:basedOn w:val="1"/>
    <w:qFormat/>
    <w:uiPriority w:val="0"/>
    <w:pPr>
      <w:widowControl/>
      <w:jc w:val="left"/>
    </w:pPr>
    <w:rPr>
      <w:rFonts w:ascii="宋体" w:hAnsi="宋体" w:cs="宋体"/>
      <w:kern w:val="0"/>
      <w:szCs w:val="24"/>
    </w:rPr>
  </w:style>
  <w:style w:type="paragraph" w:customStyle="1" w:styleId="2191">
    <w:name w:val="表内容"/>
    <w:basedOn w:val="1411"/>
    <w:qFormat/>
    <w:uiPriority w:val="0"/>
    <w:pPr>
      <w:widowControl/>
      <w:tabs>
        <w:tab w:val="left" w:pos="630"/>
        <w:tab w:val="left" w:pos="1260"/>
      </w:tabs>
      <w:spacing w:before="0" w:after="0" w:line="240" w:lineRule="auto"/>
      <w:ind w:firstLine="0" w:firstLineChars="0"/>
      <w:jc w:val="center"/>
    </w:pPr>
    <w:rPr>
      <w:snapToGrid w:val="0"/>
      <w:spacing w:val="0"/>
      <w:sz w:val="21"/>
      <w:szCs w:val="24"/>
    </w:rPr>
  </w:style>
  <w:style w:type="paragraph" w:customStyle="1" w:styleId="2192">
    <w:name w:val="标题431221"/>
    <w:basedOn w:val="1"/>
    <w:qFormat/>
    <w:uiPriority w:val="0"/>
    <w:pPr>
      <w:widowControl/>
      <w:spacing w:line="480" w:lineRule="exact"/>
      <w:jc w:val="center"/>
    </w:pPr>
    <w:rPr>
      <w:rFonts w:ascii="宋体" w:hAnsi="宋体" w:cs="宋体"/>
      <w:kern w:val="0"/>
      <w:szCs w:val="24"/>
    </w:rPr>
  </w:style>
  <w:style w:type="paragraph" w:customStyle="1" w:styleId="2193">
    <w:name w:val="表内文字小222"/>
    <w:basedOn w:val="1"/>
    <w:qFormat/>
    <w:uiPriority w:val="0"/>
    <w:pPr>
      <w:widowControl/>
      <w:jc w:val="center"/>
    </w:pPr>
    <w:rPr>
      <w:rFonts w:ascii="宋体" w:hAnsi="Times" w:cs="宋体"/>
      <w:bCs/>
      <w:kern w:val="0"/>
      <w:szCs w:val="20"/>
    </w:rPr>
  </w:style>
  <w:style w:type="paragraph" w:customStyle="1" w:styleId="2194">
    <w:name w:val="正文格式＝512"/>
    <w:basedOn w:val="418"/>
    <w:next w:val="418"/>
    <w:qFormat/>
    <w:uiPriority w:val="0"/>
    <w:rPr>
      <w:rFonts w:hAnsi="宋体"/>
      <w:szCs w:val="24"/>
    </w:rPr>
  </w:style>
  <w:style w:type="paragraph" w:customStyle="1" w:styleId="2195">
    <w:name w:val="表题153"/>
    <w:basedOn w:val="17"/>
    <w:qFormat/>
    <w:uiPriority w:val="0"/>
    <w:pPr>
      <w:widowControl/>
      <w:ind w:firstLine="0" w:firstLineChars="0"/>
      <w:jc w:val="center"/>
    </w:pPr>
    <w:rPr>
      <w:rFonts w:ascii="黑体" w:cs="Arial"/>
      <w:b/>
    </w:rPr>
  </w:style>
  <w:style w:type="paragraph" w:customStyle="1" w:styleId="2196">
    <w:name w:val="标题4113"/>
    <w:basedOn w:val="1"/>
    <w:qFormat/>
    <w:uiPriority w:val="0"/>
    <w:pPr>
      <w:widowControl/>
      <w:spacing w:line="300" w:lineRule="auto"/>
      <w:jc w:val="left"/>
    </w:pPr>
    <w:rPr>
      <w:rFonts w:ascii="黑体" w:hAnsi="宋体" w:eastAsia="黑体" w:cs="宋体"/>
      <w:bCs/>
      <w:kern w:val="0"/>
      <w:szCs w:val="20"/>
    </w:rPr>
  </w:style>
  <w:style w:type="paragraph" w:customStyle="1" w:styleId="2197">
    <w:name w:val="小四左齐"/>
    <w:basedOn w:val="1"/>
    <w:qFormat/>
    <w:uiPriority w:val="0"/>
    <w:pPr>
      <w:widowControl/>
      <w:overflowPunct w:val="0"/>
      <w:jc w:val="left"/>
      <w:textAlignment w:val="top"/>
    </w:pPr>
    <w:rPr>
      <w:rFonts w:ascii="宋体" w:hAnsi="宋体" w:cs="宋体"/>
      <w:snapToGrid w:val="0"/>
      <w:kern w:val="0"/>
      <w:szCs w:val="24"/>
    </w:rPr>
  </w:style>
  <w:style w:type="paragraph" w:customStyle="1" w:styleId="2198">
    <w:name w:val="样式 标题 3 + 段前: 12 磅2"/>
    <w:basedOn w:val="4"/>
    <w:qFormat/>
    <w:uiPriority w:val="0"/>
    <w:pPr>
      <w:keepNext w:val="0"/>
      <w:keepLines w:val="0"/>
      <w:widowControl/>
      <w:autoSpaceDE w:val="0"/>
      <w:autoSpaceDN w:val="0"/>
      <w:jc w:val="both"/>
    </w:pPr>
    <w:rPr>
      <w:rFonts w:ascii="黑体" w:hAnsi="宋体" w:eastAsia="黑体" w:cs="宋体"/>
      <w:b w:val="0"/>
      <w:bCs w:val="0"/>
      <w:kern w:val="21"/>
      <w:szCs w:val="20"/>
    </w:rPr>
  </w:style>
  <w:style w:type="paragraph" w:customStyle="1" w:styleId="2199">
    <w:name w:val="环评正文12"/>
    <w:basedOn w:val="98"/>
    <w:qFormat/>
    <w:uiPriority w:val="0"/>
    <w:pPr>
      <w:spacing w:line="440" w:lineRule="exact"/>
      <w:ind w:firstLine="200" w:firstLineChars="200"/>
    </w:pPr>
    <w:rPr>
      <w:rFonts w:ascii="Times New Roman" w:hAnsi="Times New Roman" w:cs="Times New Roman"/>
      <w:bCs/>
      <w:color w:val="000000"/>
    </w:rPr>
  </w:style>
  <w:style w:type="paragraph" w:customStyle="1" w:styleId="2200">
    <w:name w:val="表内文字小131"/>
    <w:basedOn w:val="1"/>
    <w:qFormat/>
    <w:uiPriority w:val="0"/>
    <w:pPr>
      <w:widowControl/>
      <w:jc w:val="center"/>
    </w:pPr>
    <w:rPr>
      <w:rFonts w:ascii="宋体" w:hAnsi="Times" w:cs="宋体"/>
      <w:kern w:val="0"/>
      <w:szCs w:val="20"/>
    </w:rPr>
  </w:style>
  <w:style w:type="paragraph" w:customStyle="1" w:styleId="2201">
    <w:name w:val="Char181"/>
    <w:basedOn w:val="1"/>
    <w:qFormat/>
    <w:uiPriority w:val="0"/>
    <w:pPr>
      <w:widowControl/>
      <w:ind w:left="-48"/>
      <w:jc w:val="left"/>
    </w:pPr>
    <w:rPr>
      <w:rFonts w:ascii="宋体" w:hAnsi="宋体" w:cs="宋体"/>
      <w:kern w:val="0"/>
      <w:szCs w:val="24"/>
    </w:rPr>
  </w:style>
  <w:style w:type="paragraph" w:customStyle="1" w:styleId="2202">
    <w:name w:val="默认段落字体 Para Char Char Char Char13"/>
    <w:basedOn w:val="1"/>
    <w:qFormat/>
    <w:uiPriority w:val="0"/>
    <w:pPr>
      <w:widowControl/>
      <w:jc w:val="left"/>
    </w:pPr>
    <w:rPr>
      <w:rFonts w:ascii="宋体" w:hAnsi="宋体" w:cs="宋体"/>
      <w:kern w:val="0"/>
      <w:szCs w:val="24"/>
    </w:rPr>
  </w:style>
  <w:style w:type="paragraph" w:customStyle="1" w:styleId="2203">
    <w:name w:val="样式 环评标题3 + 黑色 段前: 0.5 行 段后: 0.5 行"/>
    <w:basedOn w:val="881"/>
    <w:semiHidden/>
    <w:qFormat/>
    <w:uiPriority w:val="0"/>
    <w:pPr>
      <w:numPr>
        <w:numId w:val="3"/>
      </w:numPr>
      <w:tabs>
        <w:tab w:val="left" w:pos="360"/>
        <w:tab w:val="left" w:pos="432"/>
        <w:tab w:val="left" w:pos="709"/>
        <w:tab w:val="left" w:pos="1260"/>
        <w:tab w:val="clear" w:pos="720"/>
      </w:tabs>
      <w:spacing w:before="156" w:after="0"/>
      <w:ind w:left="709" w:hanging="709"/>
    </w:pPr>
    <w:rPr>
      <w:rFonts w:cs="宋体"/>
      <w:bCs/>
      <w:szCs w:val="24"/>
    </w:rPr>
  </w:style>
  <w:style w:type="paragraph" w:customStyle="1" w:styleId="2204">
    <w:name w:val="Char Char2 Char Char Char Char22"/>
    <w:basedOn w:val="1"/>
    <w:qFormat/>
    <w:uiPriority w:val="0"/>
    <w:pPr>
      <w:widowControl/>
      <w:jc w:val="left"/>
    </w:pPr>
    <w:rPr>
      <w:rFonts w:ascii="宋体" w:hAnsi="宋体" w:cs="宋体"/>
      <w:kern w:val="0"/>
      <w:szCs w:val="24"/>
    </w:rPr>
  </w:style>
  <w:style w:type="paragraph" w:customStyle="1" w:styleId="2205">
    <w:name w:val="表内文字小312111"/>
    <w:basedOn w:val="1"/>
    <w:qFormat/>
    <w:uiPriority w:val="0"/>
    <w:pPr>
      <w:widowControl/>
      <w:jc w:val="center"/>
    </w:pPr>
    <w:rPr>
      <w:rFonts w:ascii="宋体" w:hAnsi="Times" w:cs="宋体"/>
      <w:bCs/>
      <w:color w:val="003366"/>
      <w:kern w:val="0"/>
      <w:szCs w:val="20"/>
    </w:rPr>
  </w:style>
  <w:style w:type="paragraph" w:customStyle="1" w:styleId="2206">
    <w:name w:val="Char124"/>
    <w:basedOn w:val="1"/>
    <w:qFormat/>
    <w:uiPriority w:val="0"/>
    <w:pPr>
      <w:widowControl/>
      <w:ind w:left="-48"/>
      <w:jc w:val="left"/>
    </w:pPr>
    <w:rPr>
      <w:rFonts w:ascii="宋体" w:hAnsi="宋体" w:cs="宋体"/>
      <w:kern w:val="0"/>
      <w:szCs w:val="24"/>
    </w:rPr>
  </w:style>
  <w:style w:type="paragraph" w:customStyle="1" w:styleId="2207">
    <w:name w:val="Char74"/>
    <w:basedOn w:val="1"/>
    <w:qFormat/>
    <w:uiPriority w:val="0"/>
    <w:pPr>
      <w:widowControl/>
      <w:ind w:left="-48"/>
      <w:jc w:val="left"/>
    </w:pPr>
    <w:rPr>
      <w:rFonts w:ascii="宋体" w:hAnsi="宋体" w:cs="宋体"/>
      <w:kern w:val="0"/>
      <w:szCs w:val="24"/>
    </w:rPr>
  </w:style>
  <w:style w:type="paragraph" w:customStyle="1" w:styleId="2208">
    <w:name w:val="Char18"/>
    <w:basedOn w:val="1"/>
    <w:qFormat/>
    <w:uiPriority w:val="0"/>
    <w:pPr>
      <w:widowControl/>
      <w:ind w:left="-48"/>
      <w:jc w:val="left"/>
    </w:pPr>
    <w:rPr>
      <w:rFonts w:ascii="宋体" w:hAnsi="宋体" w:cs="宋体"/>
      <w:kern w:val="0"/>
      <w:szCs w:val="24"/>
    </w:rPr>
  </w:style>
  <w:style w:type="paragraph" w:customStyle="1" w:styleId="2209">
    <w:name w:val="Char225"/>
    <w:basedOn w:val="1"/>
    <w:qFormat/>
    <w:uiPriority w:val="0"/>
    <w:pPr>
      <w:widowControl/>
      <w:ind w:left="-48"/>
      <w:jc w:val="left"/>
    </w:pPr>
    <w:rPr>
      <w:rFonts w:ascii="宋体" w:hAnsi="宋体" w:cs="宋体"/>
      <w:kern w:val="0"/>
      <w:szCs w:val="24"/>
    </w:rPr>
  </w:style>
  <w:style w:type="paragraph" w:customStyle="1" w:styleId="2210">
    <w:name w:val="Char8"/>
    <w:basedOn w:val="1"/>
    <w:qFormat/>
    <w:uiPriority w:val="0"/>
    <w:pPr>
      <w:widowControl/>
      <w:ind w:left="-48"/>
      <w:jc w:val="left"/>
    </w:pPr>
    <w:rPr>
      <w:rFonts w:ascii="宋体" w:hAnsi="宋体" w:cs="宋体"/>
      <w:kern w:val="0"/>
      <w:szCs w:val="24"/>
    </w:rPr>
  </w:style>
  <w:style w:type="paragraph" w:customStyle="1" w:styleId="2211">
    <w:name w:val="正文修改12"/>
    <w:basedOn w:val="786"/>
    <w:qFormat/>
    <w:uiPriority w:val="0"/>
    <w:rPr>
      <w:rFonts w:hAnsi="宋体" w:eastAsia="宋体" w:cs="宋体"/>
      <w:szCs w:val="24"/>
    </w:rPr>
  </w:style>
  <w:style w:type="paragraph" w:customStyle="1" w:styleId="2212">
    <w:name w:val="索引 61"/>
    <w:basedOn w:val="2"/>
    <w:next w:val="1"/>
    <w:qFormat/>
    <w:uiPriority w:val="0"/>
    <w:pPr>
      <w:numPr>
        <w:numId w:val="0"/>
      </w:numPr>
      <w:tabs>
        <w:tab w:val="left" w:pos="432"/>
      </w:tabs>
      <w:adjustRightInd/>
      <w:snapToGrid/>
      <w:ind w:left="432" w:hanging="432"/>
    </w:pPr>
    <w:rPr>
      <w:szCs w:val="20"/>
    </w:rPr>
  </w:style>
  <w:style w:type="paragraph" w:customStyle="1" w:styleId="2213">
    <w:name w:val="正文宋"/>
    <w:basedOn w:val="1"/>
    <w:qFormat/>
    <w:uiPriority w:val="0"/>
    <w:pPr>
      <w:suppressAutoHyphens/>
      <w:wordWrap w:val="0"/>
      <w:spacing w:line="0" w:lineRule="atLeast"/>
    </w:pPr>
    <w:rPr>
      <w:kern w:val="0"/>
      <w:szCs w:val="20"/>
    </w:rPr>
  </w:style>
  <w:style w:type="paragraph" w:customStyle="1" w:styleId="2214">
    <w:name w:val="正文格式101"/>
    <w:basedOn w:val="1"/>
    <w:qFormat/>
    <w:uiPriority w:val="0"/>
    <w:pPr>
      <w:widowControl/>
      <w:ind w:firstLine="482"/>
      <w:jc w:val="left"/>
    </w:pPr>
    <w:rPr>
      <w:rFonts w:ascii="宋体" w:hAnsi="宋体" w:cs="宋体"/>
      <w:kern w:val="0"/>
      <w:szCs w:val="24"/>
    </w:rPr>
  </w:style>
  <w:style w:type="paragraph" w:customStyle="1" w:styleId="2215">
    <w:name w:val="环评正文1"/>
    <w:basedOn w:val="98"/>
    <w:qFormat/>
    <w:uiPriority w:val="0"/>
    <w:pPr>
      <w:spacing w:line="440" w:lineRule="exact"/>
      <w:ind w:firstLine="200" w:firstLineChars="200"/>
    </w:pPr>
    <w:rPr>
      <w:rFonts w:ascii="Times New Roman" w:hAnsi="Times New Roman" w:cs="Times New Roman"/>
      <w:bCs/>
      <w:color w:val="000000"/>
    </w:rPr>
  </w:style>
  <w:style w:type="paragraph" w:customStyle="1" w:styleId="2216">
    <w:name w:val="注×："/>
    <w:basedOn w:val="98"/>
    <w:qFormat/>
    <w:uiPriority w:val="0"/>
    <w:pPr>
      <w:widowControl w:val="0"/>
      <w:tabs>
        <w:tab w:val="left" w:pos="630"/>
        <w:tab w:val="left" w:pos="720"/>
      </w:tabs>
      <w:autoSpaceDE w:val="0"/>
      <w:autoSpaceDN w:val="0"/>
      <w:ind w:left="720" w:hanging="720"/>
    </w:pPr>
    <w:rPr>
      <w:rFonts w:ascii="宋体" w:hAnsi="Times New Roman" w:cs="Times New Roman"/>
      <w:color w:val="000000"/>
      <w:sz w:val="18"/>
    </w:rPr>
  </w:style>
  <w:style w:type="paragraph" w:customStyle="1" w:styleId="2217">
    <w:name w:val="图题31"/>
    <w:basedOn w:val="418"/>
    <w:next w:val="418"/>
    <w:qFormat/>
    <w:uiPriority w:val="0"/>
    <w:pPr>
      <w:ind w:firstLine="0"/>
      <w:jc w:val="center"/>
    </w:pPr>
    <w:rPr>
      <w:rFonts w:ascii="黑体" w:hAnsi="宋体" w:eastAsia="黑体" w:cs="宋体"/>
      <w:b/>
      <w:bCs/>
      <w:szCs w:val="24"/>
    </w:rPr>
  </w:style>
  <w:style w:type="paragraph" w:customStyle="1" w:styleId="2218">
    <w:name w:val="样式1211"/>
    <w:basedOn w:val="1586"/>
    <w:qFormat/>
    <w:uiPriority w:val="0"/>
    <w:pPr>
      <w:spacing w:line="240" w:lineRule="auto"/>
      <w:ind w:firstLine="0"/>
      <w:jc w:val="center"/>
    </w:pPr>
    <w:rPr>
      <w:rFonts w:cs="Times New Roman"/>
      <w:b/>
      <w:color w:val="auto"/>
      <w:szCs w:val="20"/>
    </w:rPr>
  </w:style>
  <w:style w:type="paragraph" w:customStyle="1" w:styleId="2219">
    <w:name w:val="Texte"/>
    <w:basedOn w:val="1"/>
    <w:qFormat/>
    <w:uiPriority w:val="0"/>
    <w:pPr>
      <w:widowControl/>
      <w:spacing w:before="120" w:after="120"/>
      <w:ind w:left="851"/>
      <w:jc w:val="left"/>
    </w:pPr>
    <w:rPr>
      <w:rFonts w:ascii="Arial" w:hAnsi="Arial" w:cs="宋体"/>
      <w:kern w:val="0"/>
      <w:sz w:val="22"/>
      <w:szCs w:val="20"/>
    </w:rPr>
  </w:style>
  <w:style w:type="paragraph" w:customStyle="1" w:styleId="2220">
    <w:name w:val="正文修改321"/>
    <w:basedOn w:val="786"/>
    <w:qFormat/>
    <w:uiPriority w:val="0"/>
    <w:rPr>
      <w:rFonts w:hAnsi="宋体" w:eastAsia="宋体" w:cs="宋体"/>
      <w:szCs w:val="24"/>
    </w:rPr>
  </w:style>
  <w:style w:type="paragraph" w:customStyle="1" w:styleId="2221">
    <w:name w:val="右五"/>
    <w:next w:val="1"/>
    <w:qFormat/>
    <w:uiPriority w:val="0"/>
    <w:pPr>
      <w:jc w:val="right"/>
    </w:pPr>
    <w:rPr>
      <w:rFonts w:ascii="Times New Roman" w:hAnsi="Times New Roman" w:eastAsia="宋体" w:cs="Times New Roman"/>
      <w:lang w:val="en-US" w:eastAsia="zh-CN" w:bidi="ar-SA"/>
    </w:rPr>
  </w:style>
  <w:style w:type="paragraph" w:customStyle="1" w:styleId="2222">
    <w:name w:val="左五"/>
    <w:basedOn w:val="1"/>
    <w:qFormat/>
    <w:uiPriority w:val="0"/>
    <w:pPr>
      <w:widowControl/>
      <w:spacing w:line="280" w:lineRule="exact"/>
      <w:jc w:val="left"/>
    </w:pPr>
    <w:rPr>
      <w:rFonts w:ascii="宋体" w:hAnsi="Symusic" w:cs="宋体"/>
      <w:kern w:val="0"/>
      <w:sz w:val="18"/>
      <w:szCs w:val="24"/>
    </w:rPr>
  </w:style>
  <w:style w:type="paragraph" w:customStyle="1" w:styleId="2223">
    <w:name w:val="文本框5号两端齐"/>
    <w:basedOn w:val="1"/>
    <w:qFormat/>
    <w:uiPriority w:val="0"/>
    <w:pPr>
      <w:widowControl/>
      <w:jc w:val="left"/>
    </w:pPr>
    <w:rPr>
      <w:rFonts w:ascii="宋体" w:hAnsi="宋体" w:cs="宋体"/>
      <w:kern w:val="0"/>
      <w:szCs w:val="21"/>
    </w:rPr>
  </w:style>
  <w:style w:type="paragraph" w:customStyle="1" w:styleId="2224">
    <w:name w:val="Char130"/>
    <w:basedOn w:val="1"/>
    <w:qFormat/>
    <w:uiPriority w:val="0"/>
    <w:pPr>
      <w:widowControl/>
      <w:ind w:left="-48"/>
      <w:jc w:val="left"/>
    </w:pPr>
    <w:rPr>
      <w:rFonts w:ascii="宋体" w:hAnsi="宋体" w:cs="宋体"/>
      <w:kern w:val="0"/>
      <w:szCs w:val="24"/>
    </w:rPr>
  </w:style>
  <w:style w:type="paragraph" w:customStyle="1" w:styleId="2225">
    <w:name w:val="列表编号 51"/>
    <w:basedOn w:val="1"/>
    <w:qFormat/>
    <w:uiPriority w:val="0"/>
    <w:pPr>
      <w:widowControl/>
      <w:tabs>
        <w:tab w:val="left" w:pos="2040"/>
      </w:tabs>
      <w:ind w:left="2040" w:hanging="360"/>
      <w:jc w:val="left"/>
    </w:pPr>
    <w:rPr>
      <w:rFonts w:ascii="宋体" w:hAnsi="宋体" w:cs="宋体"/>
      <w:kern w:val="0"/>
      <w:szCs w:val="24"/>
    </w:rPr>
  </w:style>
  <w:style w:type="paragraph" w:customStyle="1" w:styleId="2226">
    <w:name w:val="样式 样式 环评正文 + 首行缩进:  2 字符 + 首行缩进:  2 字符"/>
    <w:basedOn w:val="1"/>
    <w:semiHidden/>
    <w:qFormat/>
    <w:uiPriority w:val="0"/>
    <w:pPr>
      <w:ind w:firstLine="512"/>
    </w:pPr>
    <w:rPr>
      <w:rFonts w:cs="宋体"/>
      <w:spacing w:val="8"/>
      <w:kern w:val="0"/>
      <w:szCs w:val="20"/>
    </w:rPr>
  </w:style>
  <w:style w:type="paragraph" w:customStyle="1" w:styleId="2227">
    <w:name w:val="图题212"/>
    <w:basedOn w:val="418"/>
    <w:next w:val="418"/>
    <w:qFormat/>
    <w:uiPriority w:val="0"/>
    <w:pPr>
      <w:ind w:firstLine="0"/>
      <w:jc w:val="center"/>
    </w:pPr>
    <w:rPr>
      <w:rFonts w:ascii="黑体" w:hAnsi="宋体" w:eastAsia="黑体" w:cs="宋体"/>
      <w:b/>
      <w:bCs/>
      <w:szCs w:val="24"/>
    </w:rPr>
  </w:style>
  <w:style w:type="paragraph" w:customStyle="1" w:styleId="2228">
    <w:name w:val="三级条标题"/>
    <w:basedOn w:val="1571"/>
    <w:next w:val="1"/>
    <w:qFormat/>
    <w:uiPriority w:val="0"/>
    <w:pPr>
      <w:tabs>
        <w:tab w:val="left" w:pos="1008"/>
        <w:tab w:val="left" w:pos="2100"/>
        <w:tab w:val="left" w:pos="2660"/>
      </w:tabs>
      <w:outlineLvl w:val="4"/>
    </w:pPr>
  </w:style>
  <w:style w:type="paragraph" w:customStyle="1" w:styleId="2229">
    <w:name w:val="Char3311"/>
    <w:basedOn w:val="1"/>
    <w:qFormat/>
    <w:uiPriority w:val="0"/>
    <w:pPr>
      <w:widowControl/>
      <w:ind w:left="-48"/>
      <w:jc w:val="left"/>
    </w:pPr>
    <w:rPr>
      <w:rFonts w:ascii="宋体" w:hAnsi="宋体" w:cs="宋体"/>
      <w:kern w:val="0"/>
      <w:szCs w:val="24"/>
    </w:rPr>
  </w:style>
  <w:style w:type="paragraph" w:customStyle="1" w:styleId="2230">
    <w:name w:val="框图格式2"/>
    <w:basedOn w:val="1"/>
    <w:qFormat/>
    <w:uiPriority w:val="0"/>
    <w:pPr>
      <w:widowControl/>
      <w:jc w:val="left"/>
    </w:pPr>
    <w:rPr>
      <w:rFonts w:ascii="宋体" w:hAnsi="宋体" w:cs="宋体"/>
      <w:kern w:val="0"/>
      <w:sz w:val="18"/>
      <w:szCs w:val="24"/>
    </w:rPr>
  </w:style>
  <w:style w:type="paragraph" w:customStyle="1" w:styleId="2231">
    <w:name w:val="正文修改5"/>
    <w:basedOn w:val="786"/>
    <w:qFormat/>
    <w:uiPriority w:val="0"/>
    <w:rPr>
      <w:rFonts w:hAnsi="宋体" w:eastAsia="宋体" w:cs="宋体"/>
      <w:szCs w:val="24"/>
    </w:rPr>
  </w:style>
  <w:style w:type="paragraph" w:customStyle="1" w:styleId="2232">
    <w:name w:val="附件42"/>
    <w:basedOn w:val="2"/>
    <w:next w:val="418"/>
    <w:qFormat/>
    <w:uiPriority w:val="0"/>
    <w:pPr>
      <w:numPr>
        <w:numId w:val="0"/>
      </w:numPr>
      <w:adjustRightInd/>
      <w:snapToGrid/>
      <w:spacing w:after="210"/>
      <w:jc w:val="left"/>
    </w:pPr>
    <w:rPr>
      <w:rFonts w:ascii="黑体" w:eastAsia="黑体"/>
      <w:sz w:val="32"/>
      <w:szCs w:val="32"/>
    </w:rPr>
  </w:style>
  <w:style w:type="paragraph" w:customStyle="1" w:styleId="2233">
    <w:name w:val="(a空格行"/>
    <w:qFormat/>
    <w:uiPriority w:val="0"/>
    <w:pPr>
      <w:ind w:right="210"/>
      <w:jc w:val="both"/>
    </w:pPr>
    <w:rPr>
      <w:rFonts w:ascii="Calibri" w:hAnsi="Calibri" w:eastAsia="仿宋_GB2312" w:cs="Calibri"/>
      <w:b/>
      <w:kern w:val="2"/>
      <w:sz w:val="10"/>
      <w:szCs w:val="24"/>
      <w:lang w:val="en-US" w:eastAsia="zh-CN" w:bidi="ar-SA"/>
    </w:rPr>
  </w:style>
  <w:style w:type="paragraph" w:customStyle="1" w:styleId="2234">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MingLiU" w:eastAsia="MingLiU"/>
      <w:kern w:val="0"/>
      <w:sz w:val="16"/>
      <w:szCs w:val="16"/>
      <w:lang w:eastAsia="zh-TW"/>
    </w:rPr>
  </w:style>
  <w:style w:type="paragraph" w:customStyle="1" w:styleId="2235">
    <w:name w:val="表内宋511112"/>
    <w:basedOn w:val="734"/>
    <w:qFormat/>
    <w:uiPriority w:val="0"/>
    <w:rPr>
      <w:rFonts w:ascii="宋体" w:hAnsi="宋体" w:cs="宋体"/>
      <w:sz w:val="21"/>
      <w:szCs w:val="24"/>
    </w:rPr>
  </w:style>
  <w:style w:type="paragraph" w:customStyle="1" w:styleId="2236">
    <w:name w:val="表样式1"/>
    <w:basedOn w:val="1"/>
    <w:qFormat/>
    <w:uiPriority w:val="0"/>
    <w:pPr>
      <w:spacing w:line="400" w:lineRule="exact"/>
      <w:ind w:left="-21" w:leftChars="-10" w:right="-21" w:rightChars="-10"/>
      <w:jc w:val="center"/>
    </w:pPr>
    <w:rPr>
      <w:szCs w:val="21"/>
      <w:lang w:eastAsia="zh-TW"/>
    </w:rPr>
  </w:style>
  <w:style w:type="paragraph" w:customStyle="1" w:styleId="2237">
    <w:name w:val="标题 1-1"/>
    <w:basedOn w:val="2"/>
    <w:qFormat/>
    <w:uiPriority w:val="0"/>
    <w:pPr>
      <w:keepNext w:val="0"/>
      <w:keepLines w:val="0"/>
      <w:numPr>
        <w:numId w:val="0"/>
      </w:numPr>
      <w:spacing w:before="249" w:line="300" w:lineRule="auto"/>
      <w:ind w:firstLine="601" w:firstLineChars="200"/>
      <w:jc w:val="left"/>
    </w:pPr>
    <w:rPr>
      <w:rFonts w:ascii="宋体" w:hAnsi="宋体" w:eastAsia="华文细黑" w:cs="宋体"/>
      <w:kern w:val="0"/>
      <w:sz w:val="30"/>
      <w:szCs w:val="24"/>
    </w:rPr>
  </w:style>
  <w:style w:type="paragraph" w:customStyle="1" w:styleId="2238">
    <w:name w:val="Char Char2 Char Char Char Char17"/>
    <w:basedOn w:val="1"/>
    <w:qFormat/>
    <w:uiPriority w:val="0"/>
    <w:pPr>
      <w:widowControl/>
      <w:jc w:val="left"/>
    </w:pPr>
    <w:rPr>
      <w:rFonts w:ascii="宋体" w:hAnsi="宋体" w:cs="宋体"/>
      <w:kern w:val="0"/>
      <w:szCs w:val="24"/>
    </w:rPr>
  </w:style>
  <w:style w:type="paragraph" w:customStyle="1" w:styleId="2239">
    <w:name w:val="样式 表格内字体 +2"/>
    <w:basedOn w:val="559"/>
    <w:qFormat/>
    <w:uiPriority w:val="0"/>
    <w:pPr>
      <w:spacing w:line="280" w:lineRule="exact"/>
      <w:ind w:firstLine="36"/>
      <w:jc w:val="both"/>
    </w:pPr>
    <w:rPr>
      <w:rFonts w:hAnsi="宋体"/>
      <w:sz w:val="21"/>
      <w:szCs w:val="24"/>
    </w:rPr>
  </w:style>
  <w:style w:type="paragraph" w:customStyle="1" w:styleId="2240">
    <w:name w:val="样式 标题 4无效格式无效格式1河石管道4H4H41小小节河石管道41H42H411小小节1河石管道42...23"/>
    <w:basedOn w:val="5"/>
    <w:qFormat/>
    <w:uiPriority w:val="0"/>
    <w:pPr>
      <w:numPr>
        <w:ilvl w:val="0"/>
        <w:numId w:val="0"/>
      </w:numPr>
      <w:spacing w:after="0" w:line="360" w:lineRule="auto"/>
      <w:ind w:left="664" w:hanging="864"/>
    </w:pPr>
    <w:rPr>
      <w:rFonts w:ascii="黑体" w:hAnsi="Arial" w:eastAsia="黑体"/>
      <w:b w:val="0"/>
      <w:bCs w:val="0"/>
      <w:kern w:val="2"/>
      <w:sz w:val="24"/>
      <w:szCs w:val="24"/>
    </w:rPr>
  </w:style>
  <w:style w:type="paragraph" w:customStyle="1" w:styleId="2241">
    <w:name w:val="默认段落字体 Para Char Char Char Char312"/>
    <w:basedOn w:val="1"/>
    <w:qFormat/>
    <w:uiPriority w:val="0"/>
    <w:pPr>
      <w:widowControl/>
      <w:jc w:val="left"/>
    </w:pPr>
    <w:rPr>
      <w:rFonts w:ascii="宋体" w:hAnsi="宋体" w:cs="宋体"/>
      <w:kern w:val="0"/>
      <w:szCs w:val="24"/>
    </w:rPr>
  </w:style>
  <w:style w:type="paragraph" w:customStyle="1" w:styleId="2242">
    <w:name w:val="黑体三号4"/>
    <w:basedOn w:val="418"/>
    <w:qFormat/>
    <w:uiPriority w:val="0"/>
    <w:pPr>
      <w:jc w:val="center"/>
    </w:pPr>
    <w:rPr>
      <w:rFonts w:ascii="黑体" w:hAnsi="宋体" w:eastAsia="黑体" w:cs="宋体"/>
      <w:b/>
      <w:bCs/>
      <w:sz w:val="32"/>
      <w:szCs w:val="20"/>
    </w:rPr>
  </w:style>
  <w:style w:type="paragraph" w:customStyle="1" w:styleId="2243">
    <w:name w:val="正文2121"/>
    <w:basedOn w:val="98"/>
    <w:qFormat/>
    <w:uiPriority w:val="0"/>
    <w:pPr>
      <w:adjustRightInd w:val="0"/>
      <w:snapToGrid w:val="0"/>
      <w:spacing w:line="480" w:lineRule="atLeast"/>
      <w:jc w:val="center"/>
    </w:pPr>
    <w:rPr>
      <w:rFonts w:ascii="宋体" w:hAnsi="Times New Roman" w:cs="Times New Roman"/>
      <w:snapToGrid w:val="0"/>
      <w:color w:val="000000"/>
      <w:spacing w:val="6"/>
    </w:rPr>
  </w:style>
  <w:style w:type="paragraph" w:customStyle="1" w:styleId="2244">
    <w:name w:val="图题10"/>
    <w:basedOn w:val="418"/>
    <w:next w:val="418"/>
    <w:qFormat/>
    <w:uiPriority w:val="0"/>
    <w:pPr>
      <w:ind w:firstLine="0"/>
      <w:jc w:val="center"/>
    </w:pPr>
    <w:rPr>
      <w:rFonts w:ascii="黑体" w:hAnsi="宋体" w:eastAsia="黑体" w:cs="宋体"/>
      <w:b/>
      <w:bCs/>
      <w:szCs w:val="24"/>
    </w:rPr>
  </w:style>
  <w:style w:type="paragraph" w:customStyle="1" w:styleId="2245">
    <w:name w:val="正文缩21"/>
    <w:basedOn w:val="1"/>
    <w:qFormat/>
    <w:uiPriority w:val="0"/>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2246">
    <w:name w:val="Char Char2 Char Char Char Char1112"/>
    <w:basedOn w:val="1"/>
    <w:qFormat/>
    <w:uiPriority w:val="0"/>
    <w:pPr>
      <w:widowControl/>
      <w:jc w:val="left"/>
    </w:pPr>
    <w:rPr>
      <w:rFonts w:ascii="宋体" w:hAnsi="宋体" w:cs="宋体"/>
      <w:kern w:val="0"/>
      <w:szCs w:val="24"/>
    </w:rPr>
  </w:style>
  <w:style w:type="paragraph" w:customStyle="1" w:styleId="2247">
    <w:name w:val="样式 标题 2标题21.1H2h2第一层条2Header 2nd PageA.B.C.h2 main head..."/>
    <w:basedOn w:val="3"/>
    <w:qFormat/>
    <w:uiPriority w:val="0"/>
    <w:pPr>
      <w:numPr>
        <w:ilvl w:val="0"/>
        <w:numId w:val="0"/>
      </w:numPr>
      <w:spacing w:before="0" w:after="0" w:line="240" w:lineRule="auto"/>
    </w:pPr>
    <w:rPr>
      <w:rFonts w:eastAsia="黑体"/>
      <w:bCs w:val="0"/>
      <w:kern w:val="2"/>
      <w:sz w:val="30"/>
      <w:szCs w:val="30"/>
    </w:rPr>
  </w:style>
  <w:style w:type="paragraph" w:customStyle="1" w:styleId="2248">
    <w:name w:val="正文格式＝611"/>
    <w:basedOn w:val="418"/>
    <w:next w:val="418"/>
    <w:qFormat/>
    <w:uiPriority w:val="0"/>
    <w:rPr>
      <w:rFonts w:hAnsi="宋体"/>
      <w:szCs w:val="24"/>
    </w:rPr>
  </w:style>
  <w:style w:type="paragraph" w:customStyle="1" w:styleId="2249">
    <w:name w:val="黑体三号511"/>
    <w:basedOn w:val="418"/>
    <w:qFormat/>
    <w:uiPriority w:val="0"/>
    <w:pPr>
      <w:jc w:val="center"/>
    </w:pPr>
    <w:rPr>
      <w:rFonts w:ascii="黑体" w:hAnsi="宋体" w:eastAsia="黑体" w:cs="宋体"/>
      <w:b/>
      <w:bCs/>
      <w:sz w:val="32"/>
      <w:szCs w:val="20"/>
    </w:rPr>
  </w:style>
  <w:style w:type="paragraph" w:customStyle="1" w:styleId="2250">
    <w:name w:val="黑体三号11"/>
    <w:basedOn w:val="418"/>
    <w:qFormat/>
    <w:uiPriority w:val="0"/>
    <w:pPr>
      <w:jc w:val="center"/>
    </w:pPr>
    <w:rPr>
      <w:rFonts w:ascii="黑体" w:hAnsi="宋体" w:eastAsia="黑体" w:cs="宋体"/>
      <w:b/>
      <w:bCs/>
      <w:sz w:val="32"/>
      <w:szCs w:val="20"/>
    </w:rPr>
  </w:style>
  <w:style w:type="paragraph" w:customStyle="1" w:styleId="2251">
    <w:name w:val="燕山正文413"/>
    <w:basedOn w:val="1"/>
    <w:qFormat/>
    <w:uiPriority w:val="0"/>
    <w:pPr>
      <w:widowControl/>
      <w:tabs>
        <w:tab w:val="left" w:pos="4680"/>
      </w:tabs>
      <w:spacing w:line="480" w:lineRule="exact"/>
      <w:jc w:val="left"/>
    </w:pPr>
    <w:rPr>
      <w:rFonts w:ascii="宋体" w:hAnsi="宋体" w:cs="宋体"/>
      <w:kern w:val="0"/>
      <w:szCs w:val="24"/>
    </w:rPr>
  </w:style>
  <w:style w:type="paragraph" w:customStyle="1" w:styleId="2252">
    <w:name w:val="标题43131"/>
    <w:basedOn w:val="1"/>
    <w:qFormat/>
    <w:uiPriority w:val="0"/>
    <w:pPr>
      <w:widowControl/>
      <w:spacing w:line="480" w:lineRule="exact"/>
      <w:jc w:val="center"/>
    </w:pPr>
    <w:rPr>
      <w:rFonts w:ascii="宋体" w:hAnsi="宋体" w:cs="宋体"/>
      <w:kern w:val="0"/>
      <w:szCs w:val="24"/>
    </w:rPr>
  </w:style>
  <w:style w:type="paragraph" w:customStyle="1" w:styleId="2253">
    <w:name w:val="附件411"/>
    <w:basedOn w:val="2"/>
    <w:next w:val="418"/>
    <w:qFormat/>
    <w:uiPriority w:val="0"/>
    <w:pPr>
      <w:numPr>
        <w:numId w:val="0"/>
      </w:numPr>
      <w:adjustRightInd/>
      <w:snapToGrid/>
      <w:spacing w:after="210"/>
      <w:jc w:val="left"/>
    </w:pPr>
    <w:rPr>
      <w:rFonts w:ascii="黑体" w:eastAsia="黑体"/>
      <w:sz w:val="32"/>
      <w:szCs w:val="32"/>
    </w:rPr>
  </w:style>
  <w:style w:type="paragraph" w:customStyle="1" w:styleId="2254">
    <w:name w:val="标题4311111"/>
    <w:basedOn w:val="1"/>
    <w:qFormat/>
    <w:uiPriority w:val="0"/>
    <w:pPr>
      <w:widowControl/>
      <w:spacing w:line="480" w:lineRule="exact"/>
      <w:jc w:val="center"/>
    </w:pPr>
    <w:rPr>
      <w:rFonts w:ascii="宋体" w:hAnsi="宋体" w:cs="宋体"/>
      <w:kern w:val="0"/>
      <w:szCs w:val="24"/>
    </w:rPr>
  </w:style>
  <w:style w:type="paragraph" w:customStyle="1" w:styleId="2255">
    <w:name w:val="燕山正文1113"/>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2256">
    <w:name w:val="Char Char Char Char1 Char Char Char51"/>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2257">
    <w:name w:val="表内52"/>
    <w:basedOn w:val="1"/>
    <w:qFormat/>
    <w:uiPriority w:val="0"/>
    <w:pPr>
      <w:widowControl/>
      <w:spacing w:line="300" w:lineRule="auto"/>
      <w:jc w:val="left"/>
    </w:pPr>
    <w:rPr>
      <w:rFonts w:ascii="宋体" w:hAnsi="宋体" w:cs="宋体"/>
      <w:kern w:val="0"/>
      <w:sz w:val="18"/>
      <w:szCs w:val="20"/>
    </w:rPr>
  </w:style>
  <w:style w:type="paragraph" w:customStyle="1" w:styleId="2258">
    <w:name w:val="默认段落字体 Para Char3"/>
    <w:basedOn w:val="1"/>
    <w:qFormat/>
    <w:uiPriority w:val="0"/>
    <w:pPr>
      <w:widowControl/>
      <w:jc w:val="left"/>
    </w:pPr>
    <w:rPr>
      <w:rFonts w:ascii="宋体" w:hAnsi="宋体" w:cs="宋体"/>
      <w:kern w:val="0"/>
      <w:szCs w:val="24"/>
    </w:rPr>
  </w:style>
  <w:style w:type="paragraph" w:customStyle="1" w:styleId="2259">
    <w:name w:val="表头及表尾"/>
    <w:basedOn w:val="98"/>
    <w:qFormat/>
    <w:uiPriority w:val="0"/>
    <w:pPr>
      <w:tabs>
        <w:tab w:val="center" w:pos="4200"/>
        <w:tab w:val="right" w:pos="8400"/>
      </w:tabs>
      <w:adjustRightInd w:val="0"/>
      <w:snapToGrid w:val="0"/>
    </w:pPr>
    <w:rPr>
      <w:rFonts w:ascii="Times New Roman" w:hAnsi="Times New Roman" w:cs="Times New Roman"/>
      <w:b/>
      <w:snapToGrid w:val="0"/>
      <w:color w:val="000000"/>
      <w:szCs w:val="21"/>
    </w:rPr>
  </w:style>
  <w:style w:type="paragraph" w:customStyle="1" w:styleId="2260">
    <w:name w:val="表格内字体711"/>
    <w:basedOn w:val="418"/>
    <w:next w:val="418"/>
    <w:qFormat/>
    <w:uiPriority w:val="0"/>
    <w:pPr>
      <w:spacing w:line="240" w:lineRule="auto"/>
      <w:ind w:firstLine="0"/>
      <w:jc w:val="center"/>
    </w:pPr>
    <w:rPr>
      <w:rFonts w:hAnsi="宋体"/>
      <w:sz w:val="21"/>
      <w:szCs w:val="24"/>
    </w:rPr>
  </w:style>
  <w:style w:type="paragraph" w:customStyle="1" w:styleId="2261">
    <w:name w:val="reader-word-layer reader-word-s18-17"/>
    <w:basedOn w:val="1"/>
    <w:qFormat/>
    <w:uiPriority w:val="0"/>
    <w:pPr>
      <w:widowControl/>
      <w:spacing w:before="100" w:beforeAutospacing="1" w:after="100" w:afterAutospacing="1"/>
      <w:jc w:val="left"/>
    </w:pPr>
    <w:rPr>
      <w:rFonts w:ascii="宋体" w:hAnsi="宋体" w:cs="宋体"/>
      <w:kern w:val="0"/>
      <w:szCs w:val="24"/>
    </w:rPr>
  </w:style>
  <w:style w:type="paragraph" w:customStyle="1" w:styleId="2262">
    <w:name w:val="Char341"/>
    <w:basedOn w:val="1"/>
    <w:qFormat/>
    <w:uiPriority w:val="0"/>
    <w:pPr>
      <w:widowControl/>
      <w:ind w:left="-48"/>
      <w:jc w:val="left"/>
    </w:pPr>
    <w:rPr>
      <w:rFonts w:ascii="宋体" w:hAnsi="宋体" w:cs="宋体"/>
      <w:kern w:val="0"/>
      <w:szCs w:val="24"/>
    </w:rPr>
  </w:style>
  <w:style w:type="paragraph" w:customStyle="1" w:styleId="2263">
    <w:name w:val="图题"/>
    <w:basedOn w:val="1"/>
    <w:qFormat/>
    <w:uiPriority w:val="0"/>
    <w:pPr>
      <w:widowControl/>
      <w:tabs>
        <w:tab w:val="left" w:pos="720"/>
      </w:tabs>
      <w:spacing w:line="320" w:lineRule="exact"/>
      <w:jc w:val="center"/>
    </w:pPr>
    <w:rPr>
      <w:rFonts w:ascii="楷体_GB2312" w:hAnsi="宋体" w:eastAsia="楷体_GB2312" w:cs="宋体"/>
      <w:b/>
      <w:bCs/>
      <w:kern w:val="0"/>
      <w:szCs w:val="24"/>
    </w:rPr>
  </w:style>
  <w:style w:type="paragraph" w:customStyle="1" w:styleId="2264">
    <w:name w:val="Char428"/>
    <w:basedOn w:val="1"/>
    <w:qFormat/>
    <w:uiPriority w:val="0"/>
    <w:pPr>
      <w:widowControl/>
      <w:ind w:left="-48"/>
      <w:jc w:val="left"/>
    </w:pPr>
    <w:rPr>
      <w:rFonts w:ascii="宋体" w:hAnsi="宋体" w:cs="宋体"/>
      <w:kern w:val="0"/>
      <w:szCs w:val="24"/>
    </w:rPr>
  </w:style>
  <w:style w:type="paragraph" w:customStyle="1" w:styleId="2265">
    <w:name w:val="Char161"/>
    <w:basedOn w:val="1"/>
    <w:qFormat/>
    <w:uiPriority w:val="0"/>
    <w:pPr>
      <w:widowControl/>
      <w:ind w:left="-48"/>
      <w:jc w:val="left"/>
    </w:pPr>
    <w:rPr>
      <w:rFonts w:ascii="宋体" w:hAnsi="宋体" w:cs="宋体"/>
      <w:kern w:val="0"/>
      <w:szCs w:val="24"/>
    </w:rPr>
  </w:style>
  <w:style w:type="paragraph" w:customStyle="1" w:styleId="2266">
    <w:name w:val="正文仿宋"/>
    <w:basedOn w:val="1"/>
    <w:qFormat/>
    <w:uiPriority w:val="0"/>
    <w:pPr>
      <w:widowControl/>
      <w:ind w:firstLine="567"/>
      <w:jc w:val="left"/>
    </w:pPr>
    <w:rPr>
      <w:rFonts w:ascii="宋体" w:hAnsi="宋体" w:cs="宋体"/>
      <w:snapToGrid w:val="0"/>
      <w:kern w:val="0"/>
      <w:szCs w:val="20"/>
    </w:rPr>
  </w:style>
  <w:style w:type="paragraph" w:customStyle="1" w:styleId="2267">
    <w:name w:val="表格内容2"/>
    <w:basedOn w:val="98"/>
    <w:qFormat/>
    <w:uiPriority w:val="0"/>
    <w:pPr>
      <w:jc w:val="center"/>
    </w:pPr>
    <w:rPr>
      <w:rFonts w:ascii="Times New Roman" w:hAnsi="Times New Roman" w:cs="Times New Roman"/>
      <w:color w:val="000000"/>
      <w:szCs w:val="21"/>
    </w:rPr>
  </w:style>
  <w:style w:type="paragraph" w:customStyle="1" w:styleId="2268">
    <w:name w:val="字元 字元"/>
    <w:basedOn w:val="1"/>
    <w:qFormat/>
    <w:uiPriority w:val="0"/>
    <w:rPr>
      <w:szCs w:val="24"/>
    </w:rPr>
  </w:style>
  <w:style w:type="paragraph" w:customStyle="1" w:styleId="2269">
    <w:name w:val="正文格式＝313"/>
    <w:basedOn w:val="418"/>
    <w:next w:val="418"/>
    <w:qFormat/>
    <w:uiPriority w:val="0"/>
    <w:rPr>
      <w:rFonts w:hAnsi="宋体"/>
      <w:szCs w:val="24"/>
    </w:rPr>
  </w:style>
  <w:style w:type="paragraph" w:customStyle="1" w:styleId="2270">
    <w:name w:val="Char Char Char Char Char Char Char Char Char Char Char Char Char Char Char Char Char Char Char Char Char Char Char Char Char Char Char Char Char"/>
    <w:basedOn w:val="1"/>
    <w:qFormat/>
    <w:uiPriority w:val="0"/>
    <w:pPr>
      <w:widowControl/>
      <w:jc w:val="left"/>
    </w:pPr>
    <w:rPr>
      <w:rFonts w:ascii="宋体" w:hAnsi="宋体" w:cs="宋体"/>
      <w:kern w:val="0"/>
      <w:szCs w:val="21"/>
    </w:rPr>
  </w:style>
  <w:style w:type="paragraph" w:customStyle="1" w:styleId="2271">
    <w:name w:val="样式1212"/>
    <w:basedOn w:val="1586"/>
    <w:qFormat/>
    <w:uiPriority w:val="0"/>
    <w:pPr>
      <w:spacing w:line="240" w:lineRule="auto"/>
      <w:ind w:firstLine="0"/>
      <w:jc w:val="center"/>
    </w:pPr>
    <w:rPr>
      <w:rFonts w:cs="Times New Roman"/>
      <w:b/>
      <w:color w:val="auto"/>
      <w:szCs w:val="20"/>
    </w:rPr>
  </w:style>
  <w:style w:type="paragraph" w:customStyle="1" w:styleId="2272">
    <w:name w:val="font10"/>
    <w:basedOn w:val="1"/>
    <w:qFormat/>
    <w:uiPriority w:val="0"/>
    <w:pPr>
      <w:widowControl/>
      <w:spacing w:before="100" w:beforeAutospacing="1" w:after="100" w:afterAutospacing="1"/>
      <w:jc w:val="left"/>
    </w:pPr>
    <w:rPr>
      <w:rFonts w:hint="eastAsia" w:ascii="MingLiU" w:eastAsia="MingLiU"/>
      <w:kern w:val="0"/>
      <w:sz w:val="16"/>
      <w:szCs w:val="16"/>
      <w:lang w:eastAsia="zh-TW"/>
    </w:rPr>
  </w:style>
  <w:style w:type="paragraph" w:customStyle="1" w:styleId="2273">
    <w:name w:val="Char332"/>
    <w:basedOn w:val="1"/>
    <w:qFormat/>
    <w:uiPriority w:val="0"/>
    <w:pPr>
      <w:widowControl/>
      <w:ind w:left="-48"/>
      <w:jc w:val="left"/>
    </w:pPr>
    <w:rPr>
      <w:rFonts w:ascii="宋体" w:hAnsi="宋体" w:cs="宋体"/>
      <w:kern w:val="0"/>
      <w:szCs w:val="24"/>
    </w:rPr>
  </w:style>
  <w:style w:type="paragraph" w:customStyle="1" w:styleId="2274">
    <w:name w:val="表14"/>
    <w:basedOn w:val="1"/>
    <w:qFormat/>
    <w:uiPriority w:val="0"/>
    <w:pPr>
      <w:widowControl/>
      <w:jc w:val="center"/>
    </w:pPr>
    <w:rPr>
      <w:rFonts w:ascii="宋体" w:hAnsi="宋体" w:cs="宋体"/>
      <w:kern w:val="0"/>
      <w:szCs w:val="24"/>
    </w:rPr>
  </w:style>
  <w:style w:type="paragraph" w:customStyle="1" w:styleId="2275">
    <w:name w:val="表内宋5中1113"/>
    <w:basedOn w:val="1"/>
    <w:qFormat/>
    <w:uiPriority w:val="0"/>
    <w:pPr>
      <w:widowControl/>
      <w:jc w:val="center"/>
      <w:textAlignment w:val="baseline"/>
    </w:pPr>
    <w:rPr>
      <w:rFonts w:ascii="宋体" w:hAnsi="宋体" w:cs="宋体"/>
      <w:kern w:val="0"/>
      <w:szCs w:val="20"/>
    </w:rPr>
  </w:style>
  <w:style w:type="paragraph" w:customStyle="1" w:styleId="2276">
    <w:name w:val="Fax Header13"/>
    <w:basedOn w:val="1"/>
    <w:qFormat/>
    <w:uiPriority w:val="0"/>
    <w:pPr>
      <w:widowControl/>
      <w:spacing w:before="240" w:after="60"/>
      <w:jc w:val="left"/>
    </w:pPr>
    <w:rPr>
      <w:rFonts w:ascii="宋体" w:hAnsi="宋体" w:cs="宋体"/>
      <w:kern w:val="0"/>
      <w:sz w:val="20"/>
      <w:szCs w:val="20"/>
    </w:rPr>
  </w:style>
  <w:style w:type="paragraph" w:customStyle="1" w:styleId="2277">
    <w:name w:val="表内5中421"/>
    <w:basedOn w:val="1"/>
    <w:qFormat/>
    <w:uiPriority w:val="0"/>
    <w:pPr>
      <w:widowControl/>
      <w:jc w:val="center"/>
    </w:pPr>
    <w:rPr>
      <w:rFonts w:ascii="宋体" w:hAnsi="宋体" w:cs="宋体"/>
      <w:bCs/>
      <w:kern w:val="0"/>
      <w:szCs w:val="20"/>
    </w:rPr>
  </w:style>
  <w:style w:type="paragraph" w:customStyle="1" w:styleId="2278">
    <w:name w:val="xl85"/>
    <w:basedOn w:val="1"/>
    <w:qFormat/>
    <w:uiPriority w:val="0"/>
    <w:pPr>
      <w:widowControl/>
      <w:pBdr>
        <w:top w:val="single" w:color="auto" w:sz="8" w:space="0"/>
        <w:left w:val="single" w:color="auto" w:sz="8" w:space="0"/>
      </w:pBdr>
      <w:spacing w:before="100" w:beforeAutospacing="1" w:after="100" w:afterAutospacing="1"/>
      <w:jc w:val="center"/>
    </w:pPr>
    <w:rPr>
      <w:kern w:val="0"/>
      <w:szCs w:val="21"/>
    </w:rPr>
  </w:style>
  <w:style w:type="paragraph" w:customStyle="1" w:styleId="2279">
    <w:name w:val="燕山正文121"/>
    <w:basedOn w:val="1"/>
    <w:qFormat/>
    <w:uiPriority w:val="0"/>
    <w:pPr>
      <w:widowControl/>
      <w:tabs>
        <w:tab w:val="left" w:pos="4680"/>
      </w:tabs>
      <w:spacing w:line="480" w:lineRule="exact"/>
      <w:jc w:val="left"/>
    </w:pPr>
    <w:rPr>
      <w:rFonts w:ascii="宋体" w:hAnsi="宋体" w:cs="宋体"/>
      <w:kern w:val="0"/>
      <w:szCs w:val="24"/>
    </w:rPr>
  </w:style>
  <w:style w:type="paragraph" w:customStyle="1" w:styleId="2280">
    <w:name w:val="表题21121"/>
    <w:basedOn w:val="1"/>
    <w:qFormat/>
    <w:uiPriority w:val="0"/>
    <w:pPr>
      <w:widowControl/>
      <w:jc w:val="center"/>
    </w:pPr>
    <w:rPr>
      <w:rFonts w:ascii="黑体" w:hAnsi="宋体" w:eastAsia="黑体" w:cs="宋体"/>
      <w:kern w:val="0"/>
      <w:szCs w:val="24"/>
    </w:rPr>
  </w:style>
  <w:style w:type="paragraph" w:customStyle="1" w:styleId="2281">
    <w:name w:val="表内5中44"/>
    <w:basedOn w:val="1"/>
    <w:qFormat/>
    <w:uiPriority w:val="0"/>
    <w:pPr>
      <w:widowControl/>
      <w:jc w:val="center"/>
    </w:pPr>
    <w:rPr>
      <w:rFonts w:ascii="宋体" w:hAnsi="宋体" w:cs="宋体"/>
      <w:bCs/>
      <w:kern w:val="0"/>
      <w:szCs w:val="20"/>
    </w:rPr>
  </w:style>
  <w:style w:type="paragraph" w:customStyle="1" w:styleId="2282">
    <w:name w:val="表12"/>
    <w:basedOn w:val="1"/>
    <w:qFormat/>
    <w:uiPriority w:val="0"/>
    <w:pPr>
      <w:widowControl/>
      <w:jc w:val="center"/>
    </w:pPr>
    <w:rPr>
      <w:rFonts w:ascii="宋体" w:hAnsi="宋体" w:cs="宋体"/>
      <w:kern w:val="0"/>
      <w:szCs w:val="24"/>
    </w:rPr>
  </w:style>
  <w:style w:type="paragraph" w:customStyle="1" w:styleId="2283">
    <w:name w:val="表中文字44"/>
    <w:basedOn w:val="1"/>
    <w:qFormat/>
    <w:uiPriority w:val="0"/>
    <w:pPr>
      <w:widowControl/>
      <w:spacing w:line="340" w:lineRule="exact"/>
      <w:ind w:firstLine="480"/>
      <w:jc w:val="center"/>
    </w:pPr>
    <w:rPr>
      <w:rFonts w:ascii="Arial" w:hAnsi="Arial" w:cs="宋体"/>
      <w:kern w:val="0"/>
      <w:sz w:val="20"/>
      <w:szCs w:val="24"/>
      <w:lang w:eastAsia="zh-TW"/>
    </w:rPr>
  </w:style>
  <w:style w:type="paragraph" w:customStyle="1" w:styleId="2284">
    <w:name w:val="Char Char Char Char Char Char Char Char1 Char Char Char Char Char Char Char Char Char Char Char Char1 Char1"/>
    <w:basedOn w:val="1"/>
    <w:qFormat/>
    <w:uiPriority w:val="0"/>
    <w:pPr>
      <w:widowControl/>
      <w:jc w:val="left"/>
    </w:pPr>
    <w:rPr>
      <w:rFonts w:ascii="宋体" w:hAnsi="宋体" w:cs="宋体"/>
      <w:kern w:val="0"/>
      <w:szCs w:val="24"/>
    </w:rPr>
  </w:style>
  <w:style w:type="paragraph" w:customStyle="1" w:styleId="2285">
    <w:name w:val="样式 表格内字体1 +"/>
    <w:basedOn w:val="1722"/>
    <w:next w:val="559"/>
    <w:qFormat/>
    <w:uiPriority w:val="0"/>
    <w:rPr>
      <w:rFonts w:hAnsi="Times New Roman" w:cs="宋体"/>
      <w:szCs w:val="20"/>
    </w:rPr>
  </w:style>
  <w:style w:type="paragraph" w:customStyle="1" w:styleId="2286">
    <w:name w:val="标题43121"/>
    <w:basedOn w:val="1"/>
    <w:qFormat/>
    <w:uiPriority w:val="0"/>
    <w:pPr>
      <w:widowControl/>
      <w:spacing w:line="480" w:lineRule="exact"/>
      <w:jc w:val="center"/>
    </w:pPr>
    <w:rPr>
      <w:rFonts w:ascii="宋体" w:hAnsi="宋体" w:cs="宋体"/>
      <w:kern w:val="0"/>
      <w:szCs w:val="24"/>
    </w:rPr>
  </w:style>
  <w:style w:type="paragraph" w:customStyle="1" w:styleId="2287">
    <w:name w:val="Char Char Char Char Char Char Char15"/>
    <w:basedOn w:val="1"/>
    <w:qFormat/>
    <w:uiPriority w:val="0"/>
    <w:pPr>
      <w:widowControl/>
      <w:jc w:val="left"/>
    </w:pPr>
    <w:rPr>
      <w:rFonts w:ascii="宋体" w:hAnsi="宋体" w:cs="宋体"/>
      <w:kern w:val="0"/>
      <w:szCs w:val="20"/>
    </w:rPr>
  </w:style>
  <w:style w:type="paragraph" w:customStyle="1" w:styleId="2288">
    <w:name w:val="字元 字元2"/>
    <w:basedOn w:val="1"/>
    <w:qFormat/>
    <w:uiPriority w:val="0"/>
    <w:rPr>
      <w:szCs w:val="24"/>
    </w:rPr>
  </w:style>
  <w:style w:type="paragraph" w:customStyle="1" w:styleId="2289">
    <w:name w:val="Char Char Char Char Char Char Char221"/>
    <w:basedOn w:val="1"/>
    <w:qFormat/>
    <w:uiPriority w:val="0"/>
    <w:pPr>
      <w:widowControl/>
      <w:jc w:val="left"/>
    </w:pPr>
    <w:rPr>
      <w:rFonts w:ascii="宋体" w:hAnsi="宋体" w:cs="宋体"/>
      <w:kern w:val="0"/>
      <w:szCs w:val="24"/>
    </w:rPr>
  </w:style>
  <w:style w:type="paragraph" w:customStyle="1" w:styleId="2290">
    <w:name w:val="c11"/>
    <w:basedOn w:val="98"/>
    <w:qFormat/>
    <w:uiPriority w:val="0"/>
    <w:pPr>
      <w:widowControl w:val="0"/>
      <w:autoSpaceDE w:val="0"/>
      <w:autoSpaceDN w:val="0"/>
      <w:adjustRightInd w:val="0"/>
    </w:pPr>
    <w:rPr>
      <w:rFonts w:ascii="Arial" w:hAnsi="Arial" w:cs="Times New Roman"/>
      <w:color w:val="000000"/>
    </w:rPr>
  </w:style>
  <w:style w:type="paragraph" w:customStyle="1" w:styleId="2291">
    <w:name w:val="Char241"/>
    <w:basedOn w:val="1"/>
    <w:qFormat/>
    <w:uiPriority w:val="0"/>
    <w:pPr>
      <w:widowControl/>
      <w:ind w:left="-48"/>
      <w:jc w:val="left"/>
    </w:pPr>
    <w:rPr>
      <w:rFonts w:ascii="宋体" w:hAnsi="宋体" w:cs="宋体"/>
      <w:kern w:val="0"/>
      <w:szCs w:val="24"/>
    </w:rPr>
  </w:style>
  <w:style w:type="paragraph" w:customStyle="1" w:styleId="2292">
    <w:name w:val="黑体三号61"/>
    <w:basedOn w:val="418"/>
    <w:qFormat/>
    <w:uiPriority w:val="0"/>
    <w:pPr>
      <w:jc w:val="center"/>
    </w:pPr>
    <w:rPr>
      <w:rFonts w:ascii="黑体" w:hAnsi="宋体" w:eastAsia="黑体" w:cs="宋体"/>
      <w:b/>
      <w:bCs/>
      <w:sz w:val="32"/>
      <w:szCs w:val="20"/>
    </w:rPr>
  </w:style>
  <w:style w:type="paragraph" w:customStyle="1" w:styleId="2293">
    <w:name w:val="表内54122"/>
    <w:basedOn w:val="1"/>
    <w:qFormat/>
    <w:uiPriority w:val="0"/>
    <w:pPr>
      <w:widowControl/>
      <w:spacing w:line="300" w:lineRule="auto"/>
      <w:jc w:val="center"/>
    </w:pPr>
    <w:rPr>
      <w:rFonts w:ascii="宋体" w:hAnsi="宋体" w:cs="宋体"/>
      <w:kern w:val="0"/>
      <w:szCs w:val="20"/>
    </w:rPr>
  </w:style>
  <w:style w:type="paragraph" w:customStyle="1" w:styleId="2294">
    <w:name w:val="正文修改33"/>
    <w:basedOn w:val="786"/>
    <w:qFormat/>
    <w:uiPriority w:val="0"/>
    <w:rPr>
      <w:rFonts w:hAnsi="宋体" w:eastAsia="宋体" w:cs="宋体"/>
      <w:szCs w:val="24"/>
    </w:rPr>
  </w:style>
  <w:style w:type="paragraph" w:customStyle="1" w:styleId="2295">
    <w:name w:val="图表标题"/>
    <w:basedOn w:val="739"/>
    <w:next w:val="1583"/>
    <w:qFormat/>
    <w:uiPriority w:val="0"/>
    <w:pPr>
      <w:widowControl/>
      <w:overflowPunct/>
      <w:autoSpaceDE/>
      <w:autoSpaceDN/>
      <w:spacing w:beforeLines="0" w:afterLines="0" w:line="360" w:lineRule="auto"/>
      <w:ind w:right="0" w:rightChars="0" w:firstLine="723" w:firstLineChars="300"/>
      <w:jc w:val="center"/>
      <w:textAlignment w:val="baseline"/>
    </w:pPr>
    <w:rPr>
      <w:rFonts w:cs="宋体"/>
      <w:b/>
      <w:szCs w:val="24"/>
    </w:rPr>
  </w:style>
  <w:style w:type="paragraph" w:customStyle="1" w:styleId="2296">
    <w:name w:val="Char Char Char Char1 Char Char Char111"/>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2297">
    <w:name w:val="标题  1"/>
    <w:basedOn w:val="1"/>
    <w:semiHidden/>
    <w:qFormat/>
    <w:uiPriority w:val="0"/>
    <w:pPr>
      <w:tabs>
        <w:tab w:val="left" w:pos="425"/>
      </w:tabs>
      <w:ind w:left="425" w:hanging="425"/>
    </w:pPr>
    <w:rPr>
      <w:rFonts w:ascii="Tahoma" w:hAnsi="Tahoma"/>
      <w:szCs w:val="20"/>
    </w:rPr>
  </w:style>
  <w:style w:type="paragraph" w:customStyle="1" w:styleId="2298">
    <w:name w:val="表内54134"/>
    <w:basedOn w:val="1"/>
    <w:qFormat/>
    <w:uiPriority w:val="0"/>
    <w:pPr>
      <w:widowControl/>
      <w:spacing w:line="300" w:lineRule="auto"/>
      <w:jc w:val="center"/>
    </w:pPr>
    <w:rPr>
      <w:rFonts w:ascii="宋体" w:hAnsi="宋体" w:cs="宋体"/>
      <w:kern w:val="0"/>
      <w:szCs w:val="20"/>
    </w:rPr>
  </w:style>
  <w:style w:type="paragraph" w:customStyle="1" w:styleId="2299">
    <w:name w:val="Char7111"/>
    <w:basedOn w:val="1"/>
    <w:qFormat/>
    <w:uiPriority w:val="0"/>
    <w:pPr>
      <w:widowControl/>
      <w:ind w:left="-48"/>
      <w:jc w:val="left"/>
    </w:pPr>
    <w:rPr>
      <w:rFonts w:ascii="宋体" w:hAnsi="宋体" w:cs="宋体"/>
      <w:kern w:val="0"/>
      <w:szCs w:val="24"/>
    </w:rPr>
  </w:style>
  <w:style w:type="paragraph" w:customStyle="1" w:styleId="2300">
    <w:name w:val="Char Char Char Char Char Char Char21"/>
    <w:basedOn w:val="1"/>
    <w:qFormat/>
    <w:uiPriority w:val="0"/>
    <w:pPr>
      <w:widowControl/>
      <w:jc w:val="left"/>
    </w:pPr>
    <w:rPr>
      <w:rFonts w:ascii="宋体" w:hAnsi="宋体" w:cs="宋体"/>
      <w:kern w:val="0"/>
      <w:szCs w:val="24"/>
    </w:rPr>
  </w:style>
  <w:style w:type="paragraph" w:customStyle="1" w:styleId="2301">
    <w:name w:val="修订1"/>
    <w:basedOn w:val="98"/>
    <w:qFormat/>
    <w:uiPriority w:val="99"/>
    <w:rPr>
      <w:rFonts w:ascii="Times New Roman" w:hAnsi="Times New Roman" w:cs="Times New Roman"/>
      <w:color w:val="000000"/>
    </w:rPr>
  </w:style>
  <w:style w:type="paragraph" w:customStyle="1" w:styleId="2302">
    <w:name w:val="xl43"/>
    <w:basedOn w:val="1"/>
    <w:qFormat/>
    <w:uiPriority w:val="0"/>
    <w:pPr>
      <w:widowControl/>
      <w:pBdr>
        <w:top w:val="single" w:color="auto" w:sz="4" w:space="0"/>
        <w:left w:val="double" w:color="auto" w:sz="6" w:space="0"/>
        <w:bottom w:val="single" w:color="auto" w:sz="4" w:space="0"/>
        <w:right w:val="single" w:color="auto" w:sz="4" w:space="0"/>
      </w:pBdr>
      <w:spacing w:before="100" w:beforeAutospacing="1" w:after="100" w:afterAutospacing="1"/>
      <w:jc w:val="center"/>
      <w:textAlignment w:val="center"/>
    </w:pPr>
    <w:rPr>
      <w:rFonts w:hint="eastAsia" w:ascii="MingLiU" w:eastAsia="MingLiU"/>
      <w:kern w:val="0"/>
      <w:sz w:val="16"/>
      <w:szCs w:val="16"/>
      <w:lang w:eastAsia="zh-TW"/>
    </w:rPr>
  </w:style>
  <w:style w:type="paragraph" w:customStyle="1" w:styleId="2303">
    <w:name w:val="表内文字小31211"/>
    <w:basedOn w:val="1"/>
    <w:qFormat/>
    <w:uiPriority w:val="0"/>
    <w:pPr>
      <w:widowControl/>
      <w:jc w:val="center"/>
    </w:pPr>
    <w:rPr>
      <w:rFonts w:ascii="宋体" w:hAnsi="Times" w:cs="宋体"/>
      <w:bCs/>
      <w:color w:val="003366"/>
      <w:kern w:val="0"/>
      <w:szCs w:val="20"/>
    </w:rPr>
  </w:style>
  <w:style w:type="paragraph" w:customStyle="1" w:styleId="2304">
    <w:name w:val="Char224"/>
    <w:basedOn w:val="1"/>
    <w:qFormat/>
    <w:uiPriority w:val="0"/>
    <w:pPr>
      <w:widowControl/>
      <w:ind w:left="-48"/>
      <w:jc w:val="left"/>
    </w:pPr>
    <w:rPr>
      <w:rFonts w:ascii="宋体" w:hAnsi="宋体" w:cs="宋体"/>
      <w:kern w:val="0"/>
      <w:szCs w:val="24"/>
    </w:rPr>
  </w:style>
  <w:style w:type="paragraph" w:customStyle="1" w:styleId="2305">
    <w:name w:val="c4"/>
    <w:basedOn w:val="98"/>
    <w:qFormat/>
    <w:uiPriority w:val="0"/>
    <w:pPr>
      <w:widowControl w:val="0"/>
      <w:autoSpaceDE w:val="0"/>
      <w:autoSpaceDN w:val="0"/>
      <w:adjustRightInd w:val="0"/>
    </w:pPr>
    <w:rPr>
      <w:rFonts w:ascii="Arial" w:hAnsi="Arial" w:cs="Times New Roman"/>
      <w:color w:val="000000"/>
    </w:rPr>
  </w:style>
  <w:style w:type="paragraph" w:customStyle="1" w:styleId="2306">
    <w:name w:val="黑体三号313"/>
    <w:basedOn w:val="418"/>
    <w:qFormat/>
    <w:uiPriority w:val="0"/>
    <w:pPr>
      <w:jc w:val="center"/>
    </w:pPr>
    <w:rPr>
      <w:rFonts w:ascii="黑体" w:hAnsi="宋体" w:eastAsia="黑体" w:cs="宋体"/>
      <w:b/>
      <w:bCs/>
      <w:sz w:val="32"/>
      <w:szCs w:val="20"/>
    </w:rPr>
  </w:style>
  <w:style w:type="paragraph" w:customStyle="1" w:styleId="2307">
    <w:name w:val="2 Char Char Char Char Char Char Char Char Char Char"/>
    <w:basedOn w:val="1"/>
    <w:qFormat/>
    <w:uiPriority w:val="0"/>
    <w:pPr>
      <w:widowControl/>
      <w:jc w:val="left"/>
    </w:pPr>
    <w:rPr>
      <w:rFonts w:ascii="宋体" w:hAnsi="宋体" w:cs="宋体"/>
      <w:kern w:val="0"/>
      <w:szCs w:val="24"/>
    </w:rPr>
  </w:style>
  <w:style w:type="paragraph" w:customStyle="1" w:styleId="2308">
    <w:name w:val="燕山正文11112"/>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2309">
    <w:name w:val="小4仿宋居中行1"/>
    <w:basedOn w:val="98"/>
    <w:qFormat/>
    <w:uiPriority w:val="0"/>
    <w:pPr>
      <w:widowControl w:val="0"/>
      <w:ind w:left="-573" w:right="-59" w:firstLine="494"/>
      <w:jc w:val="center"/>
    </w:pPr>
    <w:rPr>
      <w:rFonts w:ascii="Times New Roman" w:hAnsi="Times New Roman" w:eastAsia="仿宋_GB2312" w:cs="Times New Roman"/>
      <w:color w:val="000000"/>
    </w:rPr>
  </w:style>
  <w:style w:type="paragraph" w:customStyle="1" w:styleId="2310">
    <w:name w:val="正文首行缩进2个字"/>
    <w:basedOn w:val="1"/>
    <w:qFormat/>
    <w:uiPriority w:val="0"/>
    <w:pPr>
      <w:ind w:firstLine="480"/>
    </w:pPr>
    <w:rPr>
      <w:kern w:val="0"/>
      <w:szCs w:val="24"/>
    </w:rPr>
  </w:style>
  <w:style w:type="paragraph" w:customStyle="1" w:styleId="2311">
    <w:name w:val="附件5"/>
    <w:basedOn w:val="2"/>
    <w:next w:val="418"/>
    <w:qFormat/>
    <w:uiPriority w:val="0"/>
    <w:pPr>
      <w:numPr>
        <w:numId w:val="0"/>
      </w:numPr>
      <w:adjustRightInd/>
      <w:snapToGrid/>
      <w:spacing w:after="210"/>
      <w:jc w:val="left"/>
    </w:pPr>
    <w:rPr>
      <w:rFonts w:ascii="黑体" w:eastAsia="黑体"/>
      <w:sz w:val="32"/>
      <w:szCs w:val="32"/>
    </w:rPr>
  </w:style>
  <w:style w:type="paragraph" w:customStyle="1" w:styleId="2312">
    <w:name w:val="表题94"/>
    <w:basedOn w:val="1636"/>
    <w:qFormat/>
    <w:uiPriority w:val="0"/>
    <w:pPr>
      <w:spacing w:line="300" w:lineRule="auto"/>
      <w:jc w:val="center"/>
    </w:pPr>
    <w:rPr>
      <w:rFonts w:ascii="黑体" w:eastAsia="黑体"/>
      <w:szCs w:val="22"/>
    </w:rPr>
  </w:style>
  <w:style w:type="paragraph" w:customStyle="1" w:styleId="2313">
    <w:name w:val="xl37"/>
    <w:basedOn w:val="1"/>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jc w:val="center"/>
      <w:textAlignment w:val="center"/>
    </w:pPr>
    <w:rPr>
      <w:rFonts w:eastAsia="PMingLiU"/>
      <w:kern w:val="0"/>
      <w:sz w:val="16"/>
      <w:szCs w:val="16"/>
      <w:lang w:eastAsia="zh-TW"/>
    </w:rPr>
  </w:style>
  <w:style w:type="paragraph" w:customStyle="1" w:styleId="2314">
    <w:name w:val="文本匡小五号 Char"/>
    <w:basedOn w:val="98"/>
    <w:qFormat/>
    <w:uiPriority w:val="0"/>
    <w:pPr>
      <w:snapToGrid w:val="0"/>
      <w:spacing w:line="100" w:lineRule="atLeast"/>
      <w:jc w:val="center"/>
    </w:pPr>
    <w:rPr>
      <w:rFonts w:ascii="Times New Roman" w:hAnsi="Times New Roman" w:eastAsia="仿宋_GB2312" w:cs="Times New Roman"/>
      <w:snapToGrid w:val="0"/>
      <w:color w:val="000000"/>
      <w:szCs w:val="21"/>
    </w:rPr>
  </w:style>
  <w:style w:type="paragraph" w:customStyle="1" w:styleId="2315">
    <w:name w:val="Char3110"/>
    <w:basedOn w:val="1"/>
    <w:qFormat/>
    <w:uiPriority w:val="0"/>
    <w:pPr>
      <w:widowControl/>
      <w:ind w:left="-48"/>
      <w:jc w:val="left"/>
    </w:pPr>
    <w:rPr>
      <w:rFonts w:ascii="宋体" w:hAnsi="宋体" w:cs="宋体"/>
      <w:kern w:val="0"/>
      <w:szCs w:val="24"/>
    </w:rPr>
  </w:style>
  <w:style w:type="paragraph" w:customStyle="1" w:styleId="2316">
    <w:name w:val="Char1221"/>
    <w:basedOn w:val="1"/>
    <w:qFormat/>
    <w:uiPriority w:val="0"/>
    <w:pPr>
      <w:widowControl/>
      <w:jc w:val="left"/>
    </w:pPr>
    <w:rPr>
      <w:rFonts w:ascii="宋体" w:hAnsi="宋体" w:cs="宋体"/>
      <w:kern w:val="0"/>
      <w:szCs w:val="24"/>
    </w:rPr>
  </w:style>
  <w:style w:type="paragraph" w:customStyle="1" w:styleId="2317">
    <w:name w:val="Char Char Char1 Char"/>
    <w:basedOn w:val="1"/>
    <w:qFormat/>
    <w:uiPriority w:val="0"/>
    <w:pPr>
      <w:widowControl/>
      <w:jc w:val="left"/>
    </w:pPr>
    <w:rPr>
      <w:rFonts w:ascii="宋体" w:hAnsi="宋体" w:cs="宋体"/>
      <w:kern w:val="0"/>
      <w:szCs w:val="24"/>
    </w:rPr>
  </w:style>
  <w:style w:type="paragraph" w:customStyle="1" w:styleId="2318">
    <w:name w:val="表内541111"/>
    <w:basedOn w:val="1"/>
    <w:qFormat/>
    <w:uiPriority w:val="0"/>
    <w:pPr>
      <w:widowControl/>
      <w:spacing w:line="300" w:lineRule="auto"/>
      <w:jc w:val="center"/>
    </w:pPr>
    <w:rPr>
      <w:rFonts w:ascii="宋体" w:hAnsi="宋体" w:cs="宋体"/>
      <w:kern w:val="0"/>
      <w:szCs w:val="20"/>
    </w:rPr>
  </w:style>
  <w:style w:type="paragraph" w:customStyle="1" w:styleId="2319">
    <w:name w:val="font15"/>
    <w:basedOn w:val="1"/>
    <w:qFormat/>
    <w:uiPriority w:val="0"/>
    <w:pPr>
      <w:widowControl/>
      <w:spacing w:before="100" w:beforeAutospacing="1" w:after="100" w:afterAutospacing="1"/>
      <w:jc w:val="left"/>
    </w:pPr>
    <w:rPr>
      <w:kern w:val="0"/>
      <w:szCs w:val="21"/>
    </w:rPr>
  </w:style>
  <w:style w:type="paragraph" w:customStyle="1" w:styleId="2320">
    <w:name w:val="Char Char Char Char Char Char Char Char Char Char Char1 Char Char Char Char Char Char1 Char1"/>
    <w:basedOn w:val="1"/>
    <w:qFormat/>
    <w:uiPriority w:val="0"/>
    <w:pPr>
      <w:widowControl/>
      <w:jc w:val="left"/>
    </w:pPr>
    <w:rPr>
      <w:rFonts w:ascii="宋体" w:hAnsi="宋体" w:cs="宋体"/>
      <w:kern w:val="0"/>
      <w:szCs w:val="24"/>
    </w:rPr>
  </w:style>
  <w:style w:type="paragraph" w:customStyle="1" w:styleId="2321">
    <w:name w:val="样式 环评正文 + 首行缩进:  2 字符"/>
    <w:basedOn w:val="1"/>
    <w:semiHidden/>
    <w:qFormat/>
    <w:uiPriority w:val="0"/>
    <w:rPr>
      <w:rFonts w:cs="宋体"/>
      <w:spacing w:val="8"/>
      <w:kern w:val="0"/>
      <w:szCs w:val="24"/>
    </w:rPr>
  </w:style>
  <w:style w:type="paragraph" w:customStyle="1" w:styleId="2322">
    <w:name w:val="Char Char Char Char Char Char Char10"/>
    <w:basedOn w:val="1"/>
    <w:qFormat/>
    <w:uiPriority w:val="0"/>
    <w:pPr>
      <w:widowControl/>
      <w:jc w:val="left"/>
    </w:pPr>
    <w:rPr>
      <w:rFonts w:ascii="宋体" w:hAnsi="宋体" w:cs="宋体"/>
      <w:kern w:val="0"/>
      <w:szCs w:val="24"/>
    </w:rPr>
  </w:style>
  <w:style w:type="paragraph" w:customStyle="1" w:styleId="2323">
    <w:name w:val="Char Char Char Char Char Char Char218"/>
    <w:basedOn w:val="1"/>
    <w:qFormat/>
    <w:uiPriority w:val="0"/>
    <w:pPr>
      <w:widowControl/>
      <w:jc w:val="left"/>
    </w:pPr>
    <w:rPr>
      <w:rFonts w:ascii="宋体" w:hAnsi="宋体" w:cs="宋体"/>
      <w:kern w:val="0"/>
      <w:szCs w:val="24"/>
    </w:rPr>
  </w:style>
  <w:style w:type="paragraph" w:customStyle="1" w:styleId="2324">
    <w:name w:val="样式 标题 4无效格式无效格式1河石管道4H4H41小小节河石管道41H42H411小小节1河石管道42...211"/>
    <w:basedOn w:val="5"/>
    <w:qFormat/>
    <w:uiPriority w:val="0"/>
    <w:pPr>
      <w:numPr>
        <w:ilvl w:val="0"/>
        <w:numId w:val="0"/>
      </w:numPr>
      <w:spacing w:after="0" w:line="360" w:lineRule="auto"/>
      <w:ind w:left="664" w:hanging="864"/>
    </w:pPr>
    <w:rPr>
      <w:rFonts w:ascii="黑体" w:hAnsi="Arial" w:eastAsia="黑体"/>
      <w:b w:val="0"/>
      <w:bCs w:val="0"/>
      <w:kern w:val="2"/>
      <w:sz w:val="24"/>
      <w:szCs w:val="24"/>
    </w:rPr>
  </w:style>
  <w:style w:type="paragraph" w:customStyle="1" w:styleId="2325">
    <w:name w:val="Char213"/>
    <w:basedOn w:val="1"/>
    <w:qFormat/>
    <w:uiPriority w:val="0"/>
    <w:pPr>
      <w:widowControl/>
      <w:ind w:left="-48"/>
      <w:jc w:val="left"/>
    </w:pPr>
    <w:rPr>
      <w:rFonts w:ascii="宋体" w:hAnsi="宋体" w:cs="宋体"/>
      <w:kern w:val="0"/>
      <w:szCs w:val="24"/>
    </w:rPr>
  </w:style>
  <w:style w:type="paragraph" w:customStyle="1" w:styleId="2326">
    <w:name w:val="标题43123"/>
    <w:basedOn w:val="1"/>
    <w:qFormat/>
    <w:uiPriority w:val="0"/>
    <w:pPr>
      <w:widowControl/>
      <w:spacing w:line="480" w:lineRule="exact"/>
      <w:jc w:val="center"/>
    </w:pPr>
    <w:rPr>
      <w:rFonts w:ascii="宋体" w:hAnsi="宋体" w:cs="宋体"/>
      <w:kern w:val="0"/>
      <w:szCs w:val="24"/>
    </w:rPr>
  </w:style>
  <w:style w:type="paragraph" w:customStyle="1" w:styleId="2327">
    <w:name w:val="Char441"/>
    <w:basedOn w:val="1"/>
    <w:qFormat/>
    <w:uiPriority w:val="0"/>
    <w:pPr>
      <w:widowControl/>
      <w:ind w:left="-48"/>
      <w:jc w:val="left"/>
    </w:pPr>
    <w:rPr>
      <w:rFonts w:ascii="宋体" w:hAnsi="宋体" w:cs="宋体"/>
      <w:kern w:val="0"/>
      <w:szCs w:val="24"/>
    </w:rPr>
  </w:style>
  <w:style w:type="paragraph" w:customStyle="1" w:styleId="2328">
    <w:name w:val="Char55"/>
    <w:basedOn w:val="1"/>
    <w:qFormat/>
    <w:uiPriority w:val="0"/>
    <w:pPr>
      <w:widowControl/>
      <w:ind w:left="-48"/>
      <w:jc w:val="left"/>
    </w:pPr>
    <w:rPr>
      <w:rFonts w:ascii="宋体" w:hAnsi="宋体" w:cs="宋体"/>
      <w:kern w:val="0"/>
      <w:szCs w:val="24"/>
    </w:rPr>
  </w:style>
  <w:style w:type="paragraph" w:customStyle="1" w:styleId="2329">
    <w:name w:val="默认段落字体 Para Char Char Char Char81"/>
    <w:basedOn w:val="1"/>
    <w:qFormat/>
    <w:uiPriority w:val="0"/>
    <w:pPr>
      <w:widowControl/>
      <w:jc w:val="left"/>
    </w:pPr>
    <w:rPr>
      <w:rFonts w:ascii="宋体" w:hAnsi="宋体" w:cs="宋体"/>
      <w:kern w:val="0"/>
      <w:szCs w:val="24"/>
    </w:rPr>
  </w:style>
  <w:style w:type="paragraph" w:customStyle="1" w:styleId="2330">
    <w:name w:val="Char Char2 Char Char Char Char13"/>
    <w:basedOn w:val="1"/>
    <w:qFormat/>
    <w:uiPriority w:val="0"/>
    <w:pPr>
      <w:widowControl/>
      <w:jc w:val="left"/>
    </w:pPr>
    <w:rPr>
      <w:rFonts w:ascii="宋体" w:hAnsi="宋体" w:cs="宋体"/>
      <w:kern w:val="0"/>
      <w:szCs w:val="24"/>
    </w:rPr>
  </w:style>
  <w:style w:type="paragraph" w:customStyle="1" w:styleId="2331">
    <w:name w:val="初设正文"/>
    <w:basedOn w:val="1"/>
    <w:qFormat/>
    <w:uiPriority w:val="0"/>
    <w:pPr>
      <w:widowControl/>
      <w:spacing w:after="120" w:line="440" w:lineRule="exact"/>
      <w:ind w:left="425" w:firstLine="425"/>
      <w:jc w:val="left"/>
    </w:pPr>
    <w:rPr>
      <w:rFonts w:ascii="Arial" w:hAnsi="Arial" w:cs="宋体"/>
      <w:kern w:val="0"/>
      <w:szCs w:val="20"/>
    </w:rPr>
  </w:style>
  <w:style w:type="paragraph" w:customStyle="1" w:styleId="2332">
    <w:name w:val="燕山正文112"/>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2333">
    <w:name w:val="表内文字小212"/>
    <w:basedOn w:val="1"/>
    <w:qFormat/>
    <w:uiPriority w:val="0"/>
    <w:pPr>
      <w:widowControl/>
      <w:jc w:val="center"/>
    </w:pPr>
    <w:rPr>
      <w:rFonts w:ascii="宋体" w:hAnsi="Times" w:cs="宋体"/>
      <w:bCs/>
      <w:kern w:val="0"/>
      <w:szCs w:val="20"/>
    </w:rPr>
  </w:style>
  <w:style w:type="paragraph" w:customStyle="1" w:styleId="2334">
    <w:name w:val="表文字5211"/>
    <w:basedOn w:val="1"/>
    <w:qFormat/>
    <w:uiPriority w:val="0"/>
    <w:pPr>
      <w:widowControl/>
      <w:jc w:val="left"/>
      <w:textAlignment w:val="baseline"/>
    </w:pPr>
    <w:rPr>
      <w:rFonts w:ascii="宋体" w:hAnsi="宋体" w:cs="宋体"/>
      <w:kern w:val="0"/>
      <w:szCs w:val="20"/>
    </w:rPr>
  </w:style>
  <w:style w:type="paragraph" w:customStyle="1" w:styleId="2335">
    <w:name w:val="表中文字2"/>
    <w:basedOn w:val="1"/>
    <w:qFormat/>
    <w:uiPriority w:val="0"/>
    <w:pPr>
      <w:widowControl/>
      <w:spacing w:line="240" w:lineRule="atLeast"/>
      <w:ind w:right="-42" w:rightChars="-20"/>
      <w:jc w:val="center"/>
      <w:textAlignment w:val="baseline"/>
    </w:pPr>
    <w:rPr>
      <w:rFonts w:ascii="宋体" w:hAnsi="宋体" w:cs="宋体"/>
      <w:kern w:val="0"/>
      <w:szCs w:val="21"/>
    </w:rPr>
  </w:style>
  <w:style w:type="paragraph" w:customStyle="1" w:styleId="2336">
    <w:name w:val="正文格式214"/>
    <w:basedOn w:val="1"/>
    <w:qFormat/>
    <w:uiPriority w:val="0"/>
    <w:pPr>
      <w:widowControl/>
      <w:ind w:firstLine="482"/>
      <w:jc w:val="left"/>
    </w:pPr>
    <w:rPr>
      <w:rFonts w:ascii="宋体" w:hAnsi="宋体" w:cs="宋体"/>
      <w:kern w:val="0"/>
      <w:szCs w:val="24"/>
    </w:rPr>
  </w:style>
  <w:style w:type="paragraph" w:customStyle="1" w:styleId="2337">
    <w:name w:val="正文格式＝6"/>
    <w:basedOn w:val="418"/>
    <w:next w:val="418"/>
    <w:qFormat/>
    <w:uiPriority w:val="0"/>
    <w:rPr>
      <w:rFonts w:hAnsi="宋体"/>
      <w:szCs w:val="24"/>
    </w:rPr>
  </w:style>
  <w:style w:type="paragraph" w:customStyle="1" w:styleId="2338">
    <w:name w:val="Char13"/>
    <w:basedOn w:val="1"/>
    <w:qFormat/>
    <w:uiPriority w:val="0"/>
    <w:pPr>
      <w:widowControl/>
      <w:ind w:left="-48"/>
      <w:jc w:val="left"/>
    </w:pPr>
    <w:rPr>
      <w:rFonts w:ascii="宋体" w:hAnsi="宋体" w:cs="宋体"/>
      <w:kern w:val="0"/>
      <w:szCs w:val="24"/>
    </w:rPr>
  </w:style>
  <w:style w:type="paragraph" w:customStyle="1" w:styleId="2339">
    <w:name w:val="正文格式＝1"/>
    <w:basedOn w:val="418"/>
    <w:next w:val="418"/>
    <w:qFormat/>
    <w:uiPriority w:val="0"/>
    <w:rPr>
      <w:rFonts w:hAnsi="宋体"/>
      <w:szCs w:val="24"/>
    </w:rPr>
  </w:style>
  <w:style w:type="paragraph" w:customStyle="1" w:styleId="2340">
    <w:name w:val="样式42"/>
    <w:basedOn w:val="25"/>
    <w:qFormat/>
    <w:uiPriority w:val="0"/>
    <w:pPr>
      <w:widowControl/>
      <w:tabs>
        <w:tab w:val="left" w:pos="1820"/>
      </w:tabs>
      <w:spacing w:line="240" w:lineRule="atLeast"/>
      <w:jc w:val="center"/>
    </w:pPr>
    <w:rPr>
      <w:rFonts w:eastAsia="幼圆"/>
      <w:kern w:val="0"/>
      <w:sz w:val="21"/>
      <w:szCs w:val="20"/>
    </w:rPr>
  </w:style>
  <w:style w:type="paragraph" w:customStyle="1" w:styleId="2341">
    <w:name w:val="黑体三号7"/>
    <w:basedOn w:val="418"/>
    <w:qFormat/>
    <w:uiPriority w:val="0"/>
    <w:pPr>
      <w:jc w:val="center"/>
    </w:pPr>
    <w:rPr>
      <w:rFonts w:ascii="黑体" w:hAnsi="宋体" w:eastAsia="黑体" w:cs="宋体"/>
      <w:b/>
      <w:bCs/>
      <w:sz w:val="32"/>
      <w:szCs w:val="20"/>
    </w:rPr>
  </w:style>
  <w:style w:type="paragraph" w:customStyle="1" w:styleId="2342">
    <w:name w:val="Char423"/>
    <w:basedOn w:val="1"/>
    <w:qFormat/>
    <w:uiPriority w:val="0"/>
    <w:pPr>
      <w:widowControl/>
      <w:ind w:left="-48"/>
      <w:jc w:val="left"/>
    </w:pPr>
    <w:rPr>
      <w:rFonts w:ascii="宋体" w:hAnsi="宋体" w:cs="宋体"/>
      <w:kern w:val="0"/>
      <w:szCs w:val="24"/>
    </w:rPr>
  </w:style>
  <w:style w:type="paragraph" w:customStyle="1" w:styleId="2343">
    <w:name w:val="表211"/>
    <w:basedOn w:val="1"/>
    <w:qFormat/>
    <w:uiPriority w:val="0"/>
    <w:pPr>
      <w:widowControl/>
      <w:jc w:val="center"/>
    </w:pPr>
    <w:rPr>
      <w:rFonts w:ascii="宋体" w:hAnsi="宋体" w:cs="宋体"/>
      <w:kern w:val="0"/>
      <w:szCs w:val="24"/>
    </w:rPr>
  </w:style>
  <w:style w:type="paragraph" w:customStyle="1" w:styleId="2344">
    <w:name w:val="表题3124"/>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345">
    <w:name w:val="AAAAAAAAAAAA"/>
    <w:basedOn w:val="1"/>
    <w:qFormat/>
    <w:uiPriority w:val="0"/>
    <w:pPr>
      <w:widowControl/>
      <w:jc w:val="center"/>
    </w:pPr>
    <w:rPr>
      <w:rFonts w:ascii="宋体" w:hAnsi="宋体" w:cs="宋体"/>
      <w:bCs/>
      <w:kern w:val="0"/>
      <w:szCs w:val="21"/>
    </w:rPr>
  </w:style>
  <w:style w:type="paragraph" w:customStyle="1" w:styleId="2346">
    <w:name w:val="表内文字边"/>
    <w:basedOn w:val="1"/>
    <w:qFormat/>
    <w:uiPriority w:val="0"/>
    <w:pPr>
      <w:widowControl/>
      <w:spacing w:line="240" w:lineRule="atLeast"/>
      <w:ind w:left="-21" w:leftChars="-10" w:right="-42" w:rightChars="-20"/>
      <w:jc w:val="left"/>
    </w:pPr>
    <w:rPr>
      <w:rFonts w:ascii="宋体" w:hAnsi="宋体" w:cs="宋体"/>
      <w:kern w:val="0"/>
      <w:szCs w:val="21"/>
    </w:rPr>
  </w:style>
  <w:style w:type="paragraph" w:customStyle="1" w:styleId="2347">
    <w:name w:val="表中文字12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348">
    <w:name w:val="福建正文缩进21"/>
    <w:basedOn w:val="112"/>
    <w:qFormat/>
    <w:uiPriority w:val="0"/>
    <w:pPr>
      <w:tabs>
        <w:tab w:val="left" w:pos="5837"/>
      </w:tabs>
      <w:spacing w:line="480" w:lineRule="exact"/>
    </w:pPr>
    <w:rPr>
      <w:rFonts w:cs="宋体"/>
    </w:rPr>
  </w:style>
  <w:style w:type="paragraph" w:customStyle="1" w:styleId="2349">
    <w:name w:val="正文格式＝4"/>
    <w:basedOn w:val="418"/>
    <w:next w:val="418"/>
    <w:qFormat/>
    <w:uiPriority w:val="0"/>
    <w:rPr>
      <w:rFonts w:hAnsi="宋体"/>
      <w:szCs w:val="24"/>
    </w:rPr>
  </w:style>
  <w:style w:type="paragraph" w:customStyle="1" w:styleId="2350">
    <w:name w:val="KY-标题-1"/>
    <w:basedOn w:val="58"/>
    <w:next w:val="1"/>
    <w:qFormat/>
    <w:uiPriority w:val="0"/>
    <w:pPr>
      <w:keepNext/>
      <w:keepLines/>
      <w:widowControl w:val="0"/>
      <w:tabs>
        <w:tab w:val="left" w:pos="360"/>
      </w:tabs>
      <w:spacing w:after="360"/>
      <w:ind w:left="360" w:hanging="360"/>
    </w:pPr>
    <w:rPr>
      <w:rFonts w:eastAsia="黑体"/>
      <w:b w:val="0"/>
    </w:rPr>
  </w:style>
  <w:style w:type="paragraph" w:customStyle="1" w:styleId="2351">
    <w:name w:val="列表2"/>
    <w:basedOn w:val="1"/>
    <w:qFormat/>
    <w:uiPriority w:val="0"/>
    <w:pPr>
      <w:widowControl/>
      <w:spacing w:line="320" w:lineRule="exact"/>
      <w:jc w:val="center"/>
    </w:pPr>
    <w:rPr>
      <w:rFonts w:ascii="仿宋_GB2312" w:hAnsi="宋体" w:cs="宋体"/>
      <w:kern w:val="0"/>
      <w:szCs w:val="24"/>
    </w:rPr>
  </w:style>
  <w:style w:type="paragraph" w:customStyle="1" w:styleId="2352">
    <w:name w:val="标题3-1"/>
    <w:basedOn w:val="4"/>
    <w:qFormat/>
    <w:uiPriority w:val="0"/>
    <w:pPr>
      <w:widowControl/>
      <w:ind w:firstLine="200" w:firstLineChars="200"/>
    </w:pPr>
    <w:rPr>
      <w:rFonts w:ascii="宋体" w:hAnsi="宋体" w:eastAsia="华文细黑" w:cs="宋体"/>
      <w:kern w:val="0"/>
      <w:szCs w:val="24"/>
    </w:rPr>
  </w:style>
  <w:style w:type="paragraph" w:customStyle="1" w:styleId="2353">
    <w:name w:val="表内文字小8"/>
    <w:basedOn w:val="1"/>
    <w:qFormat/>
    <w:uiPriority w:val="0"/>
    <w:pPr>
      <w:widowControl/>
      <w:jc w:val="center"/>
    </w:pPr>
    <w:rPr>
      <w:rFonts w:ascii="宋体" w:hAnsi="Times" w:cs="宋体"/>
      <w:kern w:val="0"/>
      <w:szCs w:val="20"/>
    </w:rPr>
  </w:style>
  <w:style w:type="paragraph" w:customStyle="1" w:styleId="2354">
    <w:name w:val="表格内字体10"/>
    <w:basedOn w:val="418"/>
    <w:next w:val="418"/>
    <w:qFormat/>
    <w:uiPriority w:val="0"/>
    <w:pPr>
      <w:spacing w:line="240" w:lineRule="auto"/>
      <w:ind w:firstLine="0"/>
      <w:jc w:val="center"/>
    </w:pPr>
    <w:rPr>
      <w:rFonts w:hAnsi="宋体"/>
      <w:sz w:val="21"/>
      <w:szCs w:val="21"/>
    </w:rPr>
  </w:style>
  <w:style w:type="paragraph" w:customStyle="1" w:styleId="2355">
    <w:name w:val="黑体三号21"/>
    <w:basedOn w:val="418"/>
    <w:qFormat/>
    <w:uiPriority w:val="0"/>
    <w:pPr>
      <w:jc w:val="center"/>
    </w:pPr>
    <w:rPr>
      <w:rFonts w:ascii="黑体" w:hAnsi="宋体" w:eastAsia="黑体" w:cs="宋体"/>
      <w:b/>
      <w:bCs/>
      <w:sz w:val="32"/>
      <w:szCs w:val="20"/>
    </w:rPr>
  </w:style>
  <w:style w:type="paragraph" w:customStyle="1" w:styleId="2356">
    <w:name w:val="y表头"/>
    <w:basedOn w:val="25"/>
    <w:qFormat/>
    <w:uiPriority w:val="0"/>
    <w:pPr>
      <w:widowControl/>
      <w:tabs>
        <w:tab w:val="left" w:pos="900"/>
      </w:tabs>
      <w:spacing w:line="240" w:lineRule="auto"/>
      <w:jc w:val="center"/>
      <w:textAlignment w:val="baseline"/>
    </w:pPr>
    <w:rPr>
      <w:rFonts w:hint="eastAsia" w:ascii="宋体" w:hAnsi="宋体" w:eastAsia="楷体_GB2312"/>
      <w:b/>
      <w:szCs w:val="20"/>
    </w:rPr>
  </w:style>
  <w:style w:type="paragraph" w:customStyle="1" w:styleId="2357">
    <w:name w:val="图表名"/>
    <w:basedOn w:val="1"/>
    <w:qFormat/>
    <w:uiPriority w:val="0"/>
    <w:pPr>
      <w:widowControl/>
      <w:jc w:val="center"/>
    </w:pPr>
    <w:rPr>
      <w:rFonts w:ascii="宋体" w:hAnsi="宋体" w:eastAsia="黑体" w:cs="宋体"/>
      <w:snapToGrid w:val="0"/>
      <w:kern w:val="0"/>
      <w:szCs w:val="28"/>
    </w:rPr>
  </w:style>
  <w:style w:type="paragraph" w:customStyle="1" w:styleId="2358">
    <w:name w:val="表内59"/>
    <w:basedOn w:val="1"/>
    <w:qFormat/>
    <w:uiPriority w:val="0"/>
    <w:pPr>
      <w:widowControl/>
      <w:spacing w:line="300" w:lineRule="auto"/>
      <w:jc w:val="center"/>
    </w:pPr>
    <w:rPr>
      <w:rFonts w:ascii="宋体" w:hAnsi="宋体" w:cs="宋体"/>
      <w:snapToGrid w:val="0"/>
      <w:kern w:val="0"/>
      <w:szCs w:val="21"/>
    </w:rPr>
  </w:style>
  <w:style w:type="paragraph" w:customStyle="1" w:styleId="2359">
    <w:name w:val="Char1 Char Char Char Char Char1 Char1"/>
    <w:basedOn w:val="1"/>
    <w:qFormat/>
    <w:uiPriority w:val="0"/>
    <w:pPr>
      <w:widowControl/>
      <w:jc w:val="left"/>
    </w:pPr>
    <w:rPr>
      <w:rFonts w:ascii="宋体" w:hAnsi="宋体" w:cs="宋体"/>
      <w:kern w:val="0"/>
      <w:szCs w:val="21"/>
    </w:rPr>
  </w:style>
  <w:style w:type="paragraph" w:customStyle="1" w:styleId="2360">
    <w:name w:val="表中文字54"/>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361">
    <w:name w:val="正文.1"/>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2362">
    <w:name w:val="燕山正文11311"/>
    <w:basedOn w:val="1"/>
    <w:qFormat/>
    <w:uiPriority w:val="0"/>
    <w:pPr>
      <w:widowControl/>
      <w:tabs>
        <w:tab w:val="left" w:pos="4680"/>
      </w:tabs>
      <w:ind w:firstLine="480"/>
      <w:jc w:val="left"/>
    </w:pPr>
    <w:rPr>
      <w:rFonts w:ascii="宋体" w:hAnsi="宋体" w:cs="宋体"/>
      <w:bCs/>
      <w:snapToGrid w:val="0"/>
      <w:kern w:val="0"/>
      <w:szCs w:val="24"/>
    </w:rPr>
  </w:style>
  <w:style w:type="paragraph" w:customStyle="1" w:styleId="2363">
    <w:name w:val="表题911"/>
    <w:basedOn w:val="1636"/>
    <w:qFormat/>
    <w:uiPriority w:val="0"/>
    <w:pPr>
      <w:spacing w:line="300" w:lineRule="auto"/>
      <w:jc w:val="center"/>
    </w:pPr>
    <w:rPr>
      <w:rFonts w:ascii="黑体" w:eastAsia="黑体"/>
      <w:szCs w:val="22"/>
    </w:rPr>
  </w:style>
  <w:style w:type="paragraph" w:customStyle="1" w:styleId="2364">
    <w:name w:val="Char271"/>
    <w:basedOn w:val="1"/>
    <w:qFormat/>
    <w:uiPriority w:val="0"/>
    <w:pPr>
      <w:widowControl/>
      <w:ind w:left="-48"/>
      <w:jc w:val="left"/>
    </w:pPr>
    <w:rPr>
      <w:rFonts w:ascii="宋体" w:hAnsi="宋体" w:cs="宋体"/>
      <w:kern w:val="0"/>
      <w:szCs w:val="24"/>
    </w:rPr>
  </w:style>
  <w:style w:type="paragraph" w:customStyle="1" w:styleId="2365">
    <w:name w:val="reader-word-layer reader-word-s18-20"/>
    <w:basedOn w:val="1"/>
    <w:qFormat/>
    <w:uiPriority w:val="0"/>
    <w:pPr>
      <w:widowControl/>
      <w:spacing w:before="100" w:beforeAutospacing="1" w:after="100" w:afterAutospacing="1"/>
      <w:jc w:val="left"/>
    </w:pPr>
    <w:rPr>
      <w:rFonts w:ascii="宋体" w:hAnsi="宋体" w:cs="宋体"/>
      <w:kern w:val="0"/>
      <w:szCs w:val="24"/>
    </w:rPr>
  </w:style>
  <w:style w:type="paragraph" w:customStyle="1" w:styleId="2366">
    <w:name w:val="xl22"/>
    <w:basedOn w:val="1"/>
    <w:qFormat/>
    <w:uiPriority w:val="0"/>
    <w:pPr>
      <w:widowControl/>
      <w:spacing w:before="100" w:beforeAutospacing="1" w:after="100" w:afterAutospacing="1"/>
      <w:jc w:val="left"/>
      <w:textAlignment w:val="center"/>
    </w:pPr>
    <w:rPr>
      <w:rFonts w:ascii="宋体" w:hAnsi="宋体" w:cs="宋体"/>
      <w:kern w:val="0"/>
      <w:sz w:val="20"/>
      <w:szCs w:val="20"/>
    </w:rPr>
  </w:style>
  <w:style w:type="paragraph" w:customStyle="1" w:styleId="2367">
    <w:name w:val="图文框"/>
    <w:basedOn w:val="1"/>
    <w:qFormat/>
    <w:uiPriority w:val="0"/>
    <w:pPr>
      <w:widowControl/>
      <w:jc w:val="center"/>
    </w:pPr>
    <w:rPr>
      <w:rFonts w:ascii="宋体" w:hAnsi="宋体" w:cs="宋体"/>
      <w:kern w:val="0"/>
      <w:szCs w:val="20"/>
    </w:rPr>
  </w:style>
  <w:style w:type="paragraph" w:customStyle="1" w:styleId="2368">
    <w:name w:val="Char2111"/>
    <w:basedOn w:val="1"/>
    <w:qFormat/>
    <w:uiPriority w:val="0"/>
    <w:pPr>
      <w:widowControl/>
      <w:ind w:left="-48"/>
      <w:jc w:val="left"/>
    </w:pPr>
    <w:rPr>
      <w:rFonts w:ascii="宋体" w:hAnsi="宋体" w:cs="宋体"/>
      <w:kern w:val="0"/>
      <w:szCs w:val="24"/>
    </w:rPr>
  </w:style>
  <w:style w:type="paragraph" w:customStyle="1" w:styleId="2369">
    <w:name w:val="表内文字小21211"/>
    <w:basedOn w:val="1"/>
    <w:qFormat/>
    <w:uiPriority w:val="0"/>
    <w:pPr>
      <w:widowControl/>
      <w:jc w:val="center"/>
    </w:pPr>
    <w:rPr>
      <w:rFonts w:ascii="宋体" w:hAnsi="Times" w:cs="宋体"/>
      <w:bCs/>
      <w:kern w:val="0"/>
      <w:szCs w:val="20"/>
    </w:rPr>
  </w:style>
  <w:style w:type="paragraph" w:customStyle="1" w:styleId="2370">
    <w:name w:val="Char427"/>
    <w:basedOn w:val="1"/>
    <w:qFormat/>
    <w:uiPriority w:val="0"/>
    <w:pPr>
      <w:widowControl/>
      <w:ind w:left="-48"/>
      <w:jc w:val="left"/>
    </w:pPr>
    <w:rPr>
      <w:rFonts w:ascii="宋体" w:hAnsi="宋体" w:cs="宋体"/>
      <w:kern w:val="0"/>
      <w:szCs w:val="24"/>
    </w:rPr>
  </w:style>
  <w:style w:type="paragraph" w:customStyle="1" w:styleId="2371">
    <w:name w:val="A正文21"/>
    <w:basedOn w:val="1"/>
    <w:qFormat/>
    <w:uiPriority w:val="0"/>
    <w:pPr>
      <w:widowControl/>
      <w:overflowPunct w:val="0"/>
      <w:autoSpaceDE w:val="0"/>
      <w:autoSpaceDN w:val="0"/>
      <w:jc w:val="left"/>
      <w:textAlignment w:val="baseline"/>
    </w:pPr>
    <w:rPr>
      <w:rFonts w:ascii="宋体" w:hAnsi="宋体" w:cs="宋体"/>
      <w:kern w:val="0"/>
      <w:szCs w:val="24"/>
    </w:rPr>
  </w:style>
  <w:style w:type="paragraph" w:customStyle="1" w:styleId="2372">
    <w:name w:val="xl73"/>
    <w:basedOn w:val="1"/>
    <w:qFormat/>
    <w:uiPriority w:val="0"/>
    <w:pPr>
      <w:widowControl/>
      <w:pBdr>
        <w:bottom w:val="single" w:color="auto" w:sz="8" w:space="0"/>
      </w:pBdr>
      <w:spacing w:before="100" w:beforeAutospacing="1" w:after="100" w:afterAutospacing="1"/>
      <w:jc w:val="center"/>
    </w:pPr>
    <w:rPr>
      <w:kern w:val="0"/>
      <w:szCs w:val="21"/>
    </w:rPr>
  </w:style>
  <w:style w:type="paragraph" w:customStyle="1" w:styleId="2373">
    <w:name w:val="表文字"/>
    <w:basedOn w:val="1"/>
    <w:qFormat/>
    <w:uiPriority w:val="0"/>
    <w:pPr>
      <w:widowControl/>
      <w:jc w:val="center"/>
    </w:pPr>
    <w:rPr>
      <w:rFonts w:ascii="宋体" w:hAnsi="宋体" w:cs="宋体"/>
      <w:kern w:val="0"/>
      <w:szCs w:val="21"/>
    </w:rPr>
  </w:style>
  <w:style w:type="paragraph" w:customStyle="1" w:styleId="2374">
    <w:name w:val="正文格式73"/>
    <w:basedOn w:val="1"/>
    <w:qFormat/>
    <w:uiPriority w:val="0"/>
    <w:pPr>
      <w:widowControl/>
      <w:ind w:firstLine="482"/>
      <w:jc w:val="left"/>
    </w:pPr>
    <w:rPr>
      <w:rFonts w:ascii="宋体" w:hAnsi="宋体" w:cs="宋体"/>
      <w:kern w:val="0"/>
      <w:szCs w:val="24"/>
    </w:rPr>
  </w:style>
  <w:style w:type="paragraph" w:customStyle="1" w:styleId="2375">
    <w:name w:val="表题913"/>
    <w:basedOn w:val="1636"/>
    <w:qFormat/>
    <w:uiPriority w:val="0"/>
    <w:pPr>
      <w:spacing w:line="300" w:lineRule="auto"/>
      <w:jc w:val="center"/>
    </w:pPr>
    <w:rPr>
      <w:rFonts w:ascii="黑体" w:eastAsia="黑体"/>
      <w:szCs w:val="22"/>
    </w:rPr>
  </w:style>
  <w:style w:type="paragraph" w:customStyle="1" w:styleId="2376">
    <w:name w:val="Char Char Char Char Char Char Char118"/>
    <w:basedOn w:val="1"/>
    <w:qFormat/>
    <w:uiPriority w:val="0"/>
    <w:pPr>
      <w:widowControl/>
      <w:jc w:val="left"/>
    </w:pPr>
    <w:rPr>
      <w:rFonts w:ascii="宋体" w:hAnsi="宋体" w:cs="宋体"/>
      <w:kern w:val="0"/>
      <w:szCs w:val="24"/>
    </w:rPr>
  </w:style>
  <w:style w:type="paragraph" w:customStyle="1" w:styleId="2377">
    <w:name w:val="Char2212"/>
    <w:basedOn w:val="1"/>
    <w:qFormat/>
    <w:uiPriority w:val="0"/>
    <w:pPr>
      <w:widowControl/>
      <w:spacing w:before="156"/>
      <w:jc w:val="left"/>
    </w:pPr>
    <w:rPr>
      <w:rFonts w:ascii="黑体" w:hAnsi="宋体" w:eastAsia="黑体" w:cs="宋体"/>
      <w:kern w:val="0"/>
      <w:sz w:val="32"/>
      <w:szCs w:val="32"/>
    </w:rPr>
  </w:style>
  <w:style w:type="paragraph" w:customStyle="1" w:styleId="2378">
    <w:name w:val="表格内字体3111"/>
    <w:basedOn w:val="418"/>
    <w:next w:val="418"/>
    <w:qFormat/>
    <w:uiPriority w:val="0"/>
    <w:pPr>
      <w:spacing w:line="240" w:lineRule="auto"/>
      <w:ind w:firstLine="0"/>
      <w:jc w:val="center"/>
    </w:pPr>
    <w:rPr>
      <w:rFonts w:hAnsi="宋体"/>
      <w:sz w:val="21"/>
      <w:szCs w:val="24"/>
    </w:rPr>
  </w:style>
  <w:style w:type="paragraph" w:customStyle="1" w:styleId="2379">
    <w:name w:val="样式12"/>
    <w:basedOn w:val="1586"/>
    <w:qFormat/>
    <w:uiPriority w:val="0"/>
    <w:pPr>
      <w:spacing w:line="240" w:lineRule="auto"/>
      <w:ind w:firstLine="0"/>
      <w:jc w:val="center"/>
    </w:pPr>
    <w:rPr>
      <w:rFonts w:cs="Times New Roman"/>
      <w:b/>
      <w:color w:val="auto"/>
      <w:szCs w:val="20"/>
    </w:rPr>
  </w:style>
  <w:style w:type="paragraph" w:customStyle="1" w:styleId="2380">
    <w:name w:val="表中文字7"/>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381">
    <w:name w:val="表内宋5中13"/>
    <w:basedOn w:val="1"/>
    <w:qFormat/>
    <w:uiPriority w:val="0"/>
    <w:pPr>
      <w:widowControl/>
      <w:jc w:val="center"/>
      <w:textAlignment w:val="baseline"/>
    </w:pPr>
    <w:rPr>
      <w:rFonts w:ascii="宋体" w:hAnsi="宋体" w:cs="宋体"/>
      <w:kern w:val="0"/>
      <w:szCs w:val="20"/>
    </w:rPr>
  </w:style>
  <w:style w:type="paragraph" w:customStyle="1" w:styleId="2382">
    <w:name w:val="表中文字63"/>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383">
    <w:name w:val="默认段落字体 Para Char Char Char Char24"/>
    <w:basedOn w:val="1"/>
    <w:qFormat/>
    <w:uiPriority w:val="0"/>
    <w:pPr>
      <w:widowControl/>
      <w:jc w:val="left"/>
    </w:pPr>
    <w:rPr>
      <w:rFonts w:ascii="宋体" w:hAnsi="宋体" w:cs="宋体"/>
      <w:kern w:val="0"/>
      <w:szCs w:val="24"/>
    </w:rPr>
  </w:style>
  <w:style w:type="paragraph" w:customStyle="1" w:styleId="2384">
    <w:name w:val="图题63"/>
    <w:basedOn w:val="418"/>
    <w:next w:val="418"/>
    <w:qFormat/>
    <w:uiPriority w:val="0"/>
    <w:pPr>
      <w:ind w:firstLine="0"/>
      <w:jc w:val="center"/>
    </w:pPr>
    <w:rPr>
      <w:rFonts w:ascii="黑体" w:hAnsi="宋体" w:eastAsia="黑体" w:cs="宋体"/>
      <w:b/>
      <w:bCs/>
      <w:szCs w:val="24"/>
    </w:rPr>
  </w:style>
  <w:style w:type="paragraph" w:customStyle="1" w:styleId="2385">
    <w:name w:val="表文字531"/>
    <w:basedOn w:val="1"/>
    <w:qFormat/>
    <w:uiPriority w:val="0"/>
    <w:pPr>
      <w:widowControl/>
      <w:jc w:val="left"/>
      <w:textAlignment w:val="baseline"/>
    </w:pPr>
    <w:rPr>
      <w:rFonts w:ascii="宋体" w:hAnsi="宋体" w:cs="宋体"/>
      <w:kern w:val="0"/>
      <w:szCs w:val="20"/>
    </w:rPr>
  </w:style>
  <w:style w:type="paragraph" w:customStyle="1" w:styleId="2386">
    <w:name w:val="表内文字小2"/>
    <w:basedOn w:val="1"/>
    <w:qFormat/>
    <w:uiPriority w:val="0"/>
    <w:pPr>
      <w:widowControl/>
      <w:jc w:val="center"/>
    </w:pPr>
    <w:rPr>
      <w:rFonts w:ascii="宋体" w:hAnsi="Times" w:cs="宋体"/>
      <w:bCs/>
      <w:kern w:val="0"/>
      <w:szCs w:val="20"/>
    </w:rPr>
  </w:style>
  <w:style w:type="paragraph" w:customStyle="1" w:styleId="2387">
    <w:name w:val="Char Char Char Char Char Char Char30"/>
    <w:basedOn w:val="1"/>
    <w:qFormat/>
    <w:uiPriority w:val="0"/>
    <w:pPr>
      <w:widowControl/>
      <w:jc w:val="left"/>
    </w:pPr>
    <w:rPr>
      <w:rFonts w:ascii="宋体" w:hAnsi="宋体" w:cs="宋体"/>
      <w:kern w:val="0"/>
      <w:szCs w:val="24"/>
    </w:rPr>
  </w:style>
  <w:style w:type="paragraph" w:customStyle="1" w:styleId="2388">
    <w:name w:val="Char2112"/>
    <w:basedOn w:val="1"/>
    <w:qFormat/>
    <w:uiPriority w:val="0"/>
    <w:pPr>
      <w:widowControl/>
      <w:ind w:left="-48"/>
      <w:jc w:val="left"/>
    </w:pPr>
    <w:rPr>
      <w:rFonts w:ascii="宋体" w:hAnsi="宋体" w:cs="宋体"/>
      <w:kern w:val="0"/>
      <w:szCs w:val="24"/>
    </w:rPr>
  </w:style>
  <w:style w:type="paragraph" w:customStyle="1" w:styleId="2389">
    <w:name w:val="图题3"/>
    <w:basedOn w:val="418"/>
    <w:next w:val="418"/>
    <w:qFormat/>
    <w:uiPriority w:val="0"/>
    <w:pPr>
      <w:ind w:firstLine="0"/>
      <w:jc w:val="center"/>
    </w:pPr>
    <w:rPr>
      <w:rFonts w:ascii="黑体" w:hAnsi="宋体" w:eastAsia="黑体" w:cs="宋体"/>
      <w:b/>
      <w:bCs/>
      <w:szCs w:val="24"/>
    </w:rPr>
  </w:style>
  <w:style w:type="paragraph" w:customStyle="1" w:styleId="2390">
    <w:name w:val="00000000000000"/>
    <w:basedOn w:val="3"/>
    <w:qFormat/>
    <w:uiPriority w:val="0"/>
    <w:pPr>
      <w:keepNext w:val="0"/>
      <w:keepLines w:val="0"/>
      <w:numPr>
        <w:ilvl w:val="0"/>
        <w:numId w:val="0"/>
      </w:numPr>
      <w:tabs>
        <w:tab w:val="left" w:pos="2670"/>
      </w:tabs>
      <w:spacing w:after="0"/>
      <w:ind w:firstLine="480"/>
      <w:outlineLvl w:val="9"/>
    </w:pPr>
    <w:rPr>
      <w:rFonts w:ascii="宋体" w:hAnsi="宋体"/>
      <w:b w:val="0"/>
      <w:kern w:val="18"/>
      <w:szCs w:val="21"/>
    </w:rPr>
  </w:style>
  <w:style w:type="paragraph" w:customStyle="1" w:styleId="2391">
    <w:name w:val="项目编号文字"/>
    <w:basedOn w:val="1"/>
    <w:next w:val="112"/>
    <w:qFormat/>
    <w:uiPriority w:val="0"/>
    <w:pPr>
      <w:widowControl/>
      <w:spacing w:before="120" w:after="120"/>
      <w:ind w:left="1077"/>
      <w:jc w:val="left"/>
    </w:pPr>
    <w:rPr>
      <w:rFonts w:ascii="宋体" w:hAnsi="宋体" w:cs="宋体"/>
      <w:kern w:val="0"/>
      <w:szCs w:val="24"/>
    </w:rPr>
  </w:style>
  <w:style w:type="paragraph" w:customStyle="1" w:styleId="2392">
    <w:name w:val="样式 标题 2二级标题标题 lxb2标题21.1H2h2第一层条二级标题 Char单位名4.1SeHea..."/>
    <w:basedOn w:val="598"/>
    <w:next w:val="598"/>
    <w:qFormat/>
    <w:uiPriority w:val="0"/>
    <w:pPr>
      <w:widowControl/>
      <w:ind w:firstLine="0" w:firstLineChars="0"/>
      <w:jc w:val="left"/>
    </w:pPr>
    <w:rPr>
      <w:rFonts w:eastAsia="黑体" w:cs="宋体"/>
      <w:b/>
      <w:szCs w:val="24"/>
    </w:rPr>
  </w:style>
  <w:style w:type="paragraph" w:customStyle="1" w:styleId="2393">
    <w:name w:val="表内文字边4"/>
    <w:basedOn w:val="1"/>
    <w:qFormat/>
    <w:uiPriority w:val="0"/>
    <w:pPr>
      <w:widowControl/>
      <w:spacing w:line="240" w:lineRule="atLeast"/>
      <w:ind w:left="-21" w:leftChars="-10" w:right="-42" w:rightChars="-20"/>
      <w:jc w:val="left"/>
    </w:pPr>
    <w:rPr>
      <w:rFonts w:ascii="宋体" w:hAnsi="宋体" w:cs="宋体"/>
      <w:kern w:val="0"/>
      <w:szCs w:val="21"/>
    </w:rPr>
  </w:style>
  <w:style w:type="paragraph" w:customStyle="1" w:styleId="2394">
    <w:name w:val="表注解"/>
    <w:basedOn w:val="1411"/>
    <w:next w:val="1411"/>
    <w:qFormat/>
    <w:uiPriority w:val="0"/>
    <w:pPr>
      <w:widowControl/>
      <w:tabs>
        <w:tab w:val="left" w:pos="630"/>
        <w:tab w:val="left" w:pos="1260"/>
      </w:tabs>
      <w:spacing w:before="0" w:after="0" w:line="240" w:lineRule="auto"/>
      <w:ind w:firstLine="0" w:firstLineChars="0"/>
    </w:pPr>
    <w:rPr>
      <w:b/>
      <w:snapToGrid w:val="0"/>
      <w:spacing w:val="0"/>
      <w:sz w:val="18"/>
      <w:szCs w:val="24"/>
    </w:rPr>
  </w:style>
  <w:style w:type="paragraph" w:customStyle="1" w:styleId="2395">
    <w:name w:val="Char1 Char Char Char Char Char"/>
    <w:basedOn w:val="1"/>
    <w:qFormat/>
    <w:uiPriority w:val="0"/>
    <w:pPr>
      <w:widowControl/>
      <w:jc w:val="left"/>
    </w:pPr>
    <w:rPr>
      <w:rFonts w:ascii="宋体" w:hAnsi="宋体" w:cs="宋体"/>
      <w:kern w:val="0"/>
      <w:szCs w:val="21"/>
    </w:rPr>
  </w:style>
  <w:style w:type="paragraph" w:customStyle="1" w:styleId="2396">
    <w:name w:val="图表名称13"/>
    <w:basedOn w:val="482"/>
    <w:qFormat/>
    <w:uiPriority w:val="0"/>
    <w:pPr>
      <w:spacing w:after="0" w:line="480" w:lineRule="exact"/>
      <w:ind w:firstLine="0" w:firstLineChars="0"/>
      <w:jc w:val="center"/>
    </w:pPr>
    <w:rPr>
      <w:rFonts w:ascii="宋体" w:hAnsi="宋体"/>
      <w:bCs/>
      <w:szCs w:val="24"/>
    </w:rPr>
  </w:style>
  <w:style w:type="paragraph" w:customStyle="1" w:styleId="2397">
    <w:name w:val="样式22"/>
    <w:basedOn w:val="1"/>
    <w:qFormat/>
    <w:uiPriority w:val="0"/>
    <w:pPr>
      <w:widowControl/>
      <w:jc w:val="center"/>
      <w:textAlignment w:val="baseline"/>
      <w:outlineLvl w:val="0"/>
    </w:pPr>
    <w:rPr>
      <w:rFonts w:ascii="宋体" w:hAnsi="宋体" w:cs="宋体"/>
      <w:kern w:val="0"/>
      <w:szCs w:val="20"/>
    </w:rPr>
  </w:style>
  <w:style w:type="paragraph" w:customStyle="1" w:styleId="2398">
    <w:name w:val="Char73"/>
    <w:basedOn w:val="1"/>
    <w:qFormat/>
    <w:uiPriority w:val="0"/>
    <w:pPr>
      <w:widowControl/>
      <w:ind w:left="-48"/>
      <w:jc w:val="left"/>
    </w:pPr>
    <w:rPr>
      <w:rFonts w:ascii="宋体" w:hAnsi="宋体" w:cs="宋体"/>
      <w:kern w:val="0"/>
      <w:szCs w:val="24"/>
    </w:rPr>
  </w:style>
  <w:style w:type="paragraph" w:customStyle="1" w:styleId="2399">
    <w:name w:val="reader-word-layer reader-word-s18-15"/>
    <w:basedOn w:val="1"/>
    <w:qFormat/>
    <w:uiPriority w:val="0"/>
    <w:pPr>
      <w:widowControl/>
      <w:spacing w:before="100" w:beforeAutospacing="1" w:after="100" w:afterAutospacing="1"/>
      <w:jc w:val="left"/>
    </w:pPr>
    <w:rPr>
      <w:rFonts w:ascii="宋体" w:hAnsi="宋体" w:cs="宋体"/>
      <w:kern w:val="0"/>
      <w:szCs w:val="24"/>
    </w:rPr>
  </w:style>
  <w:style w:type="paragraph" w:customStyle="1" w:styleId="2400">
    <w:name w:val="样式7"/>
    <w:basedOn w:val="2"/>
    <w:qFormat/>
    <w:uiPriority w:val="0"/>
    <w:pPr>
      <w:numPr>
        <w:numId w:val="0"/>
      </w:numPr>
      <w:tabs>
        <w:tab w:val="left" w:pos="432"/>
      </w:tabs>
      <w:spacing w:beforeLines="200" w:afterLines="200"/>
      <w:ind w:left="432" w:hanging="432"/>
    </w:pPr>
    <w:rPr>
      <w:rFonts w:eastAsia="黑体"/>
      <w:b w:val="0"/>
      <w:bCs w:val="0"/>
      <w:sz w:val="30"/>
    </w:rPr>
  </w:style>
  <w:style w:type="paragraph" w:customStyle="1" w:styleId="2401">
    <w:name w:val="正文格式411"/>
    <w:basedOn w:val="1"/>
    <w:qFormat/>
    <w:uiPriority w:val="0"/>
    <w:pPr>
      <w:widowControl/>
      <w:ind w:firstLine="482"/>
      <w:jc w:val="left"/>
    </w:pPr>
    <w:rPr>
      <w:rFonts w:ascii="宋体" w:hAnsi="宋体" w:cs="宋体"/>
      <w:kern w:val="0"/>
      <w:szCs w:val="24"/>
    </w:rPr>
  </w:style>
  <w:style w:type="paragraph" w:customStyle="1" w:styleId="2402">
    <w:name w:val="样式141"/>
    <w:basedOn w:val="1586"/>
    <w:qFormat/>
    <w:uiPriority w:val="0"/>
    <w:pPr>
      <w:spacing w:line="240" w:lineRule="auto"/>
      <w:ind w:firstLine="0"/>
      <w:jc w:val="center"/>
    </w:pPr>
    <w:rPr>
      <w:rFonts w:cs="Times New Roman"/>
      <w:b/>
      <w:color w:val="auto"/>
      <w:szCs w:val="20"/>
    </w:rPr>
  </w:style>
  <w:style w:type="paragraph" w:customStyle="1" w:styleId="2403">
    <w:name w:val="黑体三号6"/>
    <w:basedOn w:val="418"/>
    <w:qFormat/>
    <w:uiPriority w:val="0"/>
    <w:pPr>
      <w:jc w:val="center"/>
    </w:pPr>
    <w:rPr>
      <w:rFonts w:ascii="黑体" w:hAnsi="宋体" w:eastAsia="黑体" w:cs="宋体"/>
      <w:b/>
      <w:bCs/>
      <w:sz w:val="32"/>
      <w:szCs w:val="20"/>
    </w:rPr>
  </w:style>
  <w:style w:type="paragraph" w:customStyle="1" w:styleId="2404">
    <w:name w:val="默认段落字体 Para Char Char Char Char1"/>
    <w:basedOn w:val="1"/>
    <w:qFormat/>
    <w:uiPriority w:val="0"/>
    <w:pPr>
      <w:widowControl/>
      <w:jc w:val="left"/>
    </w:pPr>
    <w:rPr>
      <w:rFonts w:ascii="宋体" w:hAnsi="宋体" w:cs="宋体"/>
      <w:kern w:val="0"/>
      <w:szCs w:val="24"/>
    </w:rPr>
  </w:style>
  <w:style w:type="paragraph" w:customStyle="1" w:styleId="2405">
    <w:name w:val="Char911"/>
    <w:basedOn w:val="1"/>
    <w:qFormat/>
    <w:uiPriority w:val="0"/>
    <w:pPr>
      <w:widowControl/>
      <w:ind w:left="-48"/>
      <w:jc w:val="left"/>
    </w:pPr>
    <w:rPr>
      <w:rFonts w:ascii="宋体" w:hAnsi="宋体" w:cs="宋体"/>
      <w:kern w:val="0"/>
      <w:szCs w:val="24"/>
    </w:rPr>
  </w:style>
  <w:style w:type="paragraph" w:customStyle="1" w:styleId="2406">
    <w:name w:val="表221"/>
    <w:basedOn w:val="1"/>
    <w:qFormat/>
    <w:uiPriority w:val="0"/>
    <w:pPr>
      <w:widowControl/>
      <w:jc w:val="center"/>
    </w:pPr>
    <w:rPr>
      <w:rFonts w:ascii="宋体" w:hAnsi="宋体" w:cs="宋体"/>
      <w:kern w:val="0"/>
      <w:szCs w:val="24"/>
    </w:rPr>
  </w:style>
  <w:style w:type="paragraph" w:customStyle="1" w:styleId="2407">
    <w:name w:val="Char Char2 Char Char Char Char2"/>
    <w:basedOn w:val="1"/>
    <w:qFormat/>
    <w:uiPriority w:val="0"/>
    <w:pPr>
      <w:widowControl/>
      <w:jc w:val="left"/>
    </w:pPr>
    <w:rPr>
      <w:rFonts w:ascii="宋体" w:hAnsi="宋体" w:cs="宋体"/>
      <w:kern w:val="0"/>
      <w:szCs w:val="24"/>
    </w:rPr>
  </w:style>
  <w:style w:type="paragraph" w:customStyle="1" w:styleId="2408">
    <w:name w:val="表内5中113"/>
    <w:basedOn w:val="1"/>
    <w:qFormat/>
    <w:uiPriority w:val="0"/>
    <w:pPr>
      <w:widowControl/>
      <w:jc w:val="center"/>
    </w:pPr>
    <w:rPr>
      <w:rFonts w:ascii="宋体" w:hAnsi="宋体" w:cs="Arial"/>
      <w:snapToGrid w:val="0"/>
      <w:kern w:val="0"/>
      <w:szCs w:val="21"/>
    </w:rPr>
  </w:style>
  <w:style w:type="paragraph" w:customStyle="1" w:styleId="2409">
    <w:name w:val="文本框21"/>
    <w:basedOn w:val="1"/>
    <w:qFormat/>
    <w:uiPriority w:val="0"/>
    <w:pPr>
      <w:widowControl/>
      <w:spacing w:after="6"/>
      <w:jc w:val="center"/>
    </w:pPr>
    <w:rPr>
      <w:rFonts w:ascii="宋体" w:hAnsi="宋体" w:cs="宋体"/>
      <w:kern w:val="0"/>
      <w:szCs w:val="24"/>
    </w:rPr>
  </w:style>
  <w:style w:type="paragraph" w:customStyle="1" w:styleId="2410">
    <w:name w:val="表格内字体112"/>
    <w:basedOn w:val="418"/>
    <w:qFormat/>
    <w:uiPriority w:val="0"/>
    <w:pPr>
      <w:spacing w:line="240" w:lineRule="auto"/>
      <w:ind w:firstLine="0"/>
      <w:jc w:val="center"/>
    </w:pPr>
    <w:rPr>
      <w:rFonts w:hAnsi="Times New Roman" w:cs="宋体"/>
      <w:sz w:val="21"/>
      <w:szCs w:val="20"/>
    </w:rPr>
  </w:style>
  <w:style w:type="paragraph" w:customStyle="1" w:styleId="2411">
    <w:name w:val="文本框5"/>
    <w:basedOn w:val="1"/>
    <w:qFormat/>
    <w:uiPriority w:val="0"/>
    <w:pPr>
      <w:widowControl/>
      <w:spacing w:after="6"/>
      <w:jc w:val="center"/>
    </w:pPr>
    <w:rPr>
      <w:rFonts w:ascii="宋体" w:hAnsi="宋体" w:cs="宋体"/>
      <w:kern w:val="0"/>
      <w:szCs w:val="24"/>
    </w:rPr>
  </w:style>
  <w:style w:type="paragraph" w:customStyle="1" w:styleId="2412">
    <w:name w:val="Fax Header1"/>
    <w:basedOn w:val="1"/>
    <w:qFormat/>
    <w:uiPriority w:val="0"/>
    <w:pPr>
      <w:widowControl/>
      <w:spacing w:before="240" w:after="60"/>
      <w:jc w:val="left"/>
    </w:pPr>
    <w:rPr>
      <w:rFonts w:ascii="宋体" w:hAnsi="宋体" w:cs="宋体"/>
      <w:kern w:val="0"/>
      <w:sz w:val="20"/>
      <w:szCs w:val="20"/>
    </w:rPr>
  </w:style>
  <w:style w:type="paragraph" w:customStyle="1" w:styleId="2413">
    <w:name w:val="附件43"/>
    <w:basedOn w:val="2"/>
    <w:next w:val="418"/>
    <w:qFormat/>
    <w:uiPriority w:val="0"/>
    <w:pPr>
      <w:numPr>
        <w:numId w:val="0"/>
      </w:numPr>
      <w:adjustRightInd/>
      <w:snapToGrid/>
      <w:spacing w:after="210"/>
      <w:jc w:val="left"/>
    </w:pPr>
    <w:rPr>
      <w:rFonts w:ascii="黑体" w:eastAsia="黑体"/>
      <w:sz w:val="32"/>
      <w:szCs w:val="32"/>
    </w:rPr>
  </w:style>
  <w:style w:type="paragraph" w:customStyle="1" w:styleId="2414">
    <w:name w:val="Char Char Char Char Char Char Char Char Char Char Char Char Char Char Char Char Char Char Char Char Char Char Char Char Char Char Char Char Char Char Char Char Char Char Char"/>
    <w:basedOn w:val="1"/>
    <w:qFormat/>
    <w:uiPriority w:val="0"/>
    <w:pPr>
      <w:widowControl/>
      <w:jc w:val="left"/>
    </w:pPr>
    <w:rPr>
      <w:rFonts w:ascii="宋体" w:hAnsi="宋体" w:cs="宋体"/>
      <w:kern w:val="0"/>
      <w:szCs w:val="24"/>
    </w:rPr>
  </w:style>
  <w:style w:type="paragraph" w:customStyle="1" w:styleId="2415">
    <w:name w:val="表23"/>
    <w:basedOn w:val="1"/>
    <w:qFormat/>
    <w:uiPriority w:val="0"/>
    <w:pPr>
      <w:widowControl/>
      <w:jc w:val="center"/>
    </w:pPr>
    <w:rPr>
      <w:rFonts w:ascii="宋体" w:hAnsi="宋体" w:cs="宋体"/>
      <w:kern w:val="0"/>
      <w:szCs w:val="24"/>
    </w:rPr>
  </w:style>
  <w:style w:type="paragraph" w:customStyle="1" w:styleId="2416">
    <w:name w:val="目录2"/>
    <w:basedOn w:val="52"/>
    <w:next w:val="1"/>
    <w:qFormat/>
    <w:uiPriority w:val="0"/>
    <w:pPr>
      <w:widowControl/>
      <w:tabs>
        <w:tab w:val="left" w:leader="dot" w:pos="8492"/>
        <w:tab w:val="clear" w:pos="9004"/>
      </w:tabs>
      <w:spacing w:before="156" w:line="240" w:lineRule="auto"/>
      <w:ind w:firstLine="420"/>
      <w:jc w:val="left"/>
      <w:textAlignment w:val="baseline"/>
    </w:pPr>
    <w:rPr>
      <w:rFonts w:ascii="宋体" w:hAnsi="Arial"/>
      <w:bCs w:val="0"/>
      <w:smallCaps/>
      <w:kern w:val="0"/>
      <w:sz w:val="20"/>
      <w:szCs w:val="20"/>
    </w:rPr>
  </w:style>
  <w:style w:type="paragraph" w:customStyle="1" w:styleId="2417">
    <w:name w:val="表内5中21"/>
    <w:basedOn w:val="1"/>
    <w:qFormat/>
    <w:uiPriority w:val="0"/>
    <w:pPr>
      <w:widowControl/>
      <w:jc w:val="center"/>
    </w:pPr>
    <w:rPr>
      <w:rFonts w:ascii="宋体" w:hAnsi="宋体" w:cs="Arial"/>
      <w:snapToGrid w:val="0"/>
      <w:kern w:val="0"/>
      <w:szCs w:val="21"/>
    </w:rPr>
  </w:style>
  <w:style w:type="paragraph" w:customStyle="1" w:styleId="2418">
    <w:name w:val="注释3"/>
    <w:basedOn w:val="418"/>
    <w:next w:val="25"/>
    <w:qFormat/>
    <w:uiPriority w:val="0"/>
    <w:pPr>
      <w:spacing w:before="120" w:after="120" w:line="240" w:lineRule="auto"/>
      <w:ind w:firstLine="200"/>
    </w:pPr>
    <w:rPr>
      <w:rFonts w:hAnsi="Times New Roman" w:cs="宋体"/>
      <w:sz w:val="21"/>
      <w:szCs w:val="20"/>
    </w:rPr>
  </w:style>
  <w:style w:type="paragraph" w:customStyle="1" w:styleId="2419">
    <w:name w:val="Char315"/>
    <w:basedOn w:val="1"/>
    <w:qFormat/>
    <w:uiPriority w:val="0"/>
    <w:pPr>
      <w:widowControl/>
      <w:ind w:left="-48"/>
      <w:jc w:val="left"/>
    </w:pPr>
    <w:rPr>
      <w:rFonts w:ascii="宋体" w:hAnsi="宋体" w:cs="宋体"/>
      <w:kern w:val="0"/>
      <w:szCs w:val="24"/>
    </w:rPr>
  </w:style>
  <w:style w:type="paragraph" w:customStyle="1" w:styleId="2420">
    <w:name w:val="默认段落字体 Para Char2"/>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2421">
    <w:name w:val="燕山正文115"/>
    <w:basedOn w:val="1"/>
    <w:qFormat/>
    <w:uiPriority w:val="0"/>
    <w:pPr>
      <w:widowControl/>
      <w:tabs>
        <w:tab w:val="left" w:pos="4680"/>
      </w:tabs>
      <w:ind w:firstLine="480"/>
      <w:jc w:val="left"/>
    </w:pPr>
    <w:rPr>
      <w:rFonts w:ascii="宋体" w:hAnsi="宋体" w:cs="宋体"/>
      <w:bCs/>
      <w:snapToGrid w:val="0"/>
      <w:kern w:val="0"/>
      <w:szCs w:val="24"/>
    </w:rPr>
  </w:style>
  <w:style w:type="paragraph" w:customStyle="1" w:styleId="2422">
    <w:name w:val="样式1111"/>
    <w:basedOn w:val="1586"/>
    <w:qFormat/>
    <w:uiPriority w:val="0"/>
    <w:pPr>
      <w:spacing w:line="240" w:lineRule="auto"/>
      <w:ind w:firstLine="0"/>
      <w:jc w:val="center"/>
    </w:pPr>
    <w:rPr>
      <w:rFonts w:cs="Times New Roman"/>
      <w:b/>
      <w:color w:val="auto"/>
      <w:szCs w:val="20"/>
    </w:rPr>
  </w:style>
  <w:style w:type="paragraph" w:customStyle="1" w:styleId="2423">
    <w:name w:val="正文格式311"/>
    <w:basedOn w:val="1"/>
    <w:qFormat/>
    <w:uiPriority w:val="0"/>
    <w:pPr>
      <w:widowControl/>
      <w:ind w:firstLine="482"/>
      <w:jc w:val="left"/>
    </w:pPr>
    <w:rPr>
      <w:rFonts w:ascii="宋体" w:hAnsi="宋体" w:cs="宋体"/>
      <w:kern w:val="0"/>
      <w:szCs w:val="24"/>
    </w:rPr>
  </w:style>
  <w:style w:type="paragraph" w:customStyle="1" w:styleId="2424">
    <w:name w:val="正文格式＝9"/>
    <w:basedOn w:val="418"/>
    <w:next w:val="418"/>
    <w:qFormat/>
    <w:uiPriority w:val="0"/>
    <w:rPr>
      <w:rFonts w:hAnsi="宋体"/>
      <w:szCs w:val="24"/>
    </w:rPr>
  </w:style>
  <w:style w:type="paragraph" w:customStyle="1" w:styleId="2425">
    <w:name w:val="xl91"/>
    <w:basedOn w:val="1"/>
    <w:qFormat/>
    <w:uiPriority w:val="0"/>
    <w:pPr>
      <w:widowControl/>
      <w:pBdr>
        <w:top w:val="single" w:color="auto" w:sz="8" w:space="0"/>
        <w:left w:val="single" w:color="auto" w:sz="8" w:space="0"/>
        <w:right w:val="single" w:color="auto" w:sz="8" w:space="0"/>
      </w:pBdr>
      <w:spacing w:before="100" w:beforeAutospacing="1" w:after="100" w:afterAutospacing="1"/>
      <w:jc w:val="center"/>
    </w:pPr>
    <w:rPr>
      <w:kern w:val="0"/>
      <w:szCs w:val="21"/>
    </w:rPr>
  </w:style>
  <w:style w:type="paragraph" w:customStyle="1" w:styleId="2426">
    <w:name w:val="Char Char Char Char Char Char Char37"/>
    <w:basedOn w:val="1"/>
    <w:qFormat/>
    <w:uiPriority w:val="0"/>
    <w:pPr>
      <w:widowControl/>
      <w:jc w:val="left"/>
    </w:pPr>
    <w:rPr>
      <w:rFonts w:ascii="宋体" w:hAnsi="宋体" w:cs="宋体"/>
      <w:kern w:val="0"/>
      <w:szCs w:val="24"/>
    </w:rPr>
  </w:style>
  <w:style w:type="paragraph" w:customStyle="1" w:styleId="2427">
    <w:name w:val="默认段落字体 Para Char Char Char Char4111"/>
    <w:basedOn w:val="1"/>
    <w:qFormat/>
    <w:uiPriority w:val="0"/>
    <w:pPr>
      <w:widowControl/>
      <w:jc w:val="left"/>
    </w:pPr>
    <w:rPr>
      <w:rFonts w:ascii="宋体" w:hAnsi="宋体" w:cs="宋体"/>
      <w:kern w:val="0"/>
      <w:szCs w:val="24"/>
    </w:rPr>
  </w:style>
  <w:style w:type="paragraph" w:customStyle="1" w:styleId="2428">
    <w:name w:val="表内宋51"/>
    <w:basedOn w:val="1698"/>
    <w:qFormat/>
    <w:uiPriority w:val="0"/>
    <w:pPr>
      <w:autoSpaceDE w:val="0"/>
      <w:autoSpaceDN w:val="0"/>
      <w:textAlignment w:val="auto"/>
    </w:pPr>
    <w:rPr>
      <w:color w:val="auto"/>
      <w:w w:val="90"/>
    </w:rPr>
  </w:style>
  <w:style w:type="paragraph" w:customStyle="1" w:styleId="2429">
    <w:name w:val="表312"/>
    <w:basedOn w:val="1"/>
    <w:qFormat/>
    <w:uiPriority w:val="0"/>
    <w:pPr>
      <w:widowControl/>
      <w:jc w:val="center"/>
    </w:pPr>
    <w:rPr>
      <w:rFonts w:ascii="宋体" w:hAnsi="宋体" w:cs="宋体"/>
      <w:kern w:val="0"/>
      <w:szCs w:val="24"/>
    </w:rPr>
  </w:style>
  <w:style w:type="paragraph" w:customStyle="1" w:styleId="2430">
    <w:name w:val="表内文字小211"/>
    <w:basedOn w:val="1"/>
    <w:qFormat/>
    <w:uiPriority w:val="0"/>
    <w:pPr>
      <w:widowControl/>
      <w:jc w:val="center"/>
    </w:pPr>
    <w:rPr>
      <w:rFonts w:ascii="宋体" w:hAnsi="Times" w:cs="宋体"/>
      <w:bCs/>
      <w:kern w:val="0"/>
      <w:szCs w:val="20"/>
    </w:rPr>
  </w:style>
  <w:style w:type="paragraph" w:customStyle="1" w:styleId="2431">
    <w:name w:val="4"/>
    <w:basedOn w:val="1"/>
    <w:next w:val="16"/>
    <w:qFormat/>
    <w:uiPriority w:val="0"/>
    <w:pPr>
      <w:spacing w:before="120" w:line="400" w:lineRule="exact"/>
      <w:ind w:firstLine="420"/>
      <w:textAlignment w:val="baseline"/>
    </w:pPr>
    <w:rPr>
      <w:kern w:val="28"/>
      <w:szCs w:val="20"/>
    </w:rPr>
  </w:style>
  <w:style w:type="paragraph" w:customStyle="1" w:styleId="2432">
    <w:name w:val="Char Char Char Char Char Char Char Char Char"/>
    <w:basedOn w:val="1"/>
    <w:qFormat/>
    <w:uiPriority w:val="0"/>
    <w:pPr>
      <w:widowControl/>
      <w:jc w:val="left"/>
    </w:pPr>
    <w:rPr>
      <w:rFonts w:ascii="宋体" w:hAnsi="宋体" w:cs="宋体"/>
      <w:kern w:val="0"/>
      <w:szCs w:val="24"/>
    </w:rPr>
  </w:style>
  <w:style w:type="paragraph" w:customStyle="1" w:styleId="2433">
    <w:name w:val="标题431213"/>
    <w:basedOn w:val="1"/>
    <w:qFormat/>
    <w:uiPriority w:val="0"/>
    <w:pPr>
      <w:widowControl/>
      <w:spacing w:line="480" w:lineRule="exact"/>
      <w:jc w:val="center"/>
    </w:pPr>
    <w:rPr>
      <w:rFonts w:ascii="宋体" w:hAnsi="宋体" w:cs="宋体"/>
      <w:kern w:val="0"/>
      <w:szCs w:val="24"/>
    </w:rPr>
  </w:style>
  <w:style w:type="paragraph" w:customStyle="1" w:styleId="2434">
    <w:name w:val="正文格式＝413"/>
    <w:basedOn w:val="418"/>
    <w:next w:val="418"/>
    <w:qFormat/>
    <w:uiPriority w:val="0"/>
    <w:rPr>
      <w:rFonts w:hAnsi="宋体"/>
      <w:szCs w:val="24"/>
    </w:rPr>
  </w:style>
  <w:style w:type="paragraph" w:customStyle="1" w:styleId="2435">
    <w:name w:val="Char Char Char Char Char Char Char141"/>
    <w:basedOn w:val="1"/>
    <w:qFormat/>
    <w:uiPriority w:val="99"/>
    <w:pPr>
      <w:widowControl/>
      <w:jc w:val="left"/>
    </w:pPr>
    <w:rPr>
      <w:rFonts w:ascii="宋体" w:hAnsi="宋体" w:cs="宋体"/>
      <w:kern w:val="0"/>
      <w:szCs w:val="24"/>
    </w:rPr>
  </w:style>
  <w:style w:type="paragraph" w:customStyle="1" w:styleId="2436">
    <w:name w:val="表文字5121"/>
    <w:basedOn w:val="1"/>
    <w:qFormat/>
    <w:uiPriority w:val="0"/>
    <w:pPr>
      <w:widowControl/>
      <w:jc w:val="left"/>
      <w:textAlignment w:val="baseline"/>
    </w:pPr>
    <w:rPr>
      <w:rFonts w:ascii="宋体" w:hAnsi="宋体" w:cs="宋体"/>
      <w:kern w:val="0"/>
      <w:szCs w:val="20"/>
    </w:rPr>
  </w:style>
  <w:style w:type="paragraph" w:customStyle="1" w:styleId="2437">
    <w:name w:val="h"/>
    <w:basedOn w:val="1"/>
    <w:qFormat/>
    <w:uiPriority w:val="0"/>
    <w:pPr>
      <w:widowControl/>
      <w:spacing w:before="60"/>
      <w:ind w:firstLine="482"/>
      <w:jc w:val="left"/>
    </w:pPr>
    <w:rPr>
      <w:rFonts w:ascii="Arial" w:hAnsi="Arial" w:cs="宋体"/>
      <w:kern w:val="0"/>
      <w:szCs w:val="20"/>
    </w:rPr>
  </w:style>
  <w:style w:type="paragraph" w:customStyle="1" w:styleId="2438">
    <w:name w:val="正文格式＝412"/>
    <w:basedOn w:val="418"/>
    <w:next w:val="418"/>
    <w:qFormat/>
    <w:uiPriority w:val="0"/>
    <w:rPr>
      <w:rFonts w:hAnsi="宋体"/>
      <w:szCs w:val="24"/>
    </w:rPr>
  </w:style>
  <w:style w:type="paragraph" w:customStyle="1" w:styleId="2439">
    <w:name w:val="表题1112"/>
    <w:basedOn w:val="17"/>
    <w:qFormat/>
    <w:uiPriority w:val="0"/>
    <w:pPr>
      <w:widowControl/>
      <w:ind w:firstLine="0" w:firstLineChars="0"/>
      <w:jc w:val="center"/>
    </w:pPr>
    <w:rPr>
      <w:rFonts w:ascii="黑体" w:cs="Arial"/>
    </w:rPr>
  </w:style>
  <w:style w:type="paragraph" w:customStyle="1" w:styleId="2440">
    <w:name w:val="表内文字小2231"/>
    <w:basedOn w:val="1"/>
    <w:qFormat/>
    <w:uiPriority w:val="0"/>
    <w:pPr>
      <w:widowControl/>
      <w:jc w:val="center"/>
    </w:pPr>
    <w:rPr>
      <w:rFonts w:ascii="宋体" w:hAnsi="Times" w:cs="宋体"/>
      <w:bCs/>
      <w:kern w:val="0"/>
      <w:szCs w:val="20"/>
    </w:rPr>
  </w:style>
  <w:style w:type="paragraph" w:customStyle="1" w:styleId="2441">
    <w:name w:val="23-47表名3"/>
    <w:basedOn w:val="1"/>
    <w:qFormat/>
    <w:uiPriority w:val="0"/>
    <w:pPr>
      <w:widowControl/>
      <w:spacing w:after="156" w:line="440" w:lineRule="exact"/>
      <w:jc w:val="center"/>
    </w:pPr>
    <w:rPr>
      <w:rFonts w:ascii="宋体" w:hAnsi="宋体" w:cs="宋体"/>
      <w:b/>
      <w:kern w:val="0"/>
      <w:szCs w:val="24"/>
    </w:rPr>
  </w:style>
  <w:style w:type="paragraph" w:customStyle="1" w:styleId="2442">
    <w:name w:val="附件61"/>
    <w:basedOn w:val="2"/>
    <w:next w:val="418"/>
    <w:qFormat/>
    <w:uiPriority w:val="0"/>
    <w:pPr>
      <w:numPr>
        <w:numId w:val="0"/>
      </w:numPr>
      <w:spacing w:before="220"/>
    </w:pPr>
    <w:rPr>
      <w:rFonts w:ascii="黑体" w:eastAsia="黑体"/>
      <w:b w:val="0"/>
      <w:sz w:val="32"/>
      <w:szCs w:val="32"/>
    </w:rPr>
  </w:style>
  <w:style w:type="paragraph" w:customStyle="1" w:styleId="2443">
    <w:name w:val="表内宋5中1111"/>
    <w:basedOn w:val="1"/>
    <w:qFormat/>
    <w:uiPriority w:val="0"/>
    <w:pPr>
      <w:widowControl/>
      <w:jc w:val="center"/>
      <w:textAlignment w:val="baseline"/>
    </w:pPr>
    <w:rPr>
      <w:rFonts w:ascii="宋体" w:hAnsi="宋体" w:cs="宋体"/>
      <w:kern w:val="0"/>
      <w:szCs w:val="20"/>
    </w:rPr>
  </w:style>
  <w:style w:type="paragraph" w:customStyle="1" w:styleId="2444">
    <w:name w:val="默认段落字体 Para Char Char Char Char"/>
    <w:basedOn w:val="1"/>
    <w:qFormat/>
    <w:uiPriority w:val="0"/>
    <w:pPr>
      <w:widowControl/>
      <w:jc w:val="left"/>
    </w:pPr>
    <w:rPr>
      <w:rFonts w:ascii="宋体" w:hAnsi="宋体" w:cs="宋体"/>
      <w:kern w:val="0"/>
      <w:szCs w:val="24"/>
    </w:rPr>
  </w:style>
  <w:style w:type="paragraph" w:customStyle="1" w:styleId="2445">
    <w:name w:val="标题431113"/>
    <w:basedOn w:val="1"/>
    <w:qFormat/>
    <w:uiPriority w:val="0"/>
    <w:pPr>
      <w:widowControl/>
      <w:spacing w:line="480" w:lineRule="exact"/>
      <w:jc w:val="center"/>
    </w:pPr>
    <w:rPr>
      <w:rFonts w:ascii="宋体" w:hAnsi="宋体" w:cs="宋体"/>
      <w:kern w:val="0"/>
      <w:szCs w:val="24"/>
    </w:rPr>
  </w:style>
  <w:style w:type="paragraph" w:customStyle="1" w:styleId="2446">
    <w:name w:val="表内532"/>
    <w:basedOn w:val="1"/>
    <w:qFormat/>
    <w:uiPriority w:val="0"/>
    <w:pPr>
      <w:widowControl/>
      <w:spacing w:line="300" w:lineRule="auto"/>
      <w:jc w:val="left"/>
    </w:pPr>
    <w:rPr>
      <w:rFonts w:ascii="宋体" w:hAnsi="宋体" w:cs="宋体"/>
      <w:kern w:val="0"/>
      <w:szCs w:val="20"/>
    </w:rPr>
  </w:style>
  <w:style w:type="paragraph" w:customStyle="1" w:styleId="2447">
    <w:name w:val="表题121"/>
    <w:basedOn w:val="17"/>
    <w:qFormat/>
    <w:uiPriority w:val="0"/>
    <w:pPr>
      <w:widowControl/>
      <w:ind w:firstLine="0" w:firstLineChars="0"/>
      <w:jc w:val="center"/>
    </w:pPr>
    <w:rPr>
      <w:rFonts w:ascii="黑体" w:cs="Arial"/>
    </w:rPr>
  </w:style>
  <w:style w:type="paragraph" w:customStyle="1" w:styleId="2448">
    <w:name w:val="表内54111"/>
    <w:basedOn w:val="1"/>
    <w:qFormat/>
    <w:uiPriority w:val="0"/>
    <w:pPr>
      <w:widowControl/>
      <w:spacing w:line="300" w:lineRule="auto"/>
      <w:jc w:val="center"/>
    </w:pPr>
    <w:rPr>
      <w:rFonts w:ascii="宋体" w:hAnsi="宋体" w:cs="宋体"/>
      <w:kern w:val="0"/>
      <w:szCs w:val="20"/>
    </w:rPr>
  </w:style>
  <w:style w:type="paragraph" w:customStyle="1" w:styleId="2449">
    <w:name w:val="Char1101"/>
    <w:basedOn w:val="1"/>
    <w:qFormat/>
    <w:uiPriority w:val="0"/>
    <w:pPr>
      <w:widowControl/>
      <w:ind w:left="-48"/>
      <w:jc w:val="left"/>
    </w:pPr>
    <w:rPr>
      <w:rFonts w:ascii="宋体" w:hAnsi="宋体" w:cs="宋体"/>
      <w:kern w:val="0"/>
      <w:szCs w:val="24"/>
    </w:rPr>
  </w:style>
  <w:style w:type="paragraph" w:customStyle="1" w:styleId="2450">
    <w:name w:val="正文.21"/>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2451">
    <w:name w:val="样式1112"/>
    <w:basedOn w:val="1586"/>
    <w:qFormat/>
    <w:uiPriority w:val="0"/>
    <w:pPr>
      <w:spacing w:line="240" w:lineRule="auto"/>
      <w:ind w:firstLine="0"/>
      <w:jc w:val="center"/>
    </w:pPr>
    <w:rPr>
      <w:rFonts w:cs="Times New Roman"/>
      <w:b/>
      <w:color w:val="auto"/>
      <w:szCs w:val="20"/>
    </w:rPr>
  </w:style>
  <w:style w:type="paragraph" w:customStyle="1" w:styleId="2452">
    <w:name w:val="燕山正文11221"/>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2453">
    <w:name w:val="四级条标题"/>
    <w:basedOn w:val="2228"/>
    <w:next w:val="1"/>
    <w:qFormat/>
    <w:uiPriority w:val="0"/>
    <w:pPr>
      <w:tabs>
        <w:tab w:val="left" w:pos="1152"/>
        <w:tab w:val="left" w:pos="2520"/>
        <w:tab w:val="left" w:pos="3080"/>
      </w:tabs>
      <w:outlineLvl w:val="5"/>
    </w:pPr>
  </w:style>
  <w:style w:type="paragraph" w:customStyle="1" w:styleId="2454">
    <w:name w:val="Char Char Char Char Char Char Char4"/>
    <w:basedOn w:val="1"/>
    <w:qFormat/>
    <w:uiPriority w:val="0"/>
    <w:pPr>
      <w:widowControl/>
      <w:jc w:val="left"/>
    </w:pPr>
    <w:rPr>
      <w:rFonts w:ascii="宋体" w:hAnsi="宋体" w:cs="宋体"/>
      <w:kern w:val="0"/>
      <w:szCs w:val="24"/>
    </w:rPr>
  </w:style>
  <w:style w:type="paragraph" w:customStyle="1" w:styleId="2455">
    <w:name w:val="正文修改53"/>
    <w:basedOn w:val="786"/>
    <w:qFormat/>
    <w:uiPriority w:val="0"/>
    <w:rPr>
      <w:rFonts w:hAnsi="宋体" w:eastAsia="宋体" w:cs="宋体"/>
      <w:szCs w:val="24"/>
    </w:rPr>
  </w:style>
  <w:style w:type="paragraph" w:customStyle="1" w:styleId="2456">
    <w:name w:val="燕山正文421"/>
    <w:basedOn w:val="1"/>
    <w:qFormat/>
    <w:uiPriority w:val="0"/>
    <w:pPr>
      <w:widowControl/>
      <w:tabs>
        <w:tab w:val="left" w:pos="4680"/>
      </w:tabs>
      <w:spacing w:line="480" w:lineRule="exact"/>
      <w:jc w:val="left"/>
    </w:pPr>
    <w:rPr>
      <w:rFonts w:ascii="宋体" w:hAnsi="宋体" w:cs="宋体"/>
      <w:kern w:val="0"/>
      <w:szCs w:val="24"/>
    </w:rPr>
  </w:style>
  <w:style w:type="paragraph" w:customStyle="1" w:styleId="2457">
    <w:name w:val="Char42"/>
    <w:basedOn w:val="1"/>
    <w:qFormat/>
    <w:uiPriority w:val="0"/>
    <w:pPr>
      <w:widowControl/>
      <w:ind w:left="-48"/>
      <w:jc w:val="left"/>
    </w:pPr>
    <w:rPr>
      <w:rFonts w:ascii="宋体" w:hAnsi="宋体" w:cs="宋体"/>
      <w:kern w:val="0"/>
      <w:szCs w:val="24"/>
    </w:rPr>
  </w:style>
  <w:style w:type="paragraph" w:customStyle="1" w:styleId="2458">
    <w:name w:val="正文格式＝44"/>
    <w:basedOn w:val="418"/>
    <w:next w:val="418"/>
    <w:qFormat/>
    <w:uiPriority w:val="0"/>
    <w:rPr>
      <w:rFonts w:hAnsi="宋体"/>
      <w:szCs w:val="24"/>
    </w:rPr>
  </w:style>
  <w:style w:type="paragraph" w:customStyle="1" w:styleId="2459">
    <w:name w:val="南通表格"/>
    <w:basedOn w:val="1"/>
    <w:next w:val="1"/>
    <w:semiHidden/>
    <w:qFormat/>
    <w:uiPriority w:val="0"/>
    <w:pPr>
      <w:framePr w:wrap="around" w:vAnchor="text" w:hAnchor="text" w:y="1"/>
      <w:jc w:val="center"/>
    </w:pPr>
    <w:rPr>
      <w:kern w:val="0"/>
      <w:szCs w:val="24"/>
    </w:rPr>
  </w:style>
  <w:style w:type="paragraph" w:customStyle="1" w:styleId="2460">
    <w:name w:val="表题31312"/>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461">
    <w:name w:val="表题"/>
    <w:basedOn w:val="17"/>
    <w:next w:val="1411"/>
    <w:qFormat/>
    <w:uiPriority w:val="0"/>
    <w:pPr>
      <w:jc w:val="center"/>
    </w:pPr>
    <w:rPr>
      <w:rFonts w:ascii="Times New Roman" w:hAnsi="Times New Roman" w:eastAsia="Times New Roman" w:cs="黑体"/>
      <w:b/>
      <w:bCs/>
      <w:szCs w:val="24"/>
      <w:lang w:val="en-GB"/>
    </w:rPr>
  </w:style>
  <w:style w:type="paragraph" w:customStyle="1" w:styleId="2462">
    <w:name w:val="表题2114"/>
    <w:basedOn w:val="1"/>
    <w:qFormat/>
    <w:uiPriority w:val="0"/>
    <w:pPr>
      <w:widowControl/>
      <w:jc w:val="center"/>
    </w:pPr>
    <w:rPr>
      <w:rFonts w:ascii="黑体" w:hAnsi="宋体" w:eastAsia="黑体" w:cs="宋体"/>
      <w:kern w:val="0"/>
      <w:szCs w:val="24"/>
    </w:rPr>
  </w:style>
  <w:style w:type="paragraph" w:customStyle="1" w:styleId="2463">
    <w:name w:val="样式 标题 3 + 11 磅 蓝色"/>
    <w:basedOn w:val="4"/>
    <w:qFormat/>
    <w:uiPriority w:val="0"/>
  </w:style>
  <w:style w:type="paragraph" w:customStyle="1" w:styleId="2464">
    <w:name w:val="xl62"/>
    <w:basedOn w:val="1"/>
    <w:qFormat/>
    <w:uiPriority w:val="0"/>
    <w:pPr>
      <w:widowControl/>
      <w:pBdr>
        <w:top w:val="single" w:color="auto" w:sz="4" w:space="0"/>
        <w:left w:val="double" w:color="auto" w:sz="6" w:space="0"/>
        <w:bottom w:val="single" w:color="auto" w:sz="4" w:space="0"/>
        <w:right w:val="single" w:color="auto" w:sz="4" w:space="0"/>
      </w:pBdr>
      <w:spacing w:before="100" w:beforeAutospacing="1" w:after="100" w:afterAutospacing="1"/>
      <w:jc w:val="center"/>
      <w:textAlignment w:val="center"/>
    </w:pPr>
    <w:rPr>
      <w:rFonts w:ascii="PMingLiU" w:eastAsia="PMingLiU"/>
      <w:kern w:val="0"/>
      <w:szCs w:val="24"/>
      <w:lang w:eastAsia="zh-TW"/>
    </w:rPr>
  </w:style>
  <w:style w:type="paragraph" w:customStyle="1" w:styleId="2465">
    <w:name w:val="表内文字小113"/>
    <w:basedOn w:val="1"/>
    <w:qFormat/>
    <w:uiPriority w:val="0"/>
    <w:pPr>
      <w:widowControl/>
      <w:jc w:val="left"/>
    </w:pPr>
    <w:rPr>
      <w:rFonts w:ascii="宋体" w:hAnsi="Times" w:cs="宋体"/>
      <w:kern w:val="0"/>
      <w:szCs w:val="20"/>
    </w:rPr>
  </w:style>
  <w:style w:type="paragraph" w:customStyle="1" w:styleId="2466">
    <w:name w:val="c"/>
    <w:basedOn w:val="98"/>
    <w:qFormat/>
    <w:uiPriority w:val="0"/>
    <w:pPr>
      <w:widowControl w:val="0"/>
      <w:autoSpaceDE w:val="0"/>
      <w:autoSpaceDN w:val="0"/>
      <w:adjustRightInd w:val="0"/>
    </w:pPr>
    <w:rPr>
      <w:rFonts w:ascii="Arial" w:hAnsi="Arial" w:cs="Times New Roman"/>
      <w:color w:val="000000"/>
    </w:rPr>
  </w:style>
  <w:style w:type="paragraph" w:customStyle="1" w:styleId="2467">
    <w:name w:val="样式 标题 3 + 段前: 12 磅21"/>
    <w:basedOn w:val="4"/>
    <w:qFormat/>
    <w:uiPriority w:val="0"/>
    <w:pPr>
      <w:keepNext w:val="0"/>
      <w:keepLines w:val="0"/>
      <w:widowControl/>
      <w:autoSpaceDE w:val="0"/>
      <w:autoSpaceDN w:val="0"/>
      <w:jc w:val="both"/>
    </w:pPr>
    <w:rPr>
      <w:rFonts w:ascii="黑体" w:hAnsi="宋体" w:eastAsia="黑体" w:cs="宋体"/>
      <w:b w:val="0"/>
      <w:bCs w:val="0"/>
      <w:kern w:val="21"/>
      <w:szCs w:val="20"/>
    </w:rPr>
  </w:style>
  <w:style w:type="paragraph" w:customStyle="1" w:styleId="2468">
    <w:name w:val="表格内字体512"/>
    <w:basedOn w:val="418"/>
    <w:next w:val="418"/>
    <w:qFormat/>
    <w:uiPriority w:val="0"/>
    <w:pPr>
      <w:spacing w:line="240" w:lineRule="auto"/>
      <w:ind w:firstLine="0"/>
    </w:pPr>
    <w:rPr>
      <w:rFonts w:hAnsi="宋体"/>
      <w:sz w:val="21"/>
      <w:szCs w:val="24"/>
    </w:rPr>
  </w:style>
  <w:style w:type="paragraph" w:customStyle="1" w:styleId="2469">
    <w:name w:val="Char101"/>
    <w:basedOn w:val="1"/>
    <w:qFormat/>
    <w:uiPriority w:val="0"/>
    <w:pPr>
      <w:widowControl/>
      <w:jc w:val="left"/>
    </w:pPr>
    <w:rPr>
      <w:rFonts w:ascii="宋体" w:hAnsi="宋体" w:cs="宋体"/>
      <w:kern w:val="0"/>
      <w:szCs w:val="24"/>
    </w:rPr>
  </w:style>
  <w:style w:type="paragraph" w:customStyle="1" w:styleId="2470">
    <w:name w:val="标题004"/>
    <w:basedOn w:val="1"/>
    <w:qFormat/>
    <w:uiPriority w:val="0"/>
    <w:pPr>
      <w:spacing w:before="60" w:line="420" w:lineRule="exact"/>
      <w:outlineLvl w:val="3"/>
    </w:pPr>
    <w:rPr>
      <w:b/>
      <w:szCs w:val="20"/>
    </w:rPr>
  </w:style>
  <w:style w:type="paragraph" w:customStyle="1" w:styleId="2471">
    <w:name w:val="表内53112"/>
    <w:basedOn w:val="1"/>
    <w:qFormat/>
    <w:uiPriority w:val="0"/>
    <w:pPr>
      <w:widowControl/>
      <w:spacing w:line="300" w:lineRule="auto"/>
      <w:jc w:val="left"/>
    </w:pPr>
    <w:rPr>
      <w:rFonts w:ascii="宋体" w:hAnsi="宋体" w:cs="宋体"/>
      <w:kern w:val="0"/>
      <w:szCs w:val="20"/>
    </w:rPr>
  </w:style>
  <w:style w:type="paragraph" w:customStyle="1" w:styleId="2472">
    <w:name w:val="Char134"/>
    <w:basedOn w:val="1"/>
    <w:qFormat/>
    <w:uiPriority w:val="0"/>
    <w:pPr>
      <w:widowControl/>
      <w:ind w:left="-48"/>
      <w:jc w:val="left"/>
    </w:pPr>
    <w:rPr>
      <w:rFonts w:ascii="宋体" w:hAnsi="宋体" w:cs="宋体"/>
      <w:kern w:val="0"/>
      <w:szCs w:val="24"/>
    </w:rPr>
  </w:style>
  <w:style w:type="paragraph" w:customStyle="1" w:styleId="2473">
    <w:name w:val="Char1011"/>
    <w:basedOn w:val="1"/>
    <w:qFormat/>
    <w:uiPriority w:val="0"/>
    <w:pPr>
      <w:widowControl/>
      <w:jc w:val="left"/>
    </w:pPr>
    <w:rPr>
      <w:rFonts w:ascii="宋体" w:hAnsi="宋体" w:cs="宋体"/>
      <w:kern w:val="0"/>
      <w:szCs w:val="24"/>
    </w:rPr>
  </w:style>
  <w:style w:type="paragraph" w:customStyle="1" w:styleId="2474">
    <w:name w:val="图表名称"/>
    <w:basedOn w:val="482"/>
    <w:qFormat/>
    <w:uiPriority w:val="0"/>
    <w:pPr>
      <w:spacing w:after="0" w:line="480" w:lineRule="exact"/>
      <w:ind w:firstLine="0" w:firstLineChars="0"/>
      <w:jc w:val="center"/>
    </w:pPr>
    <w:rPr>
      <w:rFonts w:ascii="宋体" w:hAnsi="宋体"/>
      <w:bCs/>
      <w:szCs w:val="24"/>
    </w:rPr>
  </w:style>
  <w:style w:type="paragraph" w:customStyle="1" w:styleId="2475">
    <w:name w:val="Char3 Char Char Char Char Char Char Char Char Char Char"/>
    <w:basedOn w:val="1"/>
    <w:qFormat/>
    <w:uiPriority w:val="0"/>
    <w:pPr>
      <w:widowControl/>
      <w:spacing w:line="340" w:lineRule="exact"/>
      <w:ind w:firstLine="10" w:firstLineChars="4"/>
      <w:jc w:val="left"/>
    </w:pPr>
    <w:rPr>
      <w:rFonts w:ascii="宋体" w:hAnsi="宋体" w:cs="宋体"/>
      <w:kern w:val="0"/>
      <w:szCs w:val="28"/>
    </w:rPr>
  </w:style>
  <w:style w:type="paragraph" w:customStyle="1" w:styleId="2476">
    <w:name w:val="正文格式71"/>
    <w:basedOn w:val="1"/>
    <w:qFormat/>
    <w:uiPriority w:val="0"/>
    <w:pPr>
      <w:widowControl/>
      <w:ind w:firstLine="482"/>
      <w:jc w:val="left"/>
    </w:pPr>
    <w:rPr>
      <w:rFonts w:ascii="宋体" w:hAnsi="宋体" w:cs="宋体"/>
      <w:kern w:val="0"/>
      <w:szCs w:val="24"/>
    </w:rPr>
  </w:style>
  <w:style w:type="paragraph" w:customStyle="1" w:styleId="2477">
    <w:name w:val="表内宋5中2"/>
    <w:basedOn w:val="1"/>
    <w:qFormat/>
    <w:uiPriority w:val="0"/>
    <w:pPr>
      <w:widowControl/>
      <w:jc w:val="center"/>
      <w:textAlignment w:val="baseline"/>
    </w:pPr>
    <w:rPr>
      <w:rFonts w:ascii="宋体" w:hAnsi="宋体" w:cs="宋体"/>
      <w:kern w:val="0"/>
      <w:szCs w:val="20"/>
    </w:rPr>
  </w:style>
  <w:style w:type="paragraph" w:customStyle="1" w:styleId="2478">
    <w:name w:val="表题92"/>
    <w:basedOn w:val="1636"/>
    <w:qFormat/>
    <w:uiPriority w:val="0"/>
    <w:pPr>
      <w:spacing w:line="300" w:lineRule="auto"/>
      <w:jc w:val="center"/>
    </w:pPr>
    <w:rPr>
      <w:rFonts w:ascii="黑体" w:eastAsia="黑体"/>
      <w:szCs w:val="22"/>
    </w:rPr>
  </w:style>
  <w:style w:type="paragraph" w:customStyle="1" w:styleId="2479">
    <w:name w:val="默认段落字体 Para Char Char Char Char41"/>
    <w:basedOn w:val="1"/>
    <w:qFormat/>
    <w:uiPriority w:val="0"/>
    <w:pPr>
      <w:widowControl/>
      <w:jc w:val="left"/>
    </w:pPr>
    <w:rPr>
      <w:rFonts w:ascii="宋体" w:hAnsi="宋体" w:cs="宋体"/>
      <w:kern w:val="0"/>
      <w:szCs w:val="24"/>
    </w:rPr>
  </w:style>
  <w:style w:type="paragraph" w:customStyle="1" w:styleId="2480">
    <w:name w:val="Char47"/>
    <w:basedOn w:val="1"/>
    <w:qFormat/>
    <w:uiPriority w:val="0"/>
    <w:pPr>
      <w:widowControl/>
      <w:ind w:left="-48"/>
      <w:jc w:val="left"/>
    </w:pPr>
    <w:rPr>
      <w:rFonts w:ascii="宋体" w:hAnsi="宋体" w:cs="宋体"/>
      <w:kern w:val="0"/>
      <w:szCs w:val="24"/>
    </w:rPr>
  </w:style>
  <w:style w:type="paragraph" w:customStyle="1" w:styleId="2481">
    <w:name w:val="引文目录标题1"/>
    <w:basedOn w:val="1"/>
    <w:next w:val="1"/>
    <w:qFormat/>
    <w:uiPriority w:val="0"/>
    <w:pPr>
      <w:widowControl/>
      <w:spacing w:before="120"/>
      <w:jc w:val="left"/>
    </w:pPr>
    <w:rPr>
      <w:rFonts w:ascii="Arial" w:hAnsi="Arial" w:cs="宋体"/>
      <w:kern w:val="0"/>
      <w:szCs w:val="20"/>
    </w:rPr>
  </w:style>
  <w:style w:type="paragraph" w:customStyle="1" w:styleId="2482">
    <w:name w:val="表格（大）"/>
    <w:basedOn w:val="1"/>
    <w:qFormat/>
    <w:uiPriority w:val="0"/>
    <w:pPr>
      <w:widowControl/>
      <w:spacing w:line="360" w:lineRule="exact"/>
      <w:jc w:val="center"/>
    </w:pPr>
    <w:rPr>
      <w:rFonts w:ascii="宋体" w:hAnsi="宋体" w:cs="宋体"/>
      <w:kern w:val="0"/>
      <w:szCs w:val="24"/>
    </w:rPr>
  </w:style>
  <w:style w:type="paragraph" w:customStyle="1" w:styleId="2483">
    <w:name w:val="Char611"/>
    <w:basedOn w:val="1"/>
    <w:qFormat/>
    <w:uiPriority w:val="0"/>
    <w:pPr>
      <w:widowControl/>
      <w:spacing w:before="156"/>
      <w:jc w:val="left"/>
    </w:pPr>
    <w:rPr>
      <w:rFonts w:ascii="黑体" w:hAnsi="宋体" w:eastAsia="黑体" w:cs="宋体"/>
      <w:kern w:val="0"/>
      <w:sz w:val="32"/>
      <w:szCs w:val="32"/>
    </w:rPr>
  </w:style>
  <w:style w:type="paragraph" w:customStyle="1" w:styleId="2484">
    <w:name w:val="表名"/>
    <w:basedOn w:val="1"/>
    <w:qFormat/>
    <w:uiPriority w:val="0"/>
    <w:pPr>
      <w:widowControl/>
      <w:jc w:val="center"/>
    </w:pPr>
    <w:rPr>
      <w:rFonts w:ascii="黑体" w:hAnsi="宋体" w:eastAsia="黑体" w:cs="宋体"/>
      <w:kern w:val="0"/>
      <w:sz w:val="18"/>
      <w:szCs w:val="20"/>
    </w:rPr>
  </w:style>
  <w:style w:type="paragraph" w:customStyle="1" w:styleId="2485">
    <w:name w:val="封面标准文稿编辑信息21"/>
    <w:basedOn w:val="98"/>
    <w:qFormat/>
    <w:uiPriority w:val="0"/>
    <w:pPr>
      <w:spacing w:before="180" w:line="180" w:lineRule="exact"/>
      <w:jc w:val="center"/>
    </w:pPr>
    <w:rPr>
      <w:rFonts w:ascii="宋体" w:hAnsi="Times New Roman" w:cs="Times New Roman"/>
      <w:color w:val="000000"/>
    </w:rPr>
  </w:style>
  <w:style w:type="paragraph" w:customStyle="1" w:styleId="2486">
    <w:name w:val="样式 标题 2标题 2 Char标2h2H2标题21.1标题 2 + Times New Roman"/>
    <w:basedOn w:val="3"/>
    <w:qFormat/>
    <w:uiPriority w:val="0"/>
  </w:style>
  <w:style w:type="paragraph" w:customStyle="1" w:styleId="2487">
    <w:name w:val="Char226"/>
    <w:basedOn w:val="1"/>
    <w:qFormat/>
    <w:uiPriority w:val="0"/>
    <w:pPr>
      <w:widowControl/>
      <w:ind w:left="-48"/>
      <w:jc w:val="left"/>
    </w:pPr>
    <w:rPr>
      <w:rFonts w:ascii="宋体" w:hAnsi="宋体" w:cs="宋体"/>
      <w:kern w:val="0"/>
      <w:szCs w:val="24"/>
    </w:rPr>
  </w:style>
  <w:style w:type="paragraph" w:customStyle="1" w:styleId="2488">
    <w:name w:val="表内文字小2134"/>
    <w:basedOn w:val="1"/>
    <w:qFormat/>
    <w:uiPriority w:val="0"/>
    <w:pPr>
      <w:widowControl/>
      <w:jc w:val="center"/>
      <w:textAlignment w:val="baseline"/>
    </w:pPr>
    <w:rPr>
      <w:rFonts w:ascii="宋体" w:hAnsi="Times" w:cs="宋体"/>
      <w:bCs/>
      <w:kern w:val="0"/>
      <w:szCs w:val="20"/>
    </w:rPr>
  </w:style>
  <w:style w:type="paragraph" w:customStyle="1" w:styleId="2489">
    <w:name w:val="Char Char2 Char Char Char Char27"/>
    <w:basedOn w:val="1"/>
    <w:qFormat/>
    <w:uiPriority w:val="0"/>
    <w:pPr>
      <w:widowControl/>
      <w:jc w:val="left"/>
    </w:pPr>
    <w:rPr>
      <w:rFonts w:ascii="宋体" w:hAnsi="宋体" w:cs="宋体"/>
      <w:kern w:val="0"/>
      <w:szCs w:val="24"/>
    </w:rPr>
  </w:style>
  <w:style w:type="paragraph" w:customStyle="1" w:styleId="2490">
    <w:name w:val="样式133"/>
    <w:basedOn w:val="1586"/>
    <w:qFormat/>
    <w:uiPriority w:val="0"/>
    <w:pPr>
      <w:spacing w:line="240" w:lineRule="auto"/>
      <w:ind w:firstLine="0"/>
      <w:jc w:val="center"/>
    </w:pPr>
    <w:rPr>
      <w:rFonts w:cs="Times New Roman"/>
      <w:b/>
      <w:color w:val="auto"/>
      <w:szCs w:val="20"/>
    </w:rPr>
  </w:style>
  <w:style w:type="paragraph" w:customStyle="1" w:styleId="2491">
    <w:name w:val="样式5"/>
    <w:basedOn w:val="1"/>
    <w:qFormat/>
    <w:uiPriority w:val="0"/>
    <w:pPr>
      <w:jc w:val="center"/>
    </w:pPr>
    <w:rPr>
      <w:rFonts w:cs="宋体"/>
      <w:snapToGrid w:val="0"/>
      <w:kern w:val="0"/>
      <w:szCs w:val="24"/>
    </w:rPr>
  </w:style>
  <w:style w:type="paragraph" w:customStyle="1" w:styleId="2492">
    <w:name w:val="流程图"/>
    <w:basedOn w:val="1"/>
    <w:qFormat/>
    <w:uiPriority w:val="0"/>
    <w:pPr>
      <w:widowControl/>
      <w:jc w:val="left"/>
    </w:pPr>
    <w:rPr>
      <w:rFonts w:ascii="宋体" w:hAnsi="宋体" w:cs="宋体"/>
      <w:kern w:val="0"/>
      <w:szCs w:val="18"/>
    </w:rPr>
  </w:style>
  <w:style w:type="paragraph" w:customStyle="1" w:styleId="2493">
    <w:name w:val="中文报告书样式"/>
    <w:basedOn w:val="1"/>
    <w:qFormat/>
    <w:uiPriority w:val="0"/>
    <w:pPr>
      <w:spacing w:line="480" w:lineRule="atLeast"/>
      <w:ind w:firstLine="482"/>
      <w:textAlignment w:val="baseline"/>
    </w:pPr>
    <w:rPr>
      <w:kern w:val="24"/>
      <w:szCs w:val="20"/>
    </w:rPr>
  </w:style>
  <w:style w:type="paragraph" w:customStyle="1" w:styleId="2494">
    <w:name w:val="正文.13"/>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2495">
    <w:name w:val="书目1"/>
    <w:basedOn w:val="1"/>
    <w:next w:val="1"/>
    <w:unhideWhenUsed/>
    <w:qFormat/>
    <w:uiPriority w:val="37"/>
    <w:rPr>
      <w:szCs w:val="24"/>
    </w:rPr>
  </w:style>
  <w:style w:type="paragraph" w:customStyle="1" w:styleId="2496">
    <w:name w:val="图题13"/>
    <w:basedOn w:val="418"/>
    <w:next w:val="418"/>
    <w:qFormat/>
    <w:uiPriority w:val="0"/>
    <w:pPr>
      <w:ind w:firstLine="0"/>
      <w:jc w:val="center"/>
    </w:pPr>
    <w:rPr>
      <w:rFonts w:ascii="黑体" w:hAnsi="宋体" w:eastAsia="黑体" w:cs="宋体"/>
      <w:b/>
      <w:bCs/>
      <w:szCs w:val="24"/>
    </w:rPr>
  </w:style>
  <w:style w:type="paragraph" w:customStyle="1" w:styleId="2497">
    <w:name w:val="Char812"/>
    <w:basedOn w:val="1"/>
    <w:qFormat/>
    <w:uiPriority w:val="0"/>
    <w:pPr>
      <w:widowControl/>
      <w:ind w:left="-48"/>
      <w:jc w:val="left"/>
    </w:pPr>
    <w:rPr>
      <w:rFonts w:ascii="宋体" w:hAnsi="宋体" w:cs="宋体"/>
      <w:kern w:val="0"/>
      <w:szCs w:val="24"/>
    </w:rPr>
  </w:style>
  <w:style w:type="paragraph" w:customStyle="1" w:styleId="2498">
    <w:name w:val="Char Char Char Char1 Char Char Char7"/>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2499">
    <w:name w:val="表内宋51112"/>
    <w:basedOn w:val="734"/>
    <w:qFormat/>
    <w:uiPriority w:val="0"/>
    <w:rPr>
      <w:rFonts w:ascii="宋体" w:hAnsi="宋体" w:cs="宋体"/>
      <w:sz w:val="21"/>
      <w:szCs w:val="24"/>
    </w:rPr>
  </w:style>
  <w:style w:type="paragraph" w:customStyle="1" w:styleId="2500">
    <w:name w:val="样式 正文缩进正文（首行缩进两字）正文（首行缩进两字） Char Char Char Char Char Char Char..."/>
    <w:basedOn w:val="112"/>
    <w:qFormat/>
    <w:uiPriority w:val="0"/>
    <w:pPr>
      <w:tabs>
        <w:tab w:val="left" w:pos="3360"/>
      </w:tabs>
      <w:ind w:firstLine="480"/>
      <w:textAlignment w:val="baseline"/>
    </w:pPr>
    <w:rPr>
      <w:rFonts w:ascii="楷体_GB2312" w:hAnsi="Calibri" w:eastAsia="楷体_GB2312"/>
      <w:snapToGrid w:val="0"/>
    </w:rPr>
  </w:style>
  <w:style w:type="paragraph" w:customStyle="1" w:styleId="2501">
    <w:name w:val="表题123"/>
    <w:basedOn w:val="17"/>
    <w:qFormat/>
    <w:uiPriority w:val="0"/>
    <w:pPr>
      <w:widowControl/>
      <w:ind w:firstLine="0" w:firstLineChars="0"/>
      <w:jc w:val="center"/>
    </w:pPr>
    <w:rPr>
      <w:rFonts w:ascii="黑体" w:cs="Arial"/>
    </w:rPr>
  </w:style>
  <w:style w:type="paragraph" w:customStyle="1" w:styleId="2502">
    <w:name w:val="表内文字小31221"/>
    <w:basedOn w:val="1"/>
    <w:qFormat/>
    <w:uiPriority w:val="0"/>
    <w:pPr>
      <w:widowControl/>
      <w:jc w:val="center"/>
    </w:pPr>
    <w:rPr>
      <w:rFonts w:ascii="宋体" w:hAnsi="Times" w:cs="宋体"/>
      <w:bCs/>
      <w:color w:val="003366"/>
      <w:kern w:val="0"/>
      <w:szCs w:val="20"/>
    </w:rPr>
  </w:style>
  <w:style w:type="paragraph" w:customStyle="1" w:styleId="2503">
    <w:name w:val="Char Char Char Char Char Char Char Char Char1 Char Char Char Char"/>
    <w:basedOn w:val="1"/>
    <w:qFormat/>
    <w:uiPriority w:val="0"/>
    <w:pPr>
      <w:widowControl/>
      <w:jc w:val="left"/>
    </w:pPr>
    <w:rPr>
      <w:rFonts w:ascii="宋体" w:hAnsi="宋体" w:cs="宋体"/>
      <w:kern w:val="0"/>
      <w:szCs w:val="21"/>
    </w:rPr>
  </w:style>
  <w:style w:type="paragraph" w:customStyle="1" w:styleId="2504">
    <w:name w:val="封面标准文稿编辑信息12"/>
    <w:basedOn w:val="98"/>
    <w:qFormat/>
    <w:uiPriority w:val="0"/>
    <w:pPr>
      <w:spacing w:before="180" w:line="180" w:lineRule="exact"/>
      <w:jc w:val="center"/>
    </w:pPr>
    <w:rPr>
      <w:rFonts w:ascii="宋体" w:hAnsi="Times New Roman" w:cs="Times New Roman"/>
      <w:color w:val="000000"/>
    </w:rPr>
  </w:style>
  <w:style w:type="paragraph" w:customStyle="1" w:styleId="2505">
    <w:name w:val="Char Char2 Char Char Char Char31"/>
    <w:basedOn w:val="1"/>
    <w:qFormat/>
    <w:uiPriority w:val="0"/>
    <w:pPr>
      <w:widowControl/>
      <w:jc w:val="left"/>
    </w:pPr>
    <w:rPr>
      <w:rFonts w:ascii="宋体" w:hAnsi="宋体" w:cs="宋体"/>
      <w:kern w:val="0"/>
      <w:szCs w:val="24"/>
    </w:rPr>
  </w:style>
  <w:style w:type="paragraph" w:customStyle="1" w:styleId="2506">
    <w:name w:val="表内5中23"/>
    <w:basedOn w:val="1"/>
    <w:qFormat/>
    <w:uiPriority w:val="0"/>
    <w:pPr>
      <w:widowControl/>
      <w:jc w:val="center"/>
    </w:pPr>
    <w:rPr>
      <w:rFonts w:ascii="宋体" w:hAnsi="宋体" w:cs="Arial"/>
      <w:snapToGrid w:val="0"/>
      <w:kern w:val="0"/>
      <w:szCs w:val="21"/>
    </w:rPr>
  </w:style>
  <w:style w:type="paragraph" w:customStyle="1" w:styleId="2507">
    <w:name w:val="表题1213"/>
    <w:basedOn w:val="17"/>
    <w:qFormat/>
    <w:uiPriority w:val="0"/>
    <w:pPr>
      <w:widowControl/>
      <w:ind w:firstLine="0" w:firstLineChars="0"/>
      <w:jc w:val="center"/>
    </w:pPr>
    <w:rPr>
      <w:rFonts w:ascii="黑体" w:cs="Arial"/>
    </w:rPr>
  </w:style>
  <w:style w:type="paragraph" w:customStyle="1" w:styleId="2508">
    <w:name w:val="表题1411"/>
    <w:basedOn w:val="1"/>
    <w:qFormat/>
    <w:uiPriority w:val="0"/>
    <w:pPr>
      <w:widowControl/>
      <w:jc w:val="center"/>
    </w:pPr>
    <w:rPr>
      <w:rFonts w:ascii="黑体" w:hAnsi="宋体" w:eastAsia="黑体" w:cs="宋体"/>
      <w:kern w:val="0"/>
      <w:szCs w:val="24"/>
    </w:rPr>
  </w:style>
  <w:style w:type="paragraph" w:customStyle="1" w:styleId="2509">
    <w:name w:val="表题133"/>
    <w:basedOn w:val="17"/>
    <w:qFormat/>
    <w:uiPriority w:val="0"/>
    <w:pPr>
      <w:widowControl/>
      <w:ind w:firstLine="0" w:firstLineChars="0"/>
      <w:jc w:val="center"/>
    </w:pPr>
    <w:rPr>
      <w:rFonts w:ascii="黑体" w:cs="Arial"/>
      <w:b/>
    </w:rPr>
  </w:style>
  <w:style w:type="paragraph" w:customStyle="1" w:styleId="2510">
    <w:name w:val="文本框113"/>
    <w:basedOn w:val="1"/>
    <w:qFormat/>
    <w:uiPriority w:val="0"/>
    <w:pPr>
      <w:widowControl/>
      <w:spacing w:after="6"/>
      <w:jc w:val="center"/>
    </w:pPr>
    <w:rPr>
      <w:rFonts w:ascii="宋体" w:hAnsi="宋体" w:cs="宋体"/>
      <w:kern w:val="0"/>
      <w:szCs w:val="24"/>
    </w:rPr>
  </w:style>
  <w:style w:type="paragraph" w:customStyle="1" w:styleId="2511">
    <w:name w:val="首行缩进:  0.99 厘米 + 首行缩进:  2 字符111"/>
    <w:basedOn w:val="1"/>
    <w:qFormat/>
    <w:uiPriority w:val="0"/>
    <w:pPr>
      <w:widowControl/>
      <w:topLinePunct/>
      <w:spacing w:line="480" w:lineRule="exact"/>
      <w:ind w:firstLine="420"/>
      <w:jc w:val="center"/>
    </w:pPr>
    <w:rPr>
      <w:rFonts w:ascii="宋体" w:hAnsi="宋体" w:cs="宋体"/>
      <w:snapToGrid w:val="0"/>
      <w:color w:val="FF0000"/>
      <w:kern w:val="0"/>
      <w:szCs w:val="21"/>
    </w:rPr>
  </w:style>
  <w:style w:type="paragraph" w:customStyle="1" w:styleId="2512">
    <w:name w:val="xl6321"/>
    <w:basedOn w:val="1"/>
    <w:qFormat/>
    <w:uiPriority w:val="0"/>
    <w:pPr>
      <w:widowControl/>
      <w:spacing w:before="100" w:beforeAutospacing="1" w:after="100" w:afterAutospacing="1"/>
      <w:jc w:val="center"/>
      <w:textAlignment w:val="center"/>
    </w:pPr>
    <w:rPr>
      <w:rFonts w:hint="eastAsia" w:ascii="黑体" w:hAnsi="宋体" w:eastAsia="黑体" w:cs="宋体"/>
      <w:kern w:val="0"/>
      <w:szCs w:val="24"/>
    </w:rPr>
  </w:style>
  <w:style w:type="paragraph" w:customStyle="1" w:styleId="2513">
    <w:name w:val="正文斜体1"/>
    <w:basedOn w:val="418"/>
    <w:next w:val="418"/>
    <w:qFormat/>
    <w:uiPriority w:val="0"/>
    <w:rPr>
      <w:rFonts w:hAnsi="宋体"/>
      <w:i/>
      <w:iCs/>
      <w:szCs w:val="24"/>
    </w:rPr>
  </w:style>
  <w:style w:type="paragraph" w:customStyle="1" w:styleId="2514">
    <w:name w:val="表中文字33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515">
    <w:name w:val="环评正文11"/>
    <w:basedOn w:val="98"/>
    <w:qFormat/>
    <w:uiPriority w:val="0"/>
    <w:pPr>
      <w:spacing w:line="440" w:lineRule="exact"/>
      <w:ind w:firstLine="200" w:firstLineChars="200"/>
    </w:pPr>
    <w:rPr>
      <w:rFonts w:ascii="Times New Roman" w:hAnsi="Times New Roman" w:cs="Times New Roman"/>
      <w:bCs/>
      <w:color w:val="000000"/>
    </w:rPr>
  </w:style>
  <w:style w:type="paragraph" w:customStyle="1" w:styleId="2516">
    <w:name w:val="Char Char Char Char Char Char1"/>
    <w:basedOn w:val="1"/>
    <w:qFormat/>
    <w:uiPriority w:val="0"/>
    <w:pPr>
      <w:widowControl/>
      <w:jc w:val="left"/>
    </w:pPr>
    <w:rPr>
      <w:rFonts w:ascii="宋体" w:hAnsi="宋体" w:cs="宋体"/>
      <w:kern w:val="0"/>
      <w:szCs w:val="24"/>
    </w:rPr>
  </w:style>
  <w:style w:type="paragraph" w:customStyle="1" w:styleId="2517">
    <w:name w:val="KY-标题-1.1.1.1"/>
    <w:basedOn w:val="1"/>
    <w:next w:val="1"/>
    <w:qFormat/>
    <w:uiPriority w:val="0"/>
    <w:pPr>
      <w:outlineLvl w:val="3"/>
    </w:pPr>
    <w:rPr>
      <w:szCs w:val="24"/>
    </w:rPr>
  </w:style>
  <w:style w:type="paragraph" w:customStyle="1" w:styleId="2518">
    <w:name w:val="正文新 Char"/>
    <w:basedOn w:val="1"/>
    <w:qFormat/>
    <w:uiPriority w:val="0"/>
    <w:pPr>
      <w:widowControl/>
      <w:ind w:firstLine="480"/>
      <w:jc w:val="left"/>
    </w:pPr>
    <w:rPr>
      <w:rFonts w:ascii="宋体" w:hAnsi="宋体" w:cs="宋体"/>
      <w:kern w:val="0"/>
      <w:szCs w:val="20"/>
    </w:rPr>
  </w:style>
  <w:style w:type="paragraph" w:customStyle="1" w:styleId="2519">
    <w:name w:val="Char132"/>
    <w:basedOn w:val="1"/>
    <w:qFormat/>
    <w:uiPriority w:val="0"/>
    <w:pPr>
      <w:widowControl/>
      <w:ind w:left="-48"/>
      <w:jc w:val="left"/>
    </w:pPr>
    <w:rPr>
      <w:rFonts w:ascii="宋体" w:hAnsi="宋体" w:cs="宋体"/>
      <w:kern w:val="0"/>
      <w:szCs w:val="24"/>
    </w:rPr>
  </w:style>
  <w:style w:type="paragraph" w:customStyle="1" w:styleId="2520">
    <w:name w:val="字元 字元 Char Char 字元 字元"/>
    <w:basedOn w:val="1"/>
    <w:qFormat/>
    <w:uiPriority w:val="0"/>
    <w:rPr>
      <w:szCs w:val="24"/>
    </w:rPr>
  </w:style>
  <w:style w:type="paragraph" w:customStyle="1" w:styleId="2521">
    <w:name w:val="表格内字体82"/>
    <w:basedOn w:val="418"/>
    <w:next w:val="418"/>
    <w:qFormat/>
    <w:uiPriority w:val="0"/>
    <w:pPr>
      <w:spacing w:line="240" w:lineRule="auto"/>
      <w:ind w:firstLine="0"/>
      <w:jc w:val="center"/>
    </w:pPr>
    <w:rPr>
      <w:rFonts w:hAnsi="宋体"/>
      <w:sz w:val="21"/>
      <w:szCs w:val="24"/>
    </w:rPr>
  </w:style>
  <w:style w:type="paragraph" w:customStyle="1" w:styleId="2522">
    <w:name w:val="默认段落字体 Para Char Char Char Char Char21"/>
    <w:basedOn w:val="1"/>
    <w:qFormat/>
    <w:uiPriority w:val="0"/>
    <w:pPr>
      <w:widowControl/>
      <w:jc w:val="left"/>
    </w:pPr>
    <w:rPr>
      <w:rFonts w:ascii="宋体" w:hAnsi="宋体" w:cs="宋体"/>
      <w:kern w:val="0"/>
      <w:szCs w:val="24"/>
    </w:rPr>
  </w:style>
  <w:style w:type="paragraph" w:customStyle="1" w:styleId="2523">
    <w:name w:val="Char Char Char Char Char Char Char Char Char Char Char"/>
    <w:basedOn w:val="1"/>
    <w:qFormat/>
    <w:uiPriority w:val="0"/>
    <w:pPr>
      <w:widowControl/>
      <w:jc w:val="left"/>
    </w:pPr>
    <w:rPr>
      <w:rFonts w:ascii="宋体" w:hAnsi="宋体" w:cs="宋体"/>
      <w:kern w:val="0"/>
      <w:szCs w:val="24"/>
    </w:rPr>
  </w:style>
  <w:style w:type="paragraph" w:customStyle="1" w:styleId="2524">
    <w:name w:val="Char102"/>
    <w:basedOn w:val="1"/>
    <w:qFormat/>
    <w:uiPriority w:val="0"/>
    <w:pPr>
      <w:widowControl/>
      <w:jc w:val="left"/>
    </w:pPr>
    <w:rPr>
      <w:rFonts w:ascii="宋体" w:hAnsi="宋体" w:cs="宋体"/>
      <w:kern w:val="0"/>
      <w:szCs w:val="24"/>
    </w:rPr>
  </w:style>
  <w:style w:type="paragraph" w:customStyle="1" w:styleId="2525">
    <w:name w:val="Char1"/>
    <w:basedOn w:val="1"/>
    <w:qFormat/>
    <w:uiPriority w:val="99"/>
    <w:rPr>
      <w:szCs w:val="24"/>
    </w:rPr>
  </w:style>
  <w:style w:type="paragraph" w:customStyle="1" w:styleId="2526">
    <w:name w:val="燕山正文111111"/>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2527">
    <w:name w:val="图题9"/>
    <w:basedOn w:val="418"/>
    <w:next w:val="418"/>
    <w:qFormat/>
    <w:uiPriority w:val="0"/>
    <w:pPr>
      <w:ind w:firstLine="0"/>
      <w:jc w:val="center"/>
    </w:pPr>
    <w:rPr>
      <w:rFonts w:ascii="黑体" w:hAnsi="宋体" w:eastAsia="黑体" w:cs="宋体"/>
      <w:b/>
      <w:bCs/>
      <w:szCs w:val="24"/>
    </w:rPr>
  </w:style>
  <w:style w:type="paragraph" w:customStyle="1" w:styleId="2528">
    <w:name w:val="样式 列表"/>
    <w:basedOn w:val="46"/>
    <w:qFormat/>
    <w:uiPriority w:val="0"/>
    <w:pPr>
      <w:widowControl/>
      <w:spacing w:line="280" w:lineRule="exact"/>
    </w:pPr>
    <w:rPr>
      <w:rFonts w:ascii="Times New Roman" w:hAnsi="宋体" w:eastAsia="方正仿宋_GBK" w:cs="宋体"/>
      <w:kern w:val="0"/>
      <w:sz w:val="21"/>
    </w:rPr>
  </w:style>
  <w:style w:type="paragraph" w:customStyle="1" w:styleId="2529">
    <w:name w:val="正文格式＝1111"/>
    <w:basedOn w:val="418"/>
    <w:next w:val="418"/>
    <w:qFormat/>
    <w:uiPriority w:val="0"/>
    <w:rPr>
      <w:rFonts w:hAnsi="宋体"/>
      <w:szCs w:val="24"/>
    </w:rPr>
  </w:style>
  <w:style w:type="paragraph" w:customStyle="1" w:styleId="2530">
    <w:name w:val="表1"/>
    <w:basedOn w:val="1"/>
    <w:qFormat/>
    <w:uiPriority w:val="0"/>
    <w:pPr>
      <w:widowControl/>
      <w:jc w:val="center"/>
    </w:pPr>
    <w:rPr>
      <w:rFonts w:ascii="宋体" w:hAnsi="宋体" w:cs="宋体"/>
      <w:kern w:val="0"/>
      <w:szCs w:val="24"/>
    </w:rPr>
  </w:style>
  <w:style w:type="paragraph" w:customStyle="1" w:styleId="2531">
    <w:name w:val="样式 标题 4无效格式无效格式1河石管道4H4H41小小节河石管道41H42H411小小节1河石管道42...11"/>
    <w:basedOn w:val="5"/>
    <w:qFormat/>
    <w:uiPriority w:val="0"/>
    <w:pPr>
      <w:numPr>
        <w:ilvl w:val="0"/>
        <w:numId w:val="0"/>
      </w:numPr>
      <w:spacing w:after="0" w:line="360" w:lineRule="auto"/>
      <w:ind w:left="664" w:hanging="864"/>
    </w:pPr>
    <w:rPr>
      <w:rFonts w:ascii="黑体" w:hAnsi="Arial" w:eastAsia="黑体" w:cs="宋体"/>
      <w:b w:val="0"/>
      <w:bCs w:val="0"/>
      <w:kern w:val="2"/>
      <w:sz w:val="24"/>
      <w:szCs w:val="20"/>
    </w:rPr>
  </w:style>
  <w:style w:type="paragraph" w:customStyle="1" w:styleId="2532">
    <w:name w:val="正文修改6"/>
    <w:basedOn w:val="786"/>
    <w:qFormat/>
    <w:uiPriority w:val="0"/>
    <w:rPr>
      <w:rFonts w:hAnsi="宋体" w:eastAsia="宋体" w:cs="宋体"/>
      <w:szCs w:val="24"/>
    </w:rPr>
  </w:style>
  <w:style w:type="paragraph" w:customStyle="1" w:styleId="2533">
    <w:name w:val="Char212"/>
    <w:basedOn w:val="1"/>
    <w:qFormat/>
    <w:uiPriority w:val="0"/>
    <w:pPr>
      <w:widowControl/>
      <w:ind w:left="-48"/>
      <w:jc w:val="left"/>
    </w:pPr>
    <w:rPr>
      <w:rFonts w:ascii="宋体" w:hAnsi="宋体" w:cs="宋体"/>
      <w:kern w:val="0"/>
      <w:szCs w:val="24"/>
    </w:rPr>
  </w:style>
  <w:style w:type="paragraph" w:customStyle="1" w:styleId="2534">
    <w:name w:val="默认段落字体 Para Char Char Char Char71"/>
    <w:basedOn w:val="1"/>
    <w:qFormat/>
    <w:uiPriority w:val="0"/>
    <w:pPr>
      <w:widowControl/>
      <w:jc w:val="left"/>
    </w:pPr>
    <w:rPr>
      <w:rFonts w:ascii="宋体" w:hAnsi="宋体" w:cs="宋体"/>
      <w:kern w:val="0"/>
      <w:szCs w:val="24"/>
    </w:rPr>
  </w:style>
  <w:style w:type="paragraph" w:customStyle="1" w:styleId="2535">
    <w:name w:val="表中文字52"/>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536">
    <w:name w:val="Char2"/>
    <w:basedOn w:val="1"/>
    <w:qFormat/>
    <w:uiPriority w:val="0"/>
    <w:pPr>
      <w:widowControl/>
      <w:spacing w:line="240" w:lineRule="exact"/>
      <w:jc w:val="left"/>
    </w:pPr>
    <w:rPr>
      <w:rFonts w:ascii="宋体" w:hAnsi="宋体" w:cs="宋体"/>
      <w:kern w:val="0"/>
      <w:szCs w:val="28"/>
    </w:rPr>
  </w:style>
  <w:style w:type="paragraph" w:customStyle="1" w:styleId="2537">
    <w:name w:val="表内文字小2122"/>
    <w:basedOn w:val="1"/>
    <w:qFormat/>
    <w:uiPriority w:val="0"/>
    <w:pPr>
      <w:widowControl/>
      <w:jc w:val="center"/>
    </w:pPr>
    <w:rPr>
      <w:rFonts w:ascii="宋体" w:hAnsi="Times" w:cs="宋体"/>
      <w:bCs/>
      <w:kern w:val="0"/>
      <w:szCs w:val="20"/>
    </w:rPr>
  </w:style>
  <w:style w:type="paragraph" w:customStyle="1" w:styleId="2538">
    <w:name w:val="Char Char2 Char Char Char Char"/>
    <w:basedOn w:val="1"/>
    <w:qFormat/>
    <w:uiPriority w:val="0"/>
    <w:pPr>
      <w:widowControl/>
      <w:jc w:val="left"/>
    </w:pPr>
    <w:rPr>
      <w:rFonts w:ascii="宋体" w:hAnsi="宋体" w:cs="宋体"/>
      <w:kern w:val="0"/>
      <w:szCs w:val="24"/>
    </w:rPr>
  </w:style>
  <w:style w:type="paragraph" w:customStyle="1" w:styleId="2539">
    <w:name w:val="正文格式33"/>
    <w:basedOn w:val="1"/>
    <w:qFormat/>
    <w:uiPriority w:val="0"/>
    <w:pPr>
      <w:widowControl/>
      <w:ind w:firstLine="482"/>
      <w:jc w:val="left"/>
    </w:pPr>
    <w:rPr>
      <w:rFonts w:ascii="宋体" w:hAnsi="宋体" w:cs="宋体"/>
      <w:kern w:val="0"/>
      <w:szCs w:val="24"/>
    </w:rPr>
  </w:style>
  <w:style w:type="paragraph" w:customStyle="1" w:styleId="2540">
    <w:name w:val="Char57"/>
    <w:basedOn w:val="1"/>
    <w:qFormat/>
    <w:uiPriority w:val="0"/>
    <w:pPr>
      <w:widowControl/>
      <w:ind w:left="-48"/>
      <w:jc w:val="left"/>
    </w:pPr>
    <w:rPr>
      <w:rFonts w:ascii="宋体" w:hAnsi="宋体" w:cs="宋体"/>
      <w:kern w:val="0"/>
      <w:szCs w:val="24"/>
    </w:rPr>
  </w:style>
  <w:style w:type="paragraph" w:customStyle="1" w:styleId="2541">
    <w:name w:val="表内53111"/>
    <w:basedOn w:val="1"/>
    <w:qFormat/>
    <w:uiPriority w:val="0"/>
    <w:pPr>
      <w:widowControl/>
      <w:spacing w:line="300" w:lineRule="auto"/>
      <w:jc w:val="left"/>
    </w:pPr>
    <w:rPr>
      <w:rFonts w:ascii="宋体" w:hAnsi="宋体" w:cs="宋体"/>
      <w:kern w:val="0"/>
      <w:szCs w:val="20"/>
    </w:rPr>
  </w:style>
  <w:style w:type="paragraph" w:customStyle="1" w:styleId="2542">
    <w:name w:val="表中文字7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543">
    <w:name w:val="xl74"/>
    <w:basedOn w:val="1"/>
    <w:qFormat/>
    <w:uiPriority w:val="0"/>
    <w:pPr>
      <w:widowControl/>
      <w:pBdr>
        <w:bottom w:val="single" w:color="auto" w:sz="8" w:space="0"/>
        <w:right w:val="single" w:color="auto" w:sz="8" w:space="0"/>
      </w:pBdr>
      <w:spacing w:before="100" w:beforeAutospacing="1" w:after="100" w:afterAutospacing="1"/>
      <w:jc w:val="center"/>
    </w:pPr>
    <w:rPr>
      <w:kern w:val="0"/>
      <w:szCs w:val="21"/>
    </w:rPr>
  </w:style>
  <w:style w:type="paragraph" w:customStyle="1" w:styleId="2544">
    <w:name w:val="Char Char Char Char Char Char Char113"/>
    <w:basedOn w:val="1"/>
    <w:qFormat/>
    <w:uiPriority w:val="0"/>
    <w:pPr>
      <w:widowControl/>
      <w:jc w:val="left"/>
    </w:pPr>
    <w:rPr>
      <w:rFonts w:ascii="宋体" w:hAnsi="宋体" w:cs="宋体"/>
      <w:kern w:val="0"/>
      <w:szCs w:val="20"/>
    </w:rPr>
  </w:style>
  <w:style w:type="paragraph" w:customStyle="1" w:styleId="2545">
    <w:name w:val="默认段落字体 Para Char312"/>
    <w:basedOn w:val="1"/>
    <w:qFormat/>
    <w:uiPriority w:val="0"/>
    <w:pPr>
      <w:widowControl/>
      <w:jc w:val="left"/>
    </w:pPr>
    <w:rPr>
      <w:rFonts w:ascii="宋体" w:hAnsi="宋体" w:cs="宋体"/>
      <w:kern w:val="0"/>
      <w:szCs w:val="24"/>
    </w:rPr>
  </w:style>
  <w:style w:type="paragraph" w:customStyle="1" w:styleId="2546">
    <w:name w:val="Char Char Char Char1 Char Char Char5"/>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2547">
    <w:name w:val="图题注3"/>
    <w:basedOn w:val="17"/>
    <w:qFormat/>
    <w:uiPriority w:val="0"/>
    <w:pPr>
      <w:widowControl/>
      <w:ind w:firstLine="0" w:firstLineChars="0"/>
      <w:jc w:val="center"/>
    </w:pPr>
    <w:rPr>
      <w:rFonts w:ascii="黑体" w:cs="宋体"/>
      <w:b/>
      <w:bCs/>
    </w:rPr>
  </w:style>
  <w:style w:type="paragraph" w:customStyle="1" w:styleId="2548">
    <w:name w:val="正文格式53"/>
    <w:basedOn w:val="1"/>
    <w:qFormat/>
    <w:uiPriority w:val="0"/>
    <w:pPr>
      <w:widowControl/>
      <w:ind w:firstLine="482"/>
      <w:jc w:val="left"/>
    </w:pPr>
    <w:rPr>
      <w:rFonts w:ascii="宋体" w:hAnsi="宋体" w:cs="宋体"/>
      <w:kern w:val="0"/>
      <w:szCs w:val="24"/>
    </w:rPr>
  </w:style>
  <w:style w:type="paragraph" w:customStyle="1" w:styleId="2549">
    <w:name w:val="表题16"/>
    <w:basedOn w:val="17"/>
    <w:qFormat/>
    <w:uiPriority w:val="0"/>
    <w:pPr>
      <w:widowControl/>
      <w:ind w:firstLine="0" w:firstLineChars="0"/>
      <w:jc w:val="center"/>
    </w:pPr>
    <w:rPr>
      <w:rFonts w:ascii="黑体" w:cs="Arial"/>
      <w:b/>
    </w:rPr>
  </w:style>
  <w:style w:type="paragraph" w:customStyle="1" w:styleId="2550">
    <w:name w:val="样式 标题 4 + 黑色 左侧:  -0.01 厘米 首行缩进:  0.01 厘米"/>
    <w:basedOn w:val="5"/>
    <w:qFormat/>
    <w:uiPriority w:val="0"/>
    <w:pPr>
      <w:numPr>
        <w:ilvl w:val="0"/>
        <w:numId w:val="0"/>
      </w:numPr>
      <w:tabs>
        <w:tab w:val="left" w:pos="1080"/>
      </w:tabs>
      <w:spacing w:after="0" w:line="324" w:lineRule="auto"/>
      <w:ind w:left="864" w:hanging="864"/>
    </w:pPr>
    <w:rPr>
      <w:rFonts w:ascii="仿宋_GB2312" w:hAnsi="Arial" w:cs="宋体"/>
      <w:b w:val="0"/>
      <w:bCs w:val="0"/>
      <w:kern w:val="2"/>
      <w:szCs w:val="20"/>
      <w:lang w:val="zh-CN"/>
    </w:rPr>
  </w:style>
  <w:style w:type="paragraph" w:customStyle="1" w:styleId="2551">
    <w:name w:val="Char231"/>
    <w:basedOn w:val="1"/>
    <w:qFormat/>
    <w:uiPriority w:val="0"/>
    <w:pPr>
      <w:widowControl/>
      <w:ind w:left="-48"/>
      <w:jc w:val="left"/>
    </w:pPr>
    <w:rPr>
      <w:rFonts w:ascii="宋体" w:hAnsi="宋体" w:cs="宋体"/>
      <w:kern w:val="0"/>
      <w:szCs w:val="24"/>
    </w:rPr>
  </w:style>
  <w:style w:type="paragraph" w:customStyle="1" w:styleId="2552">
    <w:name w:val="环评正文13"/>
    <w:basedOn w:val="98"/>
    <w:qFormat/>
    <w:uiPriority w:val="0"/>
    <w:pPr>
      <w:spacing w:line="440" w:lineRule="exact"/>
      <w:ind w:firstLine="200" w:firstLineChars="200"/>
    </w:pPr>
    <w:rPr>
      <w:rFonts w:ascii="Times New Roman" w:hAnsi="Times New Roman" w:cs="Times New Roman"/>
      <w:bCs/>
      <w:color w:val="000000"/>
    </w:rPr>
  </w:style>
  <w:style w:type="paragraph" w:customStyle="1" w:styleId="2553">
    <w:name w:val="表内小5中13"/>
    <w:basedOn w:val="1"/>
    <w:qFormat/>
    <w:uiPriority w:val="0"/>
    <w:pPr>
      <w:widowControl/>
      <w:jc w:val="center"/>
    </w:pPr>
    <w:rPr>
      <w:rFonts w:ascii="宋体" w:hAnsi="宋体" w:cs="宋体"/>
      <w:kern w:val="0"/>
      <w:sz w:val="18"/>
      <w:szCs w:val="20"/>
    </w:rPr>
  </w:style>
  <w:style w:type="paragraph" w:customStyle="1" w:styleId="2554">
    <w:name w:val="BBBBBBBBBB"/>
    <w:basedOn w:val="1"/>
    <w:qFormat/>
    <w:uiPriority w:val="0"/>
    <w:pPr>
      <w:widowControl/>
      <w:spacing w:line="324" w:lineRule="auto"/>
      <w:jc w:val="center"/>
    </w:pPr>
    <w:rPr>
      <w:rFonts w:ascii="宋体" w:hAnsi="宋体" w:cs="宋体"/>
      <w:b/>
      <w:bCs/>
      <w:kern w:val="0"/>
      <w:szCs w:val="21"/>
    </w:rPr>
  </w:style>
  <w:style w:type="paragraph" w:customStyle="1" w:styleId="2555">
    <w:name w:val="Char Char Char Char3"/>
    <w:basedOn w:val="1"/>
    <w:qFormat/>
    <w:uiPriority w:val="0"/>
    <w:pPr>
      <w:widowControl/>
      <w:jc w:val="left"/>
    </w:pPr>
    <w:rPr>
      <w:rFonts w:ascii="宋体" w:hAnsi="宋体" w:cs="宋体"/>
      <w:kern w:val="0"/>
      <w:szCs w:val="24"/>
    </w:rPr>
  </w:style>
  <w:style w:type="paragraph" w:customStyle="1" w:styleId="2556">
    <w:name w:val="图、表内容"/>
    <w:basedOn w:val="1"/>
    <w:qFormat/>
    <w:uiPriority w:val="0"/>
    <w:pPr>
      <w:spacing w:line="240" w:lineRule="auto"/>
      <w:ind w:firstLine="0" w:firstLineChars="0"/>
      <w:jc w:val="center"/>
    </w:pPr>
    <w:rPr>
      <w:sz w:val="21"/>
    </w:rPr>
  </w:style>
  <w:style w:type="paragraph" w:customStyle="1" w:styleId="2557">
    <w:name w:val="表内式样"/>
    <w:basedOn w:val="98"/>
    <w:qFormat/>
    <w:uiPriority w:val="0"/>
    <w:pPr>
      <w:keepLines/>
      <w:widowControl w:val="0"/>
      <w:kinsoku w:val="0"/>
      <w:overflowPunct w:val="0"/>
      <w:adjustRightInd w:val="0"/>
      <w:spacing w:line="360" w:lineRule="atLeast"/>
      <w:jc w:val="center"/>
    </w:pPr>
    <w:rPr>
      <w:rFonts w:ascii="宋体" w:hAnsi="Times New Roman" w:cs="Times New Roman"/>
      <w:color w:val="000000"/>
      <w:kern w:val="21"/>
    </w:rPr>
  </w:style>
  <w:style w:type="paragraph" w:customStyle="1" w:styleId="2558">
    <w:name w:val="表内文字小3114"/>
    <w:basedOn w:val="1"/>
    <w:qFormat/>
    <w:uiPriority w:val="0"/>
    <w:pPr>
      <w:widowControl/>
      <w:jc w:val="center"/>
    </w:pPr>
    <w:rPr>
      <w:rFonts w:ascii="宋体" w:hAnsi="Times" w:cs="宋体"/>
      <w:bCs/>
      <w:color w:val="003366"/>
      <w:kern w:val="0"/>
      <w:szCs w:val="20"/>
    </w:rPr>
  </w:style>
  <w:style w:type="paragraph" w:customStyle="1" w:styleId="2559">
    <w:name w:val="默认段落字体 Para Char Char Char Char4"/>
    <w:basedOn w:val="1"/>
    <w:qFormat/>
    <w:uiPriority w:val="0"/>
    <w:pPr>
      <w:widowControl/>
      <w:jc w:val="left"/>
    </w:pPr>
    <w:rPr>
      <w:rFonts w:ascii="宋体" w:hAnsi="宋体" w:cs="宋体"/>
      <w:kern w:val="0"/>
      <w:szCs w:val="24"/>
    </w:rPr>
  </w:style>
  <w:style w:type="paragraph" w:customStyle="1" w:styleId="2560">
    <w:name w:val="正文格式＝421"/>
    <w:basedOn w:val="418"/>
    <w:next w:val="418"/>
    <w:qFormat/>
    <w:uiPriority w:val="0"/>
    <w:rPr>
      <w:rFonts w:hAnsi="宋体"/>
      <w:szCs w:val="24"/>
    </w:rPr>
  </w:style>
  <w:style w:type="paragraph" w:customStyle="1" w:styleId="2561">
    <w:name w:val="表格内字体2"/>
    <w:basedOn w:val="418"/>
    <w:next w:val="418"/>
    <w:qFormat/>
    <w:uiPriority w:val="0"/>
    <w:pPr>
      <w:spacing w:line="240" w:lineRule="auto"/>
      <w:ind w:firstLine="0"/>
      <w:jc w:val="center"/>
    </w:pPr>
    <w:rPr>
      <w:rFonts w:hAnsi="宋体"/>
      <w:sz w:val="21"/>
      <w:szCs w:val="24"/>
    </w:rPr>
  </w:style>
  <w:style w:type="paragraph" w:customStyle="1" w:styleId="2562">
    <w:name w:val="封面标准文稿编辑信息"/>
    <w:basedOn w:val="98"/>
    <w:qFormat/>
    <w:uiPriority w:val="0"/>
    <w:pPr>
      <w:spacing w:before="180" w:line="180" w:lineRule="exact"/>
      <w:jc w:val="center"/>
    </w:pPr>
    <w:rPr>
      <w:rFonts w:ascii="宋体" w:hAnsi="Times New Roman" w:cs="Times New Roman"/>
      <w:color w:val="000000"/>
    </w:rPr>
  </w:style>
  <w:style w:type="paragraph" w:customStyle="1" w:styleId="2563">
    <w:name w:val="Char Char2 Char Char Char Char25"/>
    <w:basedOn w:val="1"/>
    <w:qFormat/>
    <w:uiPriority w:val="0"/>
    <w:pPr>
      <w:widowControl/>
      <w:jc w:val="left"/>
    </w:pPr>
    <w:rPr>
      <w:rFonts w:ascii="宋体" w:hAnsi="宋体" w:cs="宋体"/>
      <w:kern w:val="0"/>
      <w:szCs w:val="24"/>
    </w:rPr>
  </w:style>
  <w:style w:type="paragraph" w:customStyle="1" w:styleId="2564">
    <w:name w:val="表内5"/>
    <w:basedOn w:val="1"/>
    <w:qFormat/>
    <w:uiPriority w:val="0"/>
    <w:pPr>
      <w:widowControl/>
      <w:spacing w:line="300" w:lineRule="auto"/>
      <w:jc w:val="left"/>
    </w:pPr>
    <w:rPr>
      <w:rFonts w:ascii="宋体" w:hAnsi="宋体" w:cs="宋体"/>
      <w:kern w:val="0"/>
      <w:sz w:val="18"/>
      <w:szCs w:val="20"/>
    </w:rPr>
  </w:style>
  <w:style w:type="paragraph" w:customStyle="1" w:styleId="2565">
    <w:name w:val="Char3 Char Char Char Char Char Char Char Char"/>
    <w:basedOn w:val="1"/>
    <w:qFormat/>
    <w:uiPriority w:val="0"/>
    <w:pPr>
      <w:widowControl/>
      <w:spacing w:line="340" w:lineRule="exact"/>
      <w:ind w:firstLine="10" w:firstLineChars="4"/>
      <w:jc w:val="left"/>
    </w:pPr>
    <w:rPr>
      <w:rFonts w:ascii="宋体" w:hAnsi="宋体" w:cs="宋体"/>
      <w:kern w:val="0"/>
      <w:szCs w:val="28"/>
    </w:rPr>
  </w:style>
  <w:style w:type="paragraph" w:customStyle="1" w:styleId="2566">
    <w:name w:val="c12"/>
    <w:basedOn w:val="98"/>
    <w:qFormat/>
    <w:uiPriority w:val="0"/>
    <w:pPr>
      <w:widowControl w:val="0"/>
      <w:autoSpaceDE w:val="0"/>
      <w:autoSpaceDN w:val="0"/>
      <w:adjustRightInd w:val="0"/>
    </w:pPr>
    <w:rPr>
      <w:rFonts w:ascii="Arial" w:hAnsi="Arial" w:cs="Times New Roman"/>
      <w:color w:val="000000"/>
    </w:rPr>
  </w:style>
  <w:style w:type="paragraph" w:customStyle="1" w:styleId="2567">
    <w:name w:val="正文格式43"/>
    <w:basedOn w:val="1"/>
    <w:qFormat/>
    <w:uiPriority w:val="0"/>
    <w:pPr>
      <w:widowControl/>
      <w:ind w:firstLine="482"/>
      <w:jc w:val="left"/>
    </w:pPr>
    <w:rPr>
      <w:rFonts w:ascii="宋体" w:hAnsi="宋体" w:cs="宋体"/>
      <w:kern w:val="0"/>
      <w:szCs w:val="24"/>
    </w:rPr>
  </w:style>
  <w:style w:type="paragraph" w:customStyle="1" w:styleId="2568">
    <w:name w:val="Char Char Char Char Char Char Char Char Char Char Char Char Char Char Char"/>
    <w:basedOn w:val="1"/>
    <w:qFormat/>
    <w:uiPriority w:val="0"/>
    <w:pPr>
      <w:widowControl/>
      <w:jc w:val="left"/>
    </w:pPr>
    <w:rPr>
      <w:rFonts w:ascii="宋体" w:hAnsi="宋体" w:cs="宋体"/>
      <w:kern w:val="0"/>
      <w:szCs w:val="24"/>
    </w:rPr>
  </w:style>
  <w:style w:type="paragraph" w:customStyle="1" w:styleId="2569">
    <w:name w:val="表内541211"/>
    <w:basedOn w:val="1"/>
    <w:qFormat/>
    <w:uiPriority w:val="0"/>
    <w:pPr>
      <w:widowControl/>
      <w:spacing w:line="300" w:lineRule="auto"/>
      <w:jc w:val="center"/>
    </w:pPr>
    <w:rPr>
      <w:rFonts w:ascii="宋体" w:hAnsi="宋体" w:cs="宋体"/>
      <w:kern w:val="0"/>
      <w:szCs w:val="20"/>
    </w:rPr>
  </w:style>
  <w:style w:type="paragraph" w:customStyle="1" w:styleId="2570">
    <w:name w:val="样式 样式 宋体 + 首行缩进:  2 字符1"/>
    <w:basedOn w:val="1"/>
    <w:qFormat/>
    <w:uiPriority w:val="0"/>
    <w:pPr>
      <w:widowControl/>
      <w:ind w:firstLine="480"/>
      <w:jc w:val="left"/>
    </w:pPr>
    <w:rPr>
      <w:rFonts w:ascii="宋体" w:hAnsi="宋体" w:cs="宋体"/>
      <w:kern w:val="0"/>
      <w:szCs w:val="24"/>
    </w:rPr>
  </w:style>
  <w:style w:type="paragraph" w:customStyle="1" w:styleId="2571">
    <w:name w:val="Char811"/>
    <w:basedOn w:val="1"/>
    <w:qFormat/>
    <w:uiPriority w:val="0"/>
    <w:pPr>
      <w:widowControl/>
      <w:ind w:left="-48"/>
      <w:jc w:val="left"/>
    </w:pPr>
    <w:rPr>
      <w:rFonts w:ascii="宋体" w:hAnsi="宋体" w:cs="宋体"/>
      <w:kern w:val="0"/>
      <w:szCs w:val="24"/>
    </w:rPr>
  </w:style>
  <w:style w:type="paragraph" w:customStyle="1" w:styleId="2572">
    <w:name w:val="样式6"/>
    <w:basedOn w:val="1"/>
    <w:qFormat/>
    <w:uiPriority w:val="0"/>
    <w:pPr>
      <w:widowControl/>
      <w:tabs>
        <w:tab w:val="left" w:pos="980"/>
      </w:tabs>
      <w:ind w:left="1820"/>
      <w:jc w:val="left"/>
    </w:pPr>
    <w:rPr>
      <w:rFonts w:ascii="宋体" w:hAnsi="宋体" w:cs="宋体"/>
      <w:kern w:val="0"/>
      <w:szCs w:val="24"/>
    </w:rPr>
  </w:style>
  <w:style w:type="paragraph" w:customStyle="1" w:styleId="2573">
    <w:name w:val="表中文字1113"/>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574">
    <w:name w:val="正文修改23"/>
    <w:basedOn w:val="786"/>
    <w:qFormat/>
    <w:uiPriority w:val="0"/>
    <w:rPr>
      <w:rFonts w:hAnsi="宋体" w:eastAsia="宋体" w:cs="宋体"/>
      <w:szCs w:val="24"/>
    </w:rPr>
  </w:style>
  <w:style w:type="paragraph" w:customStyle="1" w:styleId="2575">
    <w:name w:val="Char Char Char Char Char Char Char39"/>
    <w:basedOn w:val="1"/>
    <w:qFormat/>
    <w:uiPriority w:val="0"/>
    <w:pPr>
      <w:widowControl/>
      <w:jc w:val="left"/>
    </w:pPr>
    <w:rPr>
      <w:rFonts w:ascii="宋体" w:hAnsi="宋体" w:cs="宋体"/>
      <w:kern w:val="0"/>
      <w:szCs w:val="24"/>
    </w:rPr>
  </w:style>
  <w:style w:type="paragraph" w:customStyle="1" w:styleId="2576">
    <w:name w:val="样式 样式 标题 4 + 黑色 左侧:  -0.01 厘米 首行缩进:  0.01 厘米 + 左侧:  0 厘米 首行缩进: ..."/>
    <w:basedOn w:val="2550"/>
    <w:qFormat/>
    <w:uiPriority w:val="0"/>
    <w:pPr>
      <w:tabs>
        <w:tab w:val="left" w:pos="851"/>
        <w:tab w:val="clear" w:pos="1080"/>
      </w:tabs>
      <w:ind w:left="851" w:hanging="851"/>
    </w:pPr>
  </w:style>
  <w:style w:type="paragraph" w:customStyle="1" w:styleId="2577">
    <w:name w:val="正文格式8"/>
    <w:basedOn w:val="1"/>
    <w:qFormat/>
    <w:uiPriority w:val="0"/>
    <w:pPr>
      <w:widowControl/>
      <w:ind w:firstLine="482"/>
      <w:jc w:val="left"/>
    </w:pPr>
    <w:rPr>
      <w:rFonts w:ascii="宋体" w:hAnsi="宋体" w:cs="宋体"/>
      <w:kern w:val="0"/>
      <w:szCs w:val="24"/>
    </w:rPr>
  </w:style>
  <w:style w:type="paragraph" w:customStyle="1" w:styleId="2578">
    <w:name w:val="正文格式611"/>
    <w:basedOn w:val="1"/>
    <w:qFormat/>
    <w:uiPriority w:val="0"/>
    <w:pPr>
      <w:widowControl/>
      <w:ind w:firstLine="482"/>
      <w:jc w:val="left"/>
    </w:pPr>
    <w:rPr>
      <w:rFonts w:ascii="宋体" w:hAnsi="宋体" w:cs="宋体"/>
      <w:kern w:val="0"/>
      <w:szCs w:val="24"/>
    </w:rPr>
  </w:style>
  <w:style w:type="paragraph" w:customStyle="1" w:styleId="2579">
    <w:name w:val="Char3210"/>
    <w:basedOn w:val="1"/>
    <w:qFormat/>
    <w:uiPriority w:val="0"/>
    <w:pPr>
      <w:widowControl/>
      <w:ind w:left="-48"/>
      <w:jc w:val="left"/>
    </w:pPr>
    <w:rPr>
      <w:rFonts w:ascii="宋体" w:hAnsi="宋体" w:cs="宋体"/>
      <w:kern w:val="0"/>
      <w:szCs w:val="24"/>
    </w:rPr>
  </w:style>
  <w:style w:type="paragraph" w:customStyle="1" w:styleId="2580">
    <w:name w:val="xl58"/>
    <w:basedOn w:val="1"/>
    <w:qFormat/>
    <w:uiPriority w:val="0"/>
    <w:pPr>
      <w:widowControl/>
      <w:pBdr>
        <w:top w:val="double" w:color="auto" w:sz="6" w:space="0"/>
        <w:left w:val="single" w:color="auto" w:sz="4" w:space="0"/>
        <w:bottom w:val="single" w:color="auto" w:sz="4" w:space="0"/>
      </w:pBdr>
      <w:spacing w:before="100" w:beforeAutospacing="1" w:after="100" w:afterAutospacing="1"/>
      <w:jc w:val="center"/>
      <w:textAlignment w:val="center"/>
    </w:pPr>
    <w:rPr>
      <w:rFonts w:ascii="PMingLiU" w:eastAsia="PMingLiU"/>
      <w:kern w:val="0"/>
      <w:szCs w:val="24"/>
      <w:lang w:eastAsia="zh-TW"/>
    </w:rPr>
  </w:style>
  <w:style w:type="paragraph" w:customStyle="1" w:styleId="2581">
    <w:name w:val="Char220"/>
    <w:basedOn w:val="1"/>
    <w:qFormat/>
    <w:uiPriority w:val="0"/>
    <w:pPr>
      <w:widowControl/>
      <w:ind w:left="-48"/>
      <w:jc w:val="left"/>
    </w:pPr>
    <w:rPr>
      <w:rFonts w:ascii="宋体" w:hAnsi="宋体" w:cs="宋体"/>
      <w:kern w:val="0"/>
      <w:szCs w:val="24"/>
    </w:rPr>
  </w:style>
  <w:style w:type="paragraph" w:customStyle="1" w:styleId="2582">
    <w:name w:val="列表4"/>
    <w:basedOn w:val="1"/>
    <w:qFormat/>
    <w:uiPriority w:val="0"/>
    <w:pPr>
      <w:widowControl/>
      <w:spacing w:line="360" w:lineRule="exact"/>
      <w:jc w:val="center"/>
    </w:pPr>
    <w:rPr>
      <w:rFonts w:ascii="仿宋_GB2312" w:hAnsi="宋体" w:cs="宋体"/>
      <w:kern w:val="0"/>
      <w:szCs w:val="20"/>
    </w:rPr>
  </w:style>
  <w:style w:type="paragraph" w:customStyle="1" w:styleId="2583">
    <w:name w:val="默认段落字体 Para Char Char Char Char Char4"/>
    <w:basedOn w:val="1"/>
    <w:qFormat/>
    <w:uiPriority w:val="0"/>
    <w:pPr>
      <w:widowControl/>
      <w:jc w:val="left"/>
    </w:pPr>
    <w:rPr>
      <w:rFonts w:ascii="宋体" w:hAnsi="宋体" w:cs="宋体"/>
      <w:kern w:val="0"/>
      <w:szCs w:val="24"/>
    </w:rPr>
  </w:style>
  <w:style w:type="paragraph" w:customStyle="1" w:styleId="2584">
    <w:name w:val="默认段落字体 Para Char Char Char Char412"/>
    <w:basedOn w:val="1"/>
    <w:qFormat/>
    <w:uiPriority w:val="0"/>
    <w:pPr>
      <w:widowControl/>
      <w:jc w:val="left"/>
    </w:pPr>
    <w:rPr>
      <w:rFonts w:ascii="宋体" w:hAnsi="宋体" w:cs="宋体"/>
      <w:kern w:val="0"/>
      <w:szCs w:val="24"/>
    </w:rPr>
  </w:style>
  <w:style w:type="paragraph" w:customStyle="1" w:styleId="2585">
    <w:name w:val="Char233"/>
    <w:basedOn w:val="1"/>
    <w:qFormat/>
    <w:uiPriority w:val="0"/>
    <w:pPr>
      <w:widowControl/>
      <w:ind w:left="-48"/>
      <w:jc w:val="left"/>
    </w:pPr>
    <w:rPr>
      <w:rFonts w:ascii="宋体" w:hAnsi="宋体" w:cs="宋体"/>
      <w:kern w:val="0"/>
      <w:szCs w:val="24"/>
    </w:rPr>
  </w:style>
  <w:style w:type="paragraph" w:customStyle="1" w:styleId="2586">
    <w:name w:val="表格内字体15"/>
    <w:basedOn w:val="418"/>
    <w:next w:val="418"/>
    <w:qFormat/>
    <w:uiPriority w:val="0"/>
    <w:pPr>
      <w:spacing w:line="240" w:lineRule="auto"/>
      <w:ind w:firstLine="0"/>
      <w:jc w:val="center"/>
    </w:pPr>
    <w:rPr>
      <w:rFonts w:hAnsi="宋体"/>
      <w:sz w:val="21"/>
      <w:szCs w:val="24"/>
    </w:rPr>
  </w:style>
  <w:style w:type="paragraph" w:customStyle="1" w:styleId="2587">
    <w:name w:val="表格内字体611"/>
    <w:basedOn w:val="418"/>
    <w:next w:val="418"/>
    <w:qFormat/>
    <w:uiPriority w:val="0"/>
    <w:pPr>
      <w:spacing w:line="240" w:lineRule="auto"/>
      <w:ind w:firstLine="0"/>
      <w:jc w:val="center"/>
    </w:pPr>
    <w:rPr>
      <w:rFonts w:hAnsi="宋体"/>
      <w:sz w:val="21"/>
      <w:szCs w:val="24"/>
    </w:rPr>
  </w:style>
  <w:style w:type="paragraph" w:customStyle="1" w:styleId="2588">
    <w:name w:val="表题31212"/>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589">
    <w:name w:val="表文字514"/>
    <w:basedOn w:val="1"/>
    <w:qFormat/>
    <w:uiPriority w:val="0"/>
    <w:pPr>
      <w:widowControl/>
      <w:jc w:val="left"/>
      <w:textAlignment w:val="baseline"/>
    </w:pPr>
    <w:rPr>
      <w:rFonts w:ascii="宋体" w:hAnsi="宋体" w:cs="宋体"/>
      <w:kern w:val="0"/>
      <w:szCs w:val="20"/>
    </w:rPr>
  </w:style>
  <w:style w:type="paragraph" w:customStyle="1" w:styleId="2590">
    <w:name w:val="表题316"/>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591">
    <w:name w:val="样式41"/>
    <w:basedOn w:val="25"/>
    <w:qFormat/>
    <w:uiPriority w:val="0"/>
    <w:pPr>
      <w:widowControl/>
      <w:tabs>
        <w:tab w:val="left" w:pos="1820"/>
      </w:tabs>
      <w:spacing w:line="240" w:lineRule="atLeast"/>
      <w:jc w:val="center"/>
    </w:pPr>
    <w:rPr>
      <w:rFonts w:eastAsia="幼圆"/>
      <w:kern w:val="0"/>
      <w:sz w:val="21"/>
      <w:szCs w:val="20"/>
    </w:rPr>
  </w:style>
  <w:style w:type="paragraph" w:customStyle="1" w:styleId="2592">
    <w:name w:val="正文格式＝42"/>
    <w:basedOn w:val="418"/>
    <w:next w:val="418"/>
    <w:qFormat/>
    <w:uiPriority w:val="0"/>
    <w:rPr>
      <w:rFonts w:hAnsi="宋体"/>
      <w:szCs w:val="24"/>
    </w:rPr>
  </w:style>
  <w:style w:type="paragraph" w:customStyle="1" w:styleId="2593">
    <w:name w:val="正文修改311"/>
    <w:basedOn w:val="786"/>
    <w:qFormat/>
    <w:uiPriority w:val="0"/>
    <w:rPr>
      <w:rFonts w:hAnsi="宋体" w:eastAsia="宋体" w:cs="宋体"/>
      <w:szCs w:val="24"/>
    </w:rPr>
  </w:style>
  <w:style w:type="paragraph" w:customStyle="1" w:styleId="2594">
    <w:name w:val="Char Char Char Char1 Char Char Char1"/>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2595">
    <w:name w:val="默认段落字体 Para Char Char Char Char111"/>
    <w:basedOn w:val="1"/>
    <w:qFormat/>
    <w:uiPriority w:val="0"/>
    <w:pPr>
      <w:widowControl/>
      <w:jc w:val="left"/>
    </w:pPr>
    <w:rPr>
      <w:rFonts w:ascii="宋体" w:hAnsi="宋体" w:cs="宋体"/>
      <w:kern w:val="0"/>
      <w:szCs w:val="24"/>
    </w:rPr>
  </w:style>
  <w:style w:type="paragraph" w:customStyle="1" w:styleId="2596">
    <w:name w:val="表中文字42"/>
    <w:basedOn w:val="1"/>
    <w:qFormat/>
    <w:uiPriority w:val="0"/>
    <w:pPr>
      <w:widowControl/>
      <w:spacing w:line="340" w:lineRule="exact"/>
      <w:ind w:firstLine="480"/>
      <w:jc w:val="center"/>
    </w:pPr>
    <w:rPr>
      <w:rFonts w:ascii="Arial" w:hAnsi="Arial" w:cs="宋体"/>
      <w:kern w:val="0"/>
      <w:sz w:val="20"/>
      <w:szCs w:val="24"/>
      <w:lang w:eastAsia="zh-TW"/>
    </w:rPr>
  </w:style>
  <w:style w:type="paragraph" w:customStyle="1" w:styleId="2597">
    <w:name w:val="默认段落字体 Para Char Char Char Char5"/>
    <w:basedOn w:val="1"/>
    <w:qFormat/>
    <w:uiPriority w:val="0"/>
    <w:pPr>
      <w:widowControl/>
      <w:jc w:val="left"/>
    </w:pPr>
    <w:rPr>
      <w:rFonts w:ascii="宋体" w:hAnsi="宋体" w:cs="宋体"/>
      <w:kern w:val="0"/>
      <w:szCs w:val="24"/>
    </w:rPr>
  </w:style>
  <w:style w:type="paragraph" w:customStyle="1" w:styleId="2598">
    <w:name w:val="Char3 Char Char Char Char Char Char"/>
    <w:basedOn w:val="1"/>
    <w:qFormat/>
    <w:uiPriority w:val="0"/>
    <w:pPr>
      <w:widowControl/>
      <w:spacing w:line="340" w:lineRule="exact"/>
      <w:ind w:firstLine="10" w:firstLineChars="4"/>
      <w:jc w:val="left"/>
    </w:pPr>
    <w:rPr>
      <w:rFonts w:ascii="宋体" w:hAnsi="宋体" w:cs="宋体"/>
      <w:kern w:val="0"/>
      <w:szCs w:val="28"/>
    </w:rPr>
  </w:style>
  <w:style w:type="paragraph" w:customStyle="1" w:styleId="2599">
    <w:name w:val="Char417"/>
    <w:basedOn w:val="1"/>
    <w:qFormat/>
    <w:uiPriority w:val="0"/>
    <w:pPr>
      <w:widowControl/>
      <w:ind w:left="-48"/>
      <w:jc w:val="left"/>
    </w:pPr>
    <w:rPr>
      <w:rFonts w:ascii="宋体" w:hAnsi="宋体" w:cs="宋体"/>
      <w:kern w:val="0"/>
      <w:szCs w:val="24"/>
    </w:rPr>
  </w:style>
  <w:style w:type="paragraph" w:customStyle="1" w:styleId="2600">
    <w:name w:val="首行缩进:  0.99 厘米 + 首行缩进:  2 字符1"/>
    <w:basedOn w:val="1"/>
    <w:qFormat/>
    <w:uiPriority w:val="0"/>
    <w:pPr>
      <w:widowControl/>
      <w:topLinePunct/>
      <w:spacing w:line="480" w:lineRule="exact"/>
      <w:ind w:firstLine="420"/>
      <w:jc w:val="center"/>
    </w:pPr>
    <w:rPr>
      <w:rFonts w:ascii="宋体" w:hAnsi="宋体" w:cs="宋体"/>
      <w:snapToGrid w:val="0"/>
      <w:color w:val="FF0000"/>
      <w:kern w:val="0"/>
      <w:szCs w:val="21"/>
    </w:rPr>
  </w:style>
  <w:style w:type="paragraph" w:customStyle="1" w:styleId="2601">
    <w:name w:val="表内54"/>
    <w:basedOn w:val="1"/>
    <w:qFormat/>
    <w:uiPriority w:val="0"/>
    <w:pPr>
      <w:widowControl/>
      <w:spacing w:line="300" w:lineRule="auto"/>
      <w:jc w:val="left"/>
    </w:pPr>
    <w:rPr>
      <w:rFonts w:ascii="宋体" w:hAnsi="宋体" w:cs="宋体"/>
      <w:kern w:val="0"/>
      <w:sz w:val="18"/>
      <w:szCs w:val="20"/>
    </w:rPr>
  </w:style>
  <w:style w:type="paragraph" w:customStyle="1" w:styleId="2602">
    <w:name w:val="Char Char2 Char Char Char Char32"/>
    <w:basedOn w:val="1"/>
    <w:qFormat/>
    <w:uiPriority w:val="0"/>
    <w:pPr>
      <w:widowControl/>
      <w:jc w:val="left"/>
    </w:pPr>
    <w:rPr>
      <w:rFonts w:ascii="宋体" w:hAnsi="宋体" w:cs="宋体"/>
      <w:kern w:val="0"/>
      <w:szCs w:val="24"/>
    </w:rPr>
  </w:style>
  <w:style w:type="paragraph" w:customStyle="1" w:styleId="2603">
    <w:name w:val="Char331"/>
    <w:basedOn w:val="1"/>
    <w:qFormat/>
    <w:uiPriority w:val="0"/>
    <w:pPr>
      <w:widowControl/>
      <w:ind w:left="-48"/>
      <w:jc w:val="left"/>
    </w:pPr>
    <w:rPr>
      <w:rFonts w:ascii="宋体" w:hAnsi="宋体" w:cs="宋体"/>
      <w:kern w:val="0"/>
      <w:szCs w:val="24"/>
    </w:rPr>
  </w:style>
  <w:style w:type="paragraph" w:customStyle="1" w:styleId="2604">
    <w:name w:val="表中文字61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605">
    <w:name w:val="Char813"/>
    <w:basedOn w:val="1"/>
    <w:qFormat/>
    <w:uiPriority w:val="0"/>
    <w:pPr>
      <w:widowControl/>
      <w:ind w:left="-48"/>
      <w:jc w:val="left"/>
    </w:pPr>
    <w:rPr>
      <w:rFonts w:ascii="宋体" w:hAnsi="宋体" w:cs="宋体"/>
      <w:kern w:val="0"/>
      <w:szCs w:val="24"/>
    </w:rPr>
  </w:style>
  <w:style w:type="paragraph" w:customStyle="1" w:styleId="2606">
    <w:name w:val="普通(网站)2"/>
    <w:basedOn w:val="1"/>
    <w:qFormat/>
    <w:uiPriority w:val="0"/>
    <w:pPr>
      <w:widowControl/>
      <w:spacing w:before="100" w:beforeAutospacing="1" w:after="100" w:afterAutospacing="1"/>
      <w:jc w:val="left"/>
    </w:pPr>
    <w:rPr>
      <w:rFonts w:ascii="宋体" w:hAnsi="宋体" w:cs="宋体"/>
      <w:kern w:val="0"/>
      <w:szCs w:val="24"/>
    </w:rPr>
  </w:style>
  <w:style w:type="paragraph" w:customStyle="1" w:styleId="2607">
    <w:name w:val="燕山正文111"/>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2608">
    <w:name w:val="附件23"/>
    <w:basedOn w:val="2"/>
    <w:next w:val="418"/>
    <w:qFormat/>
    <w:uiPriority w:val="0"/>
    <w:pPr>
      <w:numPr>
        <w:numId w:val="0"/>
      </w:numPr>
      <w:spacing w:before="220"/>
    </w:pPr>
    <w:rPr>
      <w:rFonts w:ascii="黑体" w:eastAsia="黑体"/>
      <w:sz w:val="32"/>
      <w:szCs w:val="32"/>
    </w:rPr>
  </w:style>
  <w:style w:type="paragraph" w:customStyle="1" w:styleId="2609">
    <w:name w:val="正文21"/>
    <w:basedOn w:val="98"/>
    <w:qFormat/>
    <w:uiPriority w:val="0"/>
    <w:pPr>
      <w:adjustRightInd w:val="0"/>
      <w:snapToGrid w:val="0"/>
      <w:spacing w:line="480" w:lineRule="atLeast"/>
      <w:jc w:val="center"/>
    </w:pPr>
    <w:rPr>
      <w:rFonts w:ascii="宋体" w:hAnsi="Times New Roman" w:cs="Times New Roman"/>
      <w:snapToGrid w:val="0"/>
      <w:color w:val="000000"/>
      <w:spacing w:val="6"/>
    </w:rPr>
  </w:style>
  <w:style w:type="paragraph" w:customStyle="1" w:styleId="2610">
    <w:name w:val="表题313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611">
    <w:name w:val="正文格式6"/>
    <w:basedOn w:val="1"/>
    <w:qFormat/>
    <w:uiPriority w:val="0"/>
    <w:pPr>
      <w:widowControl/>
      <w:ind w:firstLine="482"/>
      <w:jc w:val="left"/>
    </w:pPr>
    <w:rPr>
      <w:rFonts w:ascii="宋体" w:hAnsi="宋体" w:cs="宋体"/>
      <w:kern w:val="0"/>
      <w:szCs w:val="24"/>
    </w:rPr>
  </w:style>
  <w:style w:type="paragraph" w:customStyle="1" w:styleId="2612">
    <w:name w:val="表内5中13"/>
    <w:basedOn w:val="1"/>
    <w:qFormat/>
    <w:uiPriority w:val="0"/>
    <w:pPr>
      <w:widowControl/>
      <w:jc w:val="center"/>
    </w:pPr>
    <w:rPr>
      <w:rFonts w:ascii="宋体" w:hAnsi="宋体" w:cs="Arial"/>
      <w:snapToGrid w:val="0"/>
      <w:kern w:val="0"/>
      <w:szCs w:val="21"/>
    </w:rPr>
  </w:style>
  <w:style w:type="paragraph" w:customStyle="1" w:styleId="2613">
    <w:name w:val="表内5中4111"/>
    <w:basedOn w:val="1"/>
    <w:qFormat/>
    <w:uiPriority w:val="0"/>
    <w:pPr>
      <w:widowControl/>
      <w:jc w:val="center"/>
    </w:pPr>
    <w:rPr>
      <w:rFonts w:ascii="宋体" w:hAnsi="宋体" w:cs="宋体"/>
      <w:bCs/>
      <w:kern w:val="0"/>
      <w:szCs w:val="20"/>
    </w:rPr>
  </w:style>
  <w:style w:type="paragraph" w:customStyle="1" w:styleId="2614">
    <w:name w:val="表内宋511113"/>
    <w:basedOn w:val="734"/>
    <w:qFormat/>
    <w:uiPriority w:val="0"/>
    <w:rPr>
      <w:rFonts w:ascii="宋体" w:hAnsi="宋体" w:cs="宋体"/>
      <w:sz w:val="21"/>
      <w:szCs w:val="24"/>
    </w:rPr>
  </w:style>
  <w:style w:type="paragraph" w:customStyle="1" w:styleId="2615">
    <w:name w:val="表内5415"/>
    <w:basedOn w:val="1"/>
    <w:qFormat/>
    <w:uiPriority w:val="0"/>
    <w:pPr>
      <w:widowControl/>
      <w:spacing w:line="300" w:lineRule="auto"/>
      <w:jc w:val="center"/>
    </w:pPr>
    <w:rPr>
      <w:rFonts w:ascii="宋体" w:hAnsi="宋体" w:cs="宋体"/>
      <w:kern w:val="0"/>
      <w:szCs w:val="20"/>
    </w:rPr>
  </w:style>
  <w:style w:type="paragraph" w:customStyle="1" w:styleId="2616">
    <w:name w:val="正文格式83"/>
    <w:basedOn w:val="1"/>
    <w:qFormat/>
    <w:uiPriority w:val="0"/>
    <w:pPr>
      <w:widowControl/>
      <w:ind w:firstLine="482"/>
      <w:jc w:val="left"/>
    </w:pPr>
    <w:rPr>
      <w:rFonts w:ascii="宋体" w:hAnsi="宋体" w:cs="宋体"/>
      <w:kern w:val="0"/>
      <w:szCs w:val="24"/>
    </w:rPr>
  </w:style>
  <w:style w:type="paragraph" w:customStyle="1" w:styleId="2617">
    <w:name w:val="燕山正文5"/>
    <w:basedOn w:val="1"/>
    <w:qFormat/>
    <w:uiPriority w:val="0"/>
    <w:pPr>
      <w:widowControl/>
      <w:tabs>
        <w:tab w:val="left" w:pos="4680"/>
      </w:tabs>
      <w:spacing w:line="480" w:lineRule="exact"/>
      <w:jc w:val="left"/>
    </w:pPr>
    <w:rPr>
      <w:rFonts w:ascii="宋体" w:hAnsi="宋体" w:cs="宋体"/>
      <w:kern w:val="0"/>
      <w:szCs w:val="24"/>
    </w:rPr>
  </w:style>
  <w:style w:type="paragraph" w:customStyle="1" w:styleId="2618">
    <w:name w:val="标题41113"/>
    <w:basedOn w:val="1"/>
    <w:qFormat/>
    <w:uiPriority w:val="0"/>
    <w:pPr>
      <w:widowControl/>
      <w:spacing w:line="300" w:lineRule="auto"/>
      <w:jc w:val="left"/>
    </w:pPr>
    <w:rPr>
      <w:rFonts w:ascii="黑体" w:hAnsi="宋体" w:eastAsia="黑体" w:cs="宋体"/>
      <w:bCs/>
      <w:kern w:val="0"/>
      <w:szCs w:val="20"/>
    </w:rPr>
  </w:style>
  <w:style w:type="paragraph" w:customStyle="1" w:styleId="2619">
    <w:name w:val="样式 表格内字体1 +3"/>
    <w:basedOn w:val="1722"/>
    <w:next w:val="559"/>
    <w:qFormat/>
    <w:uiPriority w:val="0"/>
    <w:rPr>
      <w:rFonts w:hAnsi="Times New Roman" w:cs="宋体"/>
      <w:szCs w:val="20"/>
    </w:rPr>
  </w:style>
  <w:style w:type="paragraph" w:customStyle="1" w:styleId="2620">
    <w:name w:val="表格内字体52"/>
    <w:basedOn w:val="418"/>
    <w:next w:val="418"/>
    <w:qFormat/>
    <w:uiPriority w:val="0"/>
    <w:pPr>
      <w:spacing w:line="240" w:lineRule="auto"/>
      <w:ind w:firstLine="0"/>
    </w:pPr>
    <w:rPr>
      <w:rFonts w:hAnsi="宋体"/>
      <w:sz w:val="21"/>
      <w:szCs w:val="24"/>
    </w:rPr>
  </w:style>
  <w:style w:type="paragraph" w:customStyle="1" w:styleId="2621">
    <w:name w:val="表内文字小21311"/>
    <w:basedOn w:val="1"/>
    <w:qFormat/>
    <w:uiPriority w:val="0"/>
    <w:pPr>
      <w:widowControl/>
      <w:jc w:val="center"/>
      <w:textAlignment w:val="baseline"/>
    </w:pPr>
    <w:rPr>
      <w:rFonts w:ascii="宋体" w:hAnsi="Times" w:cs="宋体"/>
      <w:bCs/>
      <w:kern w:val="0"/>
      <w:szCs w:val="20"/>
    </w:rPr>
  </w:style>
  <w:style w:type="paragraph" w:customStyle="1" w:styleId="2622">
    <w:name w:val="xl84"/>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kern w:val="0"/>
      <w:szCs w:val="21"/>
    </w:rPr>
  </w:style>
  <w:style w:type="paragraph" w:customStyle="1" w:styleId="2623">
    <w:name w:val="Char Char2 Char Char Char Char34"/>
    <w:basedOn w:val="1"/>
    <w:qFormat/>
    <w:uiPriority w:val="0"/>
    <w:pPr>
      <w:widowControl/>
      <w:jc w:val="left"/>
    </w:pPr>
    <w:rPr>
      <w:rFonts w:ascii="宋体" w:hAnsi="宋体" w:cs="宋体"/>
      <w:kern w:val="0"/>
      <w:szCs w:val="24"/>
    </w:rPr>
  </w:style>
  <w:style w:type="paragraph" w:customStyle="1" w:styleId="2624">
    <w:name w:val="正文修改421"/>
    <w:basedOn w:val="786"/>
    <w:qFormat/>
    <w:uiPriority w:val="0"/>
    <w:rPr>
      <w:rFonts w:hAnsi="宋体" w:eastAsia="宋体" w:cs="宋体"/>
      <w:szCs w:val="24"/>
    </w:rPr>
  </w:style>
  <w:style w:type="paragraph" w:customStyle="1" w:styleId="2625">
    <w:name w:val="表内宋511211"/>
    <w:basedOn w:val="734"/>
    <w:qFormat/>
    <w:uiPriority w:val="0"/>
    <w:rPr>
      <w:rFonts w:ascii="宋体" w:hAnsi="宋体" w:cs="宋体"/>
      <w:sz w:val="21"/>
      <w:szCs w:val="24"/>
    </w:rPr>
  </w:style>
  <w:style w:type="paragraph" w:customStyle="1" w:styleId="2626">
    <w:name w:val="表内53121"/>
    <w:basedOn w:val="1"/>
    <w:qFormat/>
    <w:uiPriority w:val="0"/>
    <w:pPr>
      <w:widowControl/>
      <w:spacing w:line="300" w:lineRule="auto"/>
      <w:jc w:val="left"/>
    </w:pPr>
    <w:rPr>
      <w:rFonts w:ascii="宋体" w:hAnsi="宋体" w:cs="宋体"/>
      <w:kern w:val="0"/>
      <w:szCs w:val="20"/>
    </w:rPr>
  </w:style>
  <w:style w:type="paragraph" w:customStyle="1" w:styleId="2627">
    <w:name w:val="表内文字小21"/>
    <w:basedOn w:val="1"/>
    <w:qFormat/>
    <w:uiPriority w:val="0"/>
    <w:pPr>
      <w:widowControl/>
      <w:jc w:val="center"/>
    </w:pPr>
    <w:rPr>
      <w:rFonts w:ascii="宋体" w:hAnsi="Times" w:cs="宋体"/>
      <w:bCs/>
      <w:kern w:val="0"/>
      <w:szCs w:val="20"/>
    </w:rPr>
  </w:style>
  <w:style w:type="paragraph" w:customStyle="1" w:styleId="2628">
    <w:name w:val="正文缩4"/>
    <w:basedOn w:val="1"/>
    <w:qFormat/>
    <w:uiPriority w:val="0"/>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2629">
    <w:name w:val="样式 样式 表格 + (符号) 宋体 五号 居中 + 小五"/>
    <w:basedOn w:val="1"/>
    <w:qFormat/>
    <w:uiPriority w:val="0"/>
    <w:pPr>
      <w:widowControl/>
      <w:kinsoku w:val="0"/>
      <w:overflowPunct w:val="0"/>
      <w:jc w:val="center"/>
    </w:pPr>
    <w:rPr>
      <w:rFonts w:ascii="宋体" w:hAnsi="宋体" w:cs="宋体"/>
      <w:snapToGrid w:val="0"/>
      <w:kern w:val="0"/>
      <w:sz w:val="18"/>
      <w:szCs w:val="21"/>
    </w:rPr>
  </w:style>
  <w:style w:type="paragraph" w:customStyle="1" w:styleId="2630">
    <w:name w:val="Char621"/>
    <w:basedOn w:val="1"/>
    <w:qFormat/>
    <w:uiPriority w:val="0"/>
    <w:pPr>
      <w:widowControl/>
      <w:spacing w:before="156"/>
      <w:jc w:val="left"/>
    </w:pPr>
    <w:rPr>
      <w:rFonts w:ascii="黑体" w:hAnsi="宋体" w:eastAsia="黑体" w:cs="宋体"/>
      <w:kern w:val="0"/>
      <w:sz w:val="32"/>
      <w:szCs w:val="32"/>
    </w:rPr>
  </w:style>
  <w:style w:type="paragraph" w:customStyle="1" w:styleId="2631">
    <w:name w:val="字元 字元 Char Char"/>
    <w:basedOn w:val="1"/>
    <w:qFormat/>
    <w:uiPriority w:val="0"/>
    <w:rPr>
      <w:szCs w:val="24"/>
    </w:rPr>
  </w:style>
  <w:style w:type="paragraph" w:customStyle="1" w:styleId="2632">
    <w:name w:val="c1"/>
    <w:basedOn w:val="98"/>
    <w:qFormat/>
    <w:uiPriority w:val="0"/>
    <w:pPr>
      <w:widowControl w:val="0"/>
      <w:autoSpaceDE w:val="0"/>
      <w:autoSpaceDN w:val="0"/>
      <w:adjustRightInd w:val="0"/>
    </w:pPr>
    <w:rPr>
      <w:rFonts w:ascii="Arial" w:hAnsi="Arial" w:cs="Times New Roman"/>
      <w:color w:val="000000"/>
    </w:rPr>
  </w:style>
  <w:style w:type="paragraph" w:customStyle="1" w:styleId="2633">
    <w:name w:val="图题32"/>
    <w:basedOn w:val="418"/>
    <w:next w:val="418"/>
    <w:qFormat/>
    <w:uiPriority w:val="0"/>
    <w:pPr>
      <w:ind w:firstLine="0"/>
      <w:jc w:val="center"/>
    </w:pPr>
    <w:rPr>
      <w:rFonts w:ascii="黑体" w:hAnsi="宋体" w:eastAsia="黑体" w:cs="宋体"/>
      <w:b/>
      <w:bCs/>
      <w:szCs w:val="24"/>
    </w:rPr>
  </w:style>
  <w:style w:type="paragraph" w:customStyle="1" w:styleId="2634">
    <w:name w:val="标题41"/>
    <w:basedOn w:val="5"/>
    <w:next w:val="1"/>
    <w:qFormat/>
    <w:uiPriority w:val="0"/>
    <w:pPr>
      <w:numPr>
        <w:ilvl w:val="0"/>
        <w:numId w:val="0"/>
      </w:numPr>
      <w:spacing w:before="160" w:after="170" w:line="360" w:lineRule="auto"/>
    </w:pPr>
    <w:rPr>
      <w:rFonts w:ascii="黑体" w:hAnsi="Arial" w:eastAsia="黑体"/>
      <w:sz w:val="24"/>
    </w:rPr>
  </w:style>
  <w:style w:type="paragraph" w:customStyle="1" w:styleId="2635">
    <w:name w:val="Char219"/>
    <w:basedOn w:val="1"/>
    <w:qFormat/>
    <w:uiPriority w:val="0"/>
    <w:pPr>
      <w:widowControl/>
      <w:ind w:left="-48"/>
      <w:jc w:val="left"/>
    </w:pPr>
    <w:rPr>
      <w:rFonts w:ascii="宋体" w:hAnsi="宋体" w:cs="宋体"/>
      <w:kern w:val="0"/>
      <w:szCs w:val="24"/>
    </w:rPr>
  </w:style>
  <w:style w:type="paragraph" w:customStyle="1" w:styleId="2636">
    <w:name w:val="xl75"/>
    <w:basedOn w:val="1"/>
    <w:qFormat/>
    <w:uiPriority w:val="0"/>
    <w:pPr>
      <w:widowControl/>
      <w:pBdr>
        <w:bottom w:val="single" w:color="auto" w:sz="8" w:space="0"/>
        <w:right w:val="single" w:color="auto" w:sz="8" w:space="0"/>
      </w:pBdr>
      <w:spacing w:before="100" w:beforeAutospacing="1" w:after="100" w:afterAutospacing="1"/>
      <w:jc w:val="center"/>
    </w:pPr>
    <w:rPr>
      <w:kern w:val="0"/>
      <w:szCs w:val="21"/>
    </w:rPr>
  </w:style>
  <w:style w:type="paragraph" w:customStyle="1" w:styleId="2637">
    <w:name w:val="燕山正文1131"/>
    <w:basedOn w:val="1"/>
    <w:qFormat/>
    <w:uiPriority w:val="0"/>
    <w:pPr>
      <w:widowControl/>
      <w:tabs>
        <w:tab w:val="left" w:pos="4680"/>
      </w:tabs>
      <w:ind w:firstLine="480"/>
      <w:jc w:val="left"/>
    </w:pPr>
    <w:rPr>
      <w:rFonts w:ascii="宋体" w:hAnsi="宋体" w:cs="宋体"/>
      <w:bCs/>
      <w:snapToGrid w:val="0"/>
      <w:kern w:val="0"/>
      <w:szCs w:val="24"/>
    </w:rPr>
  </w:style>
  <w:style w:type="paragraph" w:customStyle="1" w:styleId="2638">
    <w:name w:val="燕山正文211"/>
    <w:basedOn w:val="1"/>
    <w:qFormat/>
    <w:uiPriority w:val="0"/>
    <w:pPr>
      <w:widowControl/>
      <w:tabs>
        <w:tab w:val="left" w:pos="4680"/>
      </w:tabs>
      <w:spacing w:line="480" w:lineRule="exact"/>
      <w:jc w:val="left"/>
    </w:pPr>
    <w:rPr>
      <w:rFonts w:ascii="宋体" w:hAnsi="宋体" w:cs="宋体"/>
      <w:kern w:val="0"/>
      <w:szCs w:val="24"/>
    </w:rPr>
  </w:style>
  <w:style w:type="paragraph" w:customStyle="1" w:styleId="2639">
    <w:name w:val="默认段落字体 Para Char411"/>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2640">
    <w:name w:val="Char251"/>
    <w:basedOn w:val="1"/>
    <w:qFormat/>
    <w:uiPriority w:val="0"/>
    <w:pPr>
      <w:widowControl/>
      <w:spacing w:before="156"/>
      <w:jc w:val="left"/>
    </w:pPr>
    <w:rPr>
      <w:rFonts w:ascii="黑体" w:hAnsi="宋体" w:eastAsia="黑体" w:cs="宋体"/>
      <w:kern w:val="0"/>
      <w:sz w:val="32"/>
      <w:szCs w:val="32"/>
    </w:rPr>
  </w:style>
  <w:style w:type="paragraph" w:customStyle="1" w:styleId="2641">
    <w:name w:val="表内521"/>
    <w:basedOn w:val="1"/>
    <w:qFormat/>
    <w:uiPriority w:val="0"/>
    <w:pPr>
      <w:widowControl/>
      <w:spacing w:line="300" w:lineRule="auto"/>
      <w:jc w:val="left"/>
    </w:pPr>
    <w:rPr>
      <w:rFonts w:ascii="宋体" w:hAnsi="宋体" w:cs="宋体"/>
      <w:kern w:val="0"/>
      <w:sz w:val="18"/>
      <w:szCs w:val="20"/>
    </w:rPr>
  </w:style>
  <w:style w:type="paragraph" w:customStyle="1" w:styleId="2642">
    <w:name w:val="样式213"/>
    <w:basedOn w:val="1"/>
    <w:qFormat/>
    <w:uiPriority w:val="0"/>
    <w:pPr>
      <w:widowControl/>
      <w:jc w:val="center"/>
      <w:textAlignment w:val="baseline"/>
      <w:outlineLvl w:val="0"/>
    </w:pPr>
    <w:rPr>
      <w:rFonts w:ascii="宋体" w:hAnsi="宋体" w:cs="宋体"/>
      <w:kern w:val="0"/>
      <w:szCs w:val="20"/>
    </w:rPr>
  </w:style>
  <w:style w:type="paragraph" w:customStyle="1" w:styleId="2643">
    <w:name w:val="Char Char2 Char Char Char Char51"/>
    <w:basedOn w:val="1"/>
    <w:qFormat/>
    <w:uiPriority w:val="0"/>
    <w:pPr>
      <w:widowControl/>
      <w:jc w:val="left"/>
    </w:pPr>
    <w:rPr>
      <w:rFonts w:ascii="宋体" w:hAnsi="宋体" w:cs="宋体"/>
      <w:kern w:val="0"/>
      <w:szCs w:val="24"/>
    </w:rPr>
  </w:style>
  <w:style w:type="paragraph" w:customStyle="1" w:styleId="2644">
    <w:name w:val="Char Char Char Char Char Char Char Char Char Char Char Char Char Char Char Char Char Char Char Char Char Char Char Char Char Char11"/>
    <w:basedOn w:val="1"/>
    <w:qFormat/>
    <w:uiPriority w:val="0"/>
    <w:pPr>
      <w:widowControl/>
      <w:jc w:val="left"/>
    </w:pPr>
    <w:rPr>
      <w:rFonts w:ascii="宋体" w:hAnsi="宋体" w:cs="宋体"/>
      <w:kern w:val="0"/>
      <w:szCs w:val="24"/>
    </w:rPr>
  </w:style>
  <w:style w:type="paragraph" w:customStyle="1" w:styleId="2645">
    <w:name w:val="Char Char Char Char Char Char Char16"/>
    <w:basedOn w:val="1"/>
    <w:qFormat/>
    <w:uiPriority w:val="0"/>
    <w:pPr>
      <w:widowControl/>
      <w:jc w:val="left"/>
    </w:pPr>
    <w:rPr>
      <w:rFonts w:ascii="宋体" w:hAnsi="宋体" w:cs="宋体"/>
      <w:kern w:val="0"/>
      <w:szCs w:val="24"/>
    </w:rPr>
  </w:style>
  <w:style w:type="paragraph" w:customStyle="1" w:styleId="2646">
    <w:name w:val="Char93"/>
    <w:basedOn w:val="1"/>
    <w:qFormat/>
    <w:uiPriority w:val="0"/>
    <w:pPr>
      <w:widowControl/>
      <w:ind w:left="-48"/>
      <w:jc w:val="left"/>
    </w:pPr>
    <w:rPr>
      <w:rFonts w:ascii="宋体" w:hAnsi="宋体" w:cs="宋体"/>
      <w:kern w:val="0"/>
      <w:szCs w:val="24"/>
    </w:rPr>
  </w:style>
  <w:style w:type="paragraph" w:customStyle="1" w:styleId="2647">
    <w:name w:val="Char4 Char Char Char Char Char Char"/>
    <w:basedOn w:val="1"/>
    <w:qFormat/>
    <w:uiPriority w:val="0"/>
    <w:pPr>
      <w:widowControl/>
      <w:jc w:val="left"/>
    </w:pPr>
    <w:rPr>
      <w:rFonts w:ascii="宋体" w:hAnsi="宋体" w:cs="宋体"/>
      <w:kern w:val="0"/>
      <w:szCs w:val="24"/>
    </w:rPr>
  </w:style>
  <w:style w:type="paragraph" w:customStyle="1" w:styleId="2648">
    <w:name w:val="Char Char Char Char Char Char Char26"/>
    <w:basedOn w:val="1"/>
    <w:qFormat/>
    <w:uiPriority w:val="0"/>
    <w:pPr>
      <w:widowControl/>
      <w:jc w:val="left"/>
    </w:pPr>
    <w:rPr>
      <w:rFonts w:ascii="宋体" w:hAnsi="宋体" w:cs="宋体"/>
      <w:kern w:val="0"/>
      <w:szCs w:val="24"/>
    </w:rPr>
  </w:style>
  <w:style w:type="paragraph" w:customStyle="1" w:styleId="2649">
    <w:name w:val="简单回函地址"/>
    <w:basedOn w:val="1"/>
    <w:qFormat/>
    <w:uiPriority w:val="0"/>
    <w:rPr>
      <w:rFonts w:ascii="宋体" w:hAnsi="宋体"/>
      <w:szCs w:val="32"/>
    </w:rPr>
  </w:style>
  <w:style w:type="paragraph" w:customStyle="1" w:styleId="2650">
    <w:name w:val="Char217"/>
    <w:basedOn w:val="1"/>
    <w:qFormat/>
    <w:uiPriority w:val="0"/>
    <w:pPr>
      <w:widowControl/>
      <w:ind w:left="-48"/>
      <w:jc w:val="left"/>
    </w:pPr>
    <w:rPr>
      <w:rFonts w:ascii="宋体" w:hAnsi="宋体" w:cs="宋体"/>
      <w:kern w:val="0"/>
      <w:szCs w:val="24"/>
    </w:rPr>
  </w:style>
  <w:style w:type="paragraph" w:customStyle="1" w:styleId="2651">
    <w:name w:val="Char Char Char Char Char Char Char Char Char Char Char Char Char Char Char Char Char Char1"/>
    <w:basedOn w:val="1"/>
    <w:qFormat/>
    <w:uiPriority w:val="0"/>
    <w:pPr>
      <w:widowControl/>
      <w:jc w:val="left"/>
    </w:pPr>
    <w:rPr>
      <w:rFonts w:ascii="宋体" w:hAnsi="宋体" w:cs="宋体"/>
      <w:kern w:val="0"/>
      <w:szCs w:val="24"/>
    </w:rPr>
  </w:style>
  <w:style w:type="paragraph" w:customStyle="1" w:styleId="2652">
    <w:name w:val="默认段落字体 Para Char Char Char Char521"/>
    <w:basedOn w:val="1"/>
    <w:qFormat/>
    <w:uiPriority w:val="0"/>
    <w:pPr>
      <w:widowControl/>
      <w:jc w:val="left"/>
    </w:pPr>
    <w:rPr>
      <w:rFonts w:ascii="宋体" w:hAnsi="宋体" w:cs="宋体"/>
      <w:kern w:val="0"/>
      <w:szCs w:val="24"/>
    </w:rPr>
  </w:style>
  <w:style w:type="paragraph" w:customStyle="1" w:styleId="2653">
    <w:name w:val="正文斜体21"/>
    <w:basedOn w:val="418"/>
    <w:next w:val="418"/>
    <w:qFormat/>
    <w:uiPriority w:val="0"/>
    <w:rPr>
      <w:rFonts w:hAnsi="宋体"/>
      <w:i/>
      <w:iCs/>
      <w:szCs w:val="24"/>
    </w:rPr>
  </w:style>
  <w:style w:type="paragraph" w:customStyle="1" w:styleId="2654">
    <w:name w:val="正文斜体13"/>
    <w:basedOn w:val="418"/>
    <w:next w:val="418"/>
    <w:qFormat/>
    <w:uiPriority w:val="0"/>
    <w:rPr>
      <w:rFonts w:hAnsi="宋体"/>
      <w:i/>
      <w:iCs/>
      <w:szCs w:val="24"/>
    </w:rPr>
  </w:style>
  <w:style w:type="paragraph" w:customStyle="1" w:styleId="2655">
    <w:name w:val="样式 标题 3条标题1.1.1条标题1.1.11条标题1.1.12条标题1.1.13条标题1.1.111条标题1.1...1"/>
    <w:basedOn w:val="4"/>
    <w:qFormat/>
    <w:uiPriority w:val="0"/>
  </w:style>
  <w:style w:type="paragraph" w:customStyle="1" w:styleId="2656">
    <w:name w:val="ENUM"/>
    <w:basedOn w:val="1"/>
    <w:qFormat/>
    <w:uiPriority w:val="0"/>
    <w:pPr>
      <w:widowControl/>
      <w:tabs>
        <w:tab w:val="left" w:pos="840"/>
        <w:tab w:val="left" w:pos="1418"/>
      </w:tabs>
      <w:spacing w:before="60" w:after="60"/>
      <w:ind w:left="1418" w:hanging="284"/>
      <w:jc w:val="left"/>
    </w:pPr>
    <w:rPr>
      <w:rFonts w:ascii="Arial" w:hAnsi="Arial" w:cs="宋体"/>
      <w:kern w:val="0"/>
      <w:sz w:val="22"/>
      <w:szCs w:val="20"/>
    </w:rPr>
  </w:style>
  <w:style w:type="paragraph" w:customStyle="1" w:styleId="2657">
    <w:name w:val="24磅正文"/>
    <w:basedOn w:val="1"/>
    <w:qFormat/>
    <w:uiPriority w:val="0"/>
    <w:pPr>
      <w:topLinePunct/>
      <w:autoSpaceDE w:val="0"/>
      <w:spacing w:line="500" w:lineRule="exact"/>
      <w:ind w:firstLine="480"/>
    </w:pPr>
    <w:rPr>
      <w:rFonts w:cs="Times New Roman"/>
      <w:szCs w:val="24"/>
    </w:rPr>
  </w:style>
  <w:style w:type="paragraph" w:customStyle="1" w:styleId="2658">
    <w:name w:val="列表 31"/>
    <w:basedOn w:val="1"/>
    <w:qFormat/>
    <w:uiPriority w:val="0"/>
    <w:pPr>
      <w:widowControl/>
      <w:ind w:left="100" w:leftChars="400" w:hanging="200" w:hangingChars="200"/>
      <w:jc w:val="left"/>
    </w:pPr>
    <w:rPr>
      <w:rFonts w:ascii="仿宋_GB2312" w:hAnsi="宋体" w:cs="宋体"/>
      <w:kern w:val="0"/>
      <w:szCs w:val="24"/>
    </w:rPr>
  </w:style>
  <w:style w:type="paragraph" w:customStyle="1" w:styleId="2659">
    <w:name w:val="KY-正文-⑦"/>
    <w:basedOn w:val="1"/>
    <w:next w:val="1"/>
    <w:qFormat/>
    <w:uiPriority w:val="0"/>
    <w:pPr>
      <w:outlineLvl w:val="6"/>
    </w:pPr>
    <w:rPr>
      <w:szCs w:val="28"/>
    </w:rPr>
  </w:style>
  <w:style w:type="paragraph" w:customStyle="1" w:styleId="2660">
    <w:name w:val="Char Char2 Char Char Char Char33"/>
    <w:basedOn w:val="1"/>
    <w:qFormat/>
    <w:uiPriority w:val="0"/>
    <w:pPr>
      <w:widowControl/>
      <w:jc w:val="left"/>
    </w:pPr>
    <w:rPr>
      <w:rFonts w:ascii="宋体" w:hAnsi="宋体" w:cs="宋体"/>
      <w:kern w:val="0"/>
      <w:szCs w:val="24"/>
    </w:rPr>
  </w:style>
  <w:style w:type="paragraph" w:customStyle="1" w:styleId="2661">
    <w:name w:val=".."/>
    <w:basedOn w:val="1"/>
    <w:next w:val="1"/>
    <w:qFormat/>
    <w:uiPriority w:val="0"/>
    <w:pPr>
      <w:autoSpaceDE w:val="0"/>
      <w:autoSpaceDN w:val="0"/>
      <w:jc w:val="left"/>
    </w:pPr>
    <w:rPr>
      <w:rFonts w:ascii=".." w:eastAsia=".."/>
      <w:kern w:val="0"/>
      <w:szCs w:val="24"/>
    </w:rPr>
  </w:style>
  <w:style w:type="paragraph" w:customStyle="1" w:styleId="2662">
    <w:name w:val="表内宋5中32"/>
    <w:basedOn w:val="1"/>
    <w:qFormat/>
    <w:uiPriority w:val="0"/>
    <w:pPr>
      <w:widowControl/>
      <w:jc w:val="left"/>
      <w:textAlignment w:val="baseline"/>
    </w:pPr>
    <w:rPr>
      <w:rFonts w:ascii="宋体" w:hAnsi="宋体" w:cs="宋体"/>
      <w:kern w:val="0"/>
      <w:szCs w:val="20"/>
    </w:rPr>
  </w:style>
  <w:style w:type="paragraph" w:customStyle="1" w:styleId="2663">
    <w:name w:val="Char326"/>
    <w:basedOn w:val="1"/>
    <w:qFormat/>
    <w:uiPriority w:val="0"/>
    <w:pPr>
      <w:widowControl/>
      <w:ind w:left="-48"/>
      <w:jc w:val="left"/>
    </w:pPr>
    <w:rPr>
      <w:rFonts w:ascii="宋体" w:hAnsi="宋体" w:cs="宋体"/>
      <w:kern w:val="0"/>
      <w:szCs w:val="24"/>
    </w:rPr>
  </w:style>
  <w:style w:type="paragraph" w:customStyle="1" w:styleId="2664">
    <w:name w:val="默认段落字体 Para Char43"/>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2665">
    <w:name w:val="表题41111"/>
    <w:basedOn w:val="752"/>
    <w:qFormat/>
    <w:uiPriority w:val="0"/>
    <w:pPr>
      <w:widowControl/>
      <w:tabs>
        <w:tab w:val="left" w:pos="4305"/>
      </w:tabs>
      <w:spacing w:after="0" w:line="240" w:lineRule="auto"/>
      <w:ind w:left="0" w:leftChars="0" w:firstLine="0" w:firstLineChars="0"/>
      <w:jc w:val="center"/>
    </w:pPr>
    <w:rPr>
      <w:rFonts w:ascii="宋体" w:hAnsi="宋体" w:cs="宋体"/>
      <w:sz w:val="24"/>
      <w:szCs w:val="24"/>
    </w:rPr>
  </w:style>
  <w:style w:type="paragraph" w:customStyle="1" w:styleId="2666">
    <w:name w:val="xl45"/>
    <w:basedOn w:val="1"/>
    <w:qFormat/>
    <w:uiPriority w:val="0"/>
    <w:pPr>
      <w:widowControl/>
      <w:pBdr>
        <w:top w:val="single" w:color="auto" w:sz="4" w:space="0"/>
        <w:left w:val="double" w:color="auto" w:sz="6" w:space="0"/>
        <w:bottom w:val="single" w:color="auto" w:sz="4" w:space="0"/>
        <w:right w:val="single" w:color="auto" w:sz="4" w:space="0"/>
      </w:pBdr>
      <w:spacing w:before="100" w:beforeAutospacing="1" w:after="100" w:afterAutospacing="1"/>
      <w:jc w:val="center"/>
      <w:textAlignment w:val="center"/>
    </w:pPr>
    <w:rPr>
      <w:rFonts w:hint="eastAsia" w:ascii="PMingLiU" w:eastAsia="PMingLiU"/>
      <w:kern w:val="0"/>
      <w:sz w:val="16"/>
      <w:szCs w:val="16"/>
      <w:lang w:eastAsia="zh-TW"/>
    </w:rPr>
  </w:style>
  <w:style w:type="paragraph" w:customStyle="1" w:styleId="2667">
    <w:name w:val="环标3"/>
    <w:basedOn w:val="4"/>
    <w:qFormat/>
    <w:uiPriority w:val="0"/>
    <w:pPr>
      <w:keepNext w:val="0"/>
      <w:keepLines w:val="0"/>
      <w:widowControl/>
      <w:spacing w:before="48" w:after="36"/>
      <w:jc w:val="both"/>
      <w:textAlignment w:val="baseline"/>
    </w:pPr>
    <w:rPr>
      <w:rFonts w:ascii="宋体" w:hAnsi="宋体"/>
      <w:b w:val="0"/>
      <w:bCs w:val="0"/>
      <w:kern w:val="0"/>
      <w:szCs w:val="24"/>
    </w:rPr>
  </w:style>
  <w:style w:type="paragraph" w:customStyle="1" w:styleId="2668">
    <w:name w:val="Char Char Char Char Char Char Char Char Char Char Char1 Char Char Char Char Char Char2"/>
    <w:basedOn w:val="1"/>
    <w:qFormat/>
    <w:uiPriority w:val="0"/>
    <w:pPr>
      <w:widowControl/>
      <w:jc w:val="left"/>
    </w:pPr>
    <w:rPr>
      <w:rFonts w:ascii="宋体" w:hAnsi="宋体" w:cs="宋体"/>
      <w:kern w:val="0"/>
      <w:szCs w:val="24"/>
    </w:rPr>
  </w:style>
  <w:style w:type="paragraph" w:customStyle="1" w:styleId="2669">
    <w:name w:val="普通表格1"/>
    <w:basedOn w:val="1"/>
    <w:qFormat/>
    <w:uiPriority w:val="0"/>
    <w:pPr>
      <w:spacing w:line="380" w:lineRule="exact"/>
    </w:pPr>
    <w:rPr>
      <w:szCs w:val="24"/>
    </w:rPr>
  </w:style>
  <w:style w:type="paragraph" w:customStyle="1" w:styleId="2670">
    <w:name w:val="福建正文缩进4"/>
    <w:basedOn w:val="112"/>
    <w:qFormat/>
    <w:uiPriority w:val="0"/>
    <w:pPr>
      <w:tabs>
        <w:tab w:val="left" w:pos="5837"/>
      </w:tabs>
      <w:spacing w:line="480" w:lineRule="exact"/>
    </w:pPr>
    <w:rPr>
      <w:rFonts w:cs="宋体"/>
    </w:rPr>
  </w:style>
  <w:style w:type="paragraph" w:customStyle="1" w:styleId="2671">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PMingLiU"/>
      <w:kern w:val="0"/>
      <w:sz w:val="14"/>
      <w:szCs w:val="14"/>
      <w:lang w:eastAsia="zh-TW"/>
    </w:rPr>
  </w:style>
  <w:style w:type="paragraph" w:customStyle="1" w:styleId="2672">
    <w:name w:val="表内文字小2131"/>
    <w:basedOn w:val="1"/>
    <w:qFormat/>
    <w:uiPriority w:val="0"/>
    <w:pPr>
      <w:widowControl/>
      <w:jc w:val="center"/>
      <w:textAlignment w:val="baseline"/>
    </w:pPr>
    <w:rPr>
      <w:rFonts w:ascii="宋体" w:hAnsi="Times" w:cs="宋体"/>
      <w:bCs/>
      <w:kern w:val="0"/>
      <w:szCs w:val="20"/>
    </w:rPr>
  </w:style>
  <w:style w:type="paragraph" w:customStyle="1" w:styleId="2673">
    <w:name w:val="小4黑居中行1"/>
    <w:basedOn w:val="98"/>
    <w:qFormat/>
    <w:uiPriority w:val="0"/>
    <w:pPr>
      <w:jc w:val="center"/>
    </w:pPr>
    <w:rPr>
      <w:rFonts w:ascii="Times New Roman" w:hAnsi="Times New Roman" w:cs="Times New Roman"/>
      <w:color w:val="000000"/>
      <w:szCs w:val="21"/>
    </w:rPr>
  </w:style>
  <w:style w:type="paragraph" w:customStyle="1" w:styleId="2674">
    <w:name w:val="正文修改4111"/>
    <w:basedOn w:val="786"/>
    <w:qFormat/>
    <w:uiPriority w:val="0"/>
    <w:rPr>
      <w:rFonts w:hAnsi="宋体" w:eastAsia="宋体" w:cs="宋体"/>
      <w:szCs w:val="24"/>
    </w:rPr>
  </w:style>
  <w:style w:type="paragraph" w:customStyle="1" w:styleId="2675">
    <w:name w:val="样式 正文文本缩进 + 宋体 五号 黑色 全部大写 居中 首行缩进:  0 厘米 段前: 0 磅 行距: 单倍行距"/>
    <w:basedOn w:val="26"/>
    <w:qFormat/>
    <w:uiPriority w:val="0"/>
    <w:pPr>
      <w:spacing w:after="0" w:line="240" w:lineRule="auto"/>
      <w:ind w:left="0" w:leftChars="0" w:firstLine="0" w:firstLineChars="0"/>
      <w:jc w:val="center"/>
      <w:textAlignment w:val="baseline"/>
    </w:pPr>
    <w:rPr>
      <w:rFonts w:ascii="宋体" w:hAnsi="宋体" w:cs="宋体"/>
      <w:kern w:val="28"/>
      <w:sz w:val="21"/>
      <w:szCs w:val="21"/>
    </w:rPr>
  </w:style>
  <w:style w:type="paragraph" w:customStyle="1" w:styleId="2676">
    <w:name w:val="Char Char Char Char Char Char Char214"/>
    <w:basedOn w:val="1"/>
    <w:qFormat/>
    <w:uiPriority w:val="0"/>
    <w:pPr>
      <w:widowControl/>
      <w:jc w:val="left"/>
    </w:pPr>
    <w:rPr>
      <w:rFonts w:ascii="宋体" w:hAnsi="宋体" w:cs="宋体"/>
      <w:kern w:val="0"/>
      <w:szCs w:val="24"/>
    </w:rPr>
  </w:style>
  <w:style w:type="paragraph" w:customStyle="1" w:styleId="2677">
    <w:name w:val="reader-word-layer reader-word-s18-16"/>
    <w:basedOn w:val="1"/>
    <w:qFormat/>
    <w:uiPriority w:val="0"/>
    <w:pPr>
      <w:widowControl/>
      <w:spacing w:before="100" w:beforeAutospacing="1" w:after="100" w:afterAutospacing="1"/>
      <w:jc w:val="left"/>
    </w:pPr>
    <w:rPr>
      <w:rFonts w:ascii="宋体" w:hAnsi="宋体" w:cs="宋体"/>
      <w:kern w:val="0"/>
      <w:szCs w:val="24"/>
    </w:rPr>
  </w:style>
  <w:style w:type="paragraph" w:customStyle="1" w:styleId="2678">
    <w:name w:val="Char Char Char Char Char Char Char Char Char Char Char Char Char Char Char Char Char Char Char Char Char Char Char Char"/>
    <w:basedOn w:val="1"/>
    <w:qFormat/>
    <w:uiPriority w:val="0"/>
    <w:pPr>
      <w:widowControl/>
      <w:jc w:val="left"/>
    </w:pPr>
    <w:rPr>
      <w:rFonts w:ascii="宋体" w:hAnsi="宋体" w:cs="宋体"/>
      <w:kern w:val="0"/>
      <w:szCs w:val="24"/>
    </w:rPr>
  </w:style>
  <w:style w:type="paragraph" w:customStyle="1" w:styleId="2679">
    <w:name w:val="Char422"/>
    <w:basedOn w:val="1"/>
    <w:qFormat/>
    <w:uiPriority w:val="0"/>
    <w:pPr>
      <w:widowControl/>
      <w:ind w:left="-48"/>
      <w:jc w:val="left"/>
    </w:pPr>
    <w:rPr>
      <w:rFonts w:ascii="宋体" w:hAnsi="宋体" w:cs="宋体"/>
      <w:kern w:val="0"/>
      <w:szCs w:val="24"/>
    </w:rPr>
  </w:style>
  <w:style w:type="paragraph" w:customStyle="1" w:styleId="2680">
    <w:name w:val="xl70"/>
    <w:basedOn w:val="1"/>
    <w:qFormat/>
    <w:uiPriority w:val="0"/>
    <w:pPr>
      <w:widowControl/>
      <w:pBdr>
        <w:bottom w:val="single" w:color="auto" w:sz="8" w:space="0"/>
        <w:right w:val="single" w:color="auto" w:sz="8" w:space="0"/>
      </w:pBdr>
      <w:spacing w:before="100" w:beforeAutospacing="1" w:after="100" w:afterAutospacing="1"/>
      <w:jc w:val="center"/>
    </w:pPr>
    <w:rPr>
      <w:kern w:val="0"/>
      <w:szCs w:val="21"/>
    </w:rPr>
  </w:style>
  <w:style w:type="paragraph" w:customStyle="1" w:styleId="2681">
    <w:name w:val="Char471"/>
    <w:basedOn w:val="1"/>
    <w:qFormat/>
    <w:uiPriority w:val="0"/>
    <w:pPr>
      <w:widowControl/>
      <w:ind w:left="-48"/>
      <w:jc w:val="left"/>
    </w:pPr>
    <w:rPr>
      <w:rFonts w:ascii="宋体" w:hAnsi="宋体" w:cs="宋体"/>
      <w:kern w:val="0"/>
      <w:szCs w:val="24"/>
    </w:rPr>
  </w:style>
  <w:style w:type="paragraph" w:customStyle="1" w:styleId="2682">
    <w:name w:val="表中文字12"/>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683">
    <w:name w:val="正文修改331"/>
    <w:basedOn w:val="786"/>
    <w:qFormat/>
    <w:uiPriority w:val="0"/>
    <w:rPr>
      <w:rFonts w:hAnsi="宋体" w:eastAsia="宋体" w:cs="宋体"/>
      <w:szCs w:val="24"/>
    </w:rPr>
  </w:style>
  <w:style w:type="paragraph" w:customStyle="1" w:styleId="2684">
    <w:name w:val="燕山正文1161"/>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2685">
    <w:name w:val="表题141"/>
    <w:basedOn w:val="1"/>
    <w:qFormat/>
    <w:uiPriority w:val="0"/>
    <w:pPr>
      <w:widowControl/>
      <w:jc w:val="center"/>
    </w:pPr>
    <w:rPr>
      <w:rFonts w:ascii="黑体" w:hAnsi="宋体" w:eastAsia="黑体" w:cs="宋体"/>
      <w:kern w:val="0"/>
      <w:szCs w:val="24"/>
    </w:rPr>
  </w:style>
  <w:style w:type="paragraph" w:customStyle="1" w:styleId="2686">
    <w:name w:val="Char7"/>
    <w:basedOn w:val="1"/>
    <w:qFormat/>
    <w:uiPriority w:val="0"/>
    <w:pPr>
      <w:widowControl/>
      <w:ind w:left="-48"/>
      <w:jc w:val="left"/>
    </w:pPr>
    <w:rPr>
      <w:rFonts w:ascii="宋体" w:hAnsi="宋体" w:cs="宋体"/>
      <w:kern w:val="0"/>
      <w:szCs w:val="24"/>
    </w:rPr>
  </w:style>
  <w:style w:type="paragraph" w:customStyle="1" w:styleId="2687">
    <w:name w:val="Char Char Char Char Char Char Char261"/>
    <w:basedOn w:val="1"/>
    <w:qFormat/>
    <w:uiPriority w:val="0"/>
    <w:pPr>
      <w:widowControl/>
      <w:jc w:val="left"/>
    </w:pPr>
    <w:rPr>
      <w:rFonts w:ascii="宋体" w:hAnsi="宋体" w:cs="宋体"/>
      <w:kern w:val="0"/>
      <w:szCs w:val="24"/>
    </w:rPr>
  </w:style>
  <w:style w:type="paragraph" w:customStyle="1" w:styleId="2688">
    <w:name w:val="Char Char Char Char Char Char Char Char Char Char Char Char Char Char Char Char Char Char Char Char Char Char Char Char Char Char Char Char Char Char Char Char Char"/>
    <w:basedOn w:val="1"/>
    <w:qFormat/>
    <w:uiPriority w:val="0"/>
    <w:pPr>
      <w:widowControl/>
      <w:jc w:val="left"/>
    </w:pPr>
    <w:rPr>
      <w:rFonts w:ascii="宋体" w:hAnsi="宋体" w:cs="宋体"/>
      <w:kern w:val="0"/>
      <w:szCs w:val="24"/>
    </w:rPr>
  </w:style>
  <w:style w:type="paragraph" w:customStyle="1" w:styleId="2689">
    <w:name w:val="收信人地址1"/>
    <w:basedOn w:val="1"/>
    <w:qFormat/>
    <w:uiPriority w:val="0"/>
    <w:pPr>
      <w:widowControl/>
      <w:ind w:left="100" w:leftChars="1400"/>
      <w:jc w:val="left"/>
    </w:pPr>
    <w:rPr>
      <w:rFonts w:ascii="Arial" w:hAnsi="Arial" w:cs="Arial"/>
      <w:kern w:val="0"/>
      <w:szCs w:val="24"/>
    </w:rPr>
  </w:style>
  <w:style w:type="paragraph" w:customStyle="1" w:styleId="2690">
    <w:name w:val="Char4 Char Char Char Char Char Char1"/>
    <w:basedOn w:val="1"/>
    <w:qFormat/>
    <w:uiPriority w:val="0"/>
    <w:pPr>
      <w:widowControl/>
      <w:jc w:val="left"/>
    </w:pPr>
    <w:rPr>
      <w:rFonts w:ascii="宋体" w:hAnsi="宋体" w:cs="宋体"/>
      <w:kern w:val="0"/>
      <w:szCs w:val="24"/>
    </w:rPr>
  </w:style>
  <w:style w:type="paragraph" w:customStyle="1" w:styleId="2691">
    <w:name w:val="Char Char Char Char1 Char Char Char17"/>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2692">
    <w:name w:val="表31"/>
    <w:basedOn w:val="1"/>
    <w:qFormat/>
    <w:uiPriority w:val="0"/>
    <w:pPr>
      <w:widowControl/>
      <w:jc w:val="center"/>
    </w:pPr>
    <w:rPr>
      <w:rFonts w:ascii="宋体" w:hAnsi="宋体" w:cs="宋体"/>
      <w:kern w:val="0"/>
      <w:szCs w:val="24"/>
    </w:rPr>
  </w:style>
  <w:style w:type="paragraph" w:customStyle="1" w:styleId="2693">
    <w:name w:val="标题431131"/>
    <w:basedOn w:val="1"/>
    <w:qFormat/>
    <w:uiPriority w:val="0"/>
    <w:pPr>
      <w:widowControl/>
      <w:spacing w:line="480" w:lineRule="exact"/>
      <w:jc w:val="center"/>
    </w:pPr>
    <w:rPr>
      <w:rFonts w:ascii="宋体" w:hAnsi="宋体" w:cs="宋体"/>
      <w:kern w:val="0"/>
      <w:szCs w:val="24"/>
    </w:rPr>
  </w:style>
  <w:style w:type="paragraph" w:customStyle="1" w:styleId="2694">
    <w:name w:val="表题1414"/>
    <w:basedOn w:val="1"/>
    <w:qFormat/>
    <w:uiPriority w:val="0"/>
    <w:pPr>
      <w:widowControl/>
      <w:jc w:val="center"/>
    </w:pPr>
    <w:rPr>
      <w:rFonts w:ascii="黑体" w:hAnsi="宋体" w:eastAsia="黑体" w:cs="宋体"/>
      <w:kern w:val="0"/>
      <w:szCs w:val="24"/>
    </w:rPr>
  </w:style>
  <w:style w:type="paragraph" w:customStyle="1" w:styleId="2695">
    <w:name w:val="正文格式1111"/>
    <w:basedOn w:val="1"/>
    <w:qFormat/>
    <w:uiPriority w:val="0"/>
    <w:pPr>
      <w:widowControl/>
      <w:ind w:firstLine="482"/>
      <w:jc w:val="left"/>
    </w:pPr>
    <w:rPr>
      <w:rFonts w:ascii="宋体" w:hAnsi="宋体" w:cs="宋体"/>
      <w:kern w:val="0"/>
      <w:szCs w:val="24"/>
    </w:rPr>
  </w:style>
  <w:style w:type="paragraph" w:customStyle="1" w:styleId="2696">
    <w:name w:val="GM"/>
    <w:basedOn w:val="2"/>
    <w:qFormat/>
    <w:uiPriority w:val="0"/>
    <w:pPr>
      <w:keepLines w:val="0"/>
      <w:numPr>
        <w:numId w:val="0"/>
      </w:numPr>
      <w:tabs>
        <w:tab w:val="left" w:pos="2260"/>
        <w:tab w:val="left" w:pos="2820"/>
        <w:tab w:val="left" w:pos="3420"/>
      </w:tabs>
      <w:spacing w:beforeLines="100" w:line="240" w:lineRule="auto"/>
      <w:ind w:left="851" w:right="-28" w:hanging="851"/>
      <w:jc w:val="left"/>
    </w:pPr>
    <w:rPr>
      <w:rFonts w:ascii="Arial" w:hAnsi="Arial"/>
      <w:bCs w:val="0"/>
      <w:kern w:val="0"/>
      <w:sz w:val="22"/>
      <w:szCs w:val="20"/>
    </w:rPr>
  </w:style>
  <w:style w:type="paragraph" w:customStyle="1" w:styleId="2697">
    <w:name w:val="表内宋5121"/>
    <w:basedOn w:val="1698"/>
    <w:qFormat/>
    <w:uiPriority w:val="0"/>
    <w:pPr>
      <w:autoSpaceDE w:val="0"/>
      <w:autoSpaceDN w:val="0"/>
      <w:textAlignment w:val="auto"/>
    </w:pPr>
    <w:rPr>
      <w:color w:val="auto"/>
      <w:w w:val="90"/>
    </w:rPr>
  </w:style>
  <w:style w:type="paragraph" w:customStyle="1" w:styleId="2698">
    <w:name w:val="表题2113"/>
    <w:basedOn w:val="1"/>
    <w:qFormat/>
    <w:uiPriority w:val="0"/>
    <w:pPr>
      <w:widowControl/>
      <w:jc w:val="center"/>
    </w:pPr>
    <w:rPr>
      <w:rFonts w:ascii="黑体" w:hAnsi="宋体" w:eastAsia="黑体" w:cs="宋体"/>
      <w:kern w:val="0"/>
      <w:szCs w:val="24"/>
    </w:rPr>
  </w:style>
  <w:style w:type="paragraph" w:customStyle="1" w:styleId="2699">
    <w:name w:val="表内文字小231"/>
    <w:basedOn w:val="1"/>
    <w:qFormat/>
    <w:uiPriority w:val="0"/>
    <w:pPr>
      <w:widowControl/>
      <w:jc w:val="center"/>
    </w:pPr>
    <w:rPr>
      <w:rFonts w:ascii="宋体" w:hAnsi="Times" w:cs="宋体"/>
      <w:bCs/>
      <w:kern w:val="0"/>
      <w:szCs w:val="20"/>
    </w:rPr>
  </w:style>
  <w:style w:type="paragraph" w:customStyle="1" w:styleId="2700">
    <w:name w:val="样式 标题 3 + 段前: 12 磅12"/>
    <w:basedOn w:val="4"/>
    <w:qFormat/>
    <w:uiPriority w:val="0"/>
    <w:pPr>
      <w:keepNext w:val="0"/>
      <w:keepLines w:val="0"/>
      <w:widowControl/>
      <w:autoSpaceDE w:val="0"/>
      <w:autoSpaceDN w:val="0"/>
      <w:jc w:val="both"/>
    </w:pPr>
    <w:rPr>
      <w:rFonts w:ascii="黑体" w:hAnsi="宋体" w:eastAsia="黑体" w:cs="宋体"/>
      <w:b w:val="0"/>
      <w:bCs w:val="0"/>
      <w:kern w:val="21"/>
      <w:szCs w:val="20"/>
    </w:rPr>
  </w:style>
  <w:style w:type="paragraph" w:customStyle="1" w:styleId="2701">
    <w:name w:val="表内文字小31213"/>
    <w:basedOn w:val="1"/>
    <w:qFormat/>
    <w:uiPriority w:val="0"/>
    <w:pPr>
      <w:widowControl/>
      <w:jc w:val="center"/>
    </w:pPr>
    <w:rPr>
      <w:rFonts w:ascii="宋体" w:hAnsi="Times" w:cs="宋体"/>
      <w:bCs/>
      <w:color w:val="003366"/>
      <w:kern w:val="0"/>
      <w:szCs w:val="20"/>
    </w:rPr>
  </w:style>
  <w:style w:type="paragraph" w:customStyle="1" w:styleId="2702">
    <w:name w:val="表中文字123"/>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703">
    <w:name w:val="默认段落字体 Para Char Char Char Char2111"/>
    <w:basedOn w:val="1"/>
    <w:qFormat/>
    <w:uiPriority w:val="0"/>
    <w:pPr>
      <w:widowControl/>
      <w:jc w:val="left"/>
    </w:pPr>
    <w:rPr>
      <w:rFonts w:ascii="宋体" w:hAnsi="宋体" w:cs="宋体"/>
      <w:kern w:val="0"/>
      <w:szCs w:val="24"/>
    </w:rPr>
  </w:style>
  <w:style w:type="paragraph" w:customStyle="1" w:styleId="2704">
    <w:name w:val="表题3134"/>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705">
    <w:name w:val="xl82"/>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仿宋" w:hAnsi="仿宋" w:eastAsia="仿宋" w:cs="宋体"/>
      <w:kern w:val="0"/>
      <w:szCs w:val="21"/>
    </w:rPr>
  </w:style>
  <w:style w:type="paragraph" w:customStyle="1" w:styleId="2706">
    <w:name w:val="Char Char2 Char Char Char Char43"/>
    <w:basedOn w:val="1"/>
    <w:qFormat/>
    <w:uiPriority w:val="0"/>
    <w:pPr>
      <w:widowControl/>
      <w:jc w:val="left"/>
    </w:pPr>
    <w:rPr>
      <w:rFonts w:ascii="宋体" w:hAnsi="宋体" w:cs="宋体"/>
      <w:kern w:val="0"/>
      <w:szCs w:val="24"/>
    </w:rPr>
  </w:style>
  <w:style w:type="paragraph" w:customStyle="1" w:styleId="2707">
    <w:name w:val="表题17"/>
    <w:basedOn w:val="17"/>
    <w:qFormat/>
    <w:uiPriority w:val="0"/>
    <w:pPr>
      <w:widowControl/>
      <w:ind w:firstLine="0" w:firstLineChars="0"/>
      <w:jc w:val="center"/>
    </w:pPr>
    <w:rPr>
      <w:rFonts w:ascii="黑体" w:cs="Arial"/>
      <w:b/>
    </w:rPr>
  </w:style>
  <w:style w:type="paragraph" w:customStyle="1" w:styleId="2708">
    <w:name w:val="表题317"/>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709">
    <w:name w:val="默认段落字体 Para Char Char Char Char511"/>
    <w:basedOn w:val="1"/>
    <w:qFormat/>
    <w:uiPriority w:val="0"/>
    <w:pPr>
      <w:widowControl/>
      <w:jc w:val="left"/>
    </w:pPr>
    <w:rPr>
      <w:rFonts w:ascii="宋体" w:hAnsi="宋体" w:cs="宋体"/>
      <w:kern w:val="0"/>
      <w:szCs w:val="24"/>
    </w:rPr>
  </w:style>
  <w:style w:type="paragraph" w:customStyle="1" w:styleId="2710">
    <w:name w:val="正文修改14"/>
    <w:basedOn w:val="786"/>
    <w:qFormat/>
    <w:uiPriority w:val="0"/>
    <w:rPr>
      <w:rFonts w:hAnsi="宋体" w:eastAsia="宋体" w:cs="宋体"/>
      <w:szCs w:val="24"/>
    </w:rPr>
  </w:style>
  <w:style w:type="paragraph" w:customStyle="1" w:styleId="2711">
    <w:name w:val="xl48"/>
    <w:basedOn w:val="1"/>
    <w:qFormat/>
    <w:uiPriority w:val="0"/>
    <w:pPr>
      <w:widowControl/>
      <w:pBdr>
        <w:top w:val="single" w:color="auto" w:sz="4" w:space="0"/>
        <w:left w:val="double" w:color="auto" w:sz="6" w:space="0"/>
        <w:bottom w:val="single" w:color="auto" w:sz="4" w:space="0"/>
        <w:right w:val="single" w:color="auto" w:sz="4" w:space="0"/>
      </w:pBdr>
      <w:spacing w:before="100" w:beforeAutospacing="1" w:after="100" w:afterAutospacing="1"/>
      <w:jc w:val="left"/>
      <w:textAlignment w:val="center"/>
    </w:pPr>
    <w:rPr>
      <w:rFonts w:ascii="PMingLiU" w:eastAsia="PMingLiU"/>
      <w:kern w:val="0"/>
      <w:szCs w:val="24"/>
      <w:lang w:eastAsia="zh-TW"/>
    </w:rPr>
  </w:style>
  <w:style w:type="paragraph" w:customStyle="1" w:styleId="2712">
    <w:name w:val="xl50"/>
    <w:basedOn w:val="1"/>
    <w:qFormat/>
    <w:uiPriority w:val="0"/>
    <w:pPr>
      <w:widowControl/>
      <w:pBdr>
        <w:top w:val="single" w:color="auto" w:sz="4" w:space="0"/>
        <w:left w:val="single" w:color="auto" w:sz="4" w:space="0"/>
        <w:bottom w:val="single" w:color="auto" w:sz="4" w:space="0"/>
        <w:right w:val="double" w:color="auto" w:sz="6" w:space="0"/>
      </w:pBdr>
      <w:spacing w:before="100" w:beforeAutospacing="1" w:after="100" w:afterAutospacing="1"/>
      <w:jc w:val="left"/>
      <w:textAlignment w:val="center"/>
    </w:pPr>
    <w:rPr>
      <w:rFonts w:hint="eastAsia" w:ascii="PMingLiU" w:eastAsia="PMingLiU"/>
      <w:kern w:val="0"/>
      <w:sz w:val="16"/>
      <w:szCs w:val="16"/>
      <w:lang w:eastAsia="zh-TW"/>
    </w:rPr>
  </w:style>
  <w:style w:type="paragraph" w:customStyle="1" w:styleId="2713">
    <w:name w:val="图题7"/>
    <w:basedOn w:val="418"/>
    <w:next w:val="418"/>
    <w:qFormat/>
    <w:uiPriority w:val="0"/>
    <w:pPr>
      <w:ind w:firstLine="0"/>
      <w:jc w:val="center"/>
    </w:pPr>
    <w:rPr>
      <w:rFonts w:ascii="黑体" w:hAnsi="宋体" w:eastAsia="黑体" w:cs="宋体"/>
      <w:b/>
      <w:bCs/>
      <w:szCs w:val="24"/>
    </w:rPr>
  </w:style>
  <w:style w:type="paragraph" w:customStyle="1" w:styleId="2714">
    <w:name w:val="Char Char2 Char Char Char Char6"/>
    <w:basedOn w:val="1"/>
    <w:qFormat/>
    <w:uiPriority w:val="0"/>
    <w:pPr>
      <w:widowControl/>
      <w:jc w:val="left"/>
    </w:pPr>
    <w:rPr>
      <w:rFonts w:ascii="宋体" w:hAnsi="宋体" w:cs="宋体"/>
      <w:kern w:val="0"/>
      <w:szCs w:val="24"/>
    </w:rPr>
  </w:style>
  <w:style w:type="paragraph" w:customStyle="1" w:styleId="2715">
    <w:name w:val="正文格式＝71"/>
    <w:basedOn w:val="418"/>
    <w:next w:val="418"/>
    <w:qFormat/>
    <w:uiPriority w:val="0"/>
    <w:rPr>
      <w:rFonts w:hAnsi="宋体"/>
      <w:szCs w:val="24"/>
    </w:rPr>
  </w:style>
  <w:style w:type="paragraph" w:customStyle="1" w:styleId="2716">
    <w:name w:val="xl41"/>
    <w:basedOn w:val="1"/>
    <w:qFormat/>
    <w:uiPriority w:val="0"/>
    <w:pPr>
      <w:widowControl/>
      <w:pBdr>
        <w:top w:val="double" w:color="auto" w:sz="6" w:space="0"/>
        <w:left w:val="single" w:color="auto" w:sz="4" w:space="0"/>
        <w:bottom w:val="single" w:color="auto" w:sz="4" w:space="0"/>
        <w:right w:val="double" w:color="auto" w:sz="6" w:space="0"/>
      </w:pBdr>
      <w:spacing w:before="100" w:beforeAutospacing="1" w:after="100" w:afterAutospacing="1"/>
      <w:jc w:val="center"/>
      <w:textAlignment w:val="center"/>
    </w:pPr>
    <w:rPr>
      <w:rFonts w:ascii="PMingLiU" w:eastAsia="PMingLiU"/>
      <w:kern w:val="0"/>
      <w:szCs w:val="24"/>
      <w:lang w:eastAsia="zh-TW"/>
    </w:rPr>
  </w:style>
  <w:style w:type="paragraph" w:customStyle="1" w:styleId="2717">
    <w:name w:val="表内文字小21313"/>
    <w:basedOn w:val="1"/>
    <w:qFormat/>
    <w:uiPriority w:val="0"/>
    <w:pPr>
      <w:widowControl/>
      <w:jc w:val="center"/>
      <w:textAlignment w:val="baseline"/>
    </w:pPr>
    <w:rPr>
      <w:rFonts w:ascii="宋体" w:hAnsi="Times" w:cs="宋体"/>
      <w:bCs/>
      <w:kern w:val="0"/>
      <w:szCs w:val="20"/>
    </w:rPr>
  </w:style>
  <w:style w:type="paragraph" w:customStyle="1" w:styleId="2718">
    <w:name w:val="样式 标题 3 + 段前: 12 磅11"/>
    <w:basedOn w:val="4"/>
    <w:qFormat/>
    <w:uiPriority w:val="0"/>
    <w:pPr>
      <w:keepNext w:val="0"/>
      <w:keepLines w:val="0"/>
      <w:widowControl/>
      <w:autoSpaceDE w:val="0"/>
      <w:autoSpaceDN w:val="0"/>
      <w:jc w:val="both"/>
    </w:pPr>
    <w:rPr>
      <w:rFonts w:ascii="黑体" w:hAnsi="宋体" w:eastAsia="黑体" w:cs="宋体"/>
      <w:b w:val="0"/>
      <w:bCs w:val="0"/>
      <w:kern w:val="21"/>
      <w:szCs w:val="20"/>
    </w:rPr>
  </w:style>
  <w:style w:type="paragraph" w:customStyle="1" w:styleId="2719">
    <w:name w:val="xl80"/>
    <w:basedOn w:val="1"/>
    <w:qFormat/>
    <w:uiPriority w:val="0"/>
    <w:pPr>
      <w:widowControl/>
      <w:pBdr>
        <w:top w:val="single" w:color="auto" w:sz="8" w:space="0"/>
        <w:right w:val="single" w:color="auto" w:sz="8" w:space="0"/>
      </w:pBdr>
      <w:spacing w:before="100" w:beforeAutospacing="1" w:after="100" w:afterAutospacing="1"/>
      <w:jc w:val="center"/>
    </w:pPr>
    <w:rPr>
      <w:kern w:val="0"/>
      <w:szCs w:val="21"/>
    </w:rPr>
  </w:style>
  <w:style w:type="paragraph" w:customStyle="1" w:styleId="2720">
    <w:name w:val="正文格式221"/>
    <w:basedOn w:val="1"/>
    <w:qFormat/>
    <w:uiPriority w:val="0"/>
    <w:pPr>
      <w:widowControl/>
      <w:ind w:firstLine="482"/>
      <w:jc w:val="left"/>
    </w:pPr>
    <w:rPr>
      <w:rFonts w:ascii="宋体" w:hAnsi="宋体" w:cs="宋体"/>
      <w:kern w:val="0"/>
      <w:szCs w:val="24"/>
    </w:rPr>
  </w:style>
  <w:style w:type="paragraph" w:customStyle="1" w:styleId="2721">
    <w:name w:val="13"/>
    <w:basedOn w:val="1"/>
    <w:next w:val="1"/>
    <w:qFormat/>
    <w:uiPriority w:val="0"/>
    <w:pPr>
      <w:spacing w:line="312" w:lineRule="atLeast"/>
      <w:textAlignment w:val="baseline"/>
    </w:pPr>
    <w:rPr>
      <w:kern w:val="0"/>
      <w:szCs w:val="20"/>
    </w:rPr>
  </w:style>
  <w:style w:type="paragraph" w:customStyle="1" w:styleId="2722">
    <w:name w:val="样式 标题 4无效格式无效格式1河石管道4H4H41小小节河石管道41H42H411小小节1河石管道42...22"/>
    <w:basedOn w:val="5"/>
    <w:qFormat/>
    <w:uiPriority w:val="0"/>
    <w:pPr>
      <w:numPr>
        <w:ilvl w:val="0"/>
        <w:numId w:val="0"/>
      </w:numPr>
      <w:spacing w:after="0" w:line="360" w:lineRule="auto"/>
      <w:ind w:left="664" w:hanging="864"/>
    </w:pPr>
    <w:rPr>
      <w:rFonts w:ascii="黑体" w:hAnsi="Arial" w:eastAsia="黑体"/>
      <w:b w:val="0"/>
      <w:bCs w:val="0"/>
      <w:kern w:val="2"/>
      <w:sz w:val="24"/>
      <w:szCs w:val="24"/>
    </w:rPr>
  </w:style>
  <w:style w:type="paragraph" w:customStyle="1" w:styleId="2723">
    <w:name w:val="黑体三号311"/>
    <w:basedOn w:val="418"/>
    <w:qFormat/>
    <w:uiPriority w:val="0"/>
    <w:pPr>
      <w:jc w:val="center"/>
    </w:pPr>
    <w:rPr>
      <w:rFonts w:ascii="黑体" w:hAnsi="宋体" w:eastAsia="黑体" w:cs="宋体"/>
      <w:b/>
      <w:bCs/>
      <w:sz w:val="32"/>
      <w:szCs w:val="20"/>
    </w:rPr>
  </w:style>
  <w:style w:type="paragraph" w:customStyle="1" w:styleId="2724">
    <w:name w:val="puce"/>
    <w:basedOn w:val="1"/>
    <w:qFormat/>
    <w:uiPriority w:val="0"/>
    <w:pPr>
      <w:widowControl/>
      <w:tabs>
        <w:tab w:val="left" w:pos="780"/>
        <w:tab w:val="left" w:pos="1200"/>
      </w:tabs>
      <w:ind w:firstLine="480"/>
      <w:jc w:val="left"/>
    </w:pPr>
    <w:rPr>
      <w:rFonts w:ascii="Arial" w:hAnsi="Arial" w:cs="宋体"/>
      <w:snapToGrid w:val="0"/>
      <w:color w:val="FF00FF"/>
      <w:kern w:val="0"/>
      <w:szCs w:val="24"/>
    </w:rPr>
  </w:style>
  <w:style w:type="paragraph" w:customStyle="1" w:styleId="2725">
    <w:name w:val="燕山正文521"/>
    <w:basedOn w:val="1"/>
    <w:qFormat/>
    <w:uiPriority w:val="0"/>
    <w:pPr>
      <w:widowControl/>
      <w:tabs>
        <w:tab w:val="left" w:pos="4680"/>
      </w:tabs>
      <w:spacing w:line="480" w:lineRule="exact"/>
      <w:jc w:val="left"/>
    </w:pPr>
    <w:rPr>
      <w:rFonts w:ascii="宋体" w:hAnsi="宋体" w:cs="宋体"/>
      <w:kern w:val="0"/>
      <w:szCs w:val="24"/>
    </w:rPr>
  </w:style>
  <w:style w:type="paragraph" w:customStyle="1" w:styleId="2726">
    <w:name w:val="默认段落字体 Para Char Char Char Char34"/>
    <w:basedOn w:val="1"/>
    <w:qFormat/>
    <w:uiPriority w:val="0"/>
    <w:pPr>
      <w:widowControl/>
      <w:jc w:val="left"/>
    </w:pPr>
    <w:rPr>
      <w:rFonts w:ascii="宋体" w:hAnsi="宋体" w:cs="宋体"/>
      <w:kern w:val="0"/>
      <w:szCs w:val="24"/>
    </w:rPr>
  </w:style>
  <w:style w:type="paragraph" w:customStyle="1" w:styleId="2727">
    <w:name w:val="Char Char Char11"/>
    <w:basedOn w:val="1"/>
    <w:qFormat/>
    <w:uiPriority w:val="0"/>
    <w:pPr>
      <w:widowControl/>
      <w:jc w:val="left"/>
    </w:pPr>
    <w:rPr>
      <w:rFonts w:ascii="宋体" w:hAnsi="宋体" w:cs="宋体"/>
      <w:kern w:val="0"/>
      <w:szCs w:val="24"/>
    </w:rPr>
  </w:style>
  <w:style w:type="paragraph" w:customStyle="1" w:styleId="2728">
    <w:name w:val="图题42"/>
    <w:basedOn w:val="418"/>
    <w:next w:val="418"/>
    <w:qFormat/>
    <w:uiPriority w:val="0"/>
    <w:pPr>
      <w:ind w:firstLine="0"/>
      <w:jc w:val="center"/>
    </w:pPr>
    <w:rPr>
      <w:rFonts w:ascii="黑体" w:hAnsi="宋体" w:eastAsia="黑体" w:cs="宋体"/>
      <w:b/>
      <w:bCs/>
      <w:szCs w:val="24"/>
    </w:rPr>
  </w:style>
  <w:style w:type="paragraph" w:customStyle="1" w:styleId="2729">
    <w:name w:val="正文格式1"/>
    <w:basedOn w:val="1"/>
    <w:qFormat/>
    <w:uiPriority w:val="0"/>
    <w:pPr>
      <w:widowControl/>
      <w:ind w:firstLine="482"/>
      <w:jc w:val="left"/>
    </w:pPr>
    <w:rPr>
      <w:rFonts w:ascii="宋体" w:hAnsi="宋体" w:cs="宋体"/>
      <w:kern w:val="0"/>
      <w:szCs w:val="24"/>
    </w:rPr>
  </w:style>
  <w:style w:type="paragraph" w:customStyle="1" w:styleId="2730">
    <w:name w:val="燕山正文312"/>
    <w:basedOn w:val="1"/>
    <w:qFormat/>
    <w:uiPriority w:val="0"/>
    <w:pPr>
      <w:widowControl/>
      <w:tabs>
        <w:tab w:val="left" w:pos="4680"/>
      </w:tabs>
      <w:spacing w:line="480" w:lineRule="exact"/>
      <w:jc w:val="left"/>
    </w:pPr>
    <w:rPr>
      <w:rFonts w:ascii="宋体" w:hAnsi="宋体" w:cs="宋体"/>
      <w:kern w:val="0"/>
      <w:szCs w:val="24"/>
    </w:rPr>
  </w:style>
  <w:style w:type="paragraph" w:customStyle="1" w:styleId="2731">
    <w:name w:val="黑体三号22"/>
    <w:basedOn w:val="418"/>
    <w:qFormat/>
    <w:uiPriority w:val="0"/>
    <w:pPr>
      <w:jc w:val="center"/>
    </w:pPr>
    <w:rPr>
      <w:rFonts w:ascii="黑体" w:hAnsi="宋体" w:eastAsia="黑体" w:cs="宋体"/>
      <w:b/>
      <w:bCs/>
      <w:sz w:val="32"/>
      <w:szCs w:val="20"/>
    </w:rPr>
  </w:style>
  <w:style w:type="paragraph" w:customStyle="1" w:styleId="2732">
    <w:name w:val="表格内字体81"/>
    <w:basedOn w:val="418"/>
    <w:next w:val="418"/>
    <w:qFormat/>
    <w:uiPriority w:val="0"/>
    <w:pPr>
      <w:spacing w:line="240" w:lineRule="auto"/>
      <w:ind w:firstLine="0"/>
      <w:jc w:val="center"/>
    </w:pPr>
    <w:rPr>
      <w:rFonts w:hAnsi="宋体"/>
      <w:sz w:val="21"/>
      <w:szCs w:val="24"/>
    </w:rPr>
  </w:style>
  <w:style w:type="paragraph" w:customStyle="1" w:styleId="2733">
    <w:name w:val="表41"/>
    <w:basedOn w:val="1"/>
    <w:qFormat/>
    <w:uiPriority w:val="0"/>
    <w:pPr>
      <w:widowControl/>
      <w:jc w:val="center"/>
    </w:pPr>
    <w:rPr>
      <w:rFonts w:ascii="宋体" w:hAnsi="宋体" w:cs="宋体"/>
      <w:kern w:val="0"/>
      <w:szCs w:val="24"/>
    </w:rPr>
  </w:style>
  <w:style w:type="paragraph" w:customStyle="1" w:styleId="2734">
    <w:name w:val="Char63"/>
    <w:basedOn w:val="1"/>
    <w:qFormat/>
    <w:uiPriority w:val="0"/>
    <w:pPr>
      <w:widowControl/>
      <w:spacing w:before="156"/>
      <w:jc w:val="left"/>
    </w:pPr>
    <w:rPr>
      <w:rFonts w:ascii="黑体" w:hAnsi="宋体" w:eastAsia="黑体" w:cs="宋体"/>
      <w:kern w:val="0"/>
      <w:sz w:val="32"/>
      <w:szCs w:val="32"/>
    </w:rPr>
  </w:style>
  <w:style w:type="paragraph" w:customStyle="1" w:styleId="2735">
    <w:name w:val="表格内字体53"/>
    <w:basedOn w:val="418"/>
    <w:next w:val="418"/>
    <w:qFormat/>
    <w:uiPriority w:val="0"/>
    <w:pPr>
      <w:spacing w:line="240" w:lineRule="auto"/>
      <w:ind w:firstLine="0"/>
    </w:pPr>
    <w:rPr>
      <w:rFonts w:hAnsi="宋体"/>
      <w:sz w:val="21"/>
      <w:szCs w:val="24"/>
    </w:rPr>
  </w:style>
  <w:style w:type="paragraph" w:customStyle="1" w:styleId="2736">
    <w:name w:val="23-47表名2"/>
    <w:basedOn w:val="1"/>
    <w:qFormat/>
    <w:uiPriority w:val="0"/>
    <w:pPr>
      <w:widowControl/>
      <w:spacing w:after="156" w:line="440" w:lineRule="exact"/>
      <w:jc w:val="center"/>
    </w:pPr>
    <w:rPr>
      <w:rFonts w:ascii="宋体" w:hAnsi="宋体" w:cs="宋体"/>
      <w:b/>
      <w:kern w:val="0"/>
      <w:szCs w:val="24"/>
    </w:rPr>
  </w:style>
  <w:style w:type="paragraph" w:customStyle="1" w:styleId="2737">
    <w:name w:val="正文格式32"/>
    <w:basedOn w:val="1"/>
    <w:qFormat/>
    <w:uiPriority w:val="0"/>
    <w:pPr>
      <w:widowControl/>
      <w:ind w:firstLine="482"/>
      <w:jc w:val="left"/>
    </w:pPr>
    <w:rPr>
      <w:rFonts w:ascii="宋体" w:hAnsi="宋体" w:cs="宋体"/>
      <w:kern w:val="0"/>
      <w:szCs w:val="24"/>
    </w:rPr>
  </w:style>
  <w:style w:type="paragraph" w:customStyle="1" w:styleId="2738">
    <w:name w:val="表题14"/>
    <w:basedOn w:val="17"/>
    <w:qFormat/>
    <w:uiPriority w:val="0"/>
    <w:pPr>
      <w:widowControl/>
      <w:ind w:firstLine="0" w:firstLineChars="0"/>
      <w:jc w:val="center"/>
    </w:pPr>
    <w:rPr>
      <w:rFonts w:ascii="黑体" w:cs="Arial"/>
      <w:b/>
    </w:rPr>
  </w:style>
  <w:style w:type="paragraph" w:customStyle="1" w:styleId="2739">
    <w:name w:val="默认段落字体 Para Char21"/>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2740">
    <w:name w:val="正文格式＝5"/>
    <w:basedOn w:val="418"/>
    <w:next w:val="418"/>
    <w:qFormat/>
    <w:uiPriority w:val="0"/>
    <w:rPr>
      <w:rFonts w:hAnsi="宋体"/>
      <w:szCs w:val="24"/>
    </w:rPr>
  </w:style>
  <w:style w:type="paragraph" w:customStyle="1" w:styleId="2741">
    <w:name w:val="xl51"/>
    <w:basedOn w:val="1"/>
    <w:qFormat/>
    <w:uiPriority w:val="0"/>
    <w:pPr>
      <w:widowControl/>
      <w:pBdr>
        <w:top w:val="single" w:color="auto" w:sz="4" w:space="0"/>
        <w:left w:val="double" w:color="auto" w:sz="6" w:space="0"/>
        <w:bottom w:val="double" w:color="auto" w:sz="6" w:space="0"/>
        <w:right w:val="single" w:color="auto" w:sz="4" w:space="0"/>
      </w:pBdr>
      <w:spacing w:before="100" w:beforeAutospacing="1" w:after="100" w:afterAutospacing="1"/>
      <w:jc w:val="center"/>
      <w:textAlignment w:val="center"/>
    </w:pPr>
    <w:rPr>
      <w:rFonts w:ascii="PMingLiU" w:eastAsia="PMingLiU"/>
      <w:kern w:val="0"/>
      <w:szCs w:val="24"/>
      <w:lang w:eastAsia="zh-TW"/>
    </w:rPr>
  </w:style>
  <w:style w:type="paragraph" w:customStyle="1" w:styleId="2742">
    <w:name w:val="样式 首行缩进:  0.99 厘米"/>
    <w:basedOn w:val="1"/>
    <w:semiHidden/>
    <w:qFormat/>
    <w:uiPriority w:val="0"/>
    <w:pPr>
      <w:spacing w:line="300" w:lineRule="auto"/>
      <w:ind w:firstLine="561"/>
    </w:pPr>
    <w:rPr>
      <w:rFonts w:ascii="宋体" w:hAnsi="宋体" w:cs="宋体"/>
      <w:kern w:val="0"/>
      <w:szCs w:val="20"/>
    </w:rPr>
  </w:style>
  <w:style w:type="paragraph" w:customStyle="1" w:styleId="2743">
    <w:name w:val="Char111"/>
    <w:basedOn w:val="1"/>
    <w:qFormat/>
    <w:uiPriority w:val="0"/>
    <w:pPr>
      <w:widowControl/>
      <w:ind w:left="-48"/>
      <w:jc w:val="left"/>
    </w:pPr>
    <w:rPr>
      <w:rFonts w:ascii="宋体" w:hAnsi="宋体" w:cs="宋体"/>
      <w:kern w:val="0"/>
      <w:szCs w:val="24"/>
    </w:rPr>
  </w:style>
  <w:style w:type="paragraph" w:customStyle="1" w:styleId="2744">
    <w:name w:val="表42"/>
    <w:basedOn w:val="1"/>
    <w:qFormat/>
    <w:uiPriority w:val="0"/>
    <w:pPr>
      <w:widowControl/>
      <w:jc w:val="center"/>
    </w:pPr>
    <w:rPr>
      <w:rFonts w:ascii="宋体" w:hAnsi="宋体" w:cs="宋体"/>
      <w:kern w:val="0"/>
      <w:szCs w:val="24"/>
    </w:rPr>
  </w:style>
  <w:style w:type="paragraph" w:customStyle="1" w:styleId="2745">
    <w:name w:val="表内5中5"/>
    <w:basedOn w:val="1"/>
    <w:qFormat/>
    <w:uiPriority w:val="0"/>
    <w:pPr>
      <w:widowControl/>
      <w:jc w:val="center"/>
    </w:pPr>
    <w:rPr>
      <w:rFonts w:ascii="宋体" w:hAnsi="宋体" w:cs="Arial"/>
      <w:snapToGrid w:val="0"/>
      <w:kern w:val="0"/>
      <w:szCs w:val="21"/>
    </w:rPr>
  </w:style>
  <w:style w:type="paragraph" w:customStyle="1" w:styleId="2746">
    <w:name w:val="reader-word-layer reader-word-s18-13"/>
    <w:basedOn w:val="1"/>
    <w:qFormat/>
    <w:uiPriority w:val="0"/>
    <w:pPr>
      <w:widowControl/>
      <w:spacing w:before="100" w:beforeAutospacing="1" w:after="100" w:afterAutospacing="1"/>
      <w:jc w:val="left"/>
    </w:pPr>
    <w:rPr>
      <w:rFonts w:ascii="宋体" w:hAnsi="宋体" w:cs="宋体"/>
      <w:kern w:val="0"/>
      <w:szCs w:val="24"/>
    </w:rPr>
  </w:style>
  <w:style w:type="paragraph" w:customStyle="1" w:styleId="2747">
    <w:name w:val="Char Char Char Char1 Char Char Char211"/>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2748">
    <w:name w:val="表内文字小34"/>
    <w:basedOn w:val="1"/>
    <w:qFormat/>
    <w:uiPriority w:val="0"/>
    <w:pPr>
      <w:widowControl/>
      <w:jc w:val="center"/>
    </w:pPr>
    <w:rPr>
      <w:rFonts w:ascii="宋体" w:hAnsi="Times" w:cs="宋体"/>
      <w:kern w:val="0"/>
      <w:szCs w:val="20"/>
    </w:rPr>
  </w:style>
  <w:style w:type="paragraph" w:customStyle="1" w:styleId="2749">
    <w:name w:val="表内宋5113"/>
    <w:basedOn w:val="734"/>
    <w:qFormat/>
    <w:uiPriority w:val="99"/>
    <w:rPr>
      <w:rFonts w:ascii="宋体" w:hAnsi="宋体" w:cs="宋体"/>
      <w:sz w:val="21"/>
      <w:szCs w:val="24"/>
    </w:rPr>
  </w:style>
  <w:style w:type="paragraph" w:customStyle="1" w:styleId="2750">
    <w:name w:val="黑体三号5"/>
    <w:basedOn w:val="418"/>
    <w:qFormat/>
    <w:uiPriority w:val="0"/>
    <w:pPr>
      <w:jc w:val="center"/>
    </w:pPr>
    <w:rPr>
      <w:rFonts w:ascii="黑体" w:hAnsi="宋体" w:eastAsia="黑体" w:cs="宋体"/>
      <w:b/>
      <w:bCs/>
      <w:sz w:val="32"/>
      <w:szCs w:val="20"/>
    </w:rPr>
  </w:style>
  <w:style w:type="paragraph" w:customStyle="1" w:styleId="2751">
    <w:name w:val="Char Char Char Char Char Char Char Char1 Char Char Char Char Char Char Char Char Char Char"/>
    <w:basedOn w:val="1"/>
    <w:qFormat/>
    <w:uiPriority w:val="0"/>
    <w:pPr>
      <w:widowControl/>
      <w:jc w:val="left"/>
    </w:pPr>
    <w:rPr>
      <w:rFonts w:ascii="宋体" w:hAnsi="宋体" w:cs="宋体"/>
      <w:kern w:val="0"/>
      <w:szCs w:val="24"/>
    </w:rPr>
  </w:style>
  <w:style w:type="paragraph" w:customStyle="1" w:styleId="2752">
    <w:name w:val="表内文字小2124"/>
    <w:basedOn w:val="1"/>
    <w:qFormat/>
    <w:uiPriority w:val="0"/>
    <w:pPr>
      <w:widowControl/>
      <w:jc w:val="center"/>
    </w:pPr>
    <w:rPr>
      <w:rFonts w:ascii="宋体" w:hAnsi="Times" w:cs="宋体"/>
      <w:bCs/>
      <w:kern w:val="0"/>
      <w:szCs w:val="20"/>
    </w:rPr>
  </w:style>
  <w:style w:type="paragraph" w:customStyle="1" w:styleId="2753">
    <w:name w:val="正文格式＝14"/>
    <w:basedOn w:val="418"/>
    <w:next w:val="418"/>
    <w:qFormat/>
    <w:uiPriority w:val="0"/>
    <w:rPr>
      <w:rFonts w:hAnsi="宋体"/>
      <w:szCs w:val="24"/>
    </w:rPr>
  </w:style>
  <w:style w:type="paragraph" w:customStyle="1" w:styleId="2754">
    <w:name w:val="样式 表格内字体 +1"/>
    <w:basedOn w:val="559"/>
    <w:qFormat/>
    <w:uiPriority w:val="0"/>
    <w:pPr>
      <w:spacing w:line="280" w:lineRule="exact"/>
      <w:ind w:firstLine="36"/>
      <w:jc w:val="both"/>
    </w:pPr>
    <w:rPr>
      <w:rFonts w:hAnsi="宋体"/>
      <w:sz w:val="21"/>
      <w:szCs w:val="24"/>
    </w:rPr>
  </w:style>
  <w:style w:type="paragraph" w:customStyle="1" w:styleId="2755">
    <w:name w:val="正文格式＝213"/>
    <w:basedOn w:val="418"/>
    <w:next w:val="418"/>
    <w:qFormat/>
    <w:uiPriority w:val="0"/>
    <w:rPr>
      <w:rFonts w:hAnsi="宋体"/>
      <w:szCs w:val="24"/>
    </w:rPr>
  </w:style>
  <w:style w:type="paragraph" w:customStyle="1" w:styleId="2756">
    <w:name w:val="Char414"/>
    <w:basedOn w:val="1"/>
    <w:qFormat/>
    <w:uiPriority w:val="0"/>
    <w:pPr>
      <w:widowControl/>
      <w:ind w:left="-48"/>
      <w:jc w:val="left"/>
    </w:pPr>
    <w:rPr>
      <w:rFonts w:ascii="宋体" w:hAnsi="宋体" w:cs="宋体"/>
      <w:kern w:val="0"/>
      <w:szCs w:val="24"/>
    </w:rPr>
  </w:style>
  <w:style w:type="paragraph" w:customStyle="1" w:styleId="2757">
    <w:name w:val="Char2210"/>
    <w:basedOn w:val="1"/>
    <w:qFormat/>
    <w:uiPriority w:val="0"/>
    <w:pPr>
      <w:widowControl/>
      <w:spacing w:before="156"/>
      <w:jc w:val="left"/>
    </w:pPr>
    <w:rPr>
      <w:rFonts w:ascii="黑体" w:hAnsi="宋体" w:eastAsia="黑体" w:cs="宋体"/>
      <w:kern w:val="0"/>
      <w:sz w:val="32"/>
      <w:szCs w:val="32"/>
    </w:rPr>
  </w:style>
  <w:style w:type="paragraph" w:customStyle="1" w:styleId="2758">
    <w:name w:val="福建正文缩进1"/>
    <w:basedOn w:val="112"/>
    <w:qFormat/>
    <w:uiPriority w:val="0"/>
    <w:pPr>
      <w:ind w:firstLine="567"/>
    </w:pPr>
    <w:rPr>
      <w:rFonts w:hAnsi="Calibri"/>
    </w:rPr>
  </w:style>
  <w:style w:type="paragraph" w:customStyle="1" w:styleId="2759">
    <w:name w:val="样式 表格内字体1 +4"/>
    <w:basedOn w:val="1722"/>
    <w:next w:val="559"/>
    <w:qFormat/>
    <w:uiPriority w:val="0"/>
    <w:rPr>
      <w:rFonts w:hAnsi="Times New Roman" w:cs="宋体"/>
      <w:szCs w:val="20"/>
    </w:rPr>
  </w:style>
  <w:style w:type="paragraph" w:customStyle="1" w:styleId="2760">
    <w:name w:val="默认段落字体 Para Char Char Char Char113"/>
    <w:basedOn w:val="1"/>
    <w:qFormat/>
    <w:uiPriority w:val="0"/>
    <w:pPr>
      <w:widowControl/>
      <w:jc w:val="left"/>
    </w:pPr>
    <w:rPr>
      <w:rFonts w:ascii="宋体" w:hAnsi="宋体" w:cs="宋体"/>
      <w:kern w:val="0"/>
      <w:szCs w:val="24"/>
    </w:rPr>
  </w:style>
  <w:style w:type="paragraph" w:customStyle="1" w:styleId="2761">
    <w:name w:val="表内文字小6"/>
    <w:basedOn w:val="1"/>
    <w:qFormat/>
    <w:uiPriority w:val="0"/>
    <w:pPr>
      <w:widowControl/>
      <w:jc w:val="center"/>
    </w:pPr>
    <w:rPr>
      <w:rFonts w:ascii="宋体" w:hAnsi="Times" w:cs="宋体"/>
      <w:kern w:val="0"/>
      <w:szCs w:val="20"/>
    </w:rPr>
  </w:style>
  <w:style w:type="paragraph" w:customStyle="1" w:styleId="2762">
    <w:name w:val="样式 图表"/>
    <w:basedOn w:val="1"/>
    <w:qFormat/>
    <w:uiPriority w:val="0"/>
    <w:pPr>
      <w:jc w:val="center"/>
      <w:textAlignment w:val="baseline"/>
    </w:pPr>
    <w:rPr>
      <w:b/>
      <w:bCs/>
      <w:kern w:val="0"/>
      <w:szCs w:val="24"/>
    </w:rPr>
  </w:style>
  <w:style w:type="paragraph" w:customStyle="1" w:styleId="2763">
    <w:name w:val="表题132"/>
    <w:basedOn w:val="17"/>
    <w:qFormat/>
    <w:uiPriority w:val="0"/>
    <w:pPr>
      <w:widowControl/>
      <w:ind w:firstLine="0" w:firstLineChars="0"/>
      <w:jc w:val="center"/>
    </w:pPr>
    <w:rPr>
      <w:rFonts w:ascii="黑体" w:cs="Arial"/>
      <w:b/>
    </w:rPr>
  </w:style>
  <w:style w:type="paragraph" w:customStyle="1" w:styleId="2764">
    <w:name w:val="正文格式＝64"/>
    <w:basedOn w:val="418"/>
    <w:next w:val="418"/>
    <w:qFormat/>
    <w:uiPriority w:val="0"/>
    <w:rPr>
      <w:rFonts w:hAnsi="宋体"/>
      <w:szCs w:val="24"/>
    </w:rPr>
  </w:style>
  <w:style w:type="paragraph" w:customStyle="1" w:styleId="2765">
    <w:name w:val="Char28"/>
    <w:basedOn w:val="1"/>
    <w:qFormat/>
    <w:uiPriority w:val="0"/>
    <w:pPr>
      <w:widowControl/>
      <w:ind w:left="-48"/>
      <w:jc w:val="left"/>
    </w:pPr>
    <w:rPr>
      <w:rFonts w:ascii="宋体" w:hAnsi="宋体" w:cs="宋体"/>
      <w:kern w:val="0"/>
      <w:szCs w:val="24"/>
    </w:rPr>
  </w:style>
  <w:style w:type="paragraph" w:customStyle="1" w:styleId="2766">
    <w:name w:val="xl53"/>
    <w:basedOn w:val="1"/>
    <w:qFormat/>
    <w:uiPriority w:val="0"/>
    <w:pPr>
      <w:widowControl/>
      <w:pBdr>
        <w:top w:val="single" w:color="auto" w:sz="4" w:space="0"/>
        <w:left w:val="single" w:color="auto" w:sz="4" w:space="0"/>
        <w:bottom w:val="double" w:color="auto" w:sz="6" w:space="0"/>
        <w:right w:val="double" w:color="auto" w:sz="6" w:space="0"/>
      </w:pBdr>
      <w:spacing w:before="100" w:beforeAutospacing="1" w:after="100" w:afterAutospacing="1"/>
      <w:jc w:val="left"/>
      <w:textAlignment w:val="center"/>
    </w:pPr>
    <w:rPr>
      <w:rFonts w:hint="eastAsia" w:ascii="PMingLiU" w:eastAsia="PMingLiU"/>
      <w:kern w:val="0"/>
      <w:sz w:val="16"/>
      <w:szCs w:val="16"/>
      <w:lang w:eastAsia="zh-TW"/>
    </w:rPr>
  </w:style>
  <w:style w:type="paragraph" w:customStyle="1" w:styleId="2767">
    <w:name w:val="正文格式72"/>
    <w:basedOn w:val="1"/>
    <w:qFormat/>
    <w:uiPriority w:val="0"/>
    <w:pPr>
      <w:widowControl/>
      <w:ind w:firstLine="482"/>
      <w:jc w:val="left"/>
    </w:pPr>
    <w:rPr>
      <w:rFonts w:ascii="宋体" w:hAnsi="宋体" w:cs="宋体"/>
      <w:kern w:val="0"/>
      <w:szCs w:val="24"/>
    </w:rPr>
  </w:style>
  <w:style w:type="paragraph" w:customStyle="1" w:styleId="2768">
    <w:name w:val="图表题11"/>
    <w:basedOn w:val="418"/>
    <w:next w:val="418"/>
    <w:qFormat/>
    <w:uiPriority w:val="0"/>
    <w:pPr>
      <w:ind w:firstLine="0"/>
      <w:jc w:val="center"/>
    </w:pPr>
    <w:rPr>
      <w:rFonts w:ascii="黑体" w:hAnsi="宋体" w:eastAsia="黑体" w:cs="宋体"/>
      <w:b/>
      <w:bCs/>
      <w:szCs w:val="24"/>
    </w:rPr>
  </w:style>
  <w:style w:type="paragraph" w:customStyle="1" w:styleId="2769">
    <w:name w:val="列表接续 21"/>
    <w:basedOn w:val="1"/>
    <w:qFormat/>
    <w:uiPriority w:val="0"/>
    <w:pPr>
      <w:widowControl/>
      <w:spacing w:after="120"/>
      <w:ind w:left="840" w:leftChars="400"/>
      <w:jc w:val="left"/>
    </w:pPr>
    <w:rPr>
      <w:rFonts w:ascii="宋体" w:hAnsi="宋体" w:cs="宋体"/>
      <w:kern w:val="0"/>
      <w:szCs w:val="24"/>
    </w:rPr>
  </w:style>
  <w:style w:type="paragraph" w:customStyle="1" w:styleId="2770">
    <w:name w:val="附件6"/>
    <w:basedOn w:val="2"/>
    <w:next w:val="418"/>
    <w:qFormat/>
    <w:uiPriority w:val="0"/>
    <w:pPr>
      <w:numPr>
        <w:numId w:val="0"/>
      </w:numPr>
      <w:spacing w:before="220"/>
    </w:pPr>
    <w:rPr>
      <w:rFonts w:ascii="黑体" w:eastAsia="黑体"/>
      <w:b w:val="0"/>
      <w:sz w:val="32"/>
      <w:szCs w:val="32"/>
    </w:rPr>
  </w:style>
  <w:style w:type="paragraph" w:customStyle="1" w:styleId="2771">
    <w:name w:val="样式1121"/>
    <w:basedOn w:val="1586"/>
    <w:qFormat/>
    <w:uiPriority w:val="0"/>
    <w:pPr>
      <w:spacing w:line="240" w:lineRule="auto"/>
      <w:ind w:firstLine="0"/>
      <w:jc w:val="center"/>
    </w:pPr>
    <w:rPr>
      <w:rFonts w:cs="Times New Roman"/>
      <w:b/>
      <w:color w:val="auto"/>
      <w:szCs w:val="20"/>
    </w:rPr>
  </w:style>
  <w:style w:type="paragraph" w:customStyle="1" w:styleId="2772">
    <w:name w:val="标题43113"/>
    <w:basedOn w:val="1"/>
    <w:qFormat/>
    <w:uiPriority w:val="0"/>
    <w:pPr>
      <w:widowControl/>
      <w:spacing w:line="480" w:lineRule="exact"/>
      <w:jc w:val="center"/>
    </w:pPr>
    <w:rPr>
      <w:rFonts w:ascii="宋体" w:hAnsi="宋体" w:cs="宋体"/>
      <w:kern w:val="0"/>
      <w:szCs w:val="24"/>
    </w:rPr>
  </w:style>
  <w:style w:type="paragraph" w:customStyle="1" w:styleId="2773">
    <w:name w:val="图题711"/>
    <w:basedOn w:val="418"/>
    <w:next w:val="418"/>
    <w:qFormat/>
    <w:uiPriority w:val="0"/>
    <w:pPr>
      <w:ind w:firstLine="0"/>
      <w:jc w:val="center"/>
    </w:pPr>
    <w:rPr>
      <w:rFonts w:ascii="黑体" w:hAnsi="宋体" w:eastAsia="黑体" w:cs="宋体"/>
      <w:b/>
      <w:bCs/>
      <w:szCs w:val="24"/>
    </w:rPr>
  </w:style>
  <w:style w:type="paragraph" w:customStyle="1" w:styleId="2774">
    <w:name w:val="样式 标题 1 + 字距调整四号"/>
    <w:basedOn w:val="2"/>
    <w:qFormat/>
    <w:uiPriority w:val="0"/>
  </w:style>
  <w:style w:type="paragraph" w:customStyle="1" w:styleId="2775">
    <w:name w:val="表题413"/>
    <w:basedOn w:val="752"/>
    <w:qFormat/>
    <w:uiPriority w:val="0"/>
    <w:pPr>
      <w:widowControl/>
      <w:tabs>
        <w:tab w:val="left" w:pos="4305"/>
      </w:tabs>
      <w:spacing w:after="0" w:line="240" w:lineRule="auto"/>
      <w:ind w:left="0" w:leftChars="0" w:firstLine="0" w:firstLineChars="0"/>
      <w:jc w:val="center"/>
    </w:pPr>
    <w:rPr>
      <w:rFonts w:ascii="宋体" w:hAnsi="宋体" w:cs="宋体"/>
      <w:sz w:val="24"/>
      <w:szCs w:val="24"/>
    </w:rPr>
  </w:style>
  <w:style w:type="paragraph" w:customStyle="1" w:styleId="2776">
    <w:name w:val="表格内容4"/>
    <w:basedOn w:val="98"/>
    <w:qFormat/>
    <w:uiPriority w:val="0"/>
    <w:pPr>
      <w:jc w:val="center"/>
    </w:pPr>
    <w:rPr>
      <w:rFonts w:ascii="Times New Roman" w:hAnsi="Times New Roman" w:cs="Times New Roman"/>
      <w:color w:val="000000"/>
      <w:szCs w:val="21"/>
    </w:rPr>
  </w:style>
  <w:style w:type="paragraph" w:customStyle="1" w:styleId="2777">
    <w:name w:val="表中文字41"/>
    <w:basedOn w:val="1"/>
    <w:qFormat/>
    <w:uiPriority w:val="0"/>
    <w:pPr>
      <w:widowControl/>
      <w:spacing w:line="340" w:lineRule="exact"/>
      <w:ind w:firstLine="480"/>
      <w:jc w:val="center"/>
    </w:pPr>
    <w:rPr>
      <w:rFonts w:ascii="Arial" w:hAnsi="Arial" w:cs="宋体"/>
      <w:kern w:val="0"/>
      <w:sz w:val="20"/>
      <w:szCs w:val="24"/>
      <w:lang w:eastAsia="zh-TW"/>
    </w:rPr>
  </w:style>
  <w:style w:type="paragraph" w:customStyle="1" w:styleId="2778">
    <w:name w:val="reader-word-layer reader-word-s18-5"/>
    <w:basedOn w:val="1"/>
    <w:qFormat/>
    <w:uiPriority w:val="0"/>
    <w:pPr>
      <w:widowControl/>
      <w:spacing w:before="100" w:beforeAutospacing="1" w:after="100" w:afterAutospacing="1"/>
      <w:jc w:val="left"/>
    </w:pPr>
    <w:rPr>
      <w:rFonts w:ascii="宋体" w:hAnsi="宋体" w:cs="宋体"/>
      <w:kern w:val="0"/>
      <w:szCs w:val="24"/>
    </w:rPr>
  </w:style>
  <w:style w:type="paragraph" w:customStyle="1" w:styleId="2779">
    <w:name w:val="表文字511"/>
    <w:basedOn w:val="1"/>
    <w:qFormat/>
    <w:uiPriority w:val="0"/>
    <w:pPr>
      <w:widowControl/>
      <w:jc w:val="left"/>
      <w:textAlignment w:val="baseline"/>
    </w:pPr>
    <w:rPr>
      <w:rFonts w:ascii="宋体" w:hAnsi="宋体" w:cs="宋体"/>
      <w:kern w:val="0"/>
      <w:szCs w:val="20"/>
    </w:rPr>
  </w:style>
  <w:style w:type="paragraph" w:customStyle="1" w:styleId="2780">
    <w:name w:val="Char32"/>
    <w:basedOn w:val="1"/>
    <w:qFormat/>
    <w:uiPriority w:val="0"/>
    <w:pPr>
      <w:spacing w:line="240" w:lineRule="exact"/>
    </w:pPr>
    <w:rPr>
      <w:szCs w:val="28"/>
    </w:rPr>
  </w:style>
  <w:style w:type="paragraph" w:customStyle="1" w:styleId="2781">
    <w:name w:val="表内5中42"/>
    <w:basedOn w:val="1"/>
    <w:qFormat/>
    <w:uiPriority w:val="0"/>
    <w:pPr>
      <w:widowControl/>
      <w:jc w:val="center"/>
    </w:pPr>
    <w:rPr>
      <w:rFonts w:ascii="宋体" w:hAnsi="宋体" w:cs="宋体"/>
      <w:bCs/>
      <w:kern w:val="0"/>
      <w:szCs w:val="20"/>
    </w:rPr>
  </w:style>
  <w:style w:type="paragraph" w:customStyle="1" w:styleId="2782">
    <w:name w:val="表内5341"/>
    <w:basedOn w:val="1"/>
    <w:qFormat/>
    <w:uiPriority w:val="0"/>
    <w:pPr>
      <w:widowControl/>
      <w:spacing w:line="300" w:lineRule="auto"/>
      <w:jc w:val="left"/>
    </w:pPr>
    <w:rPr>
      <w:rFonts w:ascii="宋体" w:hAnsi="宋体" w:cs="宋体"/>
      <w:kern w:val="0"/>
      <w:szCs w:val="20"/>
    </w:rPr>
  </w:style>
  <w:style w:type="paragraph" w:customStyle="1" w:styleId="2783">
    <w:name w:val="文宋"/>
    <w:basedOn w:val="1"/>
    <w:qFormat/>
    <w:uiPriority w:val="0"/>
    <w:pPr>
      <w:spacing w:line="560" w:lineRule="atLeast"/>
    </w:pPr>
    <w:rPr>
      <w:spacing w:val="16"/>
      <w:sz w:val="32"/>
      <w:szCs w:val="24"/>
    </w:rPr>
  </w:style>
  <w:style w:type="paragraph" w:customStyle="1" w:styleId="2784">
    <w:name w:val="Char1110"/>
    <w:basedOn w:val="1"/>
    <w:qFormat/>
    <w:uiPriority w:val="0"/>
    <w:pPr>
      <w:widowControl/>
      <w:ind w:left="-48"/>
      <w:jc w:val="left"/>
    </w:pPr>
    <w:rPr>
      <w:rFonts w:ascii="宋体" w:hAnsi="宋体" w:cs="宋体"/>
      <w:kern w:val="0"/>
      <w:szCs w:val="24"/>
    </w:rPr>
  </w:style>
  <w:style w:type="paragraph" w:customStyle="1" w:styleId="2785">
    <w:name w:val="默认段落字体 Para Char Char Char Char Char11"/>
    <w:basedOn w:val="1"/>
    <w:qFormat/>
    <w:uiPriority w:val="0"/>
    <w:pPr>
      <w:widowControl/>
      <w:jc w:val="left"/>
    </w:pPr>
    <w:rPr>
      <w:rFonts w:ascii="宋体" w:hAnsi="宋体" w:cs="宋体"/>
      <w:kern w:val="0"/>
      <w:szCs w:val="24"/>
    </w:rPr>
  </w:style>
  <w:style w:type="paragraph" w:customStyle="1" w:styleId="2786">
    <w:name w:val="正文格式12"/>
    <w:basedOn w:val="1"/>
    <w:qFormat/>
    <w:uiPriority w:val="0"/>
    <w:pPr>
      <w:widowControl/>
      <w:ind w:firstLine="482"/>
      <w:jc w:val="left"/>
    </w:pPr>
    <w:rPr>
      <w:rFonts w:ascii="宋体" w:hAnsi="宋体" w:cs="宋体"/>
      <w:kern w:val="0"/>
      <w:szCs w:val="24"/>
    </w:rPr>
  </w:style>
  <w:style w:type="paragraph" w:customStyle="1" w:styleId="2787">
    <w:name w:val="样式 正文缩进 + 宋体 黑色 首行缩进:  2 字符2"/>
    <w:basedOn w:val="112"/>
    <w:qFormat/>
    <w:uiPriority w:val="0"/>
    <w:pPr>
      <w:ind w:firstLine="480"/>
    </w:pPr>
    <w:rPr>
      <w:rFonts w:cs="宋体"/>
      <w:color w:val="FF00FF"/>
    </w:rPr>
  </w:style>
  <w:style w:type="paragraph" w:customStyle="1" w:styleId="2788">
    <w:name w:val="表格内字体712"/>
    <w:basedOn w:val="418"/>
    <w:next w:val="418"/>
    <w:qFormat/>
    <w:uiPriority w:val="0"/>
    <w:pPr>
      <w:spacing w:line="240" w:lineRule="auto"/>
      <w:ind w:firstLine="0"/>
      <w:jc w:val="center"/>
    </w:pPr>
    <w:rPr>
      <w:rFonts w:hAnsi="宋体"/>
      <w:sz w:val="21"/>
      <w:szCs w:val="24"/>
    </w:rPr>
  </w:style>
  <w:style w:type="paragraph" w:customStyle="1" w:styleId="2789">
    <w:name w:val="表题4113"/>
    <w:basedOn w:val="752"/>
    <w:qFormat/>
    <w:uiPriority w:val="0"/>
    <w:pPr>
      <w:widowControl/>
      <w:tabs>
        <w:tab w:val="left" w:pos="4305"/>
      </w:tabs>
      <w:spacing w:after="0" w:line="240" w:lineRule="auto"/>
      <w:ind w:left="0" w:leftChars="0" w:firstLine="0" w:firstLineChars="0"/>
      <w:jc w:val="center"/>
    </w:pPr>
    <w:rPr>
      <w:rFonts w:ascii="宋体" w:hAnsi="宋体" w:cs="宋体"/>
      <w:sz w:val="24"/>
      <w:szCs w:val="24"/>
    </w:rPr>
  </w:style>
  <w:style w:type="paragraph" w:customStyle="1" w:styleId="2790">
    <w:name w:val="Default4"/>
    <w:basedOn w:val="98"/>
    <w:qFormat/>
    <w:uiPriority w:val="0"/>
    <w:pPr>
      <w:widowControl w:val="0"/>
      <w:autoSpaceDE w:val="0"/>
      <w:autoSpaceDN w:val="0"/>
      <w:adjustRightInd w:val="0"/>
    </w:pPr>
    <w:rPr>
      <w:rFonts w:ascii="宋体" w:hAnsi="Times New Roman" w:cs="Times New Roman"/>
      <w:color w:val="000000"/>
    </w:rPr>
  </w:style>
  <w:style w:type="paragraph" w:customStyle="1" w:styleId="2791">
    <w:name w:val="xl44"/>
    <w:basedOn w:val="1"/>
    <w:qFormat/>
    <w:uiPriority w:val="0"/>
    <w:pPr>
      <w:widowControl/>
      <w:pBdr>
        <w:top w:val="single" w:color="auto" w:sz="4" w:space="0"/>
        <w:left w:val="double" w:color="auto" w:sz="6" w:space="0"/>
        <w:bottom w:val="single" w:color="auto" w:sz="4" w:space="0"/>
        <w:right w:val="single" w:color="auto" w:sz="4" w:space="0"/>
      </w:pBdr>
      <w:spacing w:before="100" w:beforeAutospacing="1" w:after="100" w:afterAutospacing="1"/>
      <w:jc w:val="center"/>
      <w:textAlignment w:val="center"/>
    </w:pPr>
    <w:rPr>
      <w:rFonts w:eastAsia="PMingLiU"/>
      <w:kern w:val="0"/>
      <w:sz w:val="16"/>
      <w:szCs w:val="16"/>
      <w:lang w:eastAsia="zh-TW"/>
    </w:rPr>
  </w:style>
  <w:style w:type="paragraph" w:customStyle="1" w:styleId="2792">
    <w:name w:val="表格内字体21"/>
    <w:basedOn w:val="418"/>
    <w:next w:val="418"/>
    <w:qFormat/>
    <w:uiPriority w:val="0"/>
    <w:pPr>
      <w:spacing w:line="240" w:lineRule="auto"/>
      <w:ind w:firstLine="0"/>
      <w:jc w:val="center"/>
    </w:pPr>
    <w:rPr>
      <w:rFonts w:hAnsi="宋体"/>
      <w:sz w:val="21"/>
      <w:szCs w:val="24"/>
    </w:rPr>
  </w:style>
  <w:style w:type="paragraph" w:customStyle="1" w:styleId="2793">
    <w:name w:val="xl60"/>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hint="eastAsia" w:ascii="MingLiU" w:eastAsia="MingLiU"/>
      <w:kern w:val="0"/>
      <w:sz w:val="16"/>
      <w:szCs w:val="16"/>
      <w:lang w:eastAsia="zh-TW"/>
    </w:rPr>
  </w:style>
  <w:style w:type="paragraph" w:customStyle="1" w:styleId="2794">
    <w:name w:val="Char Char Char Char Char Char Char111"/>
    <w:basedOn w:val="1"/>
    <w:qFormat/>
    <w:uiPriority w:val="0"/>
    <w:pPr>
      <w:widowControl/>
      <w:jc w:val="left"/>
    </w:pPr>
    <w:rPr>
      <w:rFonts w:ascii="宋体" w:hAnsi="宋体" w:cs="宋体"/>
      <w:kern w:val="0"/>
      <w:szCs w:val="24"/>
    </w:rPr>
  </w:style>
  <w:style w:type="paragraph" w:customStyle="1" w:styleId="2795">
    <w:name w:val="表内文字小321"/>
    <w:basedOn w:val="1"/>
    <w:qFormat/>
    <w:uiPriority w:val="0"/>
    <w:pPr>
      <w:widowControl/>
      <w:jc w:val="center"/>
    </w:pPr>
    <w:rPr>
      <w:rFonts w:ascii="宋体" w:hAnsi="Times" w:cs="宋体"/>
      <w:kern w:val="0"/>
      <w:szCs w:val="20"/>
    </w:rPr>
  </w:style>
  <w:style w:type="paragraph" w:customStyle="1" w:styleId="2796">
    <w:name w:val="表题11111"/>
    <w:basedOn w:val="17"/>
    <w:qFormat/>
    <w:uiPriority w:val="0"/>
    <w:pPr>
      <w:widowControl/>
      <w:ind w:firstLine="0" w:firstLineChars="0"/>
      <w:jc w:val="center"/>
    </w:pPr>
    <w:rPr>
      <w:rFonts w:ascii="黑体" w:cs="Arial"/>
    </w:rPr>
  </w:style>
  <w:style w:type="paragraph" w:customStyle="1" w:styleId="2797">
    <w:name w:val="表内文字小33"/>
    <w:basedOn w:val="1"/>
    <w:qFormat/>
    <w:uiPriority w:val="0"/>
    <w:pPr>
      <w:widowControl/>
      <w:jc w:val="center"/>
    </w:pPr>
    <w:rPr>
      <w:rFonts w:ascii="宋体" w:hAnsi="Times" w:cs="宋体"/>
      <w:kern w:val="0"/>
      <w:szCs w:val="20"/>
    </w:rPr>
  </w:style>
  <w:style w:type="paragraph" w:customStyle="1" w:styleId="2798">
    <w:name w:val="表内5417"/>
    <w:basedOn w:val="1"/>
    <w:qFormat/>
    <w:uiPriority w:val="0"/>
    <w:pPr>
      <w:widowControl/>
      <w:spacing w:line="300" w:lineRule="auto"/>
      <w:jc w:val="center"/>
    </w:pPr>
    <w:rPr>
      <w:rFonts w:ascii="宋体" w:hAnsi="宋体" w:cs="宋体"/>
      <w:kern w:val="0"/>
      <w:szCs w:val="20"/>
    </w:rPr>
  </w:style>
  <w:style w:type="paragraph" w:customStyle="1" w:styleId="2799">
    <w:name w:val="Char418"/>
    <w:basedOn w:val="1"/>
    <w:qFormat/>
    <w:uiPriority w:val="0"/>
    <w:pPr>
      <w:widowControl/>
      <w:ind w:left="-48"/>
      <w:jc w:val="left"/>
    </w:pPr>
    <w:rPr>
      <w:rFonts w:ascii="宋体" w:hAnsi="宋体" w:cs="宋体"/>
      <w:kern w:val="0"/>
      <w:szCs w:val="24"/>
    </w:rPr>
  </w:style>
  <w:style w:type="paragraph" w:customStyle="1" w:styleId="2800">
    <w:name w:val="Char Char Char Char Char Char Char Char Char Char Char1 Char Char Char Char Char Char1"/>
    <w:basedOn w:val="1"/>
    <w:qFormat/>
    <w:uiPriority w:val="0"/>
    <w:pPr>
      <w:widowControl/>
      <w:jc w:val="left"/>
    </w:pPr>
    <w:rPr>
      <w:rFonts w:ascii="宋体" w:hAnsi="宋体" w:cs="宋体"/>
      <w:kern w:val="0"/>
      <w:szCs w:val="24"/>
    </w:rPr>
  </w:style>
  <w:style w:type="paragraph" w:customStyle="1" w:styleId="2801">
    <w:name w:val="表题12"/>
    <w:basedOn w:val="17"/>
    <w:qFormat/>
    <w:uiPriority w:val="0"/>
    <w:pPr>
      <w:widowControl/>
      <w:ind w:firstLine="0" w:firstLineChars="0"/>
      <w:jc w:val="center"/>
    </w:pPr>
    <w:rPr>
      <w:rFonts w:ascii="黑体" w:cs="Arial"/>
    </w:rPr>
  </w:style>
  <w:style w:type="paragraph" w:customStyle="1" w:styleId="2802">
    <w:name w:val="表文字51112"/>
    <w:basedOn w:val="1"/>
    <w:qFormat/>
    <w:uiPriority w:val="0"/>
    <w:pPr>
      <w:widowControl/>
      <w:jc w:val="left"/>
      <w:textAlignment w:val="baseline"/>
    </w:pPr>
    <w:rPr>
      <w:rFonts w:ascii="宋体" w:hAnsi="宋体" w:cs="宋体"/>
      <w:kern w:val="0"/>
      <w:szCs w:val="20"/>
    </w:rPr>
  </w:style>
  <w:style w:type="paragraph" w:customStyle="1" w:styleId="2803">
    <w:name w:val="Char612"/>
    <w:basedOn w:val="1"/>
    <w:qFormat/>
    <w:uiPriority w:val="0"/>
    <w:pPr>
      <w:widowControl/>
      <w:spacing w:before="156"/>
      <w:jc w:val="left"/>
    </w:pPr>
    <w:rPr>
      <w:rFonts w:ascii="黑体" w:hAnsi="宋体" w:eastAsia="黑体" w:cs="宋体"/>
      <w:kern w:val="0"/>
      <w:sz w:val="32"/>
      <w:szCs w:val="32"/>
    </w:rPr>
  </w:style>
  <w:style w:type="paragraph" w:customStyle="1" w:styleId="2804">
    <w:name w:val="默认段落字体 Para Char Char Char Char513"/>
    <w:basedOn w:val="1"/>
    <w:qFormat/>
    <w:uiPriority w:val="0"/>
    <w:pPr>
      <w:widowControl/>
      <w:jc w:val="left"/>
    </w:pPr>
    <w:rPr>
      <w:rFonts w:ascii="宋体" w:hAnsi="宋体" w:cs="宋体"/>
      <w:kern w:val="0"/>
      <w:szCs w:val="24"/>
    </w:rPr>
  </w:style>
  <w:style w:type="paragraph" w:customStyle="1" w:styleId="2805">
    <w:name w:val="Char234"/>
    <w:basedOn w:val="1"/>
    <w:qFormat/>
    <w:uiPriority w:val="0"/>
    <w:pPr>
      <w:widowControl/>
      <w:ind w:left="-48"/>
      <w:jc w:val="left"/>
    </w:pPr>
    <w:rPr>
      <w:rFonts w:ascii="宋体" w:hAnsi="宋体" w:cs="宋体"/>
      <w:kern w:val="0"/>
      <w:szCs w:val="24"/>
    </w:rPr>
  </w:style>
  <w:style w:type="paragraph" w:customStyle="1" w:styleId="2806">
    <w:name w:val="xl42"/>
    <w:basedOn w:val="1"/>
    <w:qFormat/>
    <w:uiPriority w:val="0"/>
    <w:pPr>
      <w:widowControl/>
      <w:pBdr>
        <w:top w:val="single" w:color="auto" w:sz="4" w:space="0"/>
        <w:left w:val="single" w:color="auto" w:sz="4" w:space="0"/>
        <w:bottom w:val="single" w:color="auto" w:sz="4" w:space="0"/>
        <w:right w:val="double" w:color="auto" w:sz="6" w:space="0"/>
      </w:pBdr>
      <w:spacing w:before="100" w:beforeAutospacing="1" w:after="100" w:afterAutospacing="1"/>
      <w:jc w:val="center"/>
      <w:textAlignment w:val="center"/>
    </w:pPr>
    <w:rPr>
      <w:rFonts w:hint="eastAsia" w:ascii="PMingLiU" w:eastAsia="PMingLiU"/>
      <w:kern w:val="0"/>
      <w:sz w:val="16"/>
      <w:szCs w:val="16"/>
      <w:lang w:eastAsia="zh-TW"/>
    </w:rPr>
  </w:style>
  <w:style w:type="paragraph" w:customStyle="1" w:styleId="2807">
    <w:name w:val="表内文字小2121"/>
    <w:basedOn w:val="1"/>
    <w:qFormat/>
    <w:uiPriority w:val="0"/>
    <w:pPr>
      <w:widowControl/>
      <w:jc w:val="center"/>
    </w:pPr>
    <w:rPr>
      <w:rFonts w:ascii="宋体" w:hAnsi="Times" w:cs="宋体"/>
      <w:bCs/>
      <w:kern w:val="0"/>
      <w:szCs w:val="20"/>
    </w:rPr>
  </w:style>
  <w:style w:type="paragraph" w:customStyle="1" w:styleId="2808">
    <w:name w:val="Content"/>
    <w:basedOn w:val="1"/>
    <w:qFormat/>
    <w:uiPriority w:val="0"/>
    <w:pPr>
      <w:widowControl/>
      <w:tabs>
        <w:tab w:val="left" w:pos="9480"/>
        <w:tab w:val="left" w:pos="9600"/>
      </w:tabs>
      <w:spacing w:before="120" w:after="120" w:line="240" w:lineRule="atLeast"/>
      <w:jc w:val="center"/>
    </w:pPr>
    <w:rPr>
      <w:rFonts w:ascii="Arial" w:hAnsi="Arial" w:cs="宋体"/>
      <w:b/>
      <w:kern w:val="0"/>
      <w:szCs w:val="20"/>
    </w:rPr>
  </w:style>
  <w:style w:type="paragraph" w:customStyle="1" w:styleId="2809">
    <w:name w:val="表内5中413"/>
    <w:basedOn w:val="1"/>
    <w:qFormat/>
    <w:uiPriority w:val="0"/>
    <w:pPr>
      <w:widowControl/>
      <w:jc w:val="center"/>
    </w:pPr>
    <w:rPr>
      <w:rFonts w:ascii="宋体" w:hAnsi="宋体" w:cs="宋体"/>
      <w:bCs/>
      <w:kern w:val="0"/>
      <w:szCs w:val="20"/>
    </w:rPr>
  </w:style>
  <w:style w:type="paragraph" w:customStyle="1" w:styleId="2810">
    <w:name w:val="样式 首行缩进:  0.77 厘米 行距: 1.5 倍行距"/>
    <w:basedOn w:val="1"/>
    <w:qFormat/>
    <w:uiPriority w:val="0"/>
    <w:pPr>
      <w:widowControl/>
      <w:ind w:firstLine="435"/>
      <w:jc w:val="left"/>
    </w:pPr>
    <w:rPr>
      <w:rFonts w:ascii="宋体" w:hAnsi="宋体" w:cs="宋体"/>
      <w:snapToGrid w:val="0"/>
      <w:kern w:val="0"/>
      <w:szCs w:val="24"/>
    </w:rPr>
  </w:style>
  <w:style w:type="paragraph" w:customStyle="1" w:styleId="2811">
    <w:name w:val="燕山正文2111"/>
    <w:basedOn w:val="1"/>
    <w:qFormat/>
    <w:uiPriority w:val="0"/>
    <w:pPr>
      <w:widowControl/>
      <w:tabs>
        <w:tab w:val="left" w:pos="4680"/>
      </w:tabs>
      <w:spacing w:line="480" w:lineRule="exact"/>
      <w:jc w:val="left"/>
    </w:pPr>
    <w:rPr>
      <w:rFonts w:ascii="宋体" w:hAnsi="宋体" w:cs="宋体"/>
      <w:kern w:val="0"/>
      <w:szCs w:val="24"/>
    </w:rPr>
  </w:style>
  <w:style w:type="paragraph" w:customStyle="1" w:styleId="2812">
    <w:name w:val="表内字"/>
    <w:basedOn w:val="98"/>
    <w:qFormat/>
    <w:uiPriority w:val="0"/>
    <w:pPr>
      <w:spacing w:line="312" w:lineRule="auto"/>
      <w:jc w:val="center"/>
    </w:pPr>
    <w:rPr>
      <w:rFonts w:ascii="Times New Roman" w:hAnsi="Times New Roman" w:cs="Times New Roman"/>
      <w:color w:val="000000"/>
    </w:rPr>
  </w:style>
  <w:style w:type="paragraph" w:customStyle="1" w:styleId="2813">
    <w:name w:val="附件4"/>
    <w:basedOn w:val="2"/>
    <w:next w:val="418"/>
    <w:qFormat/>
    <w:uiPriority w:val="0"/>
    <w:pPr>
      <w:numPr>
        <w:numId w:val="0"/>
      </w:numPr>
      <w:adjustRightInd/>
      <w:snapToGrid/>
      <w:spacing w:after="210"/>
      <w:jc w:val="left"/>
    </w:pPr>
    <w:rPr>
      <w:rFonts w:ascii="黑体" w:eastAsia="黑体"/>
      <w:sz w:val="32"/>
      <w:szCs w:val="32"/>
    </w:rPr>
  </w:style>
  <w:style w:type="paragraph" w:customStyle="1" w:styleId="2814">
    <w:name w:val="正文格式21"/>
    <w:basedOn w:val="1"/>
    <w:qFormat/>
    <w:uiPriority w:val="0"/>
    <w:pPr>
      <w:widowControl/>
      <w:ind w:firstLine="482"/>
      <w:jc w:val="left"/>
    </w:pPr>
    <w:rPr>
      <w:rFonts w:ascii="宋体" w:hAnsi="宋体" w:cs="宋体"/>
      <w:kern w:val="0"/>
      <w:szCs w:val="24"/>
    </w:rPr>
  </w:style>
  <w:style w:type="paragraph" w:customStyle="1" w:styleId="2815">
    <w:name w:val="Char Char Char Char Char Char Char53"/>
    <w:basedOn w:val="1"/>
    <w:qFormat/>
    <w:uiPriority w:val="0"/>
    <w:pPr>
      <w:widowControl/>
      <w:jc w:val="left"/>
    </w:pPr>
    <w:rPr>
      <w:rFonts w:ascii="宋体" w:hAnsi="宋体" w:cs="宋体"/>
      <w:kern w:val="0"/>
      <w:szCs w:val="24"/>
    </w:rPr>
  </w:style>
  <w:style w:type="paragraph" w:customStyle="1" w:styleId="2816">
    <w:name w:val="图题73"/>
    <w:basedOn w:val="418"/>
    <w:next w:val="418"/>
    <w:qFormat/>
    <w:uiPriority w:val="0"/>
    <w:pPr>
      <w:ind w:firstLine="0"/>
      <w:jc w:val="center"/>
    </w:pPr>
    <w:rPr>
      <w:rFonts w:ascii="黑体" w:hAnsi="宋体" w:eastAsia="黑体" w:cs="宋体"/>
      <w:b/>
      <w:bCs/>
      <w:szCs w:val="24"/>
    </w:rPr>
  </w:style>
  <w:style w:type="paragraph" w:customStyle="1" w:styleId="2817">
    <w:name w:val="正文修改61"/>
    <w:basedOn w:val="786"/>
    <w:qFormat/>
    <w:uiPriority w:val="0"/>
    <w:rPr>
      <w:rFonts w:hAnsi="宋体" w:eastAsia="宋体" w:cs="宋体"/>
      <w:szCs w:val="24"/>
    </w:rPr>
  </w:style>
  <w:style w:type="paragraph" w:customStyle="1" w:styleId="2818">
    <w:name w:val="正文格式＝621"/>
    <w:basedOn w:val="418"/>
    <w:next w:val="418"/>
    <w:qFormat/>
    <w:uiPriority w:val="0"/>
    <w:rPr>
      <w:rFonts w:hAnsi="宋体"/>
      <w:szCs w:val="24"/>
    </w:rPr>
  </w:style>
  <w:style w:type="paragraph" w:customStyle="1" w:styleId="2819">
    <w:name w:val="表内宋51114"/>
    <w:basedOn w:val="734"/>
    <w:qFormat/>
    <w:uiPriority w:val="0"/>
    <w:rPr>
      <w:rFonts w:ascii="宋体" w:hAnsi="宋体" w:cs="宋体"/>
      <w:sz w:val="21"/>
      <w:szCs w:val="24"/>
    </w:rPr>
  </w:style>
  <w:style w:type="paragraph" w:customStyle="1" w:styleId="2820">
    <w:name w:val="默认段落字体 Para Char12"/>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2821">
    <w:name w:val="表中文字62"/>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2822">
    <w:name w:val="样式 正文缩进 + 宋体 黑色 首行缩进:  2 字符11"/>
    <w:basedOn w:val="112"/>
    <w:qFormat/>
    <w:uiPriority w:val="0"/>
    <w:pPr>
      <w:ind w:firstLine="480"/>
    </w:pPr>
    <w:rPr>
      <w:rFonts w:cs="宋体"/>
      <w:color w:val="FF00FF"/>
    </w:rPr>
  </w:style>
  <w:style w:type="paragraph" w:customStyle="1" w:styleId="2823">
    <w:name w:val="默认段落字体 Para Char Char Char Char14"/>
    <w:basedOn w:val="1"/>
    <w:qFormat/>
    <w:uiPriority w:val="0"/>
    <w:pPr>
      <w:widowControl/>
      <w:jc w:val="left"/>
    </w:pPr>
    <w:rPr>
      <w:rFonts w:ascii="宋体" w:hAnsi="宋体" w:cs="宋体"/>
      <w:kern w:val="0"/>
      <w:szCs w:val="24"/>
    </w:rPr>
  </w:style>
  <w:style w:type="paragraph" w:customStyle="1" w:styleId="2824">
    <w:name w:val="正文.12"/>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2825">
    <w:name w:val="Char128"/>
    <w:basedOn w:val="1"/>
    <w:qFormat/>
    <w:uiPriority w:val="0"/>
    <w:pPr>
      <w:widowControl/>
      <w:ind w:left="-48"/>
      <w:jc w:val="left"/>
    </w:pPr>
    <w:rPr>
      <w:rFonts w:ascii="宋体" w:hAnsi="宋体" w:cs="宋体"/>
      <w:kern w:val="0"/>
      <w:szCs w:val="24"/>
    </w:rPr>
  </w:style>
  <w:style w:type="paragraph" w:customStyle="1" w:styleId="2826">
    <w:name w:val="正文格式4"/>
    <w:basedOn w:val="1"/>
    <w:qFormat/>
    <w:uiPriority w:val="0"/>
    <w:pPr>
      <w:widowControl/>
      <w:ind w:firstLine="482"/>
      <w:jc w:val="left"/>
    </w:pPr>
    <w:rPr>
      <w:rFonts w:ascii="宋体" w:hAnsi="宋体" w:cs="宋体"/>
      <w:kern w:val="0"/>
      <w:szCs w:val="24"/>
    </w:rPr>
  </w:style>
  <w:style w:type="paragraph" w:customStyle="1" w:styleId="2827">
    <w:name w:val="燕山正文14"/>
    <w:basedOn w:val="1"/>
    <w:qFormat/>
    <w:uiPriority w:val="0"/>
    <w:pPr>
      <w:widowControl/>
      <w:tabs>
        <w:tab w:val="left" w:pos="4680"/>
      </w:tabs>
      <w:spacing w:line="480" w:lineRule="exact"/>
      <w:jc w:val="left"/>
    </w:pPr>
    <w:rPr>
      <w:rFonts w:ascii="宋体" w:hAnsi="宋体" w:cs="宋体"/>
      <w:kern w:val="0"/>
      <w:szCs w:val="24"/>
    </w:rPr>
  </w:style>
  <w:style w:type="paragraph" w:customStyle="1" w:styleId="2828">
    <w:name w:val="表内宋5中213"/>
    <w:basedOn w:val="1"/>
    <w:qFormat/>
    <w:uiPriority w:val="0"/>
    <w:pPr>
      <w:widowControl/>
      <w:jc w:val="center"/>
      <w:textAlignment w:val="baseline"/>
    </w:pPr>
    <w:rPr>
      <w:rFonts w:ascii="宋体" w:hAnsi="宋体" w:cs="宋体"/>
      <w:kern w:val="0"/>
      <w:szCs w:val="20"/>
    </w:rPr>
  </w:style>
  <w:style w:type="paragraph" w:customStyle="1" w:styleId="2829">
    <w:name w:val="表格内字体411"/>
    <w:basedOn w:val="418"/>
    <w:next w:val="418"/>
    <w:qFormat/>
    <w:uiPriority w:val="0"/>
    <w:pPr>
      <w:spacing w:line="240" w:lineRule="auto"/>
      <w:ind w:firstLine="0"/>
      <w:jc w:val="center"/>
    </w:pPr>
    <w:rPr>
      <w:rFonts w:hAnsi="宋体"/>
      <w:sz w:val="21"/>
      <w:szCs w:val="24"/>
    </w:rPr>
  </w:style>
  <w:style w:type="paragraph" w:customStyle="1" w:styleId="2830">
    <w:name w:val="样式 表格内字体 +3"/>
    <w:basedOn w:val="559"/>
    <w:qFormat/>
    <w:uiPriority w:val="0"/>
    <w:pPr>
      <w:spacing w:line="280" w:lineRule="exact"/>
      <w:ind w:firstLine="36"/>
      <w:jc w:val="both"/>
    </w:pPr>
    <w:rPr>
      <w:rFonts w:hAnsi="宋体"/>
      <w:sz w:val="21"/>
      <w:szCs w:val="24"/>
    </w:rPr>
  </w:style>
  <w:style w:type="paragraph" w:customStyle="1" w:styleId="2831">
    <w:name w:val="xl36"/>
    <w:basedOn w:val="1"/>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jc w:val="center"/>
      <w:textAlignment w:val="center"/>
    </w:pPr>
    <w:rPr>
      <w:rFonts w:hint="eastAsia" w:ascii="MingLiU" w:eastAsia="MingLiU"/>
      <w:kern w:val="0"/>
      <w:sz w:val="16"/>
      <w:szCs w:val="16"/>
      <w:lang w:eastAsia="zh-TW"/>
    </w:rPr>
  </w:style>
  <w:style w:type="paragraph" w:customStyle="1" w:styleId="2832">
    <w:name w:val="Char Char Char Char Char Char Char Char Char Char Char Char Char Char Char Char Char Char Char1"/>
    <w:basedOn w:val="1"/>
    <w:qFormat/>
    <w:uiPriority w:val="0"/>
    <w:pPr>
      <w:widowControl/>
      <w:jc w:val="left"/>
    </w:pPr>
    <w:rPr>
      <w:rFonts w:ascii="宋体" w:hAnsi="宋体" w:cs="宋体"/>
      <w:kern w:val="0"/>
      <w:szCs w:val="24"/>
    </w:rPr>
  </w:style>
  <w:style w:type="paragraph" w:customStyle="1" w:styleId="2833">
    <w:name w:val="燕山正文8"/>
    <w:basedOn w:val="1"/>
    <w:qFormat/>
    <w:uiPriority w:val="0"/>
    <w:pPr>
      <w:widowControl/>
      <w:tabs>
        <w:tab w:val="left" w:pos="4680"/>
      </w:tabs>
      <w:spacing w:line="480" w:lineRule="exact"/>
      <w:jc w:val="left"/>
    </w:pPr>
    <w:rPr>
      <w:rFonts w:ascii="宋体" w:hAnsi="宋体" w:cs="宋体"/>
      <w:kern w:val="0"/>
      <w:szCs w:val="24"/>
    </w:rPr>
  </w:style>
  <w:style w:type="paragraph" w:customStyle="1" w:styleId="2834">
    <w:name w:val="font0"/>
    <w:basedOn w:val="1"/>
    <w:qFormat/>
    <w:uiPriority w:val="0"/>
    <w:pPr>
      <w:widowControl/>
      <w:spacing w:before="100" w:beforeAutospacing="1" w:after="100" w:afterAutospacing="1"/>
      <w:jc w:val="left"/>
    </w:pPr>
    <w:rPr>
      <w:rFonts w:hint="eastAsia" w:ascii="宋体" w:hAnsi="宋体" w:cs="Arial Unicode MS"/>
      <w:kern w:val="0"/>
      <w:szCs w:val="24"/>
    </w:rPr>
  </w:style>
  <w:style w:type="paragraph" w:customStyle="1" w:styleId="2835">
    <w:name w:val="表内文字小22"/>
    <w:basedOn w:val="1"/>
    <w:qFormat/>
    <w:uiPriority w:val="0"/>
    <w:pPr>
      <w:widowControl/>
      <w:jc w:val="center"/>
    </w:pPr>
    <w:rPr>
      <w:rFonts w:ascii="宋体" w:hAnsi="Times" w:cs="宋体"/>
      <w:bCs/>
      <w:kern w:val="0"/>
      <w:szCs w:val="20"/>
    </w:rPr>
  </w:style>
  <w:style w:type="paragraph" w:customStyle="1" w:styleId="2836">
    <w:name w:val="样式 标题 3条标题1.1.1条标题1.1.11条标题1.1.12条标题1.1.13条标题1.1.111条标题1.1..."/>
    <w:basedOn w:val="4"/>
    <w:qFormat/>
    <w:uiPriority w:val="0"/>
  </w:style>
  <w:style w:type="paragraph" w:customStyle="1" w:styleId="2837">
    <w:name w:val="表内5中12"/>
    <w:basedOn w:val="1"/>
    <w:qFormat/>
    <w:uiPriority w:val="0"/>
    <w:pPr>
      <w:widowControl/>
      <w:jc w:val="center"/>
    </w:pPr>
    <w:rPr>
      <w:rFonts w:ascii="宋体" w:hAnsi="宋体" w:cs="Arial"/>
      <w:snapToGrid w:val="0"/>
      <w:kern w:val="0"/>
      <w:szCs w:val="21"/>
    </w:rPr>
  </w:style>
  <w:style w:type="paragraph" w:customStyle="1" w:styleId="2838">
    <w:name w:val="燕山正文213"/>
    <w:basedOn w:val="1"/>
    <w:qFormat/>
    <w:uiPriority w:val="0"/>
    <w:pPr>
      <w:widowControl/>
      <w:tabs>
        <w:tab w:val="left" w:pos="4680"/>
      </w:tabs>
      <w:spacing w:line="480" w:lineRule="exact"/>
      <w:jc w:val="left"/>
    </w:pPr>
    <w:rPr>
      <w:rFonts w:ascii="宋体" w:hAnsi="宋体" w:cs="宋体"/>
      <w:kern w:val="0"/>
      <w:szCs w:val="24"/>
    </w:rPr>
  </w:style>
  <w:style w:type="paragraph" w:customStyle="1" w:styleId="2839">
    <w:name w:val="p0"/>
    <w:basedOn w:val="1"/>
    <w:qFormat/>
    <w:uiPriority w:val="0"/>
    <w:pPr>
      <w:widowControl/>
    </w:pPr>
    <w:rPr>
      <w:kern w:val="0"/>
      <w:szCs w:val="21"/>
    </w:rPr>
  </w:style>
  <w:style w:type="paragraph" w:customStyle="1" w:styleId="2840">
    <w:name w:val="燕山正文212"/>
    <w:basedOn w:val="1"/>
    <w:qFormat/>
    <w:uiPriority w:val="0"/>
    <w:pPr>
      <w:widowControl/>
      <w:tabs>
        <w:tab w:val="left" w:pos="4680"/>
      </w:tabs>
      <w:spacing w:line="480" w:lineRule="exact"/>
      <w:jc w:val="left"/>
    </w:pPr>
    <w:rPr>
      <w:rFonts w:ascii="宋体" w:hAnsi="宋体" w:cs="宋体"/>
      <w:kern w:val="0"/>
      <w:szCs w:val="24"/>
    </w:rPr>
  </w:style>
  <w:style w:type="paragraph" w:customStyle="1" w:styleId="2841">
    <w:name w:val="样式10"/>
    <w:basedOn w:val="4"/>
    <w:qFormat/>
    <w:uiPriority w:val="0"/>
    <w:pPr>
      <w:widowControl/>
    </w:pPr>
    <w:rPr>
      <w:rFonts w:eastAsia="黑体"/>
      <w:szCs w:val="24"/>
    </w:rPr>
  </w:style>
  <w:style w:type="paragraph" w:customStyle="1" w:styleId="2842">
    <w:name w:val="Char12"/>
    <w:basedOn w:val="1"/>
    <w:qFormat/>
    <w:uiPriority w:val="0"/>
    <w:pPr>
      <w:widowControl/>
      <w:spacing w:before="156"/>
      <w:jc w:val="left"/>
    </w:pPr>
    <w:rPr>
      <w:rFonts w:ascii="黑体" w:hAnsi="宋体" w:eastAsia="黑体" w:cs="宋体"/>
      <w:kern w:val="0"/>
      <w:sz w:val="32"/>
      <w:szCs w:val="32"/>
    </w:rPr>
  </w:style>
  <w:style w:type="paragraph" w:customStyle="1" w:styleId="2843">
    <w:name w:val="文本框11"/>
    <w:basedOn w:val="1"/>
    <w:qFormat/>
    <w:uiPriority w:val="0"/>
    <w:pPr>
      <w:widowControl/>
      <w:spacing w:after="6"/>
      <w:jc w:val="center"/>
    </w:pPr>
    <w:rPr>
      <w:rFonts w:ascii="宋体" w:hAnsi="宋体" w:cs="宋体"/>
      <w:kern w:val="0"/>
      <w:szCs w:val="24"/>
    </w:rPr>
  </w:style>
  <w:style w:type="paragraph" w:customStyle="1" w:styleId="2844">
    <w:name w:val="首行缩进:  0.99 厘米 + 首行缩进:  2 字符11"/>
    <w:basedOn w:val="1"/>
    <w:qFormat/>
    <w:uiPriority w:val="0"/>
    <w:pPr>
      <w:widowControl/>
      <w:topLinePunct/>
      <w:spacing w:line="480" w:lineRule="exact"/>
      <w:ind w:firstLine="420"/>
      <w:jc w:val="center"/>
    </w:pPr>
    <w:rPr>
      <w:rFonts w:ascii="宋体" w:hAnsi="宋体" w:cs="宋体"/>
      <w:snapToGrid w:val="0"/>
      <w:color w:val="FF0000"/>
      <w:kern w:val="0"/>
      <w:szCs w:val="21"/>
    </w:rPr>
  </w:style>
  <w:style w:type="paragraph" w:customStyle="1" w:styleId="2845">
    <w:name w:val="Char Char Char Char Char Char Char Char Char Char Char Char Char Char Char Char Char Char Char Char Char Char Char Char Char Char Char Char Char Char Char Char Char1 Char Char Char Char Char Char"/>
    <w:basedOn w:val="1"/>
    <w:qFormat/>
    <w:uiPriority w:val="0"/>
    <w:pPr>
      <w:widowControl/>
      <w:jc w:val="left"/>
    </w:pPr>
    <w:rPr>
      <w:rFonts w:ascii="宋体" w:hAnsi="宋体" w:cs="宋体"/>
      <w:kern w:val="0"/>
      <w:szCs w:val="24"/>
    </w:rPr>
  </w:style>
  <w:style w:type="paragraph" w:customStyle="1" w:styleId="2846">
    <w:name w:val="样式16"/>
    <w:basedOn w:val="1586"/>
    <w:qFormat/>
    <w:uiPriority w:val="0"/>
    <w:pPr>
      <w:spacing w:line="240" w:lineRule="auto"/>
      <w:ind w:firstLine="0"/>
      <w:jc w:val="center"/>
    </w:pPr>
    <w:rPr>
      <w:rFonts w:cs="Times New Roman"/>
      <w:b/>
      <w:color w:val="auto"/>
      <w:szCs w:val="20"/>
    </w:rPr>
  </w:style>
  <w:style w:type="paragraph" w:customStyle="1" w:styleId="2847">
    <w:name w:val="默认段落字体 Para Char Char Char Char512"/>
    <w:basedOn w:val="1"/>
    <w:qFormat/>
    <w:uiPriority w:val="0"/>
    <w:pPr>
      <w:widowControl/>
      <w:jc w:val="left"/>
    </w:pPr>
    <w:rPr>
      <w:rFonts w:ascii="宋体" w:hAnsi="宋体" w:cs="宋体"/>
      <w:kern w:val="0"/>
      <w:szCs w:val="24"/>
    </w:rPr>
  </w:style>
  <w:style w:type="paragraph" w:customStyle="1" w:styleId="2848">
    <w:name w:val="xl33"/>
    <w:basedOn w:val="1"/>
    <w:qFormat/>
    <w:uiPriority w:val="0"/>
    <w:pPr>
      <w:widowControl/>
      <w:pBdr>
        <w:top w:val="single" w:color="auto" w:sz="4" w:space="0"/>
        <w:left w:val="single" w:color="auto" w:sz="4" w:space="0"/>
        <w:bottom w:val="single" w:color="auto" w:sz="4" w:space="0"/>
        <w:right w:val="double" w:color="auto" w:sz="6" w:space="0"/>
      </w:pBdr>
      <w:spacing w:before="100" w:beforeAutospacing="1" w:after="100" w:afterAutospacing="1"/>
      <w:jc w:val="center"/>
      <w:textAlignment w:val="center"/>
    </w:pPr>
    <w:rPr>
      <w:rFonts w:eastAsia="PMingLiU"/>
      <w:kern w:val="0"/>
      <w:sz w:val="16"/>
      <w:szCs w:val="16"/>
      <w:lang w:eastAsia="zh-TW"/>
    </w:rPr>
  </w:style>
  <w:style w:type="paragraph" w:customStyle="1" w:styleId="2849">
    <w:name w:val="Char83"/>
    <w:basedOn w:val="1"/>
    <w:qFormat/>
    <w:uiPriority w:val="0"/>
    <w:pPr>
      <w:widowControl/>
      <w:ind w:left="-48"/>
      <w:jc w:val="left"/>
    </w:pPr>
    <w:rPr>
      <w:rFonts w:ascii="宋体" w:hAnsi="宋体" w:cs="宋体"/>
      <w:kern w:val="0"/>
      <w:szCs w:val="24"/>
    </w:rPr>
  </w:style>
  <w:style w:type="paragraph" w:customStyle="1" w:styleId="2850">
    <w:name w:val="表题1311"/>
    <w:basedOn w:val="17"/>
    <w:qFormat/>
    <w:uiPriority w:val="0"/>
    <w:pPr>
      <w:widowControl/>
      <w:ind w:firstLine="0" w:firstLineChars="0"/>
      <w:jc w:val="center"/>
    </w:pPr>
    <w:rPr>
      <w:rFonts w:ascii="黑体" w:cs="Arial"/>
      <w:b/>
    </w:rPr>
  </w:style>
  <w:style w:type="paragraph" w:customStyle="1" w:styleId="2851">
    <w:name w:val="环评正文4"/>
    <w:basedOn w:val="98"/>
    <w:qFormat/>
    <w:uiPriority w:val="0"/>
    <w:pPr>
      <w:spacing w:line="440" w:lineRule="exact"/>
      <w:ind w:firstLine="200" w:firstLineChars="200"/>
    </w:pPr>
    <w:rPr>
      <w:rFonts w:ascii="Times New Roman" w:hAnsi="Times New Roman" w:cs="Times New Roman"/>
      <w:bCs/>
      <w:color w:val="000000"/>
    </w:rPr>
  </w:style>
  <w:style w:type="paragraph" w:customStyle="1" w:styleId="2852">
    <w:name w:val="表内宋51113"/>
    <w:basedOn w:val="734"/>
    <w:qFormat/>
    <w:uiPriority w:val="0"/>
    <w:rPr>
      <w:rFonts w:ascii="宋体" w:hAnsi="宋体" w:cs="宋体"/>
      <w:sz w:val="21"/>
      <w:szCs w:val="24"/>
    </w:rPr>
  </w:style>
  <w:style w:type="paragraph" w:customStyle="1" w:styleId="2853">
    <w:name w:val="表中文字2111"/>
    <w:basedOn w:val="1"/>
    <w:qFormat/>
    <w:uiPriority w:val="0"/>
    <w:pPr>
      <w:widowControl/>
      <w:spacing w:line="240" w:lineRule="atLeast"/>
      <w:ind w:right="-42" w:rightChars="-20"/>
      <w:jc w:val="center"/>
      <w:textAlignment w:val="baseline"/>
    </w:pPr>
    <w:rPr>
      <w:rFonts w:ascii="宋体" w:hAnsi="宋体" w:cs="宋体"/>
      <w:kern w:val="0"/>
      <w:szCs w:val="21"/>
    </w:rPr>
  </w:style>
  <w:style w:type="paragraph" w:customStyle="1" w:styleId="2854">
    <w:name w:val="列表编号 41"/>
    <w:basedOn w:val="1"/>
    <w:qFormat/>
    <w:uiPriority w:val="0"/>
    <w:pPr>
      <w:widowControl/>
      <w:tabs>
        <w:tab w:val="left" w:pos="1620"/>
      </w:tabs>
      <w:ind w:left="1620" w:hanging="360"/>
      <w:jc w:val="left"/>
    </w:pPr>
    <w:rPr>
      <w:rFonts w:ascii="宋体" w:hAnsi="宋体" w:cs="宋体"/>
      <w:kern w:val="0"/>
      <w:szCs w:val="24"/>
    </w:rPr>
  </w:style>
  <w:style w:type="paragraph" w:customStyle="1" w:styleId="2855">
    <w:name w:val="Char72"/>
    <w:basedOn w:val="1"/>
    <w:qFormat/>
    <w:uiPriority w:val="0"/>
    <w:pPr>
      <w:widowControl/>
      <w:ind w:left="-48"/>
      <w:jc w:val="left"/>
    </w:pPr>
    <w:rPr>
      <w:rFonts w:ascii="宋体" w:hAnsi="宋体" w:cs="宋体"/>
      <w:kern w:val="0"/>
      <w:szCs w:val="24"/>
    </w:rPr>
  </w:style>
  <w:style w:type="paragraph" w:customStyle="1" w:styleId="2856">
    <w:name w:val="Char2211"/>
    <w:basedOn w:val="1"/>
    <w:qFormat/>
    <w:uiPriority w:val="0"/>
    <w:pPr>
      <w:widowControl/>
      <w:spacing w:before="156"/>
      <w:jc w:val="left"/>
    </w:pPr>
    <w:rPr>
      <w:rFonts w:ascii="黑体" w:hAnsi="宋体" w:eastAsia="黑体" w:cs="宋体"/>
      <w:kern w:val="0"/>
      <w:sz w:val="32"/>
      <w:szCs w:val="32"/>
    </w:rPr>
  </w:style>
  <w:style w:type="paragraph" w:customStyle="1" w:styleId="2857">
    <w:name w:val="表内小5中111"/>
    <w:basedOn w:val="1"/>
    <w:qFormat/>
    <w:uiPriority w:val="0"/>
    <w:pPr>
      <w:widowControl/>
      <w:jc w:val="center"/>
    </w:pPr>
    <w:rPr>
      <w:rFonts w:ascii="宋体" w:hAnsi="宋体" w:cs="宋体"/>
      <w:kern w:val="0"/>
      <w:sz w:val="18"/>
      <w:szCs w:val="20"/>
    </w:rPr>
  </w:style>
  <w:style w:type="paragraph" w:customStyle="1" w:styleId="2858">
    <w:name w:val="Char Char Char Char Char Char Char25"/>
    <w:basedOn w:val="1"/>
    <w:qFormat/>
    <w:uiPriority w:val="0"/>
    <w:pPr>
      <w:widowControl/>
      <w:jc w:val="left"/>
    </w:pPr>
    <w:rPr>
      <w:rFonts w:ascii="宋体" w:hAnsi="宋体" w:cs="宋体"/>
      <w:kern w:val="0"/>
      <w:szCs w:val="24"/>
    </w:rPr>
  </w:style>
  <w:style w:type="paragraph" w:customStyle="1" w:styleId="2859">
    <w:name w:val="Char Char Char Char Char Char Char151"/>
    <w:basedOn w:val="1"/>
    <w:qFormat/>
    <w:uiPriority w:val="0"/>
    <w:pPr>
      <w:widowControl/>
      <w:jc w:val="left"/>
    </w:pPr>
    <w:rPr>
      <w:rFonts w:ascii="宋体" w:hAnsi="宋体" w:cs="宋体"/>
      <w:kern w:val="0"/>
      <w:szCs w:val="20"/>
    </w:rPr>
  </w:style>
  <w:style w:type="paragraph" w:customStyle="1" w:styleId="2860">
    <w:name w:val="正文格式31"/>
    <w:basedOn w:val="1"/>
    <w:qFormat/>
    <w:uiPriority w:val="0"/>
    <w:pPr>
      <w:widowControl/>
      <w:ind w:firstLine="482"/>
      <w:jc w:val="left"/>
    </w:pPr>
    <w:rPr>
      <w:rFonts w:ascii="宋体" w:hAnsi="宋体" w:cs="宋体"/>
      <w:kern w:val="0"/>
      <w:szCs w:val="24"/>
    </w:rPr>
  </w:style>
  <w:style w:type="paragraph" w:customStyle="1" w:styleId="2861">
    <w:name w:val="表内文字小3111"/>
    <w:basedOn w:val="1"/>
    <w:qFormat/>
    <w:uiPriority w:val="0"/>
    <w:pPr>
      <w:widowControl/>
      <w:jc w:val="center"/>
    </w:pPr>
    <w:rPr>
      <w:rFonts w:ascii="宋体" w:hAnsi="Times" w:cs="宋体"/>
      <w:bCs/>
      <w:color w:val="003366"/>
      <w:kern w:val="0"/>
      <w:szCs w:val="20"/>
    </w:rPr>
  </w:style>
  <w:style w:type="paragraph" w:customStyle="1" w:styleId="2862">
    <w:name w:val="正文修改1"/>
    <w:basedOn w:val="786"/>
    <w:qFormat/>
    <w:uiPriority w:val="0"/>
    <w:rPr>
      <w:rFonts w:hAnsi="宋体" w:eastAsia="宋体" w:cs="宋体"/>
      <w:szCs w:val="24"/>
    </w:rPr>
  </w:style>
  <w:style w:type="paragraph" w:customStyle="1" w:styleId="2863">
    <w:name w:val="Char Char2 Char Char Char Char111"/>
    <w:basedOn w:val="1"/>
    <w:qFormat/>
    <w:uiPriority w:val="0"/>
    <w:pPr>
      <w:widowControl/>
      <w:jc w:val="left"/>
    </w:pPr>
    <w:rPr>
      <w:rFonts w:ascii="宋体" w:hAnsi="宋体" w:cs="宋体"/>
      <w:kern w:val="0"/>
      <w:szCs w:val="24"/>
    </w:rPr>
  </w:style>
  <w:style w:type="paragraph" w:customStyle="1" w:styleId="2864">
    <w:name w:val="正文修改211"/>
    <w:basedOn w:val="786"/>
    <w:qFormat/>
    <w:uiPriority w:val="0"/>
    <w:rPr>
      <w:rFonts w:hAnsi="宋体" w:eastAsia="宋体" w:cs="宋体"/>
      <w:szCs w:val="24"/>
    </w:rPr>
  </w:style>
  <w:style w:type="paragraph" w:customStyle="1" w:styleId="2865">
    <w:name w:val="表内宋513"/>
    <w:basedOn w:val="1698"/>
    <w:qFormat/>
    <w:uiPriority w:val="0"/>
    <w:pPr>
      <w:autoSpaceDE w:val="0"/>
      <w:autoSpaceDN w:val="0"/>
      <w:textAlignment w:val="auto"/>
    </w:pPr>
    <w:rPr>
      <w:color w:val="auto"/>
      <w:w w:val="90"/>
    </w:rPr>
  </w:style>
  <w:style w:type="paragraph" w:customStyle="1" w:styleId="2866">
    <w:name w:val="图表名称1"/>
    <w:basedOn w:val="482"/>
    <w:qFormat/>
    <w:uiPriority w:val="0"/>
    <w:pPr>
      <w:spacing w:after="0" w:line="480" w:lineRule="exact"/>
      <w:ind w:firstLine="0" w:firstLineChars="0"/>
      <w:jc w:val="center"/>
    </w:pPr>
    <w:rPr>
      <w:rFonts w:ascii="宋体" w:hAnsi="宋体"/>
      <w:bCs/>
      <w:szCs w:val="24"/>
    </w:rPr>
  </w:style>
  <w:style w:type="paragraph" w:customStyle="1" w:styleId="2867">
    <w:name w:val="Char31"/>
    <w:basedOn w:val="1"/>
    <w:qFormat/>
    <w:uiPriority w:val="0"/>
    <w:pPr>
      <w:spacing w:line="240" w:lineRule="exact"/>
    </w:pPr>
    <w:rPr>
      <w:szCs w:val="28"/>
    </w:rPr>
  </w:style>
  <w:style w:type="paragraph" w:customStyle="1" w:styleId="2868">
    <w:name w:val="表题3132"/>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869">
    <w:name w:val="标题4312"/>
    <w:basedOn w:val="1"/>
    <w:qFormat/>
    <w:uiPriority w:val="0"/>
    <w:pPr>
      <w:widowControl/>
      <w:spacing w:line="480" w:lineRule="exact"/>
      <w:jc w:val="center"/>
    </w:pPr>
    <w:rPr>
      <w:rFonts w:ascii="宋体" w:hAnsi="宋体" w:cs="宋体"/>
      <w:kern w:val="0"/>
      <w:szCs w:val="24"/>
    </w:rPr>
  </w:style>
  <w:style w:type="paragraph" w:customStyle="1" w:styleId="2870">
    <w:name w:val="封面正文"/>
    <w:basedOn w:val="98"/>
    <w:qFormat/>
    <w:uiPriority w:val="0"/>
    <w:rPr>
      <w:rFonts w:ascii="Times New Roman" w:hAnsi="Times New Roman" w:cs="Times New Roman"/>
      <w:color w:val="000000"/>
    </w:rPr>
  </w:style>
  <w:style w:type="paragraph" w:customStyle="1" w:styleId="2871">
    <w:name w:val="Char84"/>
    <w:basedOn w:val="1"/>
    <w:qFormat/>
    <w:uiPriority w:val="0"/>
    <w:pPr>
      <w:widowControl/>
      <w:ind w:left="-48"/>
      <w:jc w:val="left"/>
    </w:pPr>
    <w:rPr>
      <w:rFonts w:ascii="宋体" w:hAnsi="宋体" w:cs="宋体"/>
      <w:kern w:val="0"/>
      <w:szCs w:val="24"/>
    </w:rPr>
  </w:style>
  <w:style w:type="paragraph" w:customStyle="1" w:styleId="2872">
    <w:name w:val="附件24"/>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2873">
    <w:name w:val="燕山正文1134"/>
    <w:basedOn w:val="1"/>
    <w:qFormat/>
    <w:uiPriority w:val="0"/>
    <w:pPr>
      <w:widowControl/>
      <w:tabs>
        <w:tab w:val="left" w:pos="4680"/>
      </w:tabs>
      <w:ind w:firstLine="480"/>
      <w:jc w:val="left"/>
    </w:pPr>
    <w:rPr>
      <w:rFonts w:ascii="宋体" w:hAnsi="宋体" w:cs="宋体"/>
      <w:bCs/>
      <w:snapToGrid w:val="0"/>
      <w:kern w:val="0"/>
      <w:szCs w:val="24"/>
    </w:rPr>
  </w:style>
  <w:style w:type="paragraph" w:customStyle="1" w:styleId="2874">
    <w:name w:val="正文格式＝212"/>
    <w:basedOn w:val="418"/>
    <w:next w:val="418"/>
    <w:qFormat/>
    <w:uiPriority w:val="0"/>
    <w:rPr>
      <w:rFonts w:hAnsi="宋体"/>
      <w:szCs w:val="24"/>
    </w:rPr>
  </w:style>
  <w:style w:type="paragraph" w:customStyle="1" w:styleId="2875">
    <w:name w:val="表内宋51111"/>
    <w:basedOn w:val="734"/>
    <w:qFormat/>
    <w:uiPriority w:val="0"/>
    <w:rPr>
      <w:rFonts w:ascii="宋体" w:hAnsi="宋体" w:cs="宋体"/>
      <w:sz w:val="21"/>
      <w:szCs w:val="24"/>
    </w:rPr>
  </w:style>
  <w:style w:type="paragraph" w:customStyle="1" w:styleId="2876">
    <w:name w:val="正文样式11"/>
    <w:basedOn w:val="1"/>
    <w:qFormat/>
    <w:uiPriority w:val="0"/>
    <w:pPr>
      <w:widowControl/>
      <w:ind w:firstLine="480"/>
      <w:jc w:val="left"/>
    </w:pPr>
    <w:rPr>
      <w:rFonts w:ascii="宋体" w:hAnsi="宋体" w:cs="Arial"/>
      <w:bCs/>
      <w:kern w:val="0"/>
      <w:szCs w:val="24"/>
    </w:rPr>
  </w:style>
  <w:style w:type="paragraph" w:customStyle="1" w:styleId="2877">
    <w:name w:val="正文23"/>
    <w:basedOn w:val="98"/>
    <w:qFormat/>
    <w:uiPriority w:val="0"/>
    <w:pPr>
      <w:adjustRightInd w:val="0"/>
      <w:snapToGrid w:val="0"/>
      <w:spacing w:line="480" w:lineRule="atLeast"/>
      <w:jc w:val="center"/>
    </w:pPr>
    <w:rPr>
      <w:rFonts w:ascii="宋体" w:hAnsi="Times New Roman" w:cs="Times New Roman"/>
      <w:snapToGrid w:val="0"/>
      <w:color w:val="000000"/>
      <w:spacing w:val="6"/>
    </w:rPr>
  </w:style>
  <w:style w:type="paragraph" w:customStyle="1" w:styleId="2878">
    <w:name w:val="默认段落字体 Para Char42"/>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2879">
    <w:name w:val="默认段落字体 Para Char22"/>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2880">
    <w:name w:val="附件212"/>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2881">
    <w:name w:val="默认段落字体 Para Char Char Char Char Char Char Char Char Char Char Char Char Char Char Char Char"/>
    <w:basedOn w:val="1"/>
    <w:qFormat/>
    <w:uiPriority w:val="0"/>
    <w:pPr>
      <w:widowControl/>
      <w:jc w:val="left"/>
    </w:pPr>
    <w:rPr>
      <w:rFonts w:ascii="宋体" w:hAnsi="宋体" w:cs="宋体"/>
      <w:kern w:val="0"/>
      <w:szCs w:val="24"/>
    </w:rPr>
  </w:style>
  <w:style w:type="paragraph" w:customStyle="1" w:styleId="2882">
    <w:name w:val="Char16"/>
    <w:basedOn w:val="1"/>
    <w:qFormat/>
    <w:uiPriority w:val="0"/>
    <w:pPr>
      <w:widowControl/>
      <w:ind w:left="-48"/>
      <w:jc w:val="left"/>
    </w:pPr>
    <w:rPr>
      <w:rFonts w:ascii="宋体" w:hAnsi="宋体" w:cs="宋体"/>
      <w:kern w:val="0"/>
      <w:szCs w:val="24"/>
    </w:rPr>
  </w:style>
  <w:style w:type="paragraph" w:customStyle="1" w:styleId="2883">
    <w:name w:val="表题3121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2884">
    <w:name w:val="默认段落字体 Para Char Char Char Char221"/>
    <w:basedOn w:val="1"/>
    <w:qFormat/>
    <w:uiPriority w:val="0"/>
    <w:pPr>
      <w:widowControl/>
      <w:jc w:val="left"/>
    </w:pPr>
    <w:rPr>
      <w:rFonts w:ascii="宋体" w:hAnsi="宋体" w:cs="宋体"/>
      <w:kern w:val="0"/>
      <w:szCs w:val="24"/>
    </w:rPr>
  </w:style>
  <w:style w:type="paragraph" w:customStyle="1" w:styleId="2885">
    <w:name w:val="表内533"/>
    <w:basedOn w:val="1"/>
    <w:qFormat/>
    <w:uiPriority w:val="0"/>
    <w:pPr>
      <w:widowControl/>
      <w:spacing w:line="300" w:lineRule="auto"/>
      <w:jc w:val="left"/>
    </w:pPr>
    <w:rPr>
      <w:rFonts w:ascii="宋体" w:hAnsi="宋体" w:cs="宋体"/>
      <w:kern w:val="0"/>
      <w:szCs w:val="20"/>
    </w:rPr>
  </w:style>
  <w:style w:type="paragraph" w:customStyle="1" w:styleId="2886">
    <w:name w:val="Char Char Char"/>
    <w:basedOn w:val="1"/>
    <w:qFormat/>
    <w:uiPriority w:val="0"/>
    <w:pPr>
      <w:widowControl/>
      <w:jc w:val="left"/>
    </w:pPr>
    <w:rPr>
      <w:rFonts w:ascii="宋体" w:hAnsi="宋体" w:cs="宋体"/>
      <w:kern w:val="0"/>
      <w:szCs w:val="24"/>
    </w:rPr>
  </w:style>
  <w:style w:type="paragraph" w:customStyle="1" w:styleId="2887">
    <w:name w:val="表中文字431"/>
    <w:basedOn w:val="1"/>
    <w:qFormat/>
    <w:uiPriority w:val="0"/>
    <w:pPr>
      <w:widowControl/>
      <w:spacing w:line="340" w:lineRule="exact"/>
      <w:ind w:firstLine="480"/>
      <w:jc w:val="center"/>
    </w:pPr>
    <w:rPr>
      <w:rFonts w:ascii="Arial" w:hAnsi="Arial" w:cs="宋体"/>
      <w:kern w:val="0"/>
      <w:sz w:val="20"/>
      <w:szCs w:val="24"/>
      <w:lang w:eastAsia="zh-TW"/>
    </w:rPr>
  </w:style>
  <w:style w:type="paragraph" w:customStyle="1" w:styleId="2888">
    <w:name w:val="Char Char Char Char1 Char Char Char26"/>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2889">
    <w:name w:val="正文格式51"/>
    <w:basedOn w:val="1"/>
    <w:qFormat/>
    <w:uiPriority w:val="0"/>
    <w:pPr>
      <w:widowControl/>
      <w:ind w:firstLine="482"/>
      <w:jc w:val="left"/>
    </w:pPr>
    <w:rPr>
      <w:rFonts w:ascii="宋体" w:hAnsi="宋体" w:cs="宋体"/>
      <w:kern w:val="0"/>
      <w:szCs w:val="24"/>
    </w:rPr>
  </w:style>
  <w:style w:type="paragraph" w:customStyle="1" w:styleId="2890">
    <w:name w:val="默认段落字体 Para Char Char Char1 Char Char Char Char Char Char Char Char Char Char Char Char1"/>
    <w:basedOn w:val="1"/>
    <w:qFormat/>
    <w:uiPriority w:val="0"/>
    <w:pPr>
      <w:widowControl/>
      <w:jc w:val="left"/>
    </w:pPr>
    <w:rPr>
      <w:rFonts w:ascii="宋体" w:hAnsi="宋体" w:cs="宋体"/>
      <w:kern w:val="0"/>
      <w:szCs w:val="24"/>
    </w:rPr>
  </w:style>
  <w:style w:type="paragraph" w:customStyle="1" w:styleId="2891">
    <w:name w:val="表11"/>
    <w:basedOn w:val="1"/>
    <w:qFormat/>
    <w:uiPriority w:val="0"/>
    <w:pPr>
      <w:widowControl/>
      <w:jc w:val="center"/>
    </w:pPr>
    <w:rPr>
      <w:rFonts w:ascii="宋体" w:hAnsi="宋体" w:cs="宋体"/>
      <w:kern w:val="0"/>
      <w:szCs w:val="24"/>
    </w:rPr>
  </w:style>
  <w:style w:type="paragraph" w:customStyle="1" w:styleId="2892">
    <w:name w:val="燕山正文33"/>
    <w:basedOn w:val="1"/>
    <w:qFormat/>
    <w:uiPriority w:val="0"/>
    <w:pPr>
      <w:widowControl/>
      <w:tabs>
        <w:tab w:val="left" w:pos="4680"/>
      </w:tabs>
      <w:spacing w:line="480" w:lineRule="exact"/>
      <w:jc w:val="left"/>
    </w:pPr>
    <w:rPr>
      <w:rFonts w:ascii="宋体" w:hAnsi="宋体" w:cs="宋体"/>
      <w:kern w:val="0"/>
      <w:szCs w:val="24"/>
    </w:rPr>
  </w:style>
  <w:style w:type="paragraph" w:customStyle="1" w:styleId="2893">
    <w:name w:val="南通－－正文"/>
    <w:basedOn w:val="1"/>
    <w:semiHidden/>
    <w:qFormat/>
    <w:uiPriority w:val="0"/>
    <w:rPr>
      <w:kern w:val="0"/>
      <w:szCs w:val="24"/>
    </w:rPr>
  </w:style>
  <w:style w:type="paragraph" w:customStyle="1" w:styleId="2894">
    <w:name w:val="图题2"/>
    <w:basedOn w:val="418"/>
    <w:next w:val="418"/>
    <w:qFormat/>
    <w:uiPriority w:val="0"/>
    <w:pPr>
      <w:ind w:firstLine="0"/>
      <w:jc w:val="center"/>
    </w:pPr>
    <w:rPr>
      <w:rFonts w:ascii="黑体" w:hAnsi="宋体" w:eastAsia="黑体" w:cs="宋体"/>
      <w:b/>
      <w:bCs/>
      <w:szCs w:val="24"/>
    </w:rPr>
  </w:style>
  <w:style w:type="paragraph" w:customStyle="1" w:styleId="2895">
    <w:name w:val="附件7"/>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2896">
    <w:name w:val="附件32"/>
    <w:basedOn w:val="2"/>
    <w:next w:val="418"/>
    <w:qFormat/>
    <w:uiPriority w:val="0"/>
    <w:pPr>
      <w:numPr>
        <w:numId w:val="0"/>
      </w:numPr>
      <w:spacing w:after="120"/>
      <w:jc w:val="left"/>
    </w:pPr>
    <w:rPr>
      <w:rFonts w:ascii="黑体" w:eastAsia="黑体"/>
      <w:b w:val="0"/>
      <w:sz w:val="32"/>
      <w:szCs w:val="32"/>
    </w:rPr>
  </w:style>
  <w:style w:type="paragraph" w:customStyle="1" w:styleId="2897">
    <w:name w:val="图题12"/>
    <w:basedOn w:val="418"/>
    <w:next w:val="418"/>
    <w:qFormat/>
    <w:uiPriority w:val="0"/>
    <w:pPr>
      <w:ind w:firstLine="0"/>
      <w:jc w:val="center"/>
    </w:pPr>
    <w:rPr>
      <w:rFonts w:ascii="黑体" w:hAnsi="宋体" w:eastAsia="黑体" w:cs="宋体"/>
      <w:b/>
      <w:bCs/>
      <w:szCs w:val="24"/>
    </w:rPr>
  </w:style>
  <w:style w:type="paragraph" w:customStyle="1" w:styleId="2898">
    <w:name w:val="表内5中112"/>
    <w:basedOn w:val="1"/>
    <w:qFormat/>
    <w:uiPriority w:val="0"/>
    <w:pPr>
      <w:widowControl/>
      <w:jc w:val="center"/>
    </w:pPr>
    <w:rPr>
      <w:rFonts w:ascii="宋体" w:hAnsi="宋体" w:cs="Arial"/>
      <w:snapToGrid w:val="0"/>
      <w:kern w:val="0"/>
      <w:szCs w:val="21"/>
    </w:rPr>
  </w:style>
  <w:style w:type="paragraph" w:customStyle="1" w:styleId="2899">
    <w:name w:val="燕山正文31"/>
    <w:basedOn w:val="1"/>
    <w:qFormat/>
    <w:uiPriority w:val="0"/>
    <w:pPr>
      <w:widowControl/>
      <w:tabs>
        <w:tab w:val="left" w:pos="4680"/>
      </w:tabs>
      <w:spacing w:line="480" w:lineRule="exact"/>
      <w:jc w:val="left"/>
    </w:pPr>
    <w:rPr>
      <w:rFonts w:ascii="宋体" w:hAnsi="宋体" w:cs="宋体"/>
      <w:kern w:val="0"/>
      <w:szCs w:val="24"/>
    </w:rPr>
  </w:style>
  <w:style w:type="paragraph" w:customStyle="1" w:styleId="2900">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PMingLiU"/>
      <w:kern w:val="0"/>
      <w:sz w:val="12"/>
      <w:szCs w:val="12"/>
      <w:lang w:eastAsia="zh-TW"/>
    </w:rPr>
  </w:style>
  <w:style w:type="paragraph" w:customStyle="1" w:styleId="2901">
    <w:name w:val="燕山正文1211"/>
    <w:basedOn w:val="1"/>
    <w:qFormat/>
    <w:uiPriority w:val="0"/>
    <w:pPr>
      <w:widowControl/>
      <w:tabs>
        <w:tab w:val="left" w:pos="4680"/>
      </w:tabs>
      <w:spacing w:line="480" w:lineRule="exact"/>
      <w:jc w:val="left"/>
    </w:pPr>
    <w:rPr>
      <w:rFonts w:ascii="宋体" w:hAnsi="宋体" w:cs="宋体"/>
      <w:kern w:val="0"/>
      <w:szCs w:val="24"/>
    </w:rPr>
  </w:style>
  <w:style w:type="paragraph" w:customStyle="1" w:styleId="2902">
    <w:name w:val="表内5中51"/>
    <w:basedOn w:val="1"/>
    <w:qFormat/>
    <w:uiPriority w:val="0"/>
    <w:pPr>
      <w:widowControl/>
      <w:jc w:val="center"/>
    </w:pPr>
    <w:rPr>
      <w:rFonts w:ascii="宋体" w:hAnsi="宋体" w:cs="Arial"/>
      <w:snapToGrid w:val="0"/>
      <w:kern w:val="0"/>
      <w:szCs w:val="21"/>
    </w:rPr>
  </w:style>
  <w:style w:type="paragraph" w:customStyle="1" w:styleId="2903">
    <w:name w:val="表内文字小2221"/>
    <w:basedOn w:val="1"/>
    <w:qFormat/>
    <w:uiPriority w:val="0"/>
    <w:pPr>
      <w:widowControl/>
      <w:jc w:val="center"/>
    </w:pPr>
    <w:rPr>
      <w:rFonts w:ascii="宋体" w:hAnsi="Times" w:cs="宋体"/>
      <w:bCs/>
      <w:kern w:val="0"/>
      <w:szCs w:val="20"/>
    </w:rPr>
  </w:style>
  <w:style w:type="paragraph" w:customStyle="1" w:styleId="2904">
    <w:name w:val="表内宋5中211"/>
    <w:basedOn w:val="1"/>
    <w:qFormat/>
    <w:uiPriority w:val="0"/>
    <w:pPr>
      <w:widowControl/>
      <w:jc w:val="center"/>
      <w:textAlignment w:val="baseline"/>
    </w:pPr>
    <w:rPr>
      <w:rFonts w:ascii="宋体" w:hAnsi="宋体" w:cs="宋体"/>
      <w:kern w:val="0"/>
      <w:szCs w:val="20"/>
    </w:rPr>
  </w:style>
  <w:style w:type="paragraph" w:customStyle="1" w:styleId="2905">
    <w:name w:val="Char91"/>
    <w:basedOn w:val="1"/>
    <w:qFormat/>
    <w:uiPriority w:val="0"/>
    <w:pPr>
      <w:widowControl/>
      <w:ind w:left="-48"/>
      <w:jc w:val="left"/>
    </w:pPr>
    <w:rPr>
      <w:rFonts w:ascii="宋体" w:hAnsi="宋体" w:cs="宋体"/>
      <w:kern w:val="0"/>
      <w:szCs w:val="24"/>
    </w:rPr>
  </w:style>
  <w:style w:type="paragraph" w:customStyle="1" w:styleId="2906">
    <w:name w:val="xl77"/>
    <w:basedOn w:val="1"/>
    <w:qFormat/>
    <w:uiPriority w:val="0"/>
    <w:pPr>
      <w:widowControl/>
      <w:pBdr>
        <w:bottom w:val="single" w:color="auto" w:sz="12" w:space="0"/>
        <w:right w:val="single" w:color="auto" w:sz="8" w:space="0"/>
      </w:pBdr>
      <w:spacing w:before="100" w:beforeAutospacing="1" w:after="100" w:afterAutospacing="1"/>
      <w:jc w:val="center"/>
    </w:pPr>
    <w:rPr>
      <w:rFonts w:ascii="仿宋" w:hAnsi="仿宋" w:eastAsia="仿宋" w:cs="宋体"/>
      <w:kern w:val="0"/>
      <w:szCs w:val="21"/>
    </w:rPr>
  </w:style>
  <w:style w:type="paragraph" w:customStyle="1" w:styleId="2907">
    <w:name w:val="样式 题注 + 首行缩进:  2 字符"/>
    <w:basedOn w:val="17"/>
    <w:qFormat/>
    <w:uiPriority w:val="0"/>
    <w:pPr>
      <w:widowControl/>
      <w:spacing w:line="520" w:lineRule="exact"/>
      <w:ind w:firstLine="0" w:firstLineChars="0"/>
      <w:jc w:val="center"/>
    </w:pPr>
    <w:rPr>
      <w:rFonts w:cs="Arial"/>
    </w:rPr>
  </w:style>
  <w:style w:type="paragraph" w:customStyle="1" w:styleId="2908">
    <w:name w:val="表格内字体121"/>
    <w:basedOn w:val="418"/>
    <w:next w:val="418"/>
    <w:qFormat/>
    <w:uiPriority w:val="0"/>
    <w:pPr>
      <w:spacing w:line="240" w:lineRule="auto"/>
      <w:ind w:firstLine="0"/>
      <w:jc w:val="center"/>
    </w:pPr>
    <w:rPr>
      <w:rFonts w:hAnsi="宋体"/>
      <w:sz w:val="21"/>
      <w:szCs w:val="24"/>
    </w:rPr>
  </w:style>
  <w:style w:type="paragraph" w:customStyle="1" w:styleId="2909">
    <w:name w:val="默认段落字体 Para Char14"/>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2910">
    <w:name w:val="表内文字小313"/>
    <w:basedOn w:val="1"/>
    <w:qFormat/>
    <w:uiPriority w:val="0"/>
    <w:pPr>
      <w:widowControl/>
      <w:jc w:val="center"/>
    </w:pPr>
    <w:rPr>
      <w:rFonts w:ascii="宋体" w:hAnsi="Times" w:cs="宋体"/>
      <w:bCs/>
      <w:color w:val="003366"/>
      <w:kern w:val="0"/>
      <w:szCs w:val="20"/>
    </w:rPr>
  </w:style>
  <w:style w:type="paragraph" w:customStyle="1" w:styleId="2911">
    <w:name w:val="样式15"/>
    <w:basedOn w:val="1586"/>
    <w:qFormat/>
    <w:uiPriority w:val="0"/>
    <w:pPr>
      <w:spacing w:line="240" w:lineRule="auto"/>
      <w:ind w:firstLine="0"/>
      <w:jc w:val="center"/>
    </w:pPr>
    <w:rPr>
      <w:rFonts w:cs="Times New Roman"/>
      <w:b/>
      <w:color w:val="auto"/>
      <w:szCs w:val="20"/>
    </w:rPr>
  </w:style>
  <w:style w:type="paragraph" w:customStyle="1" w:styleId="2912">
    <w:name w:val="Char721"/>
    <w:basedOn w:val="1"/>
    <w:qFormat/>
    <w:uiPriority w:val="0"/>
    <w:pPr>
      <w:widowControl/>
      <w:ind w:left="-48"/>
      <w:jc w:val="left"/>
    </w:pPr>
    <w:rPr>
      <w:rFonts w:ascii="宋体" w:hAnsi="宋体" w:cs="宋体"/>
      <w:kern w:val="0"/>
      <w:szCs w:val="24"/>
    </w:rPr>
  </w:style>
  <w:style w:type="paragraph" w:customStyle="1" w:styleId="2913">
    <w:name w:val="表内5312"/>
    <w:basedOn w:val="1"/>
    <w:qFormat/>
    <w:uiPriority w:val="0"/>
    <w:pPr>
      <w:widowControl/>
      <w:spacing w:line="300" w:lineRule="auto"/>
      <w:jc w:val="left"/>
    </w:pPr>
    <w:rPr>
      <w:rFonts w:ascii="宋体" w:hAnsi="宋体" w:cs="宋体"/>
      <w:kern w:val="0"/>
      <w:szCs w:val="20"/>
    </w:rPr>
  </w:style>
  <w:style w:type="paragraph" w:customStyle="1" w:styleId="2914">
    <w:name w:val="表内宋5中21"/>
    <w:basedOn w:val="1"/>
    <w:qFormat/>
    <w:uiPriority w:val="0"/>
    <w:pPr>
      <w:widowControl/>
      <w:jc w:val="center"/>
      <w:textAlignment w:val="baseline"/>
    </w:pPr>
    <w:rPr>
      <w:rFonts w:ascii="宋体" w:hAnsi="宋体" w:cs="宋体"/>
      <w:kern w:val="0"/>
      <w:szCs w:val="20"/>
    </w:rPr>
  </w:style>
  <w:style w:type="paragraph" w:customStyle="1" w:styleId="2915">
    <w:name w:val="正文修改121"/>
    <w:basedOn w:val="786"/>
    <w:qFormat/>
    <w:uiPriority w:val="0"/>
    <w:rPr>
      <w:rFonts w:hAnsi="宋体" w:eastAsia="宋体" w:cs="宋体"/>
      <w:szCs w:val="24"/>
    </w:rPr>
  </w:style>
  <w:style w:type="paragraph" w:customStyle="1" w:styleId="2916">
    <w:name w:val="表中文字22"/>
    <w:basedOn w:val="1"/>
    <w:qFormat/>
    <w:uiPriority w:val="0"/>
    <w:pPr>
      <w:widowControl/>
      <w:spacing w:line="240" w:lineRule="atLeast"/>
      <w:ind w:right="-42" w:rightChars="-20"/>
      <w:jc w:val="center"/>
      <w:textAlignment w:val="baseline"/>
    </w:pPr>
    <w:rPr>
      <w:rFonts w:ascii="宋体" w:hAnsi="宋体" w:cs="宋体"/>
      <w:kern w:val="0"/>
      <w:szCs w:val="21"/>
    </w:rPr>
  </w:style>
  <w:style w:type="paragraph" w:customStyle="1" w:styleId="2917">
    <w:name w:val="表题1111"/>
    <w:basedOn w:val="17"/>
    <w:qFormat/>
    <w:uiPriority w:val="0"/>
    <w:pPr>
      <w:widowControl/>
      <w:ind w:firstLine="0" w:firstLineChars="0"/>
      <w:jc w:val="center"/>
    </w:pPr>
    <w:rPr>
      <w:rFonts w:ascii="黑体" w:cs="Arial"/>
    </w:rPr>
  </w:style>
  <w:style w:type="paragraph" w:customStyle="1" w:styleId="2918">
    <w:name w:val="文本框1"/>
    <w:basedOn w:val="1"/>
    <w:qFormat/>
    <w:uiPriority w:val="0"/>
    <w:rPr>
      <w:rFonts w:ascii="宋体" w:hAnsi="宋体"/>
      <w:szCs w:val="20"/>
    </w:rPr>
  </w:style>
  <w:style w:type="paragraph" w:customStyle="1" w:styleId="2919">
    <w:name w:val="燕山正文11211"/>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2920">
    <w:name w:val="封面标准文稿编辑信息13"/>
    <w:basedOn w:val="98"/>
    <w:qFormat/>
    <w:uiPriority w:val="0"/>
    <w:pPr>
      <w:spacing w:before="180" w:line="180" w:lineRule="exact"/>
      <w:jc w:val="center"/>
    </w:pPr>
    <w:rPr>
      <w:rFonts w:ascii="宋体" w:hAnsi="Times New Roman" w:cs="Times New Roman"/>
      <w:color w:val="000000"/>
    </w:rPr>
  </w:style>
  <w:style w:type="paragraph" w:customStyle="1" w:styleId="2921">
    <w:name w:val="默认段落字体 Para Char Char Char Char33"/>
    <w:basedOn w:val="1"/>
    <w:qFormat/>
    <w:uiPriority w:val="0"/>
    <w:pPr>
      <w:widowControl/>
      <w:jc w:val="left"/>
    </w:pPr>
    <w:rPr>
      <w:rFonts w:ascii="宋体" w:hAnsi="宋体" w:cs="宋体"/>
      <w:kern w:val="0"/>
      <w:szCs w:val="24"/>
    </w:rPr>
  </w:style>
  <w:style w:type="paragraph" w:customStyle="1" w:styleId="2922">
    <w:name w:val="正文修改212"/>
    <w:basedOn w:val="786"/>
    <w:qFormat/>
    <w:uiPriority w:val="0"/>
    <w:rPr>
      <w:rFonts w:hAnsi="宋体" w:eastAsia="宋体" w:cs="宋体"/>
      <w:szCs w:val="24"/>
    </w:rPr>
  </w:style>
  <w:style w:type="paragraph" w:customStyle="1" w:styleId="2923">
    <w:name w:val="Char Char Char Char1 Char Char Char25"/>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2924">
    <w:name w:val="图题5"/>
    <w:basedOn w:val="418"/>
    <w:next w:val="418"/>
    <w:qFormat/>
    <w:uiPriority w:val="0"/>
    <w:pPr>
      <w:ind w:firstLine="0"/>
      <w:jc w:val="center"/>
    </w:pPr>
    <w:rPr>
      <w:rFonts w:ascii="黑体" w:hAnsi="宋体" w:eastAsia="黑体" w:cs="宋体"/>
      <w:b/>
      <w:bCs/>
      <w:szCs w:val="24"/>
    </w:rPr>
  </w:style>
  <w:style w:type="paragraph" w:customStyle="1" w:styleId="2925">
    <w:name w:val="Char711"/>
    <w:basedOn w:val="1"/>
    <w:qFormat/>
    <w:uiPriority w:val="0"/>
    <w:pPr>
      <w:widowControl/>
      <w:ind w:left="-48"/>
      <w:jc w:val="left"/>
    </w:pPr>
    <w:rPr>
      <w:rFonts w:ascii="宋体" w:hAnsi="宋体" w:cs="宋体"/>
      <w:kern w:val="0"/>
      <w:szCs w:val="24"/>
    </w:rPr>
  </w:style>
  <w:style w:type="paragraph" w:customStyle="1" w:styleId="2926">
    <w:name w:val="附件1"/>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2927">
    <w:name w:val="Char11"/>
    <w:basedOn w:val="1"/>
    <w:qFormat/>
    <w:uiPriority w:val="0"/>
    <w:pPr>
      <w:widowControl/>
      <w:jc w:val="left"/>
    </w:pPr>
    <w:rPr>
      <w:rFonts w:ascii="宋体" w:hAnsi="宋体" w:cs="宋体"/>
      <w:kern w:val="0"/>
      <w:szCs w:val="24"/>
    </w:rPr>
  </w:style>
  <w:style w:type="paragraph" w:customStyle="1" w:styleId="2928">
    <w:name w:val="表7"/>
    <w:basedOn w:val="1"/>
    <w:qFormat/>
    <w:uiPriority w:val="0"/>
    <w:pPr>
      <w:widowControl/>
      <w:jc w:val="center"/>
    </w:pPr>
    <w:rPr>
      <w:rFonts w:ascii="宋体" w:hAnsi="宋体" w:cs="宋体"/>
      <w:kern w:val="0"/>
      <w:szCs w:val="24"/>
    </w:rPr>
  </w:style>
  <w:style w:type="paragraph" w:customStyle="1" w:styleId="2929">
    <w:name w:val="reader-word-layer reader-word-s18-3"/>
    <w:basedOn w:val="1"/>
    <w:qFormat/>
    <w:uiPriority w:val="0"/>
    <w:pPr>
      <w:widowControl/>
      <w:spacing w:before="100" w:beforeAutospacing="1" w:after="100" w:afterAutospacing="1"/>
      <w:jc w:val="left"/>
    </w:pPr>
    <w:rPr>
      <w:rFonts w:ascii="宋体" w:hAnsi="宋体" w:cs="宋体"/>
      <w:kern w:val="0"/>
      <w:szCs w:val="24"/>
    </w:rPr>
  </w:style>
  <w:style w:type="paragraph" w:customStyle="1" w:styleId="2930">
    <w:name w:val="font18"/>
    <w:basedOn w:val="1"/>
    <w:qFormat/>
    <w:uiPriority w:val="0"/>
    <w:pPr>
      <w:widowControl/>
      <w:spacing w:before="100" w:beforeAutospacing="1" w:after="100" w:afterAutospacing="1"/>
      <w:jc w:val="left"/>
    </w:pPr>
    <w:rPr>
      <w:rFonts w:ascii="Courier New" w:hAnsi="Courier New" w:cs="Courier New"/>
      <w:kern w:val="0"/>
      <w:sz w:val="18"/>
      <w:szCs w:val="18"/>
    </w:rPr>
  </w:style>
  <w:style w:type="paragraph" w:customStyle="1" w:styleId="2931">
    <w:name w:val="正文缩13"/>
    <w:basedOn w:val="1"/>
    <w:qFormat/>
    <w:uiPriority w:val="0"/>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2932">
    <w:name w:val="图题71"/>
    <w:basedOn w:val="418"/>
    <w:next w:val="418"/>
    <w:qFormat/>
    <w:uiPriority w:val="0"/>
    <w:pPr>
      <w:ind w:firstLine="0"/>
      <w:jc w:val="center"/>
    </w:pPr>
    <w:rPr>
      <w:rFonts w:ascii="黑体" w:hAnsi="宋体" w:eastAsia="黑体" w:cs="宋体"/>
      <w:b/>
      <w:bCs/>
      <w:szCs w:val="24"/>
    </w:rPr>
  </w:style>
  <w:style w:type="paragraph" w:customStyle="1" w:styleId="2933">
    <w:name w:val="Char115"/>
    <w:basedOn w:val="1"/>
    <w:qFormat/>
    <w:uiPriority w:val="0"/>
    <w:pPr>
      <w:widowControl/>
      <w:ind w:left="-48"/>
      <w:jc w:val="left"/>
    </w:pPr>
    <w:rPr>
      <w:rFonts w:ascii="宋体" w:hAnsi="宋体" w:cs="宋体"/>
      <w:kern w:val="0"/>
      <w:szCs w:val="24"/>
    </w:rPr>
  </w:style>
  <w:style w:type="paragraph" w:customStyle="1" w:styleId="2934">
    <w:name w:val="表文字533"/>
    <w:basedOn w:val="1"/>
    <w:qFormat/>
    <w:uiPriority w:val="0"/>
    <w:pPr>
      <w:widowControl/>
      <w:jc w:val="left"/>
      <w:textAlignment w:val="baseline"/>
    </w:pPr>
    <w:rPr>
      <w:rFonts w:ascii="宋体" w:hAnsi="宋体" w:cs="宋体"/>
      <w:kern w:val="0"/>
      <w:szCs w:val="20"/>
    </w:rPr>
  </w:style>
  <w:style w:type="paragraph" w:customStyle="1" w:styleId="2935">
    <w:name w:val="表51"/>
    <w:basedOn w:val="1"/>
    <w:qFormat/>
    <w:uiPriority w:val="0"/>
    <w:pPr>
      <w:widowControl/>
      <w:jc w:val="center"/>
    </w:pPr>
    <w:rPr>
      <w:rFonts w:ascii="宋体" w:hAnsi="宋体" w:cs="宋体"/>
      <w:kern w:val="0"/>
      <w:szCs w:val="24"/>
    </w:rPr>
  </w:style>
  <w:style w:type="paragraph" w:customStyle="1" w:styleId="2936">
    <w:name w:val="Char Char Char Char Char Char Char227"/>
    <w:basedOn w:val="1"/>
    <w:qFormat/>
    <w:uiPriority w:val="0"/>
    <w:pPr>
      <w:widowControl/>
      <w:jc w:val="left"/>
    </w:pPr>
    <w:rPr>
      <w:rFonts w:ascii="宋体" w:hAnsi="宋体" w:cs="宋体"/>
      <w:kern w:val="0"/>
      <w:szCs w:val="24"/>
    </w:rPr>
  </w:style>
  <w:style w:type="paragraph" w:customStyle="1" w:styleId="2937">
    <w:name w:val="燕山正文42"/>
    <w:basedOn w:val="1"/>
    <w:qFormat/>
    <w:uiPriority w:val="0"/>
    <w:pPr>
      <w:widowControl/>
      <w:tabs>
        <w:tab w:val="left" w:pos="4680"/>
      </w:tabs>
      <w:spacing w:line="480" w:lineRule="exact"/>
      <w:jc w:val="left"/>
    </w:pPr>
    <w:rPr>
      <w:rFonts w:ascii="宋体" w:hAnsi="宋体" w:cs="宋体"/>
      <w:kern w:val="0"/>
      <w:szCs w:val="24"/>
    </w:rPr>
  </w:style>
  <w:style w:type="paragraph" w:customStyle="1" w:styleId="2938">
    <w:name w:val="样式 正文缩进 + 宋体 黑色 首行缩进:  2 字符1"/>
    <w:basedOn w:val="112"/>
    <w:qFormat/>
    <w:uiPriority w:val="0"/>
    <w:pPr>
      <w:ind w:firstLine="480"/>
    </w:pPr>
    <w:rPr>
      <w:rFonts w:cs="宋体"/>
      <w:color w:val="FF00FF"/>
    </w:rPr>
  </w:style>
  <w:style w:type="paragraph" w:customStyle="1" w:styleId="2939">
    <w:name w:val="Char62"/>
    <w:basedOn w:val="1"/>
    <w:qFormat/>
    <w:uiPriority w:val="0"/>
    <w:pPr>
      <w:widowControl/>
      <w:spacing w:before="156"/>
      <w:jc w:val="left"/>
    </w:pPr>
    <w:rPr>
      <w:rFonts w:ascii="黑体" w:hAnsi="宋体" w:eastAsia="黑体" w:cs="宋体"/>
      <w:kern w:val="0"/>
      <w:sz w:val="32"/>
      <w:szCs w:val="32"/>
    </w:rPr>
  </w:style>
  <w:style w:type="paragraph" w:customStyle="1" w:styleId="2940">
    <w:name w:val="表内文字小31111"/>
    <w:basedOn w:val="1"/>
    <w:qFormat/>
    <w:uiPriority w:val="0"/>
    <w:pPr>
      <w:widowControl/>
      <w:jc w:val="center"/>
    </w:pPr>
    <w:rPr>
      <w:rFonts w:ascii="宋体" w:hAnsi="Times" w:cs="宋体"/>
      <w:bCs/>
      <w:color w:val="003366"/>
      <w:kern w:val="0"/>
      <w:szCs w:val="20"/>
    </w:rPr>
  </w:style>
  <w:style w:type="paragraph" w:customStyle="1" w:styleId="2941">
    <w:name w:val="正文斜体4"/>
    <w:basedOn w:val="418"/>
    <w:next w:val="418"/>
    <w:qFormat/>
    <w:uiPriority w:val="0"/>
    <w:rPr>
      <w:rFonts w:hAnsi="宋体"/>
      <w:i/>
      <w:iCs/>
      <w:szCs w:val="24"/>
    </w:rPr>
  </w:style>
  <w:style w:type="paragraph" w:customStyle="1" w:styleId="2942">
    <w:name w:val="正文2111"/>
    <w:basedOn w:val="98"/>
    <w:qFormat/>
    <w:uiPriority w:val="0"/>
    <w:pPr>
      <w:adjustRightInd w:val="0"/>
      <w:snapToGrid w:val="0"/>
      <w:spacing w:line="480" w:lineRule="atLeast"/>
      <w:jc w:val="center"/>
    </w:pPr>
    <w:rPr>
      <w:rFonts w:ascii="宋体" w:hAnsi="Times New Roman" w:cs="Times New Roman"/>
      <w:snapToGrid w:val="0"/>
      <w:color w:val="000000"/>
      <w:spacing w:val="6"/>
    </w:rPr>
  </w:style>
  <w:style w:type="paragraph" w:customStyle="1" w:styleId="2943">
    <w:name w:val="样式1231"/>
    <w:basedOn w:val="1586"/>
    <w:qFormat/>
    <w:uiPriority w:val="0"/>
    <w:pPr>
      <w:spacing w:line="240" w:lineRule="auto"/>
      <w:ind w:firstLine="0"/>
      <w:jc w:val="center"/>
    </w:pPr>
    <w:rPr>
      <w:rFonts w:cs="Times New Roman"/>
      <w:b/>
      <w:color w:val="auto"/>
      <w:szCs w:val="20"/>
    </w:rPr>
  </w:style>
  <w:style w:type="paragraph" w:customStyle="1" w:styleId="2944">
    <w:name w:val="xl66"/>
    <w:basedOn w:val="1"/>
    <w:qFormat/>
    <w:uiPriority w:val="0"/>
    <w:pPr>
      <w:widowControl/>
      <w:pBdr>
        <w:top w:val="single" w:color="auto" w:sz="12" w:space="0"/>
        <w:bottom w:val="single" w:color="auto" w:sz="8" w:space="0"/>
        <w:right w:val="single" w:color="auto" w:sz="8" w:space="0"/>
      </w:pBdr>
      <w:spacing w:before="100" w:beforeAutospacing="1" w:after="100" w:afterAutospacing="1"/>
      <w:jc w:val="center"/>
    </w:pPr>
    <w:rPr>
      <w:rFonts w:ascii="仿宋" w:hAnsi="仿宋" w:eastAsia="仿宋" w:cs="宋体"/>
      <w:kern w:val="0"/>
      <w:szCs w:val="21"/>
    </w:rPr>
  </w:style>
  <w:style w:type="paragraph" w:customStyle="1" w:styleId="2945">
    <w:name w:val="Char Char Char Char Char Char Char226"/>
    <w:basedOn w:val="1"/>
    <w:qFormat/>
    <w:uiPriority w:val="0"/>
    <w:pPr>
      <w:widowControl/>
      <w:jc w:val="left"/>
    </w:pPr>
    <w:rPr>
      <w:rFonts w:ascii="宋体" w:hAnsi="宋体" w:cs="宋体"/>
      <w:kern w:val="0"/>
      <w:szCs w:val="24"/>
    </w:rPr>
  </w:style>
  <w:style w:type="paragraph" w:customStyle="1" w:styleId="2946">
    <w:name w:val="表内5中3"/>
    <w:basedOn w:val="1"/>
    <w:qFormat/>
    <w:uiPriority w:val="0"/>
    <w:pPr>
      <w:widowControl/>
      <w:jc w:val="center"/>
    </w:pPr>
    <w:rPr>
      <w:rFonts w:ascii="宋体" w:hAnsi="宋体" w:cs="Arial"/>
      <w:snapToGrid w:val="0"/>
      <w:kern w:val="0"/>
      <w:szCs w:val="21"/>
    </w:rPr>
  </w:style>
  <w:style w:type="paragraph" w:customStyle="1" w:styleId="2947">
    <w:name w:val="默认段落字体 Para Char6"/>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2948">
    <w:name w:val="样式 标题 3 + 字距调整四号"/>
    <w:basedOn w:val="4"/>
    <w:qFormat/>
    <w:uiPriority w:val="0"/>
  </w:style>
  <w:style w:type="paragraph" w:customStyle="1" w:styleId="2949">
    <w:name w:val="表内541113"/>
    <w:basedOn w:val="1"/>
    <w:qFormat/>
    <w:uiPriority w:val="0"/>
    <w:pPr>
      <w:widowControl/>
      <w:spacing w:line="300" w:lineRule="auto"/>
      <w:jc w:val="center"/>
    </w:pPr>
    <w:rPr>
      <w:rFonts w:ascii="宋体" w:hAnsi="宋体" w:cs="宋体"/>
      <w:kern w:val="0"/>
      <w:szCs w:val="20"/>
    </w:rPr>
  </w:style>
  <w:style w:type="paragraph" w:customStyle="1" w:styleId="2950">
    <w:name w:val="表33"/>
    <w:basedOn w:val="1"/>
    <w:qFormat/>
    <w:uiPriority w:val="0"/>
    <w:pPr>
      <w:widowControl/>
      <w:jc w:val="center"/>
    </w:pPr>
    <w:rPr>
      <w:rFonts w:ascii="宋体" w:hAnsi="宋体" w:cs="宋体"/>
      <w:kern w:val="0"/>
      <w:szCs w:val="24"/>
    </w:rPr>
  </w:style>
  <w:style w:type="paragraph" w:customStyle="1" w:styleId="2951">
    <w:name w:val="正文格式＝72"/>
    <w:basedOn w:val="418"/>
    <w:next w:val="418"/>
    <w:qFormat/>
    <w:uiPriority w:val="0"/>
    <w:rPr>
      <w:rFonts w:hAnsi="宋体"/>
      <w:szCs w:val="24"/>
    </w:rPr>
  </w:style>
  <w:style w:type="paragraph" w:customStyle="1" w:styleId="2952">
    <w:name w:val="Char323"/>
    <w:basedOn w:val="1"/>
    <w:qFormat/>
    <w:uiPriority w:val="0"/>
    <w:pPr>
      <w:widowControl/>
      <w:ind w:left="-48"/>
      <w:jc w:val="left"/>
    </w:pPr>
    <w:rPr>
      <w:rFonts w:ascii="宋体" w:hAnsi="宋体" w:cs="宋体"/>
      <w:kern w:val="0"/>
      <w:szCs w:val="24"/>
    </w:rPr>
  </w:style>
  <w:style w:type="paragraph" w:customStyle="1" w:styleId="2953">
    <w:name w:val="正文格式10"/>
    <w:basedOn w:val="1"/>
    <w:qFormat/>
    <w:uiPriority w:val="0"/>
    <w:pPr>
      <w:widowControl/>
      <w:ind w:firstLine="482"/>
      <w:jc w:val="left"/>
    </w:pPr>
    <w:rPr>
      <w:rFonts w:ascii="宋体" w:hAnsi="宋体" w:cs="宋体"/>
      <w:kern w:val="0"/>
      <w:szCs w:val="24"/>
    </w:rPr>
  </w:style>
  <w:style w:type="paragraph" w:customStyle="1" w:styleId="2954">
    <w:name w:val="燕山正文1114"/>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2955">
    <w:name w:val="表内591"/>
    <w:basedOn w:val="1"/>
    <w:qFormat/>
    <w:uiPriority w:val="0"/>
    <w:pPr>
      <w:widowControl/>
      <w:spacing w:line="300" w:lineRule="auto"/>
      <w:jc w:val="center"/>
    </w:pPr>
    <w:rPr>
      <w:rFonts w:ascii="宋体" w:hAnsi="宋体" w:cs="宋体"/>
      <w:snapToGrid w:val="0"/>
      <w:kern w:val="0"/>
      <w:szCs w:val="21"/>
    </w:rPr>
  </w:style>
  <w:style w:type="paragraph" w:customStyle="1" w:styleId="2956">
    <w:name w:val="5"/>
    <w:basedOn w:val="1"/>
    <w:next w:val="16"/>
    <w:qFormat/>
    <w:uiPriority w:val="0"/>
    <w:pPr>
      <w:autoSpaceDE w:val="0"/>
      <w:autoSpaceDN w:val="0"/>
      <w:spacing w:line="300" w:lineRule="auto"/>
      <w:ind w:left="135" w:right="-289" w:firstLine="420"/>
    </w:pPr>
    <w:rPr>
      <w:rFonts w:eastAsia="楷体_GB2312"/>
      <w:spacing w:val="2"/>
      <w:position w:val="-40"/>
      <w:szCs w:val="20"/>
    </w:rPr>
  </w:style>
  <w:style w:type="paragraph" w:customStyle="1" w:styleId="2957">
    <w:name w:val="首行缩进:  0.99 厘米 + 首行缩进:  2 字符12"/>
    <w:basedOn w:val="1"/>
    <w:qFormat/>
    <w:uiPriority w:val="0"/>
    <w:pPr>
      <w:widowControl/>
      <w:topLinePunct/>
      <w:spacing w:line="480" w:lineRule="exact"/>
      <w:ind w:firstLine="420"/>
      <w:jc w:val="center"/>
    </w:pPr>
    <w:rPr>
      <w:rFonts w:ascii="宋体" w:hAnsi="宋体" w:cs="宋体"/>
      <w:snapToGrid w:val="0"/>
      <w:color w:val="FF0000"/>
      <w:kern w:val="0"/>
      <w:szCs w:val="21"/>
    </w:rPr>
  </w:style>
  <w:style w:type="paragraph" w:customStyle="1" w:styleId="2958">
    <w:name w:val="正文格式＝111"/>
    <w:basedOn w:val="418"/>
    <w:next w:val="418"/>
    <w:qFormat/>
    <w:uiPriority w:val="0"/>
    <w:rPr>
      <w:rFonts w:hAnsi="宋体"/>
      <w:szCs w:val="24"/>
    </w:rPr>
  </w:style>
  <w:style w:type="paragraph" w:customStyle="1" w:styleId="2959">
    <w:name w:val="标题431211"/>
    <w:basedOn w:val="1"/>
    <w:qFormat/>
    <w:uiPriority w:val="0"/>
    <w:pPr>
      <w:widowControl/>
      <w:spacing w:line="480" w:lineRule="exact"/>
      <w:jc w:val="center"/>
    </w:pPr>
    <w:rPr>
      <w:rFonts w:ascii="宋体" w:hAnsi="宋体" w:cs="宋体"/>
      <w:kern w:val="0"/>
      <w:szCs w:val="24"/>
    </w:rPr>
  </w:style>
  <w:style w:type="paragraph" w:customStyle="1" w:styleId="2960">
    <w:name w:val="正文格式811"/>
    <w:basedOn w:val="1"/>
    <w:qFormat/>
    <w:uiPriority w:val="0"/>
    <w:pPr>
      <w:widowControl/>
      <w:ind w:firstLine="482"/>
      <w:jc w:val="left"/>
    </w:pPr>
    <w:rPr>
      <w:rFonts w:ascii="宋体" w:hAnsi="宋体" w:cs="宋体"/>
      <w:kern w:val="0"/>
      <w:szCs w:val="24"/>
    </w:rPr>
  </w:style>
  <w:style w:type="paragraph" w:customStyle="1" w:styleId="2961">
    <w:name w:val="Char1211"/>
    <w:basedOn w:val="1"/>
    <w:qFormat/>
    <w:uiPriority w:val="0"/>
    <w:pPr>
      <w:widowControl/>
      <w:jc w:val="left"/>
    </w:pPr>
    <w:rPr>
      <w:rFonts w:ascii="宋体" w:hAnsi="宋体" w:cs="宋体"/>
      <w:kern w:val="0"/>
      <w:szCs w:val="24"/>
    </w:rPr>
  </w:style>
  <w:style w:type="paragraph" w:customStyle="1" w:styleId="2962">
    <w:name w:val="正文格式＝53"/>
    <w:basedOn w:val="418"/>
    <w:next w:val="418"/>
    <w:qFormat/>
    <w:uiPriority w:val="0"/>
    <w:rPr>
      <w:rFonts w:hAnsi="宋体"/>
      <w:szCs w:val="24"/>
    </w:rPr>
  </w:style>
  <w:style w:type="paragraph" w:customStyle="1" w:styleId="2963">
    <w:name w:val="Char75"/>
    <w:basedOn w:val="1"/>
    <w:qFormat/>
    <w:uiPriority w:val="0"/>
    <w:pPr>
      <w:widowControl/>
      <w:ind w:left="-48"/>
      <w:jc w:val="left"/>
    </w:pPr>
    <w:rPr>
      <w:rFonts w:ascii="宋体" w:hAnsi="宋体" w:cs="宋体"/>
      <w:kern w:val="0"/>
      <w:szCs w:val="24"/>
    </w:rPr>
  </w:style>
  <w:style w:type="paragraph" w:customStyle="1" w:styleId="2964">
    <w:name w:val="正文格式111"/>
    <w:basedOn w:val="1"/>
    <w:qFormat/>
    <w:uiPriority w:val="0"/>
    <w:pPr>
      <w:widowControl/>
      <w:ind w:firstLine="482"/>
      <w:jc w:val="left"/>
    </w:pPr>
    <w:rPr>
      <w:rFonts w:ascii="宋体" w:hAnsi="宋体" w:cs="宋体"/>
      <w:kern w:val="0"/>
      <w:szCs w:val="24"/>
    </w:rPr>
  </w:style>
  <w:style w:type="paragraph" w:customStyle="1" w:styleId="2965">
    <w:name w:val="正文修改131"/>
    <w:basedOn w:val="786"/>
    <w:qFormat/>
    <w:uiPriority w:val="0"/>
    <w:rPr>
      <w:rFonts w:hAnsi="宋体" w:eastAsia="宋体" w:cs="宋体"/>
      <w:szCs w:val="24"/>
    </w:rPr>
  </w:style>
  <w:style w:type="paragraph" w:customStyle="1" w:styleId="2966">
    <w:name w:val="Char26"/>
    <w:basedOn w:val="1"/>
    <w:qFormat/>
    <w:uiPriority w:val="0"/>
    <w:pPr>
      <w:widowControl/>
      <w:ind w:left="-48"/>
      <w:jc w:val="left"/>
    </w:pPr>
    <w:rPr>
      <w:rFonts w:ascii="宋体" w:hAnsi="宋体" w:cs="宋体"/>
      <w:kern w:val="0"/>
      <w:szCs w:val="24"/>
    </w:rPr>
  </w:style>
  <w:style w:type="paragraph" w:customStyle="1" w:styleId="2967">
    <w:name w:val="图题411"/>
    <w:basedOn w:val="418"/>
    <w:next w:val="418"/>
    <w:qFormat/>
    <w:uiPriority w:val="0"/>
    <w:pPr>
      <w:ind w:firstLine="0"/>
      <w:jc w:val="center"/>
    </w:pPr>
    <w:rPr>
      <w:rFonts w:ascii="黑体" w:hAnsi="宋体" w:eastAsia="黑体" w:cs="宋体"/>
      <w:b/>
      <w:bCs/>
      <w:szCs w:val="24"/>
    </w:rPr>
  </w:style>
  <w:style w:type="paragraph" w:customStyle="1" w:styleId="2968">
    <w:name w:val="正文格式2111"/>
    <w:basedOn w:val="1"/>
    <w:qFormat/>
    <w:uiPriority w:val="0"/>
    <w:pPr>
      <w:widowControl/>
      <w:ind w:firstLine="482"/>
      <w:jc w:val="left"/>
    </w:pPr>
    <w:rPr>
      <w:rFonts w:ascii="宋体" w:hAnsi="宋体" w:cs="宋体"/>
      <w:kern w:val="0"/>
      <w:szCs w:val="24"/>
    </w:rPr>
  </w:style>
  <w:style w:type="paragraph" w:customStyle="1" w:styleId="2969">
    <w:name w:val="默认段落字体 Para Char Char Char Char131"/>
    <w:basedOn w:val="1"/>
    <w:qFormat/>
    <w:uiPriority w:val="0"/>
    <w:pPr>
      <w:widowControl/>
      <w:jc w:val="left"/>
    </w:pPr>
    <w:rPr>
      <w:rFonts w:ascii="宋体" w:hAnsi="宋体" w:cs="宋体"/>
      <w:kern w:val="0"/>
      <w:szCs w:val="24"/>
    </w:rPr>
  </w:style>
  <w:style w:type="paragraph" w:customStyle="1" w:styleId="2970">
    <w:name w:val="表格内字体612"/>
    <w:basedOn w:val="418"/>
    <w:next w:val="418"/>
    <w:qFormat/>
    <w:uiPriority w:val="0"/>
    <w:pPr>
      <w:spacing w:line="240" w:lineRule="auto"/>
      <w:ind w:firstLine="0"/>
      <w:jc w:val="center"/>
    </w:pPr>
    <w:rPr>
      <w:rFonts w:hAnsi="宋体"/>
      <w:sz w:val="21"/>
      <w:szCs w:val="24"/>
    </w:rPr>
  </w:style>
  <w:style w:type="paragraph" w:customStyle="1" w:styleId="2971">
    <w:name w:val="样式 表格标题新 + 段前: 0.5 行"/>
    <w:qFormat/>
    <w:uiPriority w:val="0"/>
    <w:pPr>
      <w:tabs>
        <w:tab w:val="left" w:pos="0"/>
      </w:tabs>
      <w:spacing w:before="249"/>
    </w:pPr>
    <w:rPr>
      <w:rFonts w:ascii="Times New Roman" w:hAnsi="Times New Roman" w:eastAsia="宋体" w:cs="Times New Roman"/>
      <w:bCs/>
      <w:lang w:val="en-US" w:eastAsia="zh-CN" w:bidi="ar-SA"/>
    </w:rPr>
  </w:style>
  <w:style w:type="paragraph" w:customStyle="1" w:styleId="2972">
    <w:name w:val="表格标题新"/>
    <w:basedOn w:val="1"/>
    <w:qFormat/>
    <w:uiPriority w:val="0"/>
    <w:pPr>
      <w:widowControl/>
      <w:tabs>
        <w:tab w:val="left" w:pos="0"/>
      </w:tabs>
      <w:ind w:firstLine="562"/>
      <w:jc w:val="center"/>
    </w:pPr>
    <w:rPr>
      <w:rFonts w:ascii="仿宋_GB2312" w:hAnsi="宋体" w:eastAsia="黑体" w:cs="宋体"/>
      <w:b/>
      <w:snapToGrid w:val="0"/>
      <w:kern w:val="0"/>
      <w:szCs w:val="24"/>
    </w:rPr>
  </w:style>
  <w:style w:type="paragraph" w:customStyle="1" w:styleId="2973">
    <w:name w:val="表文"/>
    <w:basedOn w:val="1"/>
    <w:qFormat/>
    <w:uiPriority w:val="0"/>
    <w:pPr>
      <w:tabs>
        <w:tab w:val="left" w:pos="1021"/>
      </w:tabs>
      <w:jc w:val="center"/>
    </w:pPr>
    <w:rPr>
      <w:kern w:val="0"/>
      <w:szCs w:val="21"/>
    </w:rPr>
  </w:style>
  <w:style w:type="paragraph" w:customStyle="1" w:styleId="2974">
    <w:name w:val="表文字52"/>
    <w:basedOn w:val="1"/>
    <w:qFormat/>
    <w:uiPriority w:val="0"/>
    <w:pPr>
      <w:widowControl/>
      <w:jc w:val="left"/>
      <w:textAlignment w:val="baseline"/>
    </w:pPr>
    <w:rPr>
      <w:rFonts w:ascii="宋体" w:hAnsi="宋体" w:cs="宋体"/>
      <w:kern w:val="0"/>
      <w:szCs w:val="20"/>
    </w:rPr>
  </w:style>
  <w:style w:type="paragraph" w:customStyle="1" w:styleId="2975">
    <w:name w:val="KY-表格-左对齐"/>
    <w:basedOn w:val="461"/>
    <w:qFormat/>
    <w:uiPriority w:val="0"/>
    <w:pPr>
      <w:spacing w:beforeLines="0" w:afterLines="0"/>
      <w:jc w:val="both"/>
    </w:pPr>
  </w:style>
  <w:style w:type="paragraph" w:customStyle="1" w:styleId="2976">
    <w:name w:val="表内宋52"/>
    <w:basedOn w:val="1698"/>
    <w:qFormat/>
    <w:uiPriority w:val="0"/>
    <w:pPr>
      <w:autoSpaceDE w:val="0"/>
      <w:autoSpaceDN w:val="0"/>
      <w:textAlignment w:val="auto"/>
    </w:pPr>
    <w:rPr>
      <w:color w:val="auto"/>
      <w:w w:val="90"/>
    </w:rPr>
  </w:style>
  <w:style w:type="paragraph" w:customStyle="1" w:styleId="2977">
    <w:name w:val="表题21131"/>
    <w:basedOn w:val="1"/>
    <w:qFormat/>
    <w:uiPriority w:val="0"/>
    <w:pPr>
      <w:widowControl/>
      <w:jc w:val="center"/>
    </w:pPr>
    <w:rPr>
      <w:rFonts w:ascii="黑体" w:hAnsi="宋体" w:eastAsia="黑体" w:cs="宋体"/>
      <w:kern w:val="0"/>
      <w:szCs w:val="24"/>
    </w:rPr>
  </w:style>
  <w:style w:type="paragraph" w:customStyle="1" w:styleId="2978">
    <w:name w:val="图表目录1"/>
    <w:basedOn w:val="1"/>
    <w:next w:val="1"/>
    <w:qFormat/>
    <w:uiPriority w:val="99"/>
    <w:pPr>
      <w:widowControl/>
      <w:spacing w:line="500" w:lineRule="atLeast"/>
      <w:jc w:val="center"/>
    </w:pPr>
    <w:rPr>
      <w:rFonts w:hint="eastAsia" w:ascii="仿宋_GB2312" w:hAnsi="宋体" w:cs="宋体"/>
      <w:kern w:val="0"/>
      <w:szCs w:val="24"/>
    </w:rPr>
  </w:style>
  <w:style w:type="paragraph" w:customStyle="1" w:styleId="2979">
    <w:name w:val="图文字"/>
    <w:basedOn w:val="1"/>
    <w:qFormat/>
    <w:uiPriority w:val="0"/>
    <w:pPr>
      <w:widowControl/>
      <w:spacing w:line="280" w:lineRule="exact"/>
      <w:jc w:val="center"/>
    </w:pPr>
    <w:rPr>
      <w:rFonts w:ascii="宋体" w:hAnsi="宋体" w:cs="宋体"/>
      <w:kern w:val="0"/>
      <w:szCs w:val="24"/>
    </w:rPr>
  </w:style>
  <w:style w:type="paragraph" w:customStyle="1" w:styleId="2980">
    <w:name w:val="表内宋51131"/>
    <w:basedOn w:val="734"/>
    <w:qFormat/>
    <w:uiPriority w:val="0"/>
    <w:rPr>
      <w:rFonts w:ascii="宋体" w:hAnsi="宋体" w:cs="宋体"/>
      <w:sz w:val="21"/>
      <w:szCs w:val="24"/>
    </w:rPr>
  </w:style>
  <w:style w:type="paragraph" w:customStyle="1" w:styleId="2981">
    <w:name w:val="样式 表内小5 + 黑体 加粗 倾斜 下划线4"/>
    <w:basedOn w:val="1"/>
    <w:qFormat/>
    <w:uiPriority w:val="0"/>
    <w:pPr>
      <w:widowControl/>
      <w:spacing w:line="300" w:lineRule="auto"/>
      <w:jc w:val="left"/>
    </w:pPr>
    <w:rPr>
      <w:rFonts w:ascii="黑体" w:hAnsi="黑体" w:eastAsia="黑体" w:cs="宋体"/>
      <w:b/>
      <w:bCs/>
      <w:i/>
      <w:iCs/>
      <w:kern w:val="0"/>
      <w:sz w:val="18"/>
      <w:szCs w:val="24"/>
      <w:u w:val="single"/>
    </w:rPr>
  </w:style>
  <w:style w:type="paragraph" w:customStyle="1" w:styleId="2982">
    <w:name w:val="Char25"/>
    <w:basedOn w:val="1"/>
    <w:qFormat/>
    <w:uiPriority w:val="0"/>
    <w:pPr>
      <w:widowControl/>
      <w:spacing w:before="156"/>
      <w:jc w:val="left"/>
    </w:pPr>
    <w:rPr>
      <w:rFonts w:ascii="黑体" w:hAnsi="宋体" w:eastAsia="黑体" w:cs="宋体"/>
      <w:kern w:val="0"/>
      <w:sz w:val="32"/>
      <w:szCs w:val="32"/>
    </w:rPr>
  </w:style>
  <w:style w:type="paragraph" w:customStyle="1" w:styleId="2983">
    <w:name w:val="表内54133"/>
    <w:basedOn w:val="1"/>
    <w:qFormat/>
    <w:uiPriority w:val="0"/>
    <w:pPr>
      <w:widowControl/>
      <w:spacing w:line="300" w:lineRule="auto"/>
      <w:jc w:val="center"/>
    </w:pPr>
    <w:rPr>
      <w:rFonts w:ascii="宋体" w:hAnsi="宋体" w:cs="宋体"/>
      <w:kern w:val="0"/>
      <w:szCs w:val="20"/>
    </w:rPr>
  </w:style>
  <w:style w:type="paragraph" w:customStyle="1" w:styleId="2984">
    <w:name w:val="xl633"/>
    <w:basedOn w:val="1"/>
    <w:qFormat/>
    <w:uiPriority w:val="0"/>
    <w:pPr>
      <w:widowControl/>
      <w:spacing w:before="100" w:beforeAutospacing="1" w:after="100" w:afterAutospacing="1"/>
      <w:jc w:val="center"/>
      <w:textAlignment w:val="center"/>
    </w:pPr>
    <w:rPr>
      <w:rFonts w:hint="eastAsia" w:ascii="黑体" w:hAnsi="宋体" w:eastAsia="黑体" w:cs="宋体"/>
      <w:kern w:val="0"/>
      <w:szCs w:val="24"/>
    </w:rPr>
  </w:style>
  <w:style w:type="paragraph" w:customStyle="1" w:styleId="2985">
    <w:name w:val="样式12111"/>
    <w:basedOn w:val="1586"/>
    <w:qFormat/>
    <w:uiPriority w:val="0"/>
    <w:pPr>
      <w:spacing w:line="240" w:lineRule="auto"/>
      <w:ind w:firstLine="0"/>
      <w:jc w:val="center"/>
    </w:pPr>
    <w:rPr>
      <w:rFonts w:cs="Times New Roman"/>
      <w:b/>
      <w:color w:val="auto"/>
      <w:szCs w:val="20"/>
    </w:rPr>
  </w:style>
  <w:style w:type="paragraph" w:customStyle="1" w:styleId="2986">
    <w:name w:val="Char Char Char Char1 Char Char Char2"/>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2987">
    <w:name w:val="正文.121"/>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2988">
    <w:name w:val="默认段落字体 Para Char Char Char Char22"/>
    <w:basedOn w:val="1"/>
    <w:qFormat/>
    <w:uiPriority w:val="0"/>
    <w:pPr>
      <w:widowControl/>
      <w:jc w:val="left"/>
    </w:pPr>
    <w:rPr>
      <w:rFonts w:ascii="宋体" w:hAnsi="宋体" w:cs="宋体"/>
      <w:kern w:val="0"/>
      <w:szCs w:val="24"/>
    </w:rPr>
  </w:style>
  <w:style w:type="paragraph" w:customStyle="1" w:styleId="2989">
    <w:name w:val="Char Char Char Char Char Char Char29"/>
    <w:basedOn w:val="1"/>
    <w:qFormat/>
    <w:uiPriority w:val="0"/>
    <w:pPr>
      <w:widowControl/>
      <w:jc w:val="left"/>
    </w:pPr>
    <w:rPr>
      <w:rFonts w:ascii="宋体" w:hAnsi="宋体" w:cs="宋体"/>
      <w:kern w:val="0"/>
      <w:szCs w:val="24"/>
    </w:rPr>
  </w:style>
  <w:style w:type="paragraph" w:customStyle="1" w:styleId="2990">
    <w:name w:val="正文1-1"/>
    <w:basedOn w:val="1"/>
    <w:next w:val="1"/>
    <w:qFormat/>
    <w:uiPriority w:val="0"/>
    <w:pPr>
      <w:widowControl/>
      <w:jc w:val="left"/>
    </w:pPr>
    <w:rPr>
      <w:rFonts w:cs="宋体"/>
      <w:kern w:val="0"/>
      <w:szCs w:val="24"/>
    </w:rPr>
  </w:style>
  <w:style w:type="paragraph" w:customStyle="1" w:styleId="2991">
    <w:name w:val="标题4112"/>
    <w:basedOn w:val="1"/>
    <w:qFormat/>
    <w:uiPriority w:val="0"/>
    <w:pPr>
      <w:widowControl/>
      <w:spacing w:line="300" w:lineRule="auto"/>
      <w:jc w:val="left"/>
    </w:pPr>
    <w:rPr>
      <w:rFonts w:ascii="黑体" w:hAnsi="宋体" w:eastAsia="黑体" w:cs="宋体"/>
      <w:bCs/>
      <w:kern w:val="0"/>
      <w:szCs w:val="20"/>
    </w:rPr>
  </w:style>
  <w:style w:type="paragraph" w:customStyle="1" w:styleId="2992">
    <w:name w:val="标题4114"/>
    <w:basedOn w:val="1"/>
    <w:qFormat/>
    <w:uiPriority w:val="0"/>
    <w:pPr>
      <w:widowControl/>
      <w:spacing w:line="300" w:lineRule="auto"/>
      <w:jc w:val="left"/>
    </w:pPr>
    <w:rPr>
      <w:rFonts w:ascii="黑体" w:hAnsi="宋体" w:eastAsia="黑体" w:cs="宋体"/>
      <w:bCs/>
      <w:kern w:val="0"/>
      <w:szCs w:val="20"/>
    </w:rPr>
  </w:style>
  <w:style w:type="paragraph" w:customStyle="1" w:styleId="2993">
    <w:name w:val="默认段落字体 Para Char Char Char Char531"/>
    <w:basedOn w:val="1"/>
    <w:qFormat/>
    <w:uiPriority w:val="0"/>
    <w:pPr>
      <w:widowControl/>
      <w:jc w:val="left"/>
    </w:pPr>
    <w:rPr>
      <w:rFonts w:ascii="宋体" w:hAnsi="宋体" w:cs="宋体"/>
      <w:kern w:val="0"/>
      <w:szCs w:val="24"/>
    </w:rPr>
  </w:style>
  <w:style w:type="paragraph" w:customStyle="1" w:styleId="2994">
    <w:name w:val="xl6313"/>
    <w:basedOn w:val="1"/>
    <w:qFormat/>
    <w:uiPriority w:val="0"/>
    <w:pPr>
      <w:widowControl/>
      <w:spacing w:before="100" w:beforeAutospacing="1" w:after="100" w:afterAutospacing="1"/>
      <w:jc w:val="center"/>
      <w:textAlignment w:val="center"/>
    </w:pPr>
    <w:rPr>
      <w:rFonts w:hint="eastAsia" w:ascii="黑体" w:hAnsi="宋体" w:eastAsia="黑体" w:cs="宋体"/>
      <w:kern w:val="0"/>
      <w:szCs w:val="24"/>
    </w:rPr>
  </w:style>
  <w:style w:type="paragraph" w:customStyle="1" w:styleId="2995">
    <w:name w:val="xl634"/>
    <w:basedOn w:val="1"/>
    <w:qFormat/>
    <w:uiPriority w:val="0"/>
    <w:pPr>
      <w:widowControl/>
      <w:spacing w:before="100" w:beforeAutospacing="1" w:after="100" w:afterAutospacing="1"/>
      <w:jc w:val="center"/>
      <w:textAlignment w:val="center"/>
    </w:pPr>
    <w:rPr>
      <w:rFonts w:hint="eastAsia" w:ascii="黑体" w:hAnsi="宋体" w:eastAsia="黑体" w:cs="宋体"/>
      <w:kern w:val="0"/>
      <w:szCs w:val="24"/>
    </w:rPr>
  </w:style>
  <w:style w:type="paragraph" w:customStyle="1" w:styleId="2996">
    <w:name w:val="表内文字小813"/>
    <w:basedOn w:val="1"/>
    <w:qFormat/>
    <w:uiPriority w:val="0"/>
    <w:pPr>
      <w:widowControl/>
      <w:jc w:val="center"/>
    </w:pPr>
    <w:rPr>
      <w:rFonts w:ascii="宋体" w:hAnsi="Times" w:cs="宋体"/>
      <w:kern w:val="0"/>
      <w:szCs w:val="20"/>
    </w:rPr>
  </w:style>
  <w:style w:type="paragraph" w:customStyle="1" w:styleId="2997">
    <w:name w:val="黑体三号113"/>
    <w:basedOn w:val="418"/>
    <w:qFormat/>
    <w:uiPriority w:val="0"/>
    <w:pPr>
      <w:jc w:val="center"/>
    </w:pPr>
    <w:rPr>
      <w:rFonts w:ascii="黑体" w:hAnsi="宋体" w:eastAsia="黑体" w:cs="宋体"/>
      <w:b/>
      <w:bCs/>
      <w:sz w:val="32"/>
      <w:szCs w:val="20"/>
    </w:rPr>
  </w:style>
  <w:style w:type="paragraph" w:customStyle="1" w:styleId="2998">
    <w:name w:val="Char Char2 Char Char Char Char212"/>
    <w:basedOn w:val="1"/>
    <w:qFormat/>
    <w:uiPriority w:val="0"/>
    <w:pPr>
      <w:widowControl/>
      <w:jc w:val="left"/>
    </w:pPr>
    <w:rPr>
      <w:rFonts w:ascii="宋体" w:hAnsi="宋体" w:cs="宋体"/>
      <w:kern w:val="0"/>
      <w:szCs w:val="24"/>
    </w:rPr>
  </w:style>
  <w:style w:type="paragraph" w:customStyle="1" w:styleId="2999">
    <w:name w:val="xl244"/>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3000">
    <w:name w:val="黑体三号411"/>
    <w:basedOn w:val="418"/>
    <w:qFormat/>
    <w:uiPriority w:val="0"/>
    <w:pPr>
      <w:jc w:val="center"/>
    </w:pPr>
    <w:rPr>
      <w:rFonts w:ascii="黑体" w:hAnsi="宋体" w:eastAsia="黑体" w:cs="宋体"/>
      <w:b/>
      <w:bCs/>
      <w:sz w:val="32"/>
      <w:szCs w:val="20"/>
    </w:rPr>
  </w:style>
  <w:style w:type="paragraph" w:customStyle="1" w:styleId="3001">
    <w:name w:val="Char713"/>
    <w:basedOn w:val="1"/>
    <w:qFormat/>
    <w:uiPriority w:val="0"/>
    <w:pPr>
      <w:widowControl/>
      <w:ind w:left="-48"/>
      <w:jc w:val="left"/>
    </w:pPr>
    <w:rPr>
      <w:rFonts w:ascii="宋体" w:hAnsi="宋体" w:cs="宋体"/>
      <w:kern w:val="0"/>
      <w:szCs w:val="24"/>
    </w:rPr>
  </w:style>
  <w:style w:type="paragraph" w:customStyle="1" w:styleId="3002">
    <w:name w:val="附件1111"/>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3003">
    <w:name w:val="正文修改22"/>
    <w:basedOn w:val="786"/>
    <w:qFormat/>
    <w:uiPriority w:val="0"/>
    <w:rPr>
      <w:rFonts w:hAnsi="宋体" w:eastAsia="宋体" w:cs="宋体"/>
      <w:szCs w:val="24"/>
    </w:rPr>
  </w:style>
  <w:style w:type="paragraph" w:customStyle="1" w:styleId="3004">
    <w:name w:val="燕山正文1123"/>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3005">
    <w:name w:val="默认段落字体 Para Char Char Char Char3"/>
    <w:basedOn w:val="1"/>
    <w:qFormat/>
    <w:uiPriority w:val="0"/>
    <w:pPr>
      <w:widowControl/>
      <w:jc w:val="left"/>
    </w:pPr>
    <w:rPr>
      <w:rFonts w:ascii="宋体" w:hAnsi="宋体" w:cs="宋体"/>
      <w:kern w:val="0"/>
      <w:szCs w:val="24"/>
    </w:rPr>
  </w:style>
  <w:style w:type="paragraph" w:customStyle="1" w:styleId="3006">
    <w:name w:val="样式 表格 + 左  25 字符1"/>
    <w:basedOn w:val="1328"/>
    <w:qFormat/>
    <w:uiPriority w:val="0"/>
    <w:pPr>
      <w:widowControl/>
      <w:snapToGrid/>
      <w:ind w:firstLine="0" w:firstLineChars="0"/>
      <w:jc w:val="center"/>
    </w:pPr>
    <w:rPr>
      <w:rFonts w:hAnsi="宋体" w:eastAsia="宋体" w:cs="宋体"/>
      <w:b w:val="0"/>
      <w:sz w:val="18"/>
    </w:rPr>
  </w:style>
  <w:style w:type="paragraph" w:customStyle="1" w:styleId="3007">
    <w:name w:val="正文缩3"/>
    <w:basedOn w:val="1"/>
    <w:qFormat/>
    <w:uiPriority w:val="0"/>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3008">
    <w:name w:val="文本框五号1.5倍行距"/>
    <w:basedOn w:val="98"/>
    <w:qFormat/>
    <w:uiPriority w:val="0"/>
    <w:rPr>
      <w:rFonts w:ascii="Times New Roman" w:hAnsi="Times New Roman" w:cs="Times New Roman"/>
      <w:color w:val="000000"/>
    </w:rPr>
  </w:style>
  <w:style w:type="paragraph" w:customStyle="1" w:styleId="3009">
    <w:name w:val="表内文字小2123"/>
    <w:basedOn w:val="1"/>
    <w:qFormat/>
    <w:uiPriority w:val="0"/>
    <w:pPr>
      <w:widowControl/>
      <w:jc w:val="center"/>
    </w:pPr>
    <w:rPr>
      <w:rFonts w:ascii="宋体" w:hAnsi="Times" w:cs="宋体"/>
      <w:bCs/>
      <w:kern w:val="0"/>
      <w:szCs w:val="20"/>
    </w:rPr>
  </w:style>
  <w:style w:type="paragraph" w:customStyle="1" w:styleId="3010">
    <w:name w:val="表题1113"/>
    <w:basedOn w:val="17"/>
    <w:qFormat/>
    <w:uiPriority w:val="0"/>
    <w:pPr>
      <w:widowControl/>
      <w:ind w:firstLine="0" w:firstLineChars="0"/>
      <w:jc w:val="center"/>
    </w:pPr>
    <w:rPr>
      <w:rFonts w:ascii="黑体" w:cs="Arial"/>
    </w:rPr>
  </w:style>
  <w:style w:type="paragraph" w:customStyle="1" w:styleId="3011">
    <w:name w:val="黑体三号1111"/>
    <w:basedOn w:val="418"/>
    <w:qFormat/>
    <w:uiPriority w:val="0"/>
    <w:pPr>
      <w:jc w:val="center"/>
    </w:pPr>
    <w:rPr>
      <w:rFonts w:ascii="黑体" w:hAnsi="宋体" w:eastAsia="黑体" w:cs="宋体"/>
      <w:b/>
      <w:bCs/>
      <w:sz w:val="32"/>
      <w:szCs w:val="20"/>
    </w:rPr>
  </w:style>
  <w:style w:type="paragraph" w:customStyle="1" w:styleId="3012">
    <w:name w:val="表内文字小315"/>
    <w:basedOn w:val="1"/>
    <w:qFormat/>
    <w:uiPriority w:val="0"/>
    <w:pPr>
      <w:widowControl/>
      <w:jc w:val="center"/>
    </w:pPr>
    <w:rPr>
      <w:rFonts w:ascii="宋体" w:hAnsi="Times" w:cs="宋体"/>
      <w:bCs/>
      <w:color w:val="003366"/>
      <w:kern w:val="0"/>
      <w:szCs w:val="20"/>
    </w:rPr>
  </w:style>
  <w:style w:type="paragraph" w:customStyle="1" w:styleId="3013">
    <w:name w:val="样式"/>
    <w:basedOn w:val="1"/>
    <w:qFormat/>
    <w:uiPriority w:val="0"/>
    <w:rPr>
      <w:rFonts w:cs="宋体"/>
      <w:szCs w:val="20"/>
    </w:rPr>
  </w:style>
  <w:style w:type="paragraph" w:customStyle="1" w:styleId="3014">
    <w:name w:val="燕山正文1313"/>
    <w:basedOn w:val="1"/>
    <w:qFormat/>
    <w:uiPriority w:val="0"/>
    <w:pPr>
      <w:widowControl/>
      <w:tabs>
        <w:tab w:val="left" w:pos="4680"/>
      </w:tabs>
      <w:ind w:firstLine="480"/>
      <w:jc w:val="left"/>
    </w:pPr>
    <w:rPr>
      <w:rFonts w:ascii="宋体" w:hAnsi="宋体" w:cs="宋体"/>
      <w:bCs/>
      <w:kern w:val="0"/>
      <w:szCs w:val="24"/>
    </w:rPr>
  </w:style>
  <w:style w:type="paragraph" w:customStyle="1" w:styleId="3015">
    <w:name w:val="KY-图"/>
    <w:basedOn w:val="1439"/>
    <w:next w:val="1905"/>
    <w:qFormat/>
    <w:uiPriority w:val="0"/>
    <w:pPr>
      <w:keepNext/>
      <w:keepLines/>
      <w:ind w:firstLine="0" w:firstLineChars="0"/>
      <w:jc w:val="center"/>
    </w:pPr>
    <w:rPr>
      <w:szCs w:val="44"/>
    </w:rPr>
  </w:style>
  <w:style w:type="paragraph" w:customStyle="1" w:styleId="3016">
    <w:name w:val="Char Char Char Char1 Char Char Char12"/>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017">
    <w:name w:val="样式19"/>
    <w:basedOn w:val="3"/>
    <w:qFormat/>
    <w:uiPriority w:val="0"/>
    <w:pPr>
      <w:keepNext w:val="0"/>
      <w:keepLines w:val="0"/>
      <w:numPr>
        <w:ilvl w:val="0"/>
        <w:numId w:val="0"/>
      </w:numPr>
      <w:tabs>
        <w:tab w:val="left" w:pos="630"/>
        <w:tab w:val="left" w:pos="840"/>
        <w:tab w:val="left" w:pos="1287"/>
        <w:tab w:val="left" w:pos="3920"/>
        <w:tab w:val="left" w:pos="5670"/>
      </w:tabs>
      <w:spacing w:before="60" w:after="60" w:line="520" w:lineRule="exact"/>
      <w:ind w:firstLine="567"/>
    </w:pPr>
    <w:rPr>
      <w:rFonts w:eastAsia="华文行楷"/>
      <w:sz w:val="30"/>
      <w:szCs w:val="30"/>
    </w:rPr>
  </w:style>
  <w:style w:type="paragraph" w:customStyle="1" w:styleId="3018">
    <w:name w:val="Char Char Char Char Char Char Char1311"/>
    <w:basedOn w:val="1"/>
    <w:qFormat/>
    <w:uiPriority w:val="0"/>
    <w:pPr>
      <w:widowControl/>
      <w:jc w:val="left"/>
    </w:pPr>
    <w:rPr>
      <w:rFonts w:ascii="宋体" w:hAnsi="宋体" w:cs="宋体"/>
      <w:kern w:val="0"/>
      <w:szCs w:val="24"/>
    </w:rPr>
  </w:style>
  <w:style w:type="paragraph" w:customStyle="1" w:styleId="3019">
    <w:name w:val="font5"/>
    <w:basedOn w:val="1"/>
    <w:qFormat/>
    <w:uiPriority w:val="0"/>
    <w:pPr>
      <w:widowControl/>
      <w:spacing w:before="100" w:beforeAutospacing="1" w:after="100" w:afterAutospacing="1"/>
      <w:jc w:val="left"/>
    </w:pPr>
    <w:rPr>
      <w:rFonts w:hint="eastAsia" w:ascii="PMingLiU" w:eastAsia="PMingLiU"/>
      <w:kern w:val="0"/>
      <w:szCs w:val="24"/>
      <w:lang w:eastAsia="zh-TW"/>
    </w:rPr>
  </w:style>
  <w:style w:type="paragraph" w:customStyle="1" w:styleId="3020">
    <w:name w:val="Char1141"/>
    <w:basedOn w:val="1"/>
    <w:qFormat/>
    <w:uiPriority w:val="0"/>
    <w:pPr>
      <w:widowControl/>
      <w:ind w:left="-48"/>
      <w:jc w:val="left"/>
    </w:pPr>
    <w:rPr>
      <w:rFonts w:ascii="宋体" w:hAnsi="宋体" w:cs="宋体"/>
      <w:kern w:val="0"/>
      <w:szCs w:val="24"/>
    </w:rPr>
  </w:style>
  <w:style w:type="paragraph" w:customStyle="1" w:styleId="3021">
    <w:name w:val="样式43"/>
    <w:basedOn w:val="25"/>
    <w:qFormat/>
    <w:uiPriority w:val="0"/>
    <w:pPr>
      <w:widowControl/>
      <w:tabs>
        <w:tab w:val="left" w:pos="1820"/>
      </w:tabs>
      <w:spacing w:line="240" w:lineRule="atLeast"/>
      <w:jc w:val="center"/>
    </w:pPr>
    <w:rPr>
      <w:rFonts w:eastAsia="幼圆"/>
      <w:kern w:val="0"/>
      <w:sz w:val="21"/>
      <w:szCs w:val="20"/>
    </w:rPr>
  </w:style>
  <w:style w:type="paragraph" w:customStyle="1" w:styleId="3022">
    <w:name w:val="正文格式102"/>
    <w:basedOn w:val="1"/>
    <w:qFormat/>
    <w:uiPriority w:val="0"/>
    <w:pPr>
      <w:widowControl/>
      <w:ind w:firstLine="482"/>
      <w:jc w:val="left"/>
    </w:pPr>
    <w:rPr>
      <w:rFonts w:ascii="宋体" w:hAnsi="宋体" w:cs="宋体"/>
      <w:kern w:val="0"/>
      <w:szCs w:val="24"/>
    </w:rPr>
  </w:style>
  <w:style w:type="paragraph" w:customStyle="1" w:styleId="3023">
    <w:name w:val="正文缩"/>
    <w:basedOn w:val="1"/>
    <w:qFormat/>
    <w:uiPriority w:val="0"/>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3024">
    <w:name w:val="表中文字113"/>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025">
    <w:name w:val="正文格式22"/>
    <w:basedOn w:val="1"/>
    <w:qFormat/>
    <w:uiPriority w:val="0"/>
    <w:pPr>
      <w:widowControl/>
      <w:ind w:firstLine="482"/>
      <w:jc w:val="left"/>
    </w:pPr>
    <w:rPr>
      <w:rFonts w:ascii="宋体" w:hAnsi="宋体" w:cs="宋体"/>
      <w:kern w:val="0"/>
      <w:szCs w:val="24"/>
    </w:rPr>
  </w:style>
  <w:style w:type="paragraph" w:customStyle="1" w:styleId="3026">
    <w:name w:val="样式114"/>
    <w:basedOn w:val="1586"/>
    <w:qFormat/>
    <w:uiPriority w:val="0"/>
    <w:pPr>
      <w:spacing w:line="240" w:lineRule="auto"/>
      <w:ind w:firstLine="0"/>
      <w:jc w:val="center"/>
    </w:pPr>
    <w:rPr>
      <w:rFonts w:cs="Times New Roman"/>
      <w:b/>
      <w:color w:val="auto"/>
      <w:szCs w:val="20"/>
    </w:rPr>
  </w:style>
  <w:style w:type="paragraph" w:customStyle="1" w:styleId="3027">
    <w:name w:val="表内541213"/>
    <w:basedOn w:val="1"/>
    <w:qFormat/>
    <w:uiPriority w:val="0"/>
    <w:pPr>
      <w:widowControl/>
      <w:spacing w:line="300" w:lineRule="auto"/>
      <w:jc w:val="center"/>
    </w:pPr>
    <w:rPr>
      <w:rFonts w:ascii="宋体" w:hAnsi="宋体" w:cs="宋体"/>
      <w:kern w:val="0"/>
      <w:szCs w:val="20"/>
    </w:rPr>
  </w:style>
  <w:style w:type="paragraph" w:customStyle="1" w:styleId="3028">
    <w:name w:val="目录 标题"/>
    <w:basedOn w:val="43"/>
    <w:qFormat/>
    <w:uiPriority w:val="0"/>
    <w:pPr>
      <w:widowControl/>
      <w:spacing w:before="120" w:after="120" w:line="500" w:lineRule="exact"/>
      <w:jc w:val="center"/>
    </w:pPr>
    <w:rPr>
      <w:rFonts w:ascii="仿宋_GB2312" w:hAnsi="微软雅黑" w:cs="宋体"/>
      <w:bCs/>
      <w:caps/>
      <w:smallCaps/>
      <w:sz w:val="36"/>
      <w:szCs w:val="20"/>
    </w:rPr>
  </w:style>
  <w:style w:type="paragraph" w:customStyle="1" w:styleId="3029">
    <w:name w:val="正文斜体3"/>
    <w:basedOn w:val="418"/>
    <w:next w:val="418"/>
    <w:qFormat/>
    <w:uiPriority w:val="0"/>
    <w:rPr>
      <w:rFonts w:hAnsi="宋体"/>
      <w:i/>
      <w:iCs/>
      <w:szCs w:val="24"/>
    </w:rPr>
  </w:style>
  <w:style w:type="paragraph" w:customStyle="1" w:styleId="3030">
    <w:name w:val="正文格式＝61"/>
    <w:basedOn w:val="418"/>
    <w:next w:val="418"/>
    <w:qFormat/>
    <w:uiPriority w:val="0"/>
    <w:rPr>
      <w:rFonts w:hAnsi="宋体"/>
      <w:szCs w:val="24"/>
    </w:rPr>
  </w:style>
  <w:style w:type="paragraph" w:customStyle="1" w:styleId="3031">
    <w:name w:val="标题42"/>
    <w:basedOn w:val="1"/>
    <w:qFormat/>
    <w:uiPriority w:val="0"/>
    <w:pPr>
      <w:widowControl/>
      <w:spacing w:line="300" w:lineRule="auto"/>
      <w:jc w:val="left"/>
    </w:pPr>
    <w:rPr>
      <w:rFonts w:ascii="黑体" w:hAnsi="宋体" w:eastAsia="黑体" w:cs="宋体"/>
      <w:bCs/>
      <w:kern w:val="0"/>
      <w:szCs w:val="24"/>
    </w:rPr>
  </w:style>
  <w:style w:type="paragraph" w:customStyle="1" w:styleId="3032">
    <w:name w:val="xl92"/>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宋体" w:hAnsi="宋体" w:cs="宋体"/>
      <w:kern w:val="0"/>
      <w:szCs w:val="24"/>
    </w:rPr>
  </w:style>
  <w:style w:type="paragraph" w:customStyle="1" w:styleId="3033">
    <w:name w:val="表内文字小15"/>
    <w:basedOn w:val="1"/>
    <w:qFormat/>
    <w:uiPriority w:val="0"/>
    <w:pPr>
      <w:widowControl/>
      <w:jc w:val="center"/>
    </w:pPr>
    <w:rPr>
      <w:rFonts w:ascii="宋体" w:hAnsi="Times" w:cs="宋体"/>
      <w:kern w:val="0"/>
      <w:szCs w:val="20"/>
    </w:rPr>
  </w:style>
  <w:style w:type="paragraph" w:customStyle="1" w:styleId="3034">
    <w:name w:val="表内514"/>
    <w:basedOn w:val="1"/>
    <w:qFormat/>
    <w:uiPriority w:val="0"/>
    <w:pPr>
      <w:widowControl/>
      <w:jc w:val="center"/>
    </w:pPr>
    <w:rPr>
      <w:rFonts w:ascii="宋体" w:hAnsi="宋体" w:cs="宋体"/>
      <w:kern w:val="0"/>
      <w:sz w:val="20"/>
      <w:szCs w:val="20"/>
    </w:rPr>
  </w:style>
  <w:style w:type="paragraph" w:customStyle="1" w:styleId="3035">
    <w:name w:val="表中文字511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036">
    <w:name w:val="Char3"/>
    <w:basedOn w:val="1"/>
    <w:qFormat/>
    <w:uiPriority w:val="99"/>
    <w:pPr>
      <w:spacing w:line="240" w:lineRule="exact"/>
    </w:pPr>
    <w:rPr>
      <w:szCs w:val="28"/>
    </w:rPr>
  </w:style>
  <w:style w:type="paragraph" w:customStyle="1" w:styleId="3037">
    <w:name w:val="表内文字小21113"/>
    <w:basedOn w:val="1"/>
    <w:qFormat/>
    <w:uiPriority w:val="0"/>
    <w:pPr>
      <w:widowControl/>
      <w:jc w:val="center"/>
    </w:pPr>
    <w:rPr>
      <w:rFonts w:ascii="宋体" w:hAnsi="Times" w:cs="宋体"/>
      <w:bCs/>
      <w:kern w:val="0"/>
      <w:szCs w:val="20"/>
    </w:rPr>
  </w:style>
  <w:style w:type="paragraph" w:customStyle="1" w:styleId="3038">
    <w:name w:val="表内534"/>
    <w:basedOn w:val="1"/>
    <w:qFormat/>
    <w:uiPriority w:val="0"/>
    <w:pPr>
      <w:widowControl/>
      <w:spacing w:line="300" w:lineRule="auto"/>
      <w:jc w:val="left"/>
    </w:pPr>
    <w:rPr>
      <w:rFonts w:ascii="宋体" w:hAnsi="宋体" w:cs="宋体"/>
      <w:kern w:val="0"/>
      <w:szCs w:val="20"/>
    </w:rPr>
  </w:style>
  <w:style w:type="paragraph" w:customStyle="1" w:styleId="3039">
    <w:name w:val="Char Char2 Char Char Char Char41"/>
    <w:basedOn w:val="1"/>
    <w:qFormat/>
    <w:uiPriority w:val="0"/>
    <w:pPr>
      <w:widowControl/>
      <w:jc w:val="left"/>
    </w:pPr>
    <w:rPr>
      <w:rFonts w:ascii="宋体" w:hAnsi="宋体" w:cs="宋体"/>
      <w:kern w:val="0"/>
      <w:szCs w:val="24"/>
    </w:rPr>
  </w:style>
  <w:style w:type="paragraph" w:customStyle="1" w:styleId="3040">
    <w:name w:val="表题9"/>
    <w:basedOn w:val="1636"/>
    <w:qFormat/>
    <w:uiPriority w:val="0"/>
    <w:pPr>
      <w:spacing w:line="300" w:lineRule="auto"/>
      <w:jc w:val="center"/>
    </w:pPr>
    <w:rPr>
      <w:rFonts w:ascii="黑体" w:eastAsia="黑体"/>
      <w:szCs w:val="22"/>
    </w:rPr>
  </w:style>
  <w:style w:type="paragraph" w:customStyle="1" w:styleId="3041">
    <w:name w:val="表内文字小3113"/>
    <w:basedOn w:val="1"/>
    <w:qFormat/>
    <w:uiPriority w:val="0"/>
    <w:pPr>
      <w:widowControl/>
      <w:jc w:val="center"/>
    </w:pPr>
    <w:rPr>
      <w:rFonts w:ascii="宋体" w:hAnsi="Times" w:cs="宋体"/>
      <w:bCs/>
      <w:color w:val="003366"/>
      <w:kern w:val="0"/>
      <w:szCs w:val="20"/>
    </w:rPr>
  </w:style>
  <w:style w:type="paragraph" w:customStyle="1" w:styleId="3042">
    <w:name w:val="图题1111"/>
    <w:basedOn w:val="418"/>
    <w:next w:val="418"/>
    <w:qFormat/>
    <w:uiPriority w:val="0"/>
    <w:pPr>
      <w:ind w:firstLine="0"/>
      <w:jc w:val="center"/>
    </w:pPr>
    <w:rPr>
      <w:rFonts w:ascii="黑体" w:hAnsi="宋体" w:eastAsia="黑体" w:cs="宋体"/>
      <w:b/>
      <w:bCs/>
      <w:szCs w:val="24"/>
    </w:rPr>
  </w:style>
  <w:style w:type="paragraph" w:customStyle="1" w:styleId="3043">
    <w:name w:val="Char Char Char1 Char Char Char Char Char Char Char Char Char Char Char Char Char Char Char Char"/>
    <w:basedOn w:val="1"/>
    <w:qFormat/>
    <w:uiPriority w:val="0"/>
    <w:pPr>
      <w:widowControl/>
      <w:jc w:val="left"/>
    </w:pPr>
    <w:rPr>
      <w:rFonts w:ascii="宋体" w:hAnsi="宋体" w:cs="宋体"/>
      <w:kern w:val="0"/>
      <w:szCs w:val="21"/>
    </w:rPr>
  </w:style>
  <w:style w:type="paragraph" w:customStyle="1" w:styleId="3044">
    <w:name w:val="表内5321"/>
    <w:basedOn w:val="1"/>
    <w:qFormat/>
    <w:uiPriority w:val="0"/>
    <w:pPr>
      <w:widowControl/>
      <w:spacing w:line="300" w:lineRule="auto"/>
      <w:jc w:val="left"/>
    </w:pPr>
    <w:rPr>
      <w:rFonts w:ascii="宋体" w:hAnsi="宋体" w:cs="宋体"/>
      <w:kern w:val="0"/>
      <w:szCs w:val="20"/>
    </w:rPr>
  </w:style>
  <w:style w:type="paragraph" w:customStyle="1" w:styleId="3045">
    <w:name w:val="表内541311"/>
    <w:basedOn w:val="1"/>
    <w:qFormat/>
    <w:uiPriority w:val="0"/>
    <w:pPr>
      <w:widowControl/>
      <w:spacing w:line="300" w:lineRule="auto"/>
      <w:jc w:val="center"/>
    </w:pPr>
    <w:rPr>
      <w:rFonts w:ascii="宋体" w:hAnsi="宋体" w:cs="宋体"/>
      <w:kern w:val="0"/>
      <w:szCs w:val="20"/>
    </w:rPr>
  </w:style>
  <w:style w:type="paragraph" w:customStyle="1" w:styleId="3046">
    <w:name w:val="首行缩进:  0.99 厘米 + 首行缩进:  2 字符3"/>
    <w:basedOn w:val="1"/>
    <w:qFormat/>
    <w:uiPriority w:val="0"/>
    <w:pPr>
      <w:widowControl/>
      <w:topLinePunct/>
      <w:spacing w:line="480" w:lineRule="exact"/>
      <w:ind w:firstLine="420"/>
      <w:jc w:val="center"/>
    </w:pPr>
    <w:rPr>
      <w:rFonts w:ascii="宋体" w:hAnsi="宋体" w:cs="宋体"/>
      <w:snapToGrid w:val="0"/>
      <w:color w:val="FF0000"/>
      <w:kern w:val="0"/>
      <w:szCs w:val="21"/>
    </w:rPr>
  </w:style>
  <w:style w:type="paragraph" w:customStyle="1" w:styleId="3047">
    <w:name w:val="默认段落字体 Para Char111"/>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3048">
    <w:name w:val="Char Char Char Char Char Char Char Char Char Char Char Char Char Char Char Char Char Char Char Char Char Char Char Char Char Char Char Char Char Char Char Char Char1 Char Char Char Char Char Char1"/>
    <w:basedOn w:val="1"/>
    <w:qFormat/>
    <w:uiPriority w:val="0"/>
    <w:pPr>
      <w:widowControl/>
      <w:jc w:val="left"/>
    </w:pPr>
    <w:rPr>
      <w:rFonts w:ascii="宋体" w:hAnsi="宋体" w:cs="宋体"/>
      <w:kern w:val="0"/>
      <w:szCs w:val="24"/>
    </w:rPr>
  </w:style>
  <w:style w:type="paragraph" w:customStyle="1" w:styleId="3049">
    <w:name w:val="表格内字体1121"/>
    <w:basedOn w:val="418"/>
    <w:qFormat/>
    <w:uiPriority w:val="0"/>
    <w:pPr>
      <w:spacing w:line="240" w:lineRule="auto"/>
      <w:ind w:firstLine="0"/>
      <w:jc w:val="center"/>
    </w:pPr>
    <w:rPr>
      <w:rFonts w:hAnsi="Times New Roman" w:cs="宋体"/>
      <w:sz w:val="21"/>
      <w:szCs w:val="20"/>
    </w:rPr>
  </w:style>
  <w:style w:type="paragraph" w:customStyle="1" w:styleId="3050">
    <w:name w:val="Char Char2 Char Char Char Char21"/>
    <w:basedOn w:val="1"/>
    <w:qFormat/>
    <w:uiPriority w:val="0"/>
    <w:pPr>
      <w:widowControl/>
      <w:jc w:val="left"/>
    </w:pPr>
    <w:rPr>
      <w:rFonts w:ascii="宋体" w:hAnsi="宋体" w:cs="宋体"/>
      <w:kern w:val="0"/>
      <w:szCs w:val="24"/>
    </w:rPr>
  </w:style>
  <w:style w:type="paragraph" w:customStyle="1" w:styleId="3051">
    <w:name w:val="小四表文左齐"/>
    <w:basedOn w:val="1"/>
    <w:qFormat/>
    <w:uiPriority w:val="0"/>
    <w:pPr>
      <w:widowControl/>
      <w:jc w:val="center"/>
    </w:pPr>
    <w:rPr>
      <w:rFonts w:ascii="仿宋_GB2312" w:hAnsi="宋体" w:cs="宋体"/>
      <w:kern w:val="0"/>
      <w:szCs w:val="24"/>
    </w:rPr>
  </w:style>
  <w:style w:type="paragraph" w:customStyle="1" w:styleId="3052">
    <w:name w:val="默认段落字体 Para Char Char Char Char311"/>
    <w:basedOn w:val="1"/>
    <w:qFormat/>
    <w:uiPriority w:val="0"/>
    <w:pPr>
      <w:widowControl/>
      <w:jc w:val="left"/>
    </w:pPr>
    <w:rPr>
      <w:rFonts w:ascii="宋体" w:hAnsi="宋体" w:cs="宋体"/>
      <w:kern w:val="0"/>
      <w:szCs w:val="24"/>
    </w:rPr>
  </w:style>
  <w:style w:type="paragraph" w:customStyle="1" w:styleId="3053">
    <w:name w:val="Char Char Char Char Char Char Char2"/>
    <w:basedOn w:val="1"/>
    <w:qFormat/>
    <w:uiPriority w:val="0"/>
    <w:pPr>
      <w:widowControl/>
      <w:jc w:val="left"/>
    </w:pPr>
    <w:rPr>
      <w:rFonts w:ascii="宋体" w:hAnsi="宋体" w:cs="宋体"/>
      <w:kern w:val="0"/>
      <w:szCs w:val="24"/>
    </w:rPr>
  </w:style>
  <w:style w:type="paragraph" w:customStyle="1" w:styleId="3054">
    <w:name w:val="Char Char Char Char Char Char Char Char Char Char Char Char Char Char Char Char Char Char Char Char Char Char Char Char Char Char2"/>
    <w:basedOn w:val="1"/>
    <w:qFormat/>
    <w:uiPriority w:val="0"/>
    <w:pPr>
      <w:widowControl/>
      <w:jc w:val="left"/>
    </w:pPr>
    <w:rPr>
      <w:rFonts w:ascii="宋体" w:hAnsi="宋体" w:cs="宋体"/>
      <w:kern w:val="0"/>
      <w:szCs w:val="24"/>
    </w:rPr>
  </w:style>
  <w:style w:type="paragraph" w:customStyle="1" w:styleId="3055">
    <w:name w:val="燕山正文116"/>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3056">
    <w:name w:val="样式 图表 + 首行缩进:  2 字符1"/>
    <w:basedOn w:val="1"/>
    <w:qFormat/>
    <w:uiPriority w:val="0"/>
    <w:pPr>
      <w:widowControl/>
      <w:spacing w:beforeLines="20" w:afterLines="20"/>
      <w:ind w:left="-102" w:leftChars="-50" w:right="-105" w:rightChars="-50" w:hanging="3"/>
      <w:jc w:val="center"/>
    </w:pPr>
    <w:rPr>
      <w:rFonts w:ascii="宋体" w:hAnsi="宋体" w:cs="宋体"/>
      <w:kern w:val="0"/>
      <w:szCs w:val="24"/>
    </w:rPr>
  </w:style>
  <w:style w:type="paragraph" w:customStyle="1" w:styleId="3057">
    <w:name w:val="样式 宋体 首行缩进:  0.93 厘米 段前: 6 磅 段后: 6 磅 行距: 固定值 18 磅"/>
    <w:basedOn w:val="1"/>
    <w:qFormat/>
    <w:uiPriority w:val="0"/>
    <w:pPr>
      <w:widowControl/>
      <w:spacing w:before="160" w:after="160" w:line="320" w:lineRule="exact"/>
      <w:ind w:firstLine="482"/>
      <w:jc w:val="left"/>
    </w:pPr>
    <w:rPr>
      <w:rFonts w:ascii="宋体" w:hAnsi="宋体" w:cs="宋体"/>
      <w:kern w:val="0"/>
      <w:szCs w:val="20"/>
    </w:rPr>
  </w:style>
  <w:style w:type="paragraph" w:customStyle="1" w:styleId="3058">
    <w:name w:val="图题621"/>
    <w:basedOn w:val="418"/>
    <w:next w:val="418"/>
    <w:qFormat/>
    <w:uiPriority w:val="0"/>
    <w:pPr>
      <w:ind w:firstLine="0"/>
      <w:jc w:val="center"/>
    </w:pPr>
    <w:rPr>
      <w:rFonts w:ascii="黑体" w:hAnsi="宋体" w:eastAsia="黑体" w:cs="宋体"/>
      <w:b/>
      <w:bCs/>
      <w:kern w:val="0"/>
      <w:szCs w:val="24"/>
    </w:rPr>
  </w:style>
  <w:style w:type="paragraph" w:customStyle="1" w:styleId="3059">
    <w:name w:val="其他标准称谓"/>
    <w:qFormat/>
    <w:uiPriority w:val="0"/>
    <w:pPr>
      <w:spacing w:line="0" w:lineRule="atLeast"/>
      <w:jc w:val="distribute"/>
    </w:pPr>
    <w:rPr>
      <w:rFonts w:ascii="黑体" w:hAnsi="宋体" w:eastAsia="黑体" w:cs="Calibri"/>
      <w:sz w:val="52"/>
      <w:lang w:val="en-US" w:eastAsia="zh-CN" w:bidi="ar-SA"/>
    </w:rPr>
  </w:style>
  <w:style w:type="paragraph" w:customStyle="1" w:styleId="3060">
    <w:name w:val="Char Char Char Char Char Char Char231"/>
    <w:basedOn w:val="1"/>
    <w:qFormat/>
    <w:uiPriority w:val="0"/>
    <w:pPr>
      <w:widowControl/>
      <w:jc w:val="left"/>
    </w:pPr>
    <w:rPr>
      <w:rFonts w:ascii="宋体" w:hAnsi="宋体" w:cs="宋体"/>
      <w:kern w:val="0"/>
      <w:szCs w:val="24"/>
    </w:rPr>
  </w:style>
  <w:style w:type="paragraph" w:customStyle="1" w:styleId="3061">
    <w:name w:val="正文格式＝4111"/>
    <w:basedOn w:val="418"/>
    <w:next w:val="418"/>
    <w:qFormat/>
    <w:uiPriority w:val="0"/>
    <w:rPr>
      <w:rFonts w:hAnsi="宋体"/>
      <w:szCs w:val="24"/>
    </w:rPr>
  </w:style>
  <w:style w:type="paragraph" w:customStyle="1" w:styleId="3062">
    <w:name w:val="封面标准文稿编辑信息2"/>
    <w:basedOn w:val="98"/>
    <w:qFormat/>
    <w:uiPriority w:val="0"/>
    <w:pPr>
      <w:spacing w:before="180" w:line="180" w:lineRule="exact"/>
      <w:jc w:val="center"/>
    </w:pPr>
    <w:rPr>
      <w:rFonts w:ascii="宋体" w:hAnsi="Times New Roman" w:cs="Times New Roman"/>
      <w:color w:val="000000"/>
    </w:rPr>
  </w:style>
  <w:style w:type="paragraph" w:customStyle="1" w:styleId="3063">
    <w:name w:val="Char34"/>
    <w:basedOn w:val="1"/>
    <w:qFormat/>
    <w:uiPriority w:val="0"/>
    <w:pPr>
      <w:widowControl/>
      <w:ind w:left="-48"/>
      <w:jc w:val="left"/>
    </w:pPr>
    <w:rPr>
      <w:rFonts w:ascii="宋体" w:hAnsi="宋体" w:cs="宋体"/>
      <w:kern w:val="0"/>
      <w:szCs w:val="24"/>
    </w:rPr>
  </w:style>
  <w:style w:type="paragraph" w:customStyle="1" w:styleId="3064">
    <w:name w:val="Char421"/>
    <w:basedOn w:val="1"/>
    <w:qFormat/>
    <w:uiPriority w:val="0"/>
    <w:pPr>
      <w:widowControl/>
      <w:ind w:left="-48"/>
      <w:jc w:val="left"/>
    </w:pPr>
    <w:rPr>
      <w:rFonts w:ascii="宋体" w:hAnsi="宋体" w:cs="宋体"/>
      <w:kern w:val="0"/>
      <w:szCs w:val="24"/>
    </w:rPr>
  </w:style>
  <w:style w:type="paragraph" w:customStyle="1" w:styleId="3065">
    <w:name w:val="表中文字221"/>
    <w:basedOn w:val="1"/>
    <w:qFormat/>
    <w:uiPriority w:val="0"/>
    <w:pPr>
      <w:widowControl/>
      <w:spacing w:line="240" w:lineRule="atLeast"/>
      <w:ind w:right="-42" w:rightChars="-20"/>
      <w:jc w:val="center"/>
      <w:textAlignment w:val="baseline"/>
    </w:pPr>
    <w:rPr>
      <w:rFonts w:ascii="宋体" w:hAnsi="宋体" w:cs="宋体"/>
      <w:kern w:val="0"/>
      <w:szCs w:val="21"/>
    </w:rPr>
  </w:style>
  <w:style w:type="paragraph" w:customStyle="1" w:styleId="3066">
    <w:name w:val="燕山正文3"/>
    <w:basedOn w:val="1"/>
    <w:qFormat/>
    <w:uiPriority w:val="0"/>
    <w:pPr>
      <w:widowControl/>
      <w:tabs>
        <w:tab w:val="left" w:pos="4680"/>
      </w:tabs>
      <w:spacing w:line="480" w:lineRule="exact"/>
      <w:jc w:val="left"/>
    </w:pPr>
    <w:rPr>
      <w:rFonts w:ascii="宋体" w:hAnsi="宋体" w:cs="宋体"/>
      <w:kern w:val="0"/>
      <w:szCs w:val="24"/>
    </w:rPr>
  </w:style>
  <w:style w:type="paragraph" w:customStyle="1" w:styleId="3067">
    <w:name w:val="图题311"/>
    <w:basedOn w:val="418"/>
    <w:next w:val="418"/>
    <w:qFormat/>
    <w:uiPriority w:val="0"/>
    <w:pPr>
      <w:ind w:firstLine="0"/>
      <w:jc w:val="center"/>
    </w:pPr>
    <w:rPr>
      <w:rFonts w:ascii="黑体" w:hAnsi="宋体" w:eastAsia="黑体" w:cs="宋体"/>
      <w:b/>
      <w:bCs/>
      <w:szCs w:val="24"/>
    </w:rPr>
  </w:style>
  <w:style w:type="paragraph" w:customStyle="1" w:styleId="3068">
    <w:name w:val="样式 正文文本缩进 + 左侧:  0.95 厘米 首行缩进:  0.63 厘米"/>
    <w:basedOn w:val="1"/>
    <w:qFormat/>
    <w:uiPriority w:val="0"/>
    <w:pPr>
      <w:spacing w:line="480" w:lineRule="exact"/>
      <w:ind w:firstLine="480"/>
    </w:pPr>
    <w:rPr>
      <w:rFonts w:ascii="宋体"/>
      <w:szCs w:val="24"/>
    </w:rPr>
  </w:style>
  <w:style w:type="paragraph" w:customStyle="1" w:styleId="3069">
    <w:name w:val="Char371"/>
    <w:basedOn w:val="1"/>
    <w:qFormat/>
    <w:uiPriority w:val="0"/>
    <w:pPr>
      <w:widowControl/>
      <w:ind w:left="-48"/>
      <w:jc w:val="left"/>
    </w:pPr>
    <w:rPr>
      <w:rFonts w:ascii="宋体" w:hAnsi="宋体" w:cs="宋体"/>
      <w:kern w:val="0"/>
      <w:szCs w:val="24"/>
    </w:rPr>
  </w:style>
  <w:style w:type="paragraph" w:customStyle="1" w:styleId="3070">
    <w:name w:val="font8"/>
    <w:basedOn w:val="1"/>
    <w:qFormat/>
    <w:uiPriority w:val="0"/>
    <w:pPr>
      <w:widowControl/>
      <w:spacing w:before="100" w:beforeAutospacing="1" w:after="100" w:afterAutospacing="1"/>
      <w:jc w:val="left"/>
    </w:pPr>
    <w:rPr>
      <w:rFonts w:hint="eastAsia" w:ascii="PMingLiU" w:eastAsia="PMingLiU"/>
      <w:kern w:val="0"/>
      <w:sz w:val="16"/>
      <w:szCs w:val="16"/>
      <w:lang w:eastAsia="zh-TW"/>
    </w:rPr>
  </w:style>
  <w:style w:type="paragraph" w:customStyle="1" w:styleId="3071">
    <w:name w:val="Char3111"/>
    <w:basedOn w:val="1"/>
    <w:qFormat/>
    <w:uiPriority w:val="0"/>
    <w:pPr>
      <w:widowControl/>
      <w:ind w:left="-48"/>
      <w:jc w:val="left"/>
    </w:pPr>
    <w:rPr>
      <w:rFonts w:ascii="宋体" w:hAnsi="宋体" w:cs="宋体"/>
      <w:kern w:val="0"/>
      <w:szCs w:val="24"/>
    </w:rPr>
  </w:style>
  <w:style w:type="paragraph" w:customStyle="1" w:styleId="3072">
    <w:name w:val="表格内字体7"/>
    <w:basedOn w:val="418"/>
    <w:next w:val="418"/>
    <w:qFormat/>
    <w:uiPriority w:val="0"/>
    <w:pPr>
      <w:spacing w:line="240" w:lineRule="auto"/>
      <w:ind w:firstLine="0"/>
      <w:jc w:val="center"/>
    </w:pPr>
    <w:rPr>
      <w:rFonts w:hAnsi="宋体"/>
      <w:sz w:val="21"/>
      <w:szCs w:val="24"/>
    </w:rPr>
  </w:style>
  <w:style w:type="paragraph" w:customStyle="1" w:styleId="3073">
    <w:name w:val="正文2"/>
    <w:basedOn w:val="98"/>
    <w:qFormat/>
    <w:uiPriority w:val="0"/>
    <w:pPr>
      <w:widowControl w:val="0"/>
      <w:suppressAutoHyphens/>
      <w:spacing w:line="520" w:lineRule="atLeast"/>
      <w:ind w:firstLine="200"/>
    </w:pPr>
    <w:rPr>
      <w:rFonts w:ascii="Times New Roman" w:hAnsi="Times New Roman" w:cs="Times New Roman"/>
      <w:color w:val="000000"/>
      <w:spacing w:val="18"/>
      <w:sz w:val="32"/>
    </w:rPr>
  </w:style>
  <w:style w:type="paragraph" w:customStyle="1" w:styleId="3074">
    <w:name w:val="Char Char Char1 Char Char Char1 Char Char Char Char Char Char1 Char Char Char1 Char"/>
    <w:basedOn w:val="1"/>
    <w:qFormat/>
    <w:uiPriority w:val="0"/>
    <w:pPr>
      <w:widowControl/>
      <w:jc w:val="left"/>
    </w:pPr>
    <w:rPr>
      <w:rFonts w:ascii="宋体" w:hAnsi="宋体" w:cs="宋体"/>
      <w:kern w:val="0"/>
      <w:szCs w:val="24"/>
    </w:rPr>
  </w:style>
  <w:style w:type="paragraph" w:customStyle="1" w:styleId="3075">
    <w:name w:val="图注"/>
    <w:basedOn w:val="1"/>
    <w:next w:val="1"/>
    <w:qFormat/>
    <w:uiPriority w:val="0"/>
    <w:pPr>
      <w:widowControl/>
      <w:jc w:val="center"/>
    </w:pPr>
    <w:rPr>
      <w:rFonts w:ascii="宋体" w:hAnsi="宋体" w:cs="宋体"/>
      <w:color w:val="0000FF"/>
      <w:kern w:val="0"/>
      <w:szCs w:val="20"/>
    </w:rPr>
  </w:style>
  <w:style w:type="paragraph" w:customStyle="1" w:styleId="3076">
    <w:name w:val="表内宋5中131"/>
    <w:basedOn w:val="1"/>
    <w:qFormat/>
    <w:uiPriority w:val="0"/>
    <w:pPr>
      <w:widowControl/>
      <w:jc w:val="center"/>
      <w:textAlignment w:val="baseline"/>
    </w:pPr>
    <w:rPr>
      <w:rFonts w:ascii="宋体" w:hAnsi="宋体" w:cs="宋体"/>
      <w:kern w:val="0"/>
      <w:szCs w:val="20"/>
    </w:rPr>
  </w:style>
  <w:style w:type="paragraph" w:customStyle="1" w:styleId="3077">
    <w:name w:val="附件22"/>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3078">
    <w:name w:val="燕山正文21"/>
    <w:basedOn w:val="1"/>
    <w:qFormat/>
    <w:uiPriority w:val="0"/>
    <w:pPr>
      <w:widowControl/>
      <w:tabs>
        <w:tab w:val="left" w:pos="4680"/>
      </w:tabs>
      <w:spacing w:line="480" w:lineRule="exact"/>
      <w:jc w:val="left"/>
    </w:pPr>
    <w:rPr>
      <w:rFonts w:ascii="宋体" w:hAnsi="宋体" w:cs="宋体"/>
      <w:kern w:val="0"/>
      <w:szCs w:val="24"/>
    </w:rPr>
  </w:style>
  <w:style w:type="paragraph" w:customStyle="1" w:styleId="3079">
    <w:name w:val="表内5中43"/>
    <w:basedOn w:val="1"/>
    <w:qFormat/>
    <w:uiPriority w:val="0"/>
    <w:pPr>
      <w:widowControl/>
      <w:jc w:val="center"/>
    </w:pPr>
    <w:rPr>
      <w:rFonts w:ascii="宋体" w:hAnsi="宋体" w:cs="宋体"/>
      <w:bCs/>
      <w:kern w:val="0"/>
      <w:szCs w:val="20"/>
    </w:rPr>
  </w:style>
  <w:style w:type="paragraph" w:customStyle="1" w:styleId="3080">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PMingLiU"/>
      <w:kern w:val="0"/>
      <w:sz w:val="16"/>
      <w:szCs w:val="16"/>
      <w:lang w:eastAsia="zh-TW"/>
    </w:rPr>
  </w:style>
  <w:style w:type="paragraph" w:customStyle="1" w:styleId="3081">
    <w:name w:val="样式212"/>
    <w:basedOn w:val="1"/>
    <w:qFormat/>
    <w:uiPriority w:val="0"/>
    <w:pPr>
      <w:widowControl/>
      <w:jc w:val="center"/>
      <w:textAlignment w:val="baseline"/>
      <w:outlineLvl w:val="0"/>
    </w:pPr>
    <w:rPr>
      <w:rFonts w:ascii="宋体" w:hAnsi="宋体" w:cs="宋体"/>
      <w:kern w:val="0"/>
      <w:szCs w:val="20"/>
    </w:rPr>
  </w:style>
  <w:style w:type="paragraph" w:customStyle="1" w:styleId="3082">
    <w:name w:val="样式113"/>
    <w:basedOn w:val="1586"/>
    <w:qFormat/>
    <w:uiPriority w:val="0"/>
    <w:pPr>
      <w:spacing w:line="240" w:lineRule="auto"/>
      <w:ind w:firstLine="0"/>
      <w:jc w:val="center"/>
    </w:pPr>
    <w:rPr>
      <w:rFonts w:cs="Times New Roman"/>
      <w:b/>
      <w:color w:val="auto"/>
      <w:szCs w:val="20"/>
    </w:rPr>
  </w:style>
  <w:style w:type="paragraph" w:customStyle="1" w:styleId="3083">
    <w:name w:val="表居中（中文）"/>
    <w:basedOn w:val="1"/>
    <w:qFormat/>
    <w:uiPriority w:val="0"/>
    <w:pPr>
      <w:widowControl/>
      <w:spacing w:line="380" w:lineRule="atLeast"/>
      <w:jc w:val="center"/>
      <w:textAlignment w:val="baseline"/>
    </w:pPr>
    <w:rPr>
      <w:rFonts w:ascii="宋体" w:hAnsi="宋体" w:eastAsia="楷体_GB2312" w:cs="宋体"/>
      <w:kern w:val="0"/>
      <w:szCs w:val="20"/>
    </w:rPr>
  </w:style>
  <w:style w:type="paragraph" w:customStyle="1" w:styleId="3084">
    <w:name w:val="表内文字小21212"/>
    <w:basedOn w:val="1"/>
    <w:qFormat/>
    <w:uiPriority w:val="0"/>
    <w:pPr>
      <w:widowControl/>
      <w:jc w:val="center"/>
    </w:pPr>
    <w:rPr>
      <w:rFonts w:ascii="宋体" w:hAnsi="Times" w:cs="宋体"/>
      <w:bCs/>
      <w:kern w:val="0"/>
      <w:szCs w:val="20"/>
    </w:rPr>
  </w:style>
  <w:style w:type="paragraph" w:customStyle="1" w:styleId="3085">
    <w:name w:val="标题4314"/>
    <w:basedOn w:val="1"/>
    <w:qFormat/>
    <w:uiPriority w:val="0"/>
    <w:pPr>
      <w:widowControl/>
      <w:spacing w:line="480" w:lineRule="exact"/>
      <w:jc w:val="center"/>
    </w:pPr>
    <w:rPr>
      <w:rFonts w:ascii="宋体" w:hAnsi="宋体" w:cs="宋体"/>
      <w:kern w:val="0"/>
      <w:szCs w:val="24"/>
    </w:rPr>
  </w:style>
  <w:style w:type="paragraph" w:customStyle="1" w:styleId="3086">
    <w:name w:val="表内宋5"/>
    <w:basedOn w:val="1698"/>
    <w:qFormat/>
    <w:uiPriority w:val="0"/>
    <w:pPr>
      <w:autoSpaceDE w:val="0"/>
      <w:autoSpaceDN w:val="0"/>
      <w:textAlignment w:val="auto"/>
    </w:pPr>
    <w:rPr>
      <w:color w:val="auto"/>
      <w:w w:val="90"/>
    </w:rPr>
  </w:style>
  <w:style w:type="paragraph" w:customStyle="1" w:styleId="3087">
    <w:name w:val="c2"/>
    <w:basedOn w:val="98"/>
    <w:qFormat/>
    <w:uiPriority w:val="0"/>
    <w:pPr>
      <w:widowControl w:val="0"/>
      <w:autoSpaceDE w:val="0"/>
      <w:autoSpaceDN w:val="0"/>
      <w:adjustRightInd w:val="0"/>
    </w:pPr>
    <w:rPr>
      <w:rFonts w:ascii="Arial" w:hAnsi="Arial" w:cs="Times New Roman"/>
      <w:color w:val="000000"/>
    </w:rPr>
  </w:style>
  <w:style w:type="paragraph" w:customStyle="1" w:styleId="3088">
    <w:name w:val="Char104"/>
    <w:basedOn w:val="1"/>
    <w:qFormat/>
    <w:uiPriority w:val="0"/>
    <w:pPr>
      <w:widowControl/>
      <w:jc w:val="left"/>
    </w:pPr>
    <w:rPr>
      <w:rFonts w:ascii="宋体" w:hAnsi="宋体" w:cs="宋体"/>
      <w:kern w:val="0"/>
      <w:szCs w:val="24"/>
    </w:rPr>
  </w:style>
  <w:style w:type="paragraph" w:customStyle="1" w:styleId="3089">
    <w:name w:val="黑体三号"/>
    <w:basedOn w:val="418"/>
    <w:qFormat/>
    <w:uiPriority w:val="0"/>
    <w:pPr>
      <w:jc w:val="center"/>
    </w:pPr>
    <w:rPr>
      <w:rFonts w:ascii="黑体" w:hAnsi="宋体" w:eastAsia="黑体" w:cs="宋体"/>
      <w:b/>
      <w:bCs/>
      <w:sz w:val="32"/>
      <w:szCs w:val="20"/>
    </w:rPr>
  </w:style>
  <w:style w:type="paragraph" w:customStyle="1" w:styleId="3090">
    <w:name w:val="样式124"/>
    <w:basedOn w:val="1586"/>
    <w:qFormat/>
    <w:uiPriority w:val="0"/>
    <w:pPr>
      <w:spacing w:line="240" w:lineRule="auto"/>
      <w:ind w:firstLine="0"/>
      <w:jc w:val="center"/>
    </w:pPr>
    <w:rPr>
      <w:rFonts w:cs="Times New Roman"/>
      <w:b/>
      <w:color w:val="auto"/>
      <w:szCs w:val="20"/>
    </w:rPr>
  </w:style>
  <w:style w:type="paragraph" w:customStyle="1" w:styleId="3091">
    <w:name w:val="表内文字小3151"/>
    <w:basedOn w:val="1"/>
    <w:qFormat/>
    <w:uiPriority w:val="0"/>
    <w:pPr>
      <w:widowControl/>
      <w:jc w:val="center"/>
    </w:pPr>
    <w:rPr>
      <w:rFonts w:ascii="宋体" w:hAnsi="Times" w:cs="宋体"/>
      <w:bCs/>
      <w:color w:val="003366"/>
      <w:kern w:val="0"/>
      <w:szCs w:val="20"/>
    </w:rPr>
  </w:style>
  <w:style w:type="paragraph" w:customStyle="1" w:styleId="3092">
    <w:name w:val="文本框1111"/>
    <w:basedOn w:val="1"/>
    <w:qFormat/>
    <w:uiPriority w:val="0"/>
    <w:pPr>
      <w:widowControl/>
      <w:spacing w:after="6"/>
      <w:jc w:val="center"/>
    </w:pPr>
    <w:rPr>
      <w:rFonts w:ascii="宋体" w:hAnsi="宋体" w:cs="宋体"/>
      <w:kern w:val="0"/>
      <w:szCs w:val="24"/>
    </w:rPr>
  </w:style>
  <w:style w:type="paragraph" w:customStyle="1" w:styleId="3093">
    <w:name w:val="xl5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PMingLiU"/>
      <w:kern w:val="0"/>
      <w:sz w:val="12"/>
      <w:szCs w:val="12"/>
      <w:lang w:eastAsia="zh-TW"/>
    </w:rPr>
  </w:style>
  <w:style w:type="paragraph" w:customStyle="1" w:styleId="3094">
    <w:name w:val="正文211"/>
    <w:basedOn w:val="98"/>
    <w:qFormat/>
    <w:uiPriority w:val="0"/>
    <w:pPr>
      <w:adjustRightInd w:val="0"/>
      <w:snapToGrid w:val="0"/>
      <w:spacing w:line="480" w:lineRule="atLeast"/>
      <w:jc w:val="center"/>
    </w:pPr>
    <w:rPr>
      <w:rFonts w:ascii="宋体" w:hAnsi="Times New Roman" w:cs="Times New Roman"/>
      <w:snapToGrid w:val="0"/>
      <w:color w:val="000000"/>
      <w:spacing w:val="6"/>
    </w:rPr>
  </w:style>
  <w:style w:type="paragraph" w:customStyle="1" w:styleId="3095">
    <w:name w:val="表内592"/>
    <w:basedOn w:val="1"/>
    <w:qFormat/>
    <w:uiPriority w:val="0"/>
    <w:pPr>
      <w:widowControl/>
      <w:spacing w:line="300" w:lineRule="auto"/>
      <w:jc w:val="center"/>
    </w:pPr>
    <w:rPr>
      <w:rFonts w:ascii="宋体" w:hAnsi="宋体" w:cs="宋体"/>
      <w:snapToGrid w:val="0"/>
      <w:kern w:val="0"/>
      <w:szCs w:val="21"/>
    </w:rPr>
  </w:style>
  <w:style w:type="paragraph" w:customStyle="1" w:styleId="3096">
    <w:name w:val="标题4315"/>
    <w:basedOn w:val="1"/>
    <w:qFormat/>
    <w:uiPriority w:val="0"/>
    <w:pPr>
      <w:widowControl/>
      <w:spacing w:line="480" w:lineRule="exact"/>
      <w:jc w:val="center"/>
    </w:pPr>
    <w:rPr>
      <w:rFonts w:ascii="宋体" w:hAnsi="宋体" w:cs="宋体"/>
      <w:kern w:val="0"/>
      <w:szCs w:val="24"/>
    </w:rPr>
  </w:style>
  <w:style w:type="paragraph" w:customStyle="1" w:styleId="3097">
    <w:name w:val="Char Char Char Char Char Char Char128"/>
    <w:basedOn w:val="1"/>
    <w:qFormat/>
    <w:uiPriority w:val="0"/>
    <w:pPr>
      <w:widowControl/>
      <w:jc w:val="left"/>
    </w:pPr>
    <w:rPr>
      <w:rFonts w:ascii="宋体" w:hAnsi="宋体" w:cs="宋体"/>
      <w:kern w:val="0"/>
      <w:szCs w:val="24"/>
    </w:rPr>
  </w:style>
  <w:style w:type="paragraph" w:customStyle="1" w:styleId="3098">
    <w:name w:val="表内宋5中121"/>
    <w:basedOn w:val="1"/>
    <w:qFormat/>
    <w:uiPriority w:val="0"/>
    <w:pPr>
      <w:widowControl/>
      <w:jc w:val="center"/>
      <w:textAlignment w:val="baseline"/>
    </w:pPr>
    <w:rPr>
      <w:rFonts w:ascii="宋体" w:hAnsi="宋体" w:cs="宋体"/>
      <w:kern w:val="0"/>
      <w:szCs w:val="20"/>
    </w:rPr>
  </w:style>
  <w:style w:type="paragraph" w:customStyle="1" w:styleId="3099">
    <w:name w:val="7"/>
    <w:basedOn w:val="1"/>
    <w:next w:val="1283"/>
    <w:qFormat/>
    <w:uiPriority w:val="0"/>
    <w:pPr>
      <w:widowControl/>
      <w:spacing w:line="312" w:lineRule="auto"/>
      <w:ind w:firstLine="560"/>
      <w:jc w:val="left"/>
    </w:pPr>
    <w:rPr>
      <w:rFonts w:ascii="仿宋_GB2312" w:hAnsi="宋体" w:cs="宋体"/>
      <w:kern w:val="0"/>
      <w:szCs w:val="24"/>
    </w:rPr>
  </w:style>
  <w:style w:type="paragraph" w:customStyle="1" w:styleId="3100">
    <w:name w:val="表题18"/>
    <w:basedOn w:val="17"/>
    <w:qFormat/>
    <w:uiPriority w:val="0"/>
    <w:pPr>
      <w:widowControl/>
      <w:ind w:firstLine="0" w:firstLineChars="0"/>
      <w:jc w:val="center"/>
    </w:pPr>
    <w:rPr>
      <w:rFonts w:ascii="黑体" w:cs="Arial"/>
      <w:b/>
    </w:rPr>
  </w:style>
  <w:style w:type="paragraph" w:customStyle="1" w:styleId="3101">
    <w:name w:val="Char Char Char Char Char Char Char18"/>
    <w:basedOn w:val="1"/>
    <w:qFormat/>
    <w:uiPriority w:val="0"/>
    <w:pPr>
      <w:widowControl/>
      <w:jc w:val="left"/>
    </w:pPr>
    <w:rPr>
      <w:rFonts w:ascii="宋体" w:hAnsi="宋体" w:cs="宋体"/>
      <w:kern w:val="0"/>
      <w:szCs w:val="24"/>
    </w:rPr>
  </w:style>
  <w:style w:type="paragraph" w:customStyle="1" w:styleId="3102">
    <w:name w:val="表文字51121"/>
    <w:basedOn w:val="1"/>
    <w:qFormat/>
    <w:uiPriority w:val="0"/>
    <w:pPr>
      <w:widowControl/>
      <w:jc w:val="left"/>
      <w:textAlignment w:val="baseline"/>
    </w:pPr>
    <w:rPr>
      <w:rFonts w:ascii="宋体" w:hAnsi="宋体" w:cs="宋体"/>
      <w:kern w:val="0"/>
      <w:szCs w:val="20"/>
    </w:rPr>
  </w:style>
  <w:style w:type="paragraph" w:customStyle="1" w:styleId="3103">
    <w:name w:val="表文字512"/>
    <w:basedOn w:val="1"/>
    <w:qFormat/>
    <w:uiPriority w:val="0"/>
    <w:pPr>
      <w:widowControl/>
      <w:jc w:val="left"/>
      <w:textAlignment w:val="baseline"/>
    </w:pPr>
    <w:rPr>
      <w:rFonts w:ascii="宋体" w:hAnsi="宋体" w:cs="宋体"/>
      <w:kern w:val="0"/>
      <w:szCs w:val="20"/>
    </w:rPr>
  </w:style>
  <w:style w:type="paragraph" w:customStyle="1" w:styleId="3104">
    <w:name w:val="表题314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105">
    <w:name w:val="正文.31"/>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3106">
    <w:name w:val="表题31213"/>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107">
    <w:name w:val="Char49"/>
    <w:basedOn w:val="1"/>
    <w:qFormat/>
    <w:uiPriority w:val="0"/>
    <w:pPr>
      <w:widowControl/>
      <w:ind w:left="-48"/>
      <w:jc w:val="left"/>
    </w:pPr>
    <w:rPr>
      <w:rFonts w:ascii="宋体" w:hAnsi="宋体" w:cs="宋体"/>
      <w:kern w:val="0"/>
      <w:szCs w:val="24"/>
    </w:rPr>
  </w:style>
  <w:style w:type="paragraph" w:customStyle="1" w:styleId="3108">
    <w:name w:val="表内53"/>
    <w:basedOn w:val="1"/>
    <w:qFormat/>
    <w:uiPriority w:val="0"/>
    <w:pPr>
      <w:widowControl/>
      <w:spacing w:line="300" w:lineRule="auto"/>
      <w:jc w:val="left"/>
    </w:pPr>
    <w:rPr>
      <w:rFonts w:ascii="宋体" w:hAnsi="宋体" w:cs="宋体"/>
      <w:kern w:val="0"/>
      <w:szCs w:val="20"/>
    </w:rPr>
  </w:style>
  <w:style w:type="paragraph" w:customStyle="1" w:styleId="3109">
    <w:name w:val="正文格式＝121"/>
    <w:basedOn w:val="418"/>
    <w:next w:val="418"/>
    <w:qFormat/>
    <w:uiPriority w:val="0"/>
    <w:rPr>
      <w:rFonts w:hAnsi="宋体"/>
      <w:szCs w:val="24"/>
    </w:rPr>
  </w:style>
  <w:style w:type="paragraph" w:customStyle="1" w:styleId="3110">
    <w:name w:val="xl242"/>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3111">
    <w:name w:val="表题13"/>
    <w:basedOn w:val="17"/>
    <w:qFormat/>
    <w:uiPriority w:val="0"/>
    <w:pPr>
      <w:widowControl/>
      <w:ind w:firstLine="0" w:firstLineChars="0"/>
      <w:jc w:val="center"/>
    </w:pPr>
    <w:rPr>
      <w:rFonts w:ascii="黑体" w:cs="Arial"/>
      <w:b/>
    </w:rPr>
  </w:style>
  <w:style w:type="paragraph" w:customStyle="1" w:styleId="3112">
    <w:name w:val="正文修改43"/>
    <w:basedOn w:val="786"/>
    <w:qFormat/>
    <w:uiPriority w:val="0"/>
    <w:rPr>
      <w:rFonts w:hAnsi="宋体" w:eastAsia="宋体" w:cs="宋体"/>
      <w:szCs w:val="24"/>
    </w:rPr>
  </w:style>
  <w:style w:type="paragraph" w:customStyle="1" w:styleId="3113">
    <w:name w:val="样式 表格内字体1 +21"/>
    <w:basedOn w:val="1722"/>
    <w:next w:val="559"/>
    <w:qFormat/>
    <w:uiPriority w:val="0"/>
    <w:rPr>
      <w:rFonts w:hAnsi="Times New Roman" w:cs="宋体"/>
      <w:szCs w:val="20"/>
    </w:rPr>
  </w:style>
  <w:style w:type="paragraph" w:customStyle="1" w:styleId="3114">
    <w:name w:val="正文格式511"/>
    <w:basedOn w:val="1"/>
    <w:qFormat/>
    <w:uiPriority w:val="0"/>
    <w:pPr>
      <w:widowControl/>
      <w:ind w:firstLine="482"/>
      <w:jc w:val="left"/>
    </w:pPr>
    <w:rPr>
      <w:rFonts w:ascii="宋体" w:hAnsi="宋体" w:cs="宋体"/>
      <w:kern w:val="0"/>
      <w:szCs w:val="24"/>
    </w:rPr>
  </w:style>
  <w:style w:type="paragraph" w:customStyle="1" w:styleId="3115">
    <w:name w:val="表2"/>
    <w:basedOn w:val="1"/>
    <w:qFormat/>
    <w:uiPriority w:val="0"/>
    <w:pPr>
      <w:widowControl/>
      <w:jc w:val="center"/>
    </w:pPr>
    <w:rPr>
      <w:rFonts w:ascii="宋体" w:hAnsi="宋体" w:cs="宋体"/>
      <w:kern w:val="0"/>
      <w:szCs w:val="24"/>
    </w:rPr>
  </w:style>
  <w:style w:type="paragraph" w:customStyle="1" w:styleId="3116">
    <w:name w:val="样式 表格内字体 +21"/>
    <w:basedOn w:val="559"/>
    <w:qFormat/>
    <w:uiPriority w:val="0"/>
    <w:pPr>
      <w:spacing w:line="280" w:lineRule="exact"/>
      <w:ind w:firstLine="36"/>
      <w:jc w:val="both"/>
    </w:pPr>
    <w:rPr>
      <w:rFonts w:hAnsi="宋体"/>
      <w:sz w:val="21"/>
      <w:szCs w:val="24"/>
    </w:rPr>
  </w:style>
  <w:style w:type="paragraph" w:customStyle="1" w:styleId="3117">
    <w:name w:val="列表编号 21"/>
    <w:basedOn w:val="1"/>
    <w:qFormat/>
    <w:uiPriority w:val="0"/>
    <w:pPr>
      <w:widowControl/>
      <w:tabs>
        <w:tab w:val="left" w:pos="780"/>
      </w:tabs>
      <w:ind w:left="780" w:hanging="360"/>
      <w:jc w:val="left"/>
    </w:pPr>
    <w:rPr>
      <w:rFonts w:ascii="宋体" w:hAnsi="宋体" w:cs="宋体"/>
      <w:kern w:val="0"/>
      <w:szCs w:val="24"/>
    </w:rPr>
  </w:style>
  <w:style w:type="paragraph" w:customStyle="1" w:styleId="3118">
    <w:name w:val="文本框111"/>
    <w:basedOn w:val="1"/>
    <w:qFormat/>
    <w:uiPriority w:val="0"/>
    <w:pPr>
      <w:widowControl/>
      <w:spacing w:after="6"/>
      <w:jc w:val="center"/>
    </w:pPr>
    <w:rPr>
      <w:rFonts w:ascii="宋体" w:hAnsi="宋体" w:cs="宋体"/>
      <w:kern w:val="0"/>
      <w:szCs w:val="24"/>
    </w:rPr>
  </w:style>
  <w:style w:type="paragraph" w:customStyle="1" w:styleId="3119">
    <w:name w:val="Char4 Char Char Char1"/>
    <w:basedOn w:val="1"/>
    <w:qFormat/>
    <w:uiPriority w:val="0"/>
    <w:pPr>
      <w:widowControl/>
      <w:jc w:val="left"/>
    </w:pPr>
    <w:rPr>
      <w:rFonts w:ascii="宋体" w:hAnsi="宋体" w:cs="宋体"/>
      <w:kern w:val="0"/>
      <w:szCs w:val="24"/>
    </w:rPr>
  </w:style>
  <w:style w:type="paragraph" w:customStyle="1" w:styleId="3120">
    <w:name w:val="样式412"/>
    <w:basedOn w:val="25"/>
    <w:qFormat/>
    <w:uiPriority w:val="0"/>
    <w:pPr>
      <w:widowControl/>
      <w:tabs>
        <w:tab w:val="left" w:pos="1820"/>
      </w:tabs>
      <w:spacing w:line="240" w:lineRule="atLeast"/>
      <w:jc w:val="center"/>
    </w:pPr>
    <w:rPr>
      <w:rFonts w:eastAsia="幼圆"/>
      <w:kern w:val="0"/>
      <w:sz w:val="21"/>
      <w:szCs w:val="20"/>
    </w:rPr>
  </w:style>
  <w:style w:type="paragraph" w:customStyle="1" w:styleId="3121">
    <w:name w:val="燕山正文1142"/>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3122">
    <w:name w:val="燕山正文1112"/>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3123">
    <w:name w:val="表中居中文字!"/>
    <w:basedOn w:val="1"/>
    <w:qFormat/>
    <w:uiPriority w:val="0"/>
    <w:pPr>
      <w:widowControl/>
      <w:jc w:val="center"/>
    </w:pPr>
    <w:rPr>
      <w:rFonts w:ascii="宋体" w:hAnsi="宋体" w:cs="Arial"/>
      <w:snapToGrid w:val="0"/>
      <w:kern w:val="0"/>
      <w:szCs w:val="24"/>
    </w:rPr>
  </w:style>
  <w:style w:type="paragraph" w:customStyle="1" w:styleId="3124">
    <w:name w:val="正文缩12"/>
    <w:basedOn w:val="1"/>
    <w:qFormat/>
    <w:uiPriority w:val="0"/>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3125">
    <w:name w:val="标题001"/>
    <w:basedOn w:val="1"/>
    <w:qFormat/>
    <w:uiPriority w:val="0"/>
    <w:pPr>
      <w:spacing w:before="60" w:line="480" w:lineRule="exact"/>
      <w:outlineLvl w:val="0"/>
    </w:pPr>
    <w:rPr>
      <w:b/>
      <w:bCs/>
      <w:sz w:val="32"/>
      <w:szCs w:val="32"/>
    </w:rPr>
  </w:style>
  <w:style w:type="paragraph" w:customStyle="1" w:styleId="3126">
    <w:name w:val="样式 标题 4无效格式无效格式1河石管道4H4H41小小节河石管道41H42H411小小节1河石管道42...4"/>
    <w:basedOn w:val="5"/>
    <w:qFormat/>
    <w:uiPriority w:val="0"/>
    <w:pPr>
      <w:numPr>
        <w:ilvl w:val="0"/>
        <w:numId w:val="0"/>
      </w:numPr>
      <w:spacing w:after="0" w:line="360" w:lineRule="auto"/>
      <w:ind w:left="664" w:hanging="864"/>
    </w:pPr>
    <w:rPr>
      <w:rFonts w:ascii="黑体" w:hAnsi="Arial" w:eastAsia="黑体"/>
      <w:b w:val="0"/>
      <w:bCs w:val="0"/>
      <w:kern w:val="2"/>
      <w:sz w:val="24"/>
      <w:szCs w:val="24"/>
    </w:rPr>
  </w:style>
  <w:style w:type="paragraph" w:customStyle="1" w:styleId="3127">
    <w:name w:val="表题111"/>
    <w:basedOn w:val="17"/>
    <w:qFormat/>
    <w:uiPriority w:val="0"/>
    <w:pPr>
      <w:widowControl/>
      <w:ind w:firstLine="0" w:firstLineChars="0"/>
      <w:jc w:val="center"/>
    </w:pPr>
    <w:rPr>
      <w:rFonts w:ascii="黑体" w:cs="Arial"/>
      <w:b/>
    </w:rPr>
  </w:style>
  <w:style w:type="paragraph" w:customStyle="1" w:styleId="3128">
    <w:name w:val="表格内字体311"/>
    <w:basedOn w:val="418"/>
    <w:next w:val="418"/>
    <w:qFormat/>
    <w:uiPriority w:val="0"/>
    <w:pPr>
      <w:spacing w:line="240" w:lineRule="auto"/>
      <w:ind w:firstLine="0"/>
      <w:jc w:val="center"/>
    </w:pPr>
    <w:rPr>
      <w:rFonts w:hAnsi="宋体"/>
      <w:sz w:val="21"/>
      <w:szCs w:val="24"/>
    </w:rPr>
  </w:style>
  <w:style w:type="paragraph" w:customStyle="1" w:styleId="3129">
    <w:name w:val="表内文字小31121"/>
    <w:basedOn w:val="1"/>
    <w:qFormat/>
    <w:uiPriority w:val="0"/>
    <w:pPr>
      <w:widowControl/>
      <w:jc w:val="center"/>
    </w:pPr>
    <w:rPr>
      <w:rFonts w:ascii="宋体" w:hAnsi="Times" w:cs="宋体"/>
      <w:bCs/>
      <w:color w:val="003366"/>
      <w:kern w:val="0"/>
      <w:szCs w:val="20"/>
    </w:rPr>
  </w:style>
  <w:style w:type="paragraph" w:customStyle="1" w:styleId="3130">
    <w:name w:val="Char Char Char Char Char Char Char125"/>
    <w:basedOn w:val="1"/>
    <w:qFormat/>
    <w:uiPriority w:val="0"/>
    <w:pPr>
      <w:widowControl/>
      <w:jc w:val="left"/>
    </w:pPr>
    <w:rPr>
      <w:rFonts w:ascii="宋体" w:hAnsi="宋体" w:cs="宋体"/>
      <w:kern w:val="0"/>
      <w:szCs w:val="24"/>
    </w:rPr>
  </w:style>
  <w:style w:type="paragraph" w:customStyle="1" w:styleId="3131">
    <w:name w:val="表内文字小5"/>
    <w:basedOn w:val="1"/>
    <w:qFormat/>
    <w:uiPriority w:val="0"/>
    <w:pPr>
      <w:widowControl/>
      <w:jc w:val="center"/>
    </w:pPr>
    <w:rPr>
      <w:rFonts w:ascii="宋体" w:hAnsi="Times" w:cs="宋体"/>
      <w:kern w:val="0"/>
      <w:szCs w:val="20"/>
    </w:rPr>
  </w:style>
  <w:style w:type="paragraph" w:customStyle="1" w:styleId="3132">
    <w:name w:val="表内文字小314"/>
    <w:basedOn w:val="1"/>
    <w:qFormat/>
    <w:uiPriority w:val="0"/>
    <w:pPr>
      <w:widowControl/>
      <w:jc w:val="center"/>
    </w:pPr>
    <w:rPr>
      <w:rFonts w:ascii="宋体" w:hAnsi="Times" w:cs="宋体"/>
      <w:bCs/>
      <w:color w:val="003366"/>
      <w:kern w:val="0"/>
      <w:szCs w:val="20"/>
    </w:rPr>
  </w:style>
  <w:style w:type="paragraph" w:styleId="3133">
    <w:name w:val="No Spacing"/>
    <w:basedOn w:val="98"/>
    <w:qFormat/>
    <w:uiPriority w:val="1"/>
    <w:pPr>
      <w:widowControl w:val="0"/>
      <w:ind w:firstLine="200" w:firstLineChars="200"/>
    </w:pPr>
    <w:rPr>
      <w:rFonts w:ascii="Times New Roman" w:hAnsi="Times New Roman" w:eastAsia="仿宋_GB2312" w:cs="Times New Roman"/>
      <w:color w:val="000000"/>
      <w:sz w:val="28"/>
      <w:szCs w:val="22"/>
    </w:rPr>
  </w:style>
  <w:style w:type="paragraph" w:customStyle="1" w:styleId="3134">
    <w:name w:val="表内5121"/>
    <w:basedOn w:val="1"/>
    <w:qFormat/>
    <w:uiPriority w:val="0"/>
    <w:pPr>
      <w:widowControl/>
      <w:jc w:val="center"/>
    </w:pPr>
    <w:rPr>
      <w:rFonts w:ascii="宋体" w:hAnsi="宋体" w:cs="宋体"/>
      <w:kern w:val="0"/>
      <w:sz w:val="20"/>
      <w:szCs w:val="20"/>
    </w:rPr>
  </w:style>
  <w:style w:type="paragraph" w:customStyle="1" w:styleId="3135">
    <w:name w:val="正文格式＝513"/>
    <w:basedOn w:val="418"/>
    <w:next w:val="418"/>
    <w:qFormat/>
    <w:uiPriority w:val="0"/>
    <w:rPr>
      <w:rFonts w:hAnsi="宋体"/>
      <w:szCs w:val="24"/>
    </w:rPr>
  </w:style>
  <w:style w:type="paragraph" w:customStyle="1" w:styleId="3136">
    <w:name w:val="表题1413"/>
    <w:basedOn w:val="1"/>
    <w:qFormat/>
    <w:uiPriority w:val="0"/>
    <w:pPr>
      <w:widowControl/>
      <w:jc w:val="center"/>
    </w:pPr>
    <w:rPr>
      <w:rFonts w:ascii="黑体" w:hAnsi="宋体" w:eastAsia="黑体" w:cs="宋体"/>
      <w:kern w:val="0"/>
      <w:szCs w:val="24"/>
    </w:rPr>
  </w:style>
  <w:style w:type="paragraph" w:customStyle="1" w:styleId="3137">
    <w:name w:val="Char Char Char Char Char Char Char81"/>
    <w:basedOn w:val="1"/>
    <w:qFormat/>
    <w:uiPriority w:val="0"/>
    <w:pPr>
      <w:widowControl/>
      <w:jc w:val="left"/>
    </w:pPr>
    <w:rPr>
      <w:rFonts w:ascii="宋体" w:hAnsi="宋体" w:cs="宋体"/>
      <w:kern w:val="0"/>
      <w:szCs w:val="24"/>
    </w:rPr>
  </w:style>
  <w:style w:type="paragraph" w:customStyle="1" w:styleId="3138">
    <w:name w:val="MG"/>
    <w:basedOn w:val="2"/>
    <w:qFormat/>
    <w:uiPriority w:val="0"/>
    <w:pPr>
      <w:keepLines w:val="0"/>
      <w:numPr>
        <w:numId w:val="0"/>
      </w:numPr>
      <w:tabs>
        <w:tab w:val="left" w:pos="2260"/>
        <w:tab w:val="left" w:pos="2820"/>
        <w:tab w:val="left" w:pos="3420"/>
      </w:tabs>
      <w:spacing w:before="440" w:line="240" w:lineRule="auto"/>
      <w:ind w:left="851" w:right="-28" w:hanging="851"/>
      <w:jc w:val="left"/>
    </w:pPr>
    <w:rPr>
      <w:rFonts w:ascii="Arial" w:hAnsi="Arial"/>
      <w:bCs w:val="0"/>
      <w:kern w:val="0"/>
      <w:sz w:val="22"/>
      <w:szCs w:val="20"/>
    </w:rPr>
  </w:style>
  <w:style w:type="paragraph" w:customStyle="1" w:styleId="3139">
    <w:name w:val="表内文字小13"/>
    <w:basedOn w:val="1"/>
    <w:qFormat/>
    <w:uiPriority w:val="0"/>
    <w:pPr>
      <w:widowControl/>
      <w:jc w:val="center"/>
    </w:pPr>
    <w:rPr>
      <w:rFonts w:ascii="宋体" w:hAnsi="Times" w:cs="宋体"/>
      <w:kern w:val="0"/>
      <w:szCs w:val="20"/>
    </w:rPr>
  </w:style>
  <w:style w:type="paragraph" w:customStyle="1" w:styleId="3140">
    <w:name w:val="xl87"/>
    <w:basedOn w:val="1"/>
    <w:qFormat/>
    <w:uiPriority w:val="0"/>
    <w:pPr>
      <w:widowControl/>
      <w:pBdr>
        <w:left w:val="single" w:color="auto" w:sz="8" w:space="0"/>
        <w:right w:val="single" w:color="auto" w:sz="8" w:space="0"/>
      </w:pBdr>
      <w:spacing w:before="100" w:beforeAutospacing="1" w:after="100" w:afterAutospacing="1"/>
      <w:jc w:val="center"/>
    </w:pPr>
    <w:rPr>
      <w:rFonts w:ascii="仿宋" w:hAnsi="仿宋" w:eastAsia="仿宋" w:cs="宋体"/>
      <w:kern w:val="0"/>
      <w:szCs w:val="21"/>
    </w:rPr>
  </w:style>
  <w:style w:type="paragraph" w:customStyle="1" w:styleId="3141">
    <w:name w:val="Char Char Char Char1 Char Char Char16"/>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142">
    <w:name w:val="正文格式5"/>
    <w:basedOn w:val="1"/>
    <w:qFormat/>
    <w:uiPriority w:val="0"/>
    <w:pPr>
      <w:widowControl/>
      <w:ind w:firstLine="482"/>
      <w:jc w:val="left"/>
    </w:pPr>
    <w:rPr>
      <w:rFonts w:ascii="宋体" w:hAnsi="宋体" w:cs="宋体"/>
      <w:kern w:val="0"/>
      <w:szCs w:val="24"/>
    </w:rPr>
  </w:style>
  <w:style w:type="paragraph" w:customStyle="1" w:styleId="3143">
    <w:name w:val="表212"/>
    <w:basedOn w:val="1"/>
    <w:qFormat/>
    <w:uiPriority w:val="0"/>
    <w:pPr>
      <w:widowControl/>
      <w:jc w:val="center"/>
    </w:pPr>
    <w:rPr>
      <w:rFonts w:ascii="宋体" w:hAnsi="宋体" w:cs="宋体"/>
      <w:kern w:val="0"/>
      <w:szCs w:val="24"/>
    </w:rPr>
  </w:style>
  <w:style w:type="paragraph" w:customStyle="1" w:styleId="3144">
    <w:name w:val="表内541112"/>
    <w:basedOn w:val="1"/>
    <w:qFormat/>
    <w:uiPriority w:val="0"/>
    <w:pPr>
      <w:widowControl/>
      <w:spacing w:line="300" w:lineRule="auto"/>
      <w:jc w:val="center"/>
    </w:pPr>
    <w:rPr>
      <w:rFonts w:ascii="宋体" w:hAnsi="宋体" w:cs="宋体"/>
      <w:kern w:val="0"/>
      <w:szCs w:val="20"/>
    </w:rPr>
  </w:style>
  <w:style w:type="paragraph" w:customStyle="1" w:styleId="3145">
    <w:name w:val="样式 五号 居中 行距: 单倍行距"/>
    <w:basedOn w:val="1"/>
    <w:qFormat/>
    <w:uiPriority w:val="0"/>
    <w:pPr>
      <w:jc w:val="center"/>
    </w:pPr>
    <w:rPr>
      <w:rFonts w:cs="宋体"/>
      <w:szCs w:val="20"/>
    </w:rPr>
  </w:style>
  <w:style w:type="paragraph" w:customStyle="1" w:styleId="3146">
    <w:name w:val="封面标准文稿编辑信息11"/>
    <w:basedOn w:val="98"/>
    <w:qFormat/>
    <w:uiPriority w:val="0"/>
    <w:pPr>
      <w:spacing w:before="180" w:line="180" w:lineRule="exact"/>
      <w:jc w:val="center"/>
    </w:pPr>
    <w:rPr>
      <w:rFonts w:ascii="宋体" w:hAnsi="Times New Roman" w:cs="Times New Roman"/>
      <w:color w:val="000000"/>
    </w:rPr>
  </w:style>
  <w:style w:type="paragraph" w:customStyle="1" w:styleId="3147">
    <w:name w:val="表21"/>
    <w:basedOn w:val="1"/>
    <w:qFormat/>
    <w:uiPriority w:val="0"/>
    <w:pPr>
      <w:widowControl/>
      <w:jc w:val="center"/>
    </w:pPr>
    <w:rPr>
      <w:rFonts w:ascii="宋体" w:hAnsi="宋体" w:cs="宋体"/>
      <w:kern w:val="0"/>
      <w:szCs w:val="24"/>
    </w:rPr>
  </w:style>
  <w:style w:type="paragraph" w:customStyle="1" w:styleId="3148">
    <w:name w:val="正文修改111"/>
    <w:basedOn w:val="786"/>
    <w:qFormat/>
    <w:uiPriority w:val="0"/>
    <w:rPr>
      <w:rFonts w:hAnsi="宋体" w:eastAsia="宋体" w:cs="宋体"/>
      <w:szCs w:val="24"/>
    </w:rPr>
  </w:style>
  <w:style w:type="paragraph" w:customStyle="1" w:styleId="3149">
    <w:name w:val="黑体三号42"/>
    <w:basedOn w:val="418"/>
    <w:qFormat/>
    <w:uiPriority w:val="0"/>
    <w:pPr>
      <w:jc w:val="center"/>
    </w:pPr>
    <w:rPr>
      <w:rFonts w:ascii="黑体" w:hAnsi="宋体" w:eastAsia="黑体" w:cs="宋体"/>
      <w:b/>
      <w:bCs/>
      <w:sz w:val="32"/>
      <w:szCs w:val="20"/>
    </w:rPr>
  </w:style>
  <w:style w:type="paragraph" w:customStyle="1" w:styleId="3150">
    <w:name w:val="正文格式63"/>
    <w:basedOn w:val="1"/>
    <w:qFormat/>
    <w:uiPriority w:val="0"/>
    <w:pPr>
      <w:widowControl/>
      <w:ind w:firstLine="482"/>
      <w:jc w:val="left"/>
    </w:pPr>
    <w:rPr>
      <w:rFonts w:ascii="宋体" w:hAnsi="宋体" w:cs="宋体"/>
      <w:kern w:val="0"/>
      <w:szCs w:val="24"/>
    </w:rPr>
  </w:style>
  <w:style w:type="paragraph" w:customStyle="1" w:styleId="3151">
    <w:name w:val="燕山正文1"/>
    <w:basedOn w:val="1"/>
    <w:qFormat/>
    <w:uiPriority w:val="0"/>
    <w:pPr>
      <w:widowControl/>
      <w:tabs>
        <w:tab w:val="left" w:pos="4680"/>
      </w:tabs>
      <w:spacing w:line="480" w:lineRule="exact"/>
      <w:jc w:val="left"/>
    </w:pPr>
    <w:rPr>
      <w:rFonts w:ascii="宋体" w:hAnsi="宋体" w:cs="宋体"/>
      <w:kern w:val="0"/>
      <w:szCs w:val="24"/>
    </w:rPr>
  </w:style>
  <w:style w:type="paragraph" w:customStyle="1" w:styleId="3152">
    <w:name w:val="条款"/>
    <w:basedOn w:val="1"/>
    <w:qFormat/>
    <w:uiPriority w:val="0"/>
    <w:pPr>
      <w:widowControl/>
      <w:jc w:val="left"/>
    </w:pPr>
    <w:rPr>
      <w:rFonts w:ascii="宋体" w:hAnsi="宋体" w:cs="宋体"/>
      <w:kern w:val="0"/>
      <w:szCs w:val="20"/>
    </w:rPr>
  </w:style>
  <w:style w:type="paragraph" w:customStyle="1" w:styleId="3153">
    <w:name w:val="样式 标题 3 + 加粗 段前: 3.9 磅 段后: 3.9 磅 行距: 多倍行距 1.35 字行2"/>
    <w:basedOn w:val="4"/>
    <w:qFormat/>
    <w:uiPriority w:val="0"/>
    <w:pPr>
      <w:tabs>
        <w:tab w:val="left" w:pos="709"/>
      </w:tabs>
      <w:spacing w:before="78" w:after="78" w:line="324" w:lineRule="auto"/>
      <w:ind w:left="709" w:hanging="709"/>
      <w:jc w:val="both"/>
    </w:pPr>
    <w:rPr>
      <w:rFonts w:ascii="仿宋_GB2312" w:cs="宋体"/>
      <w:szCs w:val="20"/>
    </w:rPr>
  </w:style>
  <w:style w:type="paragraph" w:customStyle="1" w:styleId="3154">
    <w:name w:val="表内文字小14"/>
    <w:basedOn w:val="1"/>
    <w:qFormat/>
    <w:uiPriority w:val="0"/>
    <w:pPr>
      <w:widowControl/>
      <w:jc w:val="center"/>
    </w:pPr>
    <w:rPr>
      <w:rFonts w:ascii="宋体" w:hAnsi="Times" w:cs="宋体"/>
      <w:kern w:val="0"/>
      <w:szCs w:val="20"/>
    </w:rPr>
  </w:style>
  <w:style w:type="paragraph" w:customStyle="1" w:styleId="3155">
    <w:name w:val="表内宋5中1"/>
    <w:basedOn w:val="1"/>
    <w:qFormat/>
    <w:uiPriority w:val="0"/>
    <w:pPr>
      <w:widowControl/>
      <w:jc w:val="center"/>
      <w:textAlignment w:val="baseline"/>
    </w:pPr>
    <w:rPr>
      <w:rFonts w:ascii="宋体" w:hAnsi="宋体" w:cs="宋体"/>
      <w:kern w:val="0"/>
      <w:szCs w:val="20"/>
    </w:rPr>
  </w:style>
  <w:style w:type="paragraph" w:customStyle="1" w:styleId="3156">
    <w:name w:val="标题正1"/>
    <w:basedOn w:val="1"/>
    <w:qFormat/>
    <w:uiPriority w:val="0"/>
    <w:pPr>
      <w:widowControl/>
      <w:spacing w:line="400" w:lineRule="exact"/>
      <w:jc w:val="center"/>
    </w:pPr>
    <w:rPr>
      <w:rFonts w:ascii="黑体" w:hAnsi="宋体" w:eastAsia="黑体" w:cs="宋体"/>
      <w:kern w:val="0"/>
      <w:sz w:val="32"/>
      <w:szCs w:val="28"/>
    </w:rPr>
  </w:style>
  <w:style w:type="paragraph" w:customStyle="1" w:styleId="3157">
    <w:name w:val="表内小5中12"/>
    <w:basedOn w:val="1"/>
    <w:qFormat/>
    <w:uiPriority w:val="0"/>
    <w:pPr>
      <w:widowControl/>
      <w:jc w:val="center"/>
    </w:pPr>
    <w:rPr>
      <w:rFonts w:ascii="宋体" w:hAnsi="宋体" w:cs="宋体"/>
      <w:kern w:val="0"/>
      <w:sz w:val="18"/>
      <w:szCs w:val="20"/>
    </w:rPr>
  </w:style>
  <w:style w:type="paragraph" w:customStyle="1" w:styleId="3158">
    <w:name w:val="图题51"/>
    <w:basedOn w:val="418"/>
    <w:next w:val="418"/>
    <w:qFormat/>
    <w:uiPriority w:val="0"/>
    <w:pPr>
      <w:ind w:firstLine="0"/>
      <w:jc w:val="center"/>
    </w:pPr>
    <w:rPr>
      <w:rFonts w:ascii="黑体" w:hAnsi="宋体" w:eastAsia="黑体" w:cs="宋体"/>
      <w:b/>
      <w:bCs/>
      <w:szCs w:val="24"/>
    </w:rPr>
  </w:style>
  <w:style w:type="paragraph" w:customStyle="1" w:styleId="3159">
    <w:name w:val="表题14121"/>
    <w:basedOn w:val="1"/>
    <w:qFormat/>
    <w:uiPriority w:val="0"/>
    <w:pPr>
      <w:widowControl/>
      <w:jc w:val="center"/>
    </w:pPr>
    <w:rPr>
      <w:rFonts w:ascii="黑体" w:hAnsi="宋体" w:eastAsia="黑体" w:cs="宋体"/>
      <w:kern w:val="0"/>
      <w:szCs w:val="24"/>
    </w:rPr>
  </w:style>
  <w:style w:type="paragraph" w:customStyle="1" w:styleId="3160">
    <w:name w:val="表内文字小213"/>
    <w:basedOn w:val="1"/>
    <w:qFormat/>
    <w:uiPriority w:val="0"/>
    <w:pPr>
      <w:widowControl/>
      <w:jc w:val="center"/>
      <w:textAlignment w:val="baseline"/>
    </w:pPr>
    <w:rPr>
      <w:rFonts w:ascii="宋体" w:hAnsi="Times" w:cs="宋体"/>
      <w:bCs/>
      <w:kern w:val="0"/>
      <w:szCs w:val="20"/>
    </w:rPr>
  </w:style>
  <w:style w:type="paragraph" w:customStyle="1" w:styleId="3161">
    <w:name w:val="黑体三号421"/>
    <w:basedOn w:val="418"/>
    <w:qFormat/>
    <w:uiPriority w:val="0"/>
    <w:pPr>
      <w:jc w:val="center"/>
    </w:pPr>
    <w:rPr>
      <w:rFonts w:ascii="黑体" w:hAnsi="宋体" w:eastAsia="黑体" w:cs="宋体"/>
      <w:b/>
      <w:bCs/>
      <w:sz w:val="32"/>
      <w:szCs w:val="20"/>
    </w:rPr>
  </w:style>
  <w:style w:type="paragraph" w:customStyle="1" w:styleId="3162">
    <w:name w:val="默认段落字体 Para Char Char Char Char44"/>
    <w:basedOn w:val="1"/>
    <w:qFormat/>
    <w:uiPriority w:val="0"/>
    <w:pPr>
      <w:widowControl/>
      <w:jc w:val="left"/>
    </w:pPr>
    <w:rPr>
      <w:rFonts w:ascii="宋体" w:hAnsi="宋体" w:cs="宋体"/>
      <w:kern w:val="0"/>
      <w:szCs w:val="24"/>
    </w:rPr>
  </w:style>
  <w:style w:type="paragraph" w:customStyle="1" w:styleId="3163">
    <w:name w:val="Char613"/>
    <w:basedOn w:val="1"/>
    <w:qFormat/>
    <w:uiPriority w:val="0"/>
    <w:pPr>
      <w:widowControl/>
      <w:spacing w:before="156"/>
      <w:jc w:val="left"/>
    </w:pPr>
    <w:rPr>
      <w:rFonts w:ascii="黑体" w:hAnsi="宋体" w:eastAsia="黑体" w:cs="宋体"/>
      <w:kern w:val="0"/>
      <w:sz w:val="32"/>
      <w:szCs w:val="32"/>
    </w:rPr>
  </w:style>
  <w:style w:type="paragraph" w:customStyle="1" w:styleId="3164">
    <w:name w:val="表内文字小2112"/>
    <w:basedOn w:val="1"/>
    <w:qFormat/>
    <w:uiPriority w:val="0"/>
    <w:pPr>
      <w:widowControl/>
      <w:jc w:val="center"/>
    </w:pPr>
    <w:rPr>
      <w:rFonts w:ascii="宋体" w:hAnsi="Times" w:cs="宋体"/>
      <w:bCs/>
      <w:kern w:val="0"/>
      <w:szCs w:val="20"/>
    </w:rPr>
  </w:style>
  <w:style w:type="paragraph" w:customStyle="1" w:styleId="3165">
    <w:name w:val="Char Char Char Char1 Char Char Char23"/>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166">
    <w:name w:val="3 Char Char Char Char Char Char Char Char Char Char"/>
    <w:basedOn w:val="1"/>
    <w:qFormat/>
    <w:uiPriority w:val="0"/>
    <w:pPr>
      <w:widowControl/>
      <w:jc w:val="left"/>
    </w:pPr>
    <w:rPr>
      <w:rFonts w:ascii="宋体" w:hAnsi="宋体" w:cs="宋体"/>
      <w:kern w:val="0"/>
      <w:szCs w:val="24"/>
    </w:rPr>
  </w:style>
  <w:style w:type="paragraph" w:customStyle="1" w:styleId="3167">
    <w:name w:val="Char35"/>
    <w:basedOn w:val="1"/>
    <w:qFormat/>
    <w:uiPriority w:val="0"/>
    <w:pPr>
      <w:widowControl/>
      <w:ind w:left="-48"/>
      <w:jc w:val="left"/>
    </w:pPr>
    <w:rPr>
      <w:rFonts w:ascii="宋体" w:hAnsi="宋体" w:cs="宋体"/>
      <w:kern w:val="0"/>
      <w:szCs w:val="24"/>
    </w:rPr>
  </w:style>
  <w:style w:type="paragraph" w:customStyle="1" w:styleId="3168">
    <w:name w:val="样式111"/>
    <w:basedOn w:val="1586"/>
    <w:qFormat/>
    <w:uiPriority w:val="0"/>
    <w:pPr>
      <w:spacing w:line="240" w:lineRule="auto"/>
      <w:ind w:firstLine="0"/>
      <w:jc w:val="center"/>
    </w:pPr>
    <w:rPr>
      <w:rFonts w:cs="Times New Roman"/>
      <w:b/>
      <w:color w:val="auto"/>
      <w:szCs w:val="20"/>
    </w:rPr>
  </w:style>
  <w:style w:type="paragraph" w:customStyle="1" w:styleId="3169">
    <w:name w:val="表题14111"/>
    <w:basedOn w:val="1"/>
    <w:qFormat/>
    <w:uiPriority w:val="0"/>
    <w:pPr>
      <w:widowControl/>
      <w:jc w:val="center"/>
    </w:pPr>
    <w:rPr>
      <w:rFonts w:ascii="黑体" w:hAnsi="宋体" w:eastAsia="黑体" w:cs="宋体"/>
      <w:kern w:val="0"/>
      <w:szCs w:val="24"/>
    </w:rPr>
  </w:style>
  <w:style w:type="paragraph" w:customStyle="1" w:styleId="3170">
    <w:name w:val="图题511"/>
    <w:basedOn w:val="418"/>
    <w:next w:val="418"/>
    <w:qFormat/>
    <w:uiPriority w:val="0"/>
    <w:pPr>
      <w:ind w:firstLine="0"/>
      <w:jc w:val="center"/>
    </w:pPr>
    <w:rPr>
      <w:rFonts w:ascii="黑体" w:hAnsi="宋体" w:eastAsia="黑体" w:cs="宋体"/>
      <w:b/>
      <w:bCs/>
      <w:szCs w:val="24"/>
    </w:rPr>
  </w:style>
  <w:style w:type="paragraph" w:customStyle="1" w:styleId="3171">
    <w:name w:val="Char37"/>
    <w:basedOn w:val="1"/>
    <w:qFormat/>
    <w:uiPriority w:val="0"/>
    <w:pPr>
      <w:widowControl/>
      <w:ind w:left="-48"/>
      <w:jc w:val="left"/>
    </w:pPr>
    <w:rPr>
      <w:rFonts w:ascii="宋体" w:hAnsi="宋体" w:cs="宋体"/>
      <w:kern w:val="0"/>
      <w:szCs w:val="24"/>
    </w:rPr>
  </w:style>
  <w:style w:type="paragraph" w:customStyle="1" w:styleId="3172">
    <w:name w:val="Char Char Char Char Char Char Char112"/>
    <w:basedOn w:val="1"/>
    <w:qFormat/>
    <w:uiPriority w:val="0"/>
    <w:pPr>
      <w:widowControl/>
      <w:jc w:val="left"/>
    </w:pPr>
    <w:rPr>
      <w:rFonts w:ascii="宋体" w:hAnsi="宋体" w:cs="宋体"/>
      <w:kern w:val="0"/>
      <w:szCs w:val="24"/>
    </w:rPr>
  </w:style>
  <w:style w:type="paragraph" w:customStyle="1" w:styleId="3173">
    <w:name w:val="样式 宋体 首行缩进:  0.93 厘米 段前: 6 磅 段后: 6 磅 行距: 固定值 16 磅"/>
    <w:basedOn w:val="1"/>
    <w:qFormat/>
    <w:uiPriority w:val="0"/>
    <w:pPr>
      <w:widowControl/>
      <w:spacing w:before="160" w:after="160" w:line="320" w:lineRule="exact"/>
      <w:ind w:firstLine="527"/>
      <w:jc w:val="left"/>
    </w:pPr>
    <w:rPr>
      <w:rFonts w:ascii="宋体" w:hAnsi="宋体" w:cs="宋体"/>
      <w:kern w:val="0"/>
      <w:szCs w:val="20"/>
    </w:rPr>
  </w:style>
  <w:style w:type="paragraph" w:customStyle="1" w:styleId="3174">
    <w:name w:val="表内文字小2142"/>
    <w:basedOn w:val="1"/>
    <w:qFormat/>
    <w:uiPriority w:val="0"/>
    <w:pPr>
      <w:widowControl/>
      <w:jc w:val="center"/>
    </w:pPr>
    <w:rPr>
      <w:rFonts w:ascii="宋体" w:hAnsi="Times" w:cs="宋体"/>
      <w:bCs/>
      <w:kern w:val="0"/>
      <w:szCs w:val="20"/>
    </w:rPr>
  </w:style>
  <w:style w:type="paragraph" w:customStyle="1" w:styleId="3175">
    <w:name w:val="Char Char Char Char Char Char Char46"/>
    <w:basedOn w:val="1"/>
    <w:qFormat/>
    <w:uiPriority w:val="0"/>
    <w:pPr>
      <w:widowControl/>
      <w:jc w:val="left"/>
    </w:pPr>
    <w:rPr>
      <w:rFonts w:ascii="宋体" w:hAnsi="宋体" w:cs="宋体"/>
      <w:kern w:val="0"/>
      <w:szCs w:val="24"/>
    </w:rPr>
  </w:style>
  <w:style w:type="paragraph" w:customStyle="1" w:styleId="3176">
    <w:name w:val="Char129"/>
    <w:basedOn w:val="1"/>
    <w:qFormat/>
    <w:uiPriority w:val="0"/>
    <w:pPr>
      <w:widowControl/>
      <w:ind w:left="-48"/>
      <w:jc w:val="left"/>
    </w:pPr>
    <w:rPr>
      <w:rFonts w:ascii="宋体" w:hAnsi="宋体" w:cs="宋体"/>
      <w:kern w:val="0"/>
      <w:szCs w:val="24"/>
    </w:rPr>
  </w:style>
  <w:style w:type="paragraph" w:customStyle="1" w:styleId="3177">
    <w:name w:val="Char Char Char Char Char Char Char Char Char Char Char Char1"/>
    <w:basedOn w:val="1"/>
    <w:qFormat/>
    <w:uiPriority w:val="0"/>
    <w:pPr>
      <w:widowControl/>
      <w:jc w:val="left"/>
    </w:pPr>
    <w:rPr>
      <w:rFonts w:ascii="宋体" w:hAnsi="宋体" w:cs="宋体"/>
      <w:kern w:val="0"/>
      <w:szCs w:val="24"/>
    </w:rPr>
  </w:style>
  <w:style w:type="paragraph" w:customStyle="1" w:styleId="3178">
    <w:name w:val="标题431212"/>
    <w:basedOn w:val="1"/>
    <w:qFormat/>
    <w:uiPriority w:val="0"/>
    <w:pPr>
      <w:widowControl/>
      <w:spacing w:line="480" w:lineRule="exact"/>
      <w:jc w:val="center"/>
    </w:pPr>
    <w:rPr>
      <w:rFonts w:ascii="宋体" w:hAnsi="宋体" w:cs="宋体"/>
      <w:kern w:val="0"/>
      <w:szCs w:val="24"/>
    </w:rPr>
  </w:style>
  <w:style w:type="paragraph" w:customStyle="1" w:styleId="3179">
    <w:name w:val="样式13"/>
    <w:basedOn w:val="1586"/>
    <w:qFormat/>
    <w:uiPriority w:val="0"/>
    <w:pPr>
      <w:spacing w:line="240" w:lineRule="auto"/>
      <w:ind w:firstLine="0"/>
      <w:jc w:val="center"/>
    </w:pPr>
    <w:rPr>
      <w:rFonts w:cs="Times New Roman"/>
      <w:b/>
      <w:color w:val="auto"/>
      <w:szCs w:val="20"/>
    </w:rPr>
  </w:style>
  <w:style w:type="paragraph" w:customStyle="1" w:styleId="3180">
    <w:name w:val="正文格式13"/>
    <w:basedOn w:val="1"/>
    <w:qFormat/>
    <w:uiPriority w:val="0"/>
    <w:pPr>
      <w:widowControl/>
      <w:ind w:firstLine="482"/>
      <w:jc w:val="left"/>
    </w:pPr>
    <w:rPr>
      <w:rFonts w:ascii="宋体" w:hAnsi="宋体" w:cs="宋体"/>
      <w:kern w:val="0"/>
      <w:szCs w:val="24"/>
    </w:rPr>
  </w:style>
  <w:style w:type="paragraph" w:customStyle="1" w:styleId="3181">
    <w:name w:val="正文格式＝612"/>
    <w:basedOn w:val="418"/>
    <w:next w:val="418"/>
    <w:qFormat/>
    <w:uiPriority w:val="0"/>
    <w:rPr>
      <w:rFonts w:hAnsi="宋体"/>
      <w:szCs w:val="24"/>
    </w:rPr>
  </w:style>
  <w:style w:type="paragraph" w:customStyle="1" w:styleId="3182">
    <w:name w:val="表文字51111"/>
    <w:basedOn w:val="1"/>
    <w:qFormat/>
    <w:uiPriority w:val="0"/>
    <w:pPr>
      <w:widowControl/>
      <w:jc w:val="left"/>
      <w:textAlignment w:val="baseline"/>
    </w:pPr>
    <w:rPr>
      <w:rFonts w:ascii="宋体" w:hAnsi="宋体" w:cs="宋体"/>
      <w:kern w:val="0"/>
      <w:szCs w:val="20"/>
    </w:rPr>
  </w:style>
  <w:style w:type="paragraph" w:customStyle="1" w:styleId="3183">
    <w:name w:val="23-47表名11"/>
    <w:basedOn w:val="1"/>
    <w:qFormat/>
    <w:uiPriority w:val="0"/>
    <w:pPr>
      <w:widowControl/>
      <w:spacing w:after="156" w:line="440" w:lineRule="exact"/>
      <w:jc w:val="center"/>
    </w:pPr>
    <w:rPr>
      <w:rFonts w:ascii="宋体" w:hAnsi="宋体" w:cs="宋体"/>
      <w:b/>
      <w:kern w:val="0"/>
      <w:szCs w:val="24"/>
    </w:rPr>
  </w:style>
  <w:style w:type="paragraph" w:customStyle="1" w:styleId="3184">
    <w:name w:val="正文格式＝34"/>
    <w:basedOn w:val="418"/>
    <w:next w:val="418"/>
    <w:qFormat/>
    <w:uiPriority w:val="0"/>
    <w:rPr>
      <w:rFonts w:hAnsi="宋体"/>
      <w:szCs w:val="24"/>
    </w:rPr>
  </w:style>
  <w:style w:type="paragraph" w:customStyle="1" w:styleId="3185">
    <w:name w:val="Char Char Char Char Char Char Char Char Char Char Char Char Char Char Char Char Char Char Char Char Char Char Char Char Char Char1"/>
    <w:basedOn w:val="1"/>
    <w:qFormat/>
    <w:uiPriority w:val="0"/>
    <w:pPr>
      <w:widowControl/>
      <w:jc w:val="left"/>
    </w:pPr>
    <w:rPr>
      <w:rFonts w:ascii="宋体" w:hAnsi="宋体" w:cs="宋体"/>
      <w:kern w:val="0"/>
      <w:szCs w:val="24"/>
    </w:rPr>
  </w:style>
  <w:style w:type="paragraph" w:customStyle="1" w:styleId="3186">
    <w:name w:val="Char Char Char Char Char Char Char411"/>
    <w:basedOn w:val="1"/>
    <w:qFormat/>
    <w:uiPriority w:val="0"/>
    <w:pPr>
      <w:widowControl/>
      <w:jc w:val="left"/>
    </w:pPr>
    <w:rPr>
      <w:rFonts w:ascii="宋体" w:hAnsi="宋体" w:cs="宋体"/>
      <w:kern w:val="0"/>
      <w:szCs w:val="24"/>
    </w:rPr>
  </w:style>
  <w:style w:type="paragraph" w:customStyle="1" w:styleId="3187">
    <w:name w:val="表题11"/>
    <w:basedOn w:val="17"/>
    <w:qFormat/>
    <w:uiPriority w:val="0"/>
    <w:pPr>
      <w:widowControl/>
      <w:ind w:firstLine="0" w:firstLineChars="0"/>
      <w:jc w:val="center"/>
    </w:pPr>
    <w:rPr>
      <w:rFonts w:ascii="黑体" w:cs="Arial"/>
    </w:rPr>
  </w:style>
  <w:style w:type="paragraph" w:customStyle="1" w:styleId="3188">
    <w:name w:val="图表名称11"/>
    <w:basedOn w:val="482"/>
    <w:qFormat/>
    <w:uiPriority w:val="0"/>
    <w:pPr>
      <w:spacing w:after="0" w:line="480" w:lineRule="exact"/>
      <w:ind w:firstLine="0" w:firstLineChars="0"/>
      <w:jc w:val="center"/>
    </w:pPr>
    <w:rPr>
      <w:rFonts w:ascii="宋体" w:hAnsi="宋体"/>
      <w:bCs/>
      <w:szCs w:val="24"/>
    </w:rPr>
  </w:style>
  <w:style w:type="paragraph" w:customStyle="1" w:styleId="3189">
    <w:name w:val="文本框2"/>
    <w:basedOn w:val="1"/>
    <w:qFormat/>
    <w:uiPriority w:val="0"/>
    <w:pPr>
      <w:widowControl/>
      <w:spacing w:after="6"/>
      <w:jc w:val="center"/>
    </w:pPr>
    <w:rPr>
      <w:rFonts w:ascii="宋体" w:hAnsi="宋体" w:cs="宋体"/>
      <w:kern w:val="0"/>
      <w:szCs w:val="24"/>
    </w:rPr>
  </w:style>
  <w:style w:type="paragraph" w:customStyle="1" w:styleId="3190">
    <w:name w:val="Char Char Char Char Char Char Char Char Char Char Char Char Char Char Char Char Char1 Char1"/>
    <w:basedOn w:val="1"/>
    <w:qFormat/>
    <w:uiPriority w:val="0"/>
    <w:pPr>
      <w:widowControl/>
      <w:jc w:val="left"/>
    </w:pPr>
    <w:rPr>
      <w:rFonts w:ascii="宋体" w:hAnsi="宋体" w:cs="宋体"/>
      <w:kern w:val="0"/>
      <w:szCs w:val="24"/>
    </w:rPr>
  </w:style>
  <w:style w:type="paragraph" w:customStyle="1" w:styleId="3191">
    <w:name w:val="Char Char Char Char Char Char Char3"/>
    <w:basedOn w:val="1"/>
    <w:qFormat/>
    <w:uiPriority w:val="0"/>
    <w:pPr>
      <w:widowControl/>
      <w:jc w:val="left"/>
    </w:pPr>
    <w:rPr>
      <w:rFonts w:ascii="宋体" w:hAnsi="宋体" w:cs="宋体"/>
      <w:kern w:val="0"/>
      <w:szCs w:val="24"/>
    </w:rPr>
  </w:style>
  <w:style w:type="paragraph" w:customStyle="1" w:styleId="3192">
    <w:name w:val="Char228"/>
    <w:basedOn w:val="1"/>
    <w:qFormat/>
    <w:uiPriority w:val="0"/>
    <w:pPr>
      <w:widowControl/>
      <w:ind w:left="-48"/>
      <w:jc w:val="left"/>
    </w:pPr>
    <w:rPr>
      <w:rFonts w:ascii="宋体" w:hAnsi="宋体" w:cs="宋体"/>
      <w:kern w:val="0"/>
      <w:szCs w:val="24"/>
    </w:rPr>
  </w:style>
  <w:style w:type="paragraph" w:customStyle="1" w:styleId="3193">
    <w:name w:val="Char51"/>
    <w:basedOn w:val="1"/>
    <w:qFormat/>
    <w:uiPriority w:val="0"/>
    <w:pPr>
      <w:widowControl/>
      <w:ind w:left="-45"/>
      <w:jc w:val="left"/>
    </w:pPr>
    <w:rPr>
      <w:rFonts w:ascii="宋体" w:hAnsi="宋体" w:cs="宋体"/>
      <w:kern w:val="0"/>
      <w:szCs w:val="24"/>
    </w:rPr>
  </w:style>
  <w:style w:type="paragraph" w:customStyle="1" w:styleId="3194">
    <w:name w:val="KY-表题"/>
    <w:basedOn w:val="1"/>
    <w:qFormat/>
    <w:uiPriority w:val="0"/>
    <w:pPr>
      <w:keepNext/>
      <w:keepLines/>
      <w:tabs>
        <w:tab w:val="left" w:pos="567"/>
        <w:tab w:val="left" w:pos="1680"/>
      </w:tabs>
      <w:spacing w:after="156"/>
      <w:jc w:val="center"/>
    </w:pPr>
    <w:rPr>
      <w:kern w:val="0"/>
      <w:szCs w:val="21"/>
    </w:rPr>
  </w:style>
  <w:style w:type="paragraph" w:customStyle="1" w:styleId="3195">
    <w:name w:val="reader-word-layer reader-word-s18-19"/>
    <w:basedOn w:val="1"/>
    <w:qFormat/>
    <w:uiPriority w:val="0"/>
    <w:pPr>
      <w:widowControl/>
      <w:spacing w:before="100" w:beforeAutospacing="1" w:after="100" w:afterAutospacing="1"/>
      <w:jc w:val="left"/>
    </w:pPr>
    <w:rPr>
      <w:rFonts w:ascii="宋体" w:hAnsi="宋体" w:cs="宋体"/>
      <w:kern w:val="0"/>
      <w:szCs w:val="24"/>
    </w:rPr>
  </w:style>
  <w:style w:type="paragraph" w:customStyle="1" w:styleId="3196">
    <w:name w:val="Char Char2 Char Char Char Char211"/>
    <w:basedOn w:val="1"/>
    <w:qFormat/>
    <w:uiPriority w:val="0"/>
    <w:pPr>
      <w:widowControl/>
      <w:jc w:val="left"/>
    </w:pPr>
    <w:rPr>
      <w:rFonts w:ascii="宋体" w:hAnsi="宋体" w:cs="宋体"/>
      <w:kern w:val="0"/>
      <w:szCs w:val="24"/>
    </w:rPr>
  </w:style>
  <w:style w:type="paragraph" w:customStyle="1" w:styleId="3197">
    <w:name w:val="表内54132"/>
    <w:basedOn w:val="1"/>
    <w:qFormat/>
    <w:uiPriority w:val="0"/>
    <w:pPr>
      <w:widowControl/>
      <w:spacing w:line="300" w:lineRule="auto"/>
      <w:jc w:val="center"/>
    </w:pPr>
    <w:rPr>
      <w:rFonts w:ascii="宋体" w:hAnsi="宋体" w:cs="宋体"/>
      <w:kern w:val="0"/>
      <w:szCs w:val="20"/>
    </w:rPr>
  </w:style>
  <w:style w:type="paragraph" w:customStyle="1" w:styleId="3198">
    <w:name w:val="Fax Header11"/>
    <w:basedOn w:val="1"/>
    <w:qFormat/>
    <w:uiPriority w:val="0"/>
    <w:pPr>
      <w:widowControl/>
      <w:spacing w:before="240" w:after="60"/>
      <w:jc w:val="left"/>
    </w:pPr>
    <w:rPr>
      <w:rFonts w:ascii="宋体" w:hAnsi="宋体" w:cs="宋体"/>
      <w:kern w:val="0"/>
      <w:sz w:val="20"/>
      <w:szCs w:val="20"/>
    </w:rPr>
  </w:style>
  <w:style w:type="paragraph" w:customStyle="1" w:styleId="3199">
    <w:name w:val="文本框211"/>
    <w:basedOn w:val="1"/>
    <w:qFormat/>
    <w:uiPriority w:val="0"/>
    <w:pPr>
      <w:widowControl/>
      <w:spacing w:after="6"/>
      <w:jc w:val="center"/>
    </w:pPr>
    <w:rPr>
      <w:rFonts w:ascii="宋体" w:hAnsi="宋体" w:cs="宋体"/>
      <w:kern w:val="0"/>
      <w:szCs w:val="24"/>
    </w:rPr>
  </w:style>
  <w:style w:type="paragraph" w:customStyle="1" w:styleId="3200">
    <w:name w:val="正文格式41"/>
    <w:basedOn w:val="1"/>
    <w:qFormat/>
    <w:uiPriority w:val="0"/>
    <w:pPr>
      <w:widowControl/>
      <w:ind w:firstLine="482"/>
      <w:jc w:val="left"/>
    </w:pPr>
    <w:rPr>
      <w:rFonts w:ascii="宋体" w:hAnsi="宋体" w:cs="宋体"/>
      <w:kern w:val="0"/>
      <w:szCs w:val="24"/>
    </w:rPr>
  </w:style>
  <w:style w:type="paragraph" w:customStyle="1" w:styleId="3201">
    <w:name w:val="表格内字体222"/>
    <w:basedOn w:val="418"/>
    <w:next w:val="418"/>
    <w:qFormat/>
    <w:uiPriority w:val="0"/>
    <w:pPr>
      <w:spacing w:line="240" w:lineRule="auto"/>
      <w:ind w:firstLine="0"/>
      <w:jc w:val="center"/>
    </w:pPr>
    <w:rPr>
      <w:rFonts w:hAnsi="宋体"/>
      <w:sz w:val="21"/>
      <w:szCs w:val="24"/>
    </w:rPr>
  </w:style>
  <w:style w:type="paragraph" w:customStyle="1" w:styleId="3202">
    <w:name w:val="样式 标题 3 + 黑色 段前: 0行 段后: 0 行"/>
    <w:basedOn w:val="4"/>
    <w:qFormat/>
    <w:uiPriority w:val="0"/>
    <w:pPr>
      <w:tabs>
        <w:tab w:val="left" w:pos="426"/>
        <w:tab w:val="left" w:pos="1080"/>
      </w:tabs>
      <w:spacing w:before="156" w:line="324" w:lineRule="auto"/>
      <w:jc w:val="both"/>
    </w:pPr>
    <w:rPr>
      <w:rFonts w:ascii="仿宋_GB2312"/>
      <w:b w:val="0"/>
      <w:bCs w:val="0"/>
      <w:szCs w:val="20"/>
    </w:rPr>
  </w:style>
  <w:style w:type="paragraph" w:customStyle="1" w:styleId="3203">
    <w:name w:val="Char Char Char Char1 Char Char Char8"/>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204">
    <w:name w:val="表中文字6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205">
    <w:name w:val="表格内容12"/>
    <w:basedOn w:val="98"/>
    <w:qFormat/>
    <w:uiPriority w:val="0"/>
    <w:pPr>
      <w:jc w:val="center"/>
    </w:pPr>
    <w:rPr>
      <w:rFonts w:ascii="Times New Roman" w:hAnsi="Times New Roman" w:cs="Times New Roman"/>
      <w:color w:val="000000"/>
      <w:szCs w:val="21"/>
    </w:rPr>
  </w:style>
  <w:style w:type="paragraph" w:customStyle="1" w:styleId="3206">
    <w:name w:val="Char Char2 Char Char Char Char14"/>
    <w:basedOn w:val="1"/>
    <w:qFormat/>
    <w:uiPriority w:val="0"/>
    <w:pPr>
      <w:widowControl/>
      <w:jc w:val="left"/>
    </w:pPr>
    <w:rPr>
      <w:rFonts w:ascii="宋体" w:hAnsi="宋体" w:cs="宋体"/>
      <w:kern w:val="0"/>
      <w:szCs w:val="24"/>
    </w:rPr>
  </w:style>
  <w:style w:type="paragraph" w:customStyle="1" w:styleId="3207">
    <w:name w:val="表内文字小"/>
    <w:basedOn w:val="1"/>
    <w:qFormat/>
    <w:uiPriority w:val="0"/>
    <w:pPr>
      <w:widowControl/>
      <w:jc w:val="center"/>
    </w:pPr>
    <w:rPr>
      <w:rFonts w:ascii="宋体" w:hAnsi="Times" w:cs="宋体"/>
      <w:kern w:val="0"/>
      <w:szCs w:val="20"/>
    </w:rPr>
  </w:style>
  <w:style w:type="paragraph" w:customStyle="1" w:styleId="3208">
    <w:name w:val="图题33"/>
    <w:basedOn w:val="418"/>
    <w:next w:val="418"/>
    <w:qFormat/>
    <w:uiPriority w:val="0"/>
    <w:pPr>
      <w:ind w:firstLine="0"/>
      <w:jc w:val="center"/>
    </w:pPr>
    <w:rPr>
      <w:rFonts w:ascii="黑体" w:hAnsi="宋体" w:eastAsia="黑体" w:cs="宋体"/>
      <w:b/>
      <w:bCs/>
      <w:szCs w:val="24"/>
    </w:rPr>
  </w:style>
  <w:style w:type="paragraph" w:customStyle="1" w:styleId="3209">
    <w:name w:val="燕山正文13"/>
    <w:basedOn w:val="1"/>
    <w:qFormat/>
    <w:uiPriority w:val="0"/>
    <w:pPr>
      <w:widowControl/>
      <w:tabs>
        <w:tab w:val="left" w:pos="4680"/>
      </w:tabs>
      <w:ind w:firstLine="480"/>
      <w:jc w:val="left"/>
    </w:pPr>
    <w:rPr>
      <w:rFonts w:ascii="宋体" w:hAnsi="宋体" w:cs="宋体"/>
      <w:bCs/>
      <w:kern w:val="0"/>
      <w:szCs w:val="24"/>
    </w:rPr>
  </w:style>
  <w:style w:type="paragraph" w:customStyle="1" w:styleId="3210">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PMingLiU" w:eastAsia="PMingLiU"/>
      <w:kern w:val="0"/>
      <w:sz w:val="16"/>
      <w:szCs w:val="16"/>
      <w:lang w:eastAsia="zh-TW"/>
    </w:rPr>
  </w:style>
  <w:style w:type="paragraph" w:customStyle="1" w:styleId="3211">
    <w:name w:val="Char20"/>
    <w:basedOn w:val="1"/>
    <w:qFormat/>
    <w:uiPriority w:val="0"/>
    <w:pPr>
      <w:widowControl/>
      <w:ind w:left="-48"/>
      <w:jc w:val="left"/>
    </w:pPr>
    <w:rPr>
      <w:rFonts w:ascii="宋体" w:hAnsi="宋体" w:cs="宋体"/>
      <w:kern w:val="0"/>
      <w:szCs w:val="24"/>
    </w:rPr>
  </w:style>
  <w:style w:type="paragraph" w:customStyle="1" w:styleId="3212">
    <w:name w:val="Char153"/>
    <w:basedOn w:val="1"/>
    <w:qFormat/>
    <w:uiPriority w:val="0"/>
    <w:pPr>
      <w:widowControl/>
      <w:spacing w:before="156"/>
      <w:jc w:val="left"/>
    </w:pPr>
    <w:rPr>
      <w:rFonts w:ascii="黑体" w:hAnsi="宋体" w:eastAsia="黑体" w:cs="宋体"/>
      <w:kern w:val="0"/>
      <w:sz w:val="32"/>
      <w:szCs w:val="32"/>
    </w:rPr>
  </w:style>
  <w:style w:type="paragraph" w:customStyle="1" w:styleId="3213">
    <w:name w:val="Char1131"/>
    <w:basedOn w:val="1"/>
    <w:qFormat/>
    <w:uiPriority w:val="0"/>
    <w:pPr>
      <w:widowControl/>
      <w:ind w:left="-48"/>
      <w:jc w:val="left"/>
    </w:pPr>
    <w:rPr>
      <w:rFonts w:ascii="宋体" w:hAnsi="宋体" w:cs="宋体"/>
      <w:kern w:val="0"/>
      <w:szCs w:val="24"/>
    </w:rPr>
  </w:style>
  <w:style w:type="paragraph" w:customStyle="1" w:styleId="3214">
    <w:name w:val="Char429"/>
    <w:basedOn w:val="1"/>
    <w:qFormat/>
    <w:uiPriority w:val="0"/>
    <w:pPr>
      <w:widowControl/>
      <w:ind w:left="-48"/>
      <w:jc w:val="left"/>
    </w:pPr>
    <w:rPr>
      <w:rFonts w:ascii="宋体" w:hAnsi="宋体" w:cs="宋体"/>
      <w:kern w:val="0"/>
      <w:szCs w:val="24"/>
    </w:rPr>
  </w:style>
  <w:style w:type="paragraph" w:customStyle="1" w:styleId="3215">
    <w:name w:val="表格121"/>
    <w:basedOn w:val="1"/>
    <w:qFormat/>
    <w:uiPriority w:val="0"/>
    <w:pPr>
      <w:widowControl/>
      <w:jc w:val="center"/>
      <w:textAlignment w:val="baseline"/>
    </w:pPr>
    <w:rPr>
      <w:rFonts w:ascii="宋体" w:hAnsi="宋体" w:cs="宋体"/>
      <w:kern w:val="0"/>
      <w:szCs w:val="20"/>
    </w:rPr>
  </w:style>
  <w:style w:type="paragraph" w:customStyle="1" w:styleId="3216">
    <w:name w:val="正文.113"/>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3217">
    <w:name w:val="燕山正文113"/>
    <w:basedOn w:val="1"/>
    <w:qFormat/>
    <w:uiPriority w:val="0"/>
    <w:pPr>
      <w:widowControl/>
      <w:tabs>
        <w:tab w:val="left" w:pos="4680"/>
      </w:tabs>
      <w:ind w:firstLine="480"/>
      <w:jc w:val="left"/>
    </w:pPr>
    <w:rPr>
      <w:rFonts w:ascii="宋体" w:hAnsi="宋体" w:cs="宋体"/>
      <w:bCs/>
      <w:snapToGrid w:val="0"/>
      <w:kern w:val="0"/>
      <w:szCs w:val="24"/>
    </w:rPr>
  </w:style>
  <w:style w:type="paragraph" w:customStyle="1" w:styleId="3218">
    <w:name w:val="表内小5中2"/>
    <w:basedOn w:val="1"/>
    <w:qFormat/>
    <w:uiPriority w:val="0"/>
    <w:pPr>
      <w:widowControl/>
      <w:jc w:val="center"/>
    </w:pPr>
    <w:rPr>
      <w:rFonts w:ascii="宋体" w:hAnsi="宋体" w:cs="宋体"/>
      <w:kern w:val="0"/>
      <w:sz w:val="18"/>
      <w:szCs w:val="20"/>
    </w:rPr>
  </w:style>
  <w:style w:type="paragraph" w:customStyle="1" w:styleId="3219">
    <w:name w:val="表格内字体113"/>
    <w:basedOn w:val="418"/>
    <w:qFormat/>
    <w:uiPriority w:val="0"/>
    <w:pPr>
      <w:spacing w:line="240" w:lineRule="auto"/>
      <w:ind w:firstLine="0"/>
      <w:jc w:val="center"/>
    </w:pPr>
    <w:rPr>
      <w:rFonts w:hAnsi="Times New Roman" w:cs="宋体"/>
      <w:sz w:val="21"/>
      <w:szCs w:val="20"/>
    </w:rPr>
  </w:style>
  <w:style w:type="paragraph" w:customStyle="1" w:styleId="3220">
    <w:name w:val="表格内字体31"/>
    <w:basedOn w:val="418"/>
    <w:next w:val="418"/>
    <w:qFormat/>
    <w:uiPriority w:val="0"/>
    <w:pPr>
      <w:spacing w:line="240" w:lineRule="auto"/>
      <w:ind w:firstLine="0"/>
      <w:jc w:val="center"/>
    </w:pPr>
    <w:rPr>
      <w:rFonts w:hAnsi="宋体"/>
      <w:sz w:val="21"/>
      <w:szCs w:val="24"/>
    </w:rPr>
  </w:style>
  <w:style w:type="paragraph" w:customStyle="1" w:styleId="3221">
    <w:name w:val="xl79"/>
    <w:basedOn w:val="1"/>
    <w:qFormat/>
    <w:uiPriority w:val="0"/>
    <w:pPr>
      <w:widowControl/>
      <w:pBdr>
        <w:bottom w:val="single" w:color="auto" w:sz="12" w:space="0"/>
      </w:pBdr>
      <w:spacing w:before="100" w:beforeAutospacing="1" w:after="100" w:afterAutospacing="1"/>
      <w:jc w:val="center"/>
    </w:pPr>
    <w:rPr>
      <w:kern w:val="0"/>
      <w:szCs w:val="21"/>
    </w:rPr>
  </w:style>
  <w:style w:type="paragraph" w:customStyle="1" w:styleId="3222">
    <w:name w:val="燕山正文22"/>
    <w:basedOn w:val="1"/>
    <w:qFormat/>
    <w:uiPriority w:val="0"/>
    <w:pPr>
      <w:widowControl/>
      <w:tabs>
        <w:tab w:val="left" w:pos="4680"/>
      </w:tabs>
      <w:spacing w:line="480" w:lineRule="exact"/>
      <w:jc w:val="left"/>
    </w:pPr>
    <w:rPr>
      <w:rFonts w:ascii="宋体" w:hAnsi="宋体" w:cs="宋体"/>
      <w:kern w:val="0"/>
      <w:szCs w:val="24"/>
    </w:rPr>
  </w:style>
  <w:style w:type="paragraph" w:customStyle="1" w:styleId="3223">
    <w:name w:val="表213"/>
    <w:basedOn w:val="1"/>
    <w:qFormat/>
    <w:uiPriority w:val="0"/>
    <w:pPr>
      <w:widowControl/>
      <w:jc w:val="center"/>
    </w:pPr>
    <w:rPr>
      <w:rFonts w:ascii="宋体" w:hAnsi="宋体" w:cs="宋体"/>
      <w:kern w:val="0"/>
      <w:szCs w:val="24"/>
    </w:rPr>
  </w:style>
  <w:style w:type="paragraph" w:customStyle="1" w:styleId="3224">
    <w:name w:val="Char142"/>
    <w:basedOn w:val="1"/>
    <w:qFormat/>
    <w:uiPriority w:val="0"/>
    <w:pPr>
      <w:widowControl/>
      <w:ind w:left="-48"/>
      <w:jc w:val="left"/>
    </w:pPr>
    <w:rPr>
      <w:rFonts w:ascii="宋体" w:hAnsi="宋体" w:cs="宋体"/>
      <w:kern w:val="0"/>
      <w:szCs w:val="24"/>
    </w:rPr>
  </w:style>
  <w:style w:type="paragraph" w:customStyle="1" w:styleId="3225">
    <w:name w:val="Char Char Char Char Char Char Char51"/>
    <w:basedOn w:val="1"/>
    <w:qFormat/>
    <w:uiPriority w:val="0"/>
    <w:pPr>
      <w:widowControl/>
      <w:jc w:val="left"/>
    </w:pPr>
    <w:rPr>
      <w:rFonts w:ascii="宋体" w:hAnsi="宋体" w:cs="宋体"/>
      <w:kern w:val="0"/>
      <w:szCs w:val="24"/>
    </w:rPr>
  </w:style>
  <w:style w:type="paragraph" w:customStyle="1" w:styleId="3226">
    <w:name w:val="xl52"/>
    <w:basedOn w:val="1"/>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jc w:val="left"/>
      <w:textAlignment w:val="center"/>
    </w:pPr>
    <w:rPr>
      <w:rFonts w:hint="eastAsia" w:ascii="PMingLiU" w:eastAsia="PMingLiU"/>
      <w:kern w:val="0"/>
      <w:sz w:val="16"/>
      <w:szCs w:val="16"/>
      <w:lang w:eastAsia="zh-TW"/>
    </w:rPr>
  </w:style>
  <w:style w:type="paragraph" w:customStyle="1" w:styleId="3227">
    <w:name w:val="首行缩进:  0.99 厘米 + 首行缩进:  2 字符2"/>
    <w:basedOn w:val="1"/>
    <w:qFormat/>
    <w:uiPriority w:val="0"/>
    <w:pPr>
      <w:widowControl/>
      <w:topLinePunct/>
      <w:spacing w:line="480" w:lineRule="exact"/>
      <w:ind w:firstLine="420"/>
      <w:jc w:val="center"/>
    </w:pPr>
    <w:rPr>
      <w:rFonts w:ascii="宋体" w:hAnsi="宋体" w:cs="宋体"/>
      <w:snapToGrid w:val="0"/>
      <w:color w:val="FF0000"/>
      <w:kern w:val="0"/>
      <w:szCs w:val="21"/>
    </w:rPr>
  </w:style>
  <w:style w:type="paragraph" w:customStyle="1" w:styleId="3228">
    <w:name w:val="表格内字体22"/>
    <w:basedOn w:val="418"/>
    <w:next w:val="418"/>
    <w:qFormat/>
    <w:uiPriority w:val="0"/>
    <w:pPr>
      <w:spacing w:line="240" w:lineRule="auto"/>
      <w:ind w:firstLine="0"/>
      <w:jc w:val="center"/>
    </w:pPr>
    <w:rPr>
      <w:rFonts w:hAnsi="宋体"/>
      <w:sz w:val="21"/>
      <w:szCs w:val="24"/>
    </w:rPr>
  </w:style>
  <w:style w:type="paragraph" w:customStyle="1" w:styleId="3229">
    <w:name w:val="Char232"/>
    <w:basedOn w:val="1"/>
    <w:qFormat/>
    <w:uiPriority w:val="0"/>
    <w:pPr>
      <w:widowControl/>
      <w:ind w:left="-48"/>
      <w:jc w:val="left"/>
    </w:pPr>
    <w:rPr>
      <w:rFonts w:ascii="宋体" w:hAnsi="宋体" w:cs="宋体"/>
      <w:kern w:val="0"/>
      <w:szCs w:val="24"/>
    </w:rPr>
  </w:style>
  <w:style w:type="paragraph" w:customStyle="1" w:styleId="3230">
    <w:name w:val="样式 表头样式1 + 首行缩进:  2 字符 段前: 0.5 行"/>
    <w:qFormat/>
    <w:uiPriority w:val="0"/>
    <w:rPr>
      <w:rFonts w:ascii="Times New Roman" w:hAnsi="Times New Roman" w:eastAsia="宋体" w:cs="Times New Roman"/>
      <w:lang w:val="en-US" w:eastAsia="zh-CN" w:bidi="ar-SA"/>
    </w:rPr>
  </w:style>
  <w:style w:type="paragraph" w:customStyle="1" w:styleId="3231">
    <w:name w:val="表头样式1"/>
    <w:basedOn w:val="1"/>
    <w:qFormat/>
    <w:uiPriority w:val="0"/>
    <w:pPr>
      <w:autoSpaceDE w:val="0"/>
      <w:autoSpaceDN w:val="0"/>
      <w:spacing w:beforeLines="20" w:afterLines="20"/>
      <w:jc w:val="center"/>
    </w:pPr>
    <w:rPr>
      <w:rFonts w:ascii="黑体" w:hAnsi="宋体" w:eastAsia="黑体"/>
      <w:kern w:val="0"/>
      <w:szCs w:val="24"/>
      <w:lang w:eastAsia="zh-TW"/>
    </w:rPr>
  </w:style>
  <w:style w:type="paragraph" w:customStyle="1" w:styleId="3232">
    <w:name w:val="表格2"/>
    <w:basedOn w:val="249"/>
    <w:next w:val="1"/>
    <w:qFormat/>
    <w:uiPriority w:val="0"/>
    <w:pPr>
      <w:topLinePunct/>
      <w:autoSpaceDE w:val="0"/>
      <w:autoSpaceDN w:val="0"/>
      <w:spacing w:line="288" w:lineRule="auto"/>
      <w:ind w:firstLine="0" w:firstLineChars="0"/>
    </w:pPr>
    <w:rPr>
      <w:rFonts w:ascii="宋体"/>
      <w:position w:val="-28"/>
      <w:sz w:val="18"/>
    </w:rPr>
  </w:style>
  <w:style w:type="paragraph" w:customStyle="1" w:styleId="3233">
    <w:name w:val="表中文字13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234">
    <w:name w:val="表题411"/>
    <w:basedOn w:val="752"/>
    <w:qFormat/>
    <w:uiPriority w:val="0"/>
    <w:pPr>
      <w:widowControl/>
      <w:tabs>
        <w:tab w:val="left" w:pos="4305"/>
      </w:tabs>
      <w:spacing w:after="0" w:line="240" w:lineRule="auto"/>
      <w:ind w:left="0" w:leftChars="0" w:firstLine="0" w:firstLineChars="0"/>
      <w:jc w:val="center"/>
    </w:pPr>
    <w:rPr>
      <w:rFonts w:ascii="宋体" w:hAnsi="宋体" w:cs="宋体"/>
      <w:sz w:val="24"/>
      <w:szCs w:val="24"/>
    </w:rPr>
  </w:style>
  <w:style w:type="paragraph" w:customStyle="1" w:styleId="3235">
    <w:name w:val="Char Char Char Char Char Char Char22"/>
    <w:basedOn w:val="1"/>
    <w:qFormat/>
    <w:uiPriority w:val="0"/>
    <w:pPr>
      <w:widowControl/>
      <w:jc w:val="left"/>
    </w:pPr>
    <w:rPr>
      <w:rFonts w:ascii="宋体" w:hAnsi="宋体" w:cs="宋体"/>
      <w:kern w:val="0"/>
      <w:szCs w:val="24"/>
    </w:rPr>
  </w:style>
  <w:style w:type="paragraph" w:customStyle="1" w:styleId="3236">
    <w:name w:val="表内小5中3"/>
    <w:basedOn w:val="1"/>
    <w:qFormat/>
    <w:uiPriority w:val="0"/>
    <w:pPr>
      <w:widowControl/>
      <w:jc w:val="center"/>
    </w:pPr>
    <w:rPr>
      <w:rFonts w:ascii="宋体" w:hAnsi="宋体" w:cs="宋体"/>
      <w:kern w:val="0"/>
      <w:sz w:val="18"/>
      <w:szCs w:val="20"/>
    </w:rPr>
  </w:style>
  <w:style w:type="paragraph" w:customStyle="1" w:styleId="3237">
    <w:name w:val="图题52"/>
    <w:basedOn w:val="418"/>
    <w:next w:val="418"/>
    <w:qFormat/>
    <w:uiPriority w:val="0"/>
    <w:pPr>
      <w:ind w:firstLine="0"/>
      <w:jc w:val="center"/>
    </w:pPr>
    <w:rPr>
      <w:rFonts w:ascii="黑体" w:hAnsi="宋体" w:eastAsia="黑体" w:cs="宋体"/>
      <w:b/>
      <w:bCs/>
      <w:szCs w:val="24"/>
    </w:rPr>
  </w:style>
  <w:style w:type="paragraph" w:customStyle="1" w:styleId="3238">
    <w:name w:val="Char425"/>
    <w:basedOn w:val="1"/>
    <w:qFormat/>
    <w:uiPriority w:val="0"/>
    <w:pPr>
      <w:widowControl/>
      <w:ind w:left="-48"/>
      <w:jc w:val="left"/>
    </w:pPr>
    <w:rPr>
      <w:rFonts w:ascii="宋体" w:hAnsi="宋体" w:cs="宋体"/>
      <w:kern w:val="0"/>
      <w:szCs w:val="24"/>
    </w:rPr>
  </w:style>
  <w:style w:type="paragraph" w:customStyle="1" w:styleId="3239">
    <w:name w:val="Char222"/>
    <w:basedOn w:val="1"/>
    <w:qFormat/>
    <w:uiPriority w:val="0"/>
    <w:pPr>
      <w:widowControl/>
      <w:spacing w:before="156"/>
      <w:jc w:val="left"/>
    </w:pPr>
    <w:rPr>
      <w:rFonts w:ascii="黑体" w:hAnsi="宋体" w:eastAsia="黑体" w:cs="宋体"/>
      <w:kern w:val="0"/>
      <w:sz w:val="32"/>
      <w:szCs w:val="32"/>
    </w:rPr>
  </w:style>
  <w:style w:type="paragraph" w:customStyle="1" w:styleId="3240">
    <w:name w:val="表题921"/>
    <w:basedOn w:val="1636"/>
    <w:qFormat/>
    <w:uiPriority w:val="0"/>
    <w:pPr>
      <w:spacing w:line="300" w:lineRule="auto"/>
      <w:jc w:val="center"/>
    </w:pPr>
    <w:rPr>
      <w:rFonts w:ascii="黑体" w:eastAsia="黑体"/>
      <w:szCs w:val="22"/>
    </w:rPr>
  </w:style>
  <w:style w:type="paragraph" w:customStyle="1" w:styleId="3241">
    <w:name w:val="图题412"/>
    <w:basedOn w:val="418"/>
    <w:next w:val="418"/>
    <w:qFormat/>
    <w:uiPriority w:val="0"/>
    <w:pPr>
      <w:ind w:firstLine="0"/>
      <w:jc w:val="center"/>
    </w:pPr>
    <w:rPr>
      <w:rFonts w:ascii="黑体" w:hAnsi="宋体" w:eastAsia="黑体" w:cs="宋体"/>
      <w:b/>
      <w:bCs/>
      <w:szCs w:val="24"/>
    </w:rPr>
  </w:style>
  <w:style w:type="paragraph" w:customStyle="1" w:styleId="3242">
    <w:name w:val="正文格式82"/>
    <w:basedOn w:val="1"/>
    <w:qFormat/>
    <w:uiPriority w:val="0"/>
    <w:pPr>
      <w:widowControl/>
      <w:ind w:firstLine="482"/>
      <w:jc w:val="left"/>
    </w:pPr>
    <w:rPr>
      <w:rFonts w:ascii="宋体" w:hAnsi="宋体" w:cs="宋体"/>
      <w:kern w:val="0"/>
      <w:szCs w:val="24"/>
    </w:rPr>
  </w:style>
  <w:style w:type="paragraph" w:customStyle="1" w:styleId="3243">
    <w:name w:val="Char Char Char Char Char Char Char224"/>
    <w:basedOn w:val="1"/>
    <w:qFormat/>
    <w:uiPriority w:val="0"/>
    <w:pPr>
      <w:widowControl/>
      <w:jc w:val="left"/>
    </w:pPr>
    <w:rPr>
      <w:rFonts w:ascii="宋体" w:hAnsi="宋体" w:cs="宋体"/>
      <w:kern w:val="0"/>
      <w:szCs w:val="24"/>
    </w:rPr>
  </w:style>
  <w:style w:type="paragraph" w:customStyle="1" w:styleId="3244">
    <w:name w:val="小四表格"/>
    <w:basedOn w:val="1"/>
    <w:qFormat/>
    <w:uiPriority w:val="0"/>
    <w:pPr>
      <w:keepNext/>
      <w:widowControl/>
      <w:autoSpaceDE w:val="0"/>
      <w:autoSpaceDN w:val="0"/>
      <w:spacing w:line="480" w:lineRule="atLeast"/>
      <w:jc w:val="center"/>
    </w:pPr>
    <w:rPr>
      <w:rFonts w:ascii="宋体" w:hAnsi="宋体" w:cs="宋体"/>
      <w:kern w:val="0"/>
      <w:szCs w:val="20"/>
    </w:rPr>
  </w:style>
  <w:style w:type="paragraph" w:customStyle="1" w:styleId="3245">
    <w:name w:val="Char712"/>
    <w:basedOn w:val="1"/>
    <w:qFormat/>
    <w:uiPriority w:val="0"/>
    <w:pPr>
      <w:widowControl/>
      <w:ind w:left="-48"/>
      <w:jc w:val="left"/>
    </w:pPr>
    <w:rPr>
      <w:rFonts w:ascii="宋体" w:hAnsi="宋体" w:cs="宋体"/>
      <w:kern w:val="0"/>
      <w:szCs w:val="24"/>
    </w:rPr>
  </w:style>
  <w:style w:type="paragraph" w:customStyle="1" w:styleId="3246">
    <w:name w:val="Char Char Char Char Char Char Char41"/>
    <w:basedOn w:val="1"/>
    <w:qFormat/>
    <w:uiPriority w:val="0"/>
    <w:pPr>
      <w:widowControl/>
      <w:jc w:val="left"/>
    </w:pPr>
    <w:rPr>
      <w:rFonts w:ascii="宋体" w:hAnsi="宋体" w:cs="宋体"/>
      <w:kern w:val="0"/>
      <w:szCs w:val="24"/>
    </w:rPr>
  </w:style>
  <w:style w:type="paragraph" w:customStyle="1" w:styleId="3247">
    <w:name w:val="样式 正文缩进 + 宋体 黑色3"/>
    <w:basedOn w:val="112"/>
    <w:qFormat/>
    <w:uiPriority w:val="0"/>
  </w:style>
  <w:style w:type="paragraph" w:customStyle="1" w:styleId="3248">
    <w:name w:val="表内文字小3134"/>
    <w:basedOn w:val="1"/>
    <w:qFormat/>
    <w:uiPriority w:val="0"/>
    <w:pPr>
      <w:widowControl/>
      <w:jc w:val="center"/>
    </w:pPr>
    <w:rPr>
      <w:rFonts w:ascii="宋体" w:hAnsi="Times" w:cs="宋体"/>
      <w:bCs/>
      <w:color w:val="003366"/>
      <w:kern w:val="0"/>
      <w:szCs w:val="20"/>
    </w:rPr>
  </w:style>
  <w:style w:type="paragraph" w:customStyle="1" w:styleId="3249">
    <w:name w:val="正文格式23"/>
    <w:basedOn w:val="1"/>
    <w:qFormat/>
    <w:uiPriority w:val="0"/>
    <w:pPr>
      <w:widowControl/>
      <w:ind w:firstLine="482"/>
      <w:jc w:val="left"/>
    </w:pPr>
    <w:rPr>
      <w:rFonts w:ascii="宋体" w:hAnsi="宋体" w:cs="宋体"/>
      <w:kern w:val="0"/>
      <w:szCs w:val="24"/>
    </w:rPr>
  </w:style>
  <w:style w:type="paragraph" w:customStyle="1" w:styleId="3250">
    <w:name w:val="标准2"/>
    <w:basedOn w:val="1"/>
    <w:qFormat/>
    <w:uiPriority w:val="0"/>
    <w:pPr>
      <w:widowControl/>
      <w:spacing w:before="120" w:line="336" w:lineRule="auto"/>
      <w:jc w:val="center"/>
      <w:textAlignment w:val="baseline"/>
    </w:pPr>
    <w:rPr>
      <w:rFonts w:ascii="黑体" w:hAnsi="宋体" w:eastAsia="黑体" w:cs="宋体"/>
      <w:kern w:val="0"/>
      <w:szCs w:val="20"/>
    </w:rPr>
  </w:style>
  <w:style w:type="paragraph" w:customStyle="1" w:styleId="3251">
    <w:name w:val="默认段落字体 Para Char52"/>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3252">
    <w:name w:val="燕山正文122"/>
    <w:basedOn w:val="1"/>
    <w:qFormat/>
    <w:uiPriority w:val="0"/>
    <w:pPr>
      <w:widowControl/>
      <w:tabs>
        <w:tab w:val="left" w:pos="4680"/>
      </w:tabs>
      <w:spacing w:line="480" w:lineRule="exact"/>
      <w:jc w:val="left"/>
    </w:pPr>
    <w:rPr>
      <w:rFonts w:ascii="宋体" w:hAnsi="宋体" w:cs="宋体"/>
      <w:kern w:val="0"/>
      <w:szCs w:val="24"/>
    </w:rPr>
  </w:style>
  <w:style w:type="paragraph" w:customStyle="1" w:styleId="3253">
    <w:name w:val="表题412"/>
    <w:basedOn w:val="752"/>
    <w:qFormat/>
    <w:uiPriority w:val="0"/>
    <w:pPr>
      <w:widowControl/>
      <w:tabs>
        <w:tab w:val="left" w:pos="4305"/>
      </w:tabs>
      <w:spacing w:after="0"/>
      <w:ind w:left="0" w:leftChars="0" w:firstLine="561" w:firstLineChars="0"/>
      <w:jc w:val="left"/>
    </w:pPr>
    <w:rPr>
      <w:rFonts w:ascii="宋体" w:hAnsi="宋体" w:cs="宋体"/>
      <w:sz w:val="24"/>
      <w:szCs w:val="24"/>
    </w:rPr>
  </w:style>
  <w:style w:type="paragraph" w:customStyle="1" w:styleId="3254">
    <w:name w:val="表格112"/>
    <w:basedOn w:val="1"/>
    <w:qFormat/>
    <w:uiPriority w:val="0"/>
    <w:pPr>
      <w:widowControl/>
      <w:jc w:val="center"/>
      <w:textAlignment w:val="baseline"/>
    </w:pPr>
    <w:rPr>
      <w:rFonts w:ascii="宋体" w:hAnsi="宋体" w:cs="宋体"/>
      <w:kern w:val="0"/>
      <w:szCs w:val="20"/>
    </w:rPr>
  </w:style>
  <w:style w:type="paragraph" w:customStyle="1" w:styleId="3255">
    <w:name w:val="湛江码头表"/>
    <w:basedOn w:val="1"/>
    <w:qFormat/>
    <w:uiPriority w:val="0"/>
    <w:pPr>
      <w:widowControl/>
      <w:jc w:val="center"/>
    </w:pPr>
    <w:rPr>
      <w:rFonts w:ascii="宋体" w:hAnsi="宋体" w:cs="宋体"/>
      <w:kern w:val="0"/>
      <w:szCs w:val="24"/>
      <w:lang w:eastAsia="zh-TW"/>
    </w:rPr>
  </w:style>
  <w:style w:type="paragraph" w:customStyle="1" w:styleId="3256">
    <w:name w:val="图题221"/>
    <w:basedOn w:val="418"/>
    <w:next w:val="418"/>
    <w:qFormat/>
    <w:uiPriority w:val="0"/>
    <w:pPr>
      <w:ind w:firstLine="0"/>
      <w:jc w:val="center"/>
    </w:pPr>
    <w:rPr>
      <w:rFonts w:ascii="黑体" w:hAnsi="宋体" w:eastAsia="黑体" w:cs="宋体"/>
      <w:b/>
      <w:bCs/>
      <w:szCs w:val="24"/>
    </w:rPr>
  </w:style>
  <w:style w:type="paragraph" w:customStyle="1" w:styleId="3257">
    <w:name w:val="Char261"/>
    <w:basedOn w:val="1"/>
    <w:qFormat/>
    <w:uiPriority w:val="0"/>
    <w:pPr>
      <w:widowControl/>
      <w:ind w:left="-48"/>
      <w:jc w:val="left"/>
    </w:pPr>
    <w:rPr>
      <w:rFonts w:ascii="宋体" w:hAnsi="宋体" w:cs="宋体"/>
      <w:kern w:val="0"/>
      <w:szCs w:val="24"/>
    </w:rPr>
  </w:style>
  <w:style w:type="paragraph" w:customStyle="1" w:styleId="3258">
    <w:name w:val="燕山正文11"/>
    <w:basedOn w:val="1"/>
    <w:qFormat/>
    <w:uiPriority w:val="0"/>
    <w:pPr>
      <w:widowControl/>
      <w:tabs>
        <w:tab w:val="left" w:pos="4680"/>
      </w:tabs>
      <w:ind w:firstLine="480"/>
      <w:jc w:val="left"/>
    </w:pPr>
    <w:rPr>
      <w:rFonts w:ascii="宋体" w:hAnsi="宋体" w:cs="宋体"/>
      <w:bCs/>
      <w:snapToGrid w:val="0"/>
      <w:kern w:val="0"/>
      <w:szCs w:val="24"/>
    </w:rPr>
  </w:style>
  <w:style w:type="paragraph" w:customStyle="1" w:styleId="3259">
    <w:name w:val="表内宋53"/>
    <w:basedOn w:val="1698"/>
    <w:qFormat/>
    <w:uiPriority w:val="0"/>
    <w:pPr>
      <w:autoSpaceDE w:val="0"/>
      <w:autoSpaceDN w:val="0"/>
      <w:textAlignment w:val="auto"/>
    </w:pPr>
    <w:rPr>
      <w:color w:val="auto"/>
      <w:w w:val="90"/>
    </w:rPr>
  </w:style>
  <w:style w:type="paragraph" w:customStyle="1" w:styleId="3260">
    <w:name w:val="reader-word-layer reader-word-s18-24"/>
    <w:basedOn w:val="1"/>
    <w:qFormat/>
    <w:uiPriority w:val="0"/>
    <w:pPr>
      <w:widowControl/>
      <w:spacing w:before="100" w:beforeAutospacing="1" w:after="100" w:afterAutospacing="1"/>
      <w:jc w:val="left"/>
    </w:pPr>
    <w:rPr>
      <w:rFonts w:ascii="宋体" w:hAnsi="宋体" w:cs="宋体"/>
      <w:kern w:val="0"/>
      <w:szCs w:val="24"/>
    </w:rPr>
  </w:style>
  <w:style w:type="paragraph" w:customStyle="1" w:styleId="3261">
    <w:name w:val="表内5中121"/>
    <w:basedOn w:val="1"/>
    <w:qFormat/>
    <w:uiPriority w:val="0"/>
    <w:pPr>
      <w:widowControl/>
      <w:jc w:val="center"/>
    </w:pPr>
    <w:rPr>
      <w:rFonts w:ascii="宋体" w:hAnsi="宋体" w:cs="Arial"/>
      <w:snapToGrid w:val="0"/>
      <w:kern w:val="0"/>
      <w:szCs w:val="21"/>
    </w:rPr>
  </w:style>
  <w:style w:type="paragraph" w:customStyle="1" w:styleId="3262">
    <w:name w:val="正文格式92"/>
    <w:basedOn w:val="1"/>
    <w:qFormat/>
    <w:uiPriority w:val="0"/>
    <w:pPr>
      <w:widowControl/>
      <w:ind w:firstLine="482"/>
      <w:jc w:val="left"/>
    </w:pPr>
    <w:rPr>
      <w:rFonts w:ascii="宋体" w:hAnsi="宋体" w:cs="宋体"/>
      <w:kern w:val="0"/>
      <w:szCs w:val="24"/>
    </w:rPr>
  </w:style>
  <w:style w:type="paragraph" w:customStyle="1" w:styleId="3263">
    <w:name w:val="燕山正文16"/>
    <w:basedOn w:val="1"/>
    <w:qFormat/>
    <w:uiPriority w:val="0"/>
    <w:pPr>
      <w:widowControl/>
      <w:tabs>
        <w:tab w:val="left" w:pos="4680"/>
      </w:tabs>
      <w:spacing w:line="480" w:lineRule="exact"/>
      <w:jc w:val="left"/>
    </w:pPr>
    <w:rPr>
      <w:rFonts w:ascii="宋体" w:hAnsi="宋体" w:cs="宋体"/>
      <w:kern w:val="0"/>
      <w:szCs w:val="24"/>
    </w:rPr>
  </w:style>
  <w:style w:type="paragraph" w:customStyle="1" w:styleId="3264">
    <w:name w:val="Char Char Char Char1 Char Char Char"/>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265">
    <w:name w:val="表题3151"/>
    <w:basedOn w:val="752"/>
    <w:qFormat/>
    <w:uiPriority w:val="0"/>
    <w:pPr>
      <w:widowControl/>
      <w:tabs>
        <w:tab w:val="left" w:pos="4305"/>
      </w:tabs>
      <w:spacing w:after="0"/>
      <w:ind w:left="0" w:leftChars="0" w:firstLine="561" w:firstLineChars="0"/>
      <w:jc w:val="left"/>
    </w:pPr>
    <w:rPr>
      <w:rFonts w:ascii="宋体" w:hAnsi="宋体" w:cs="宋体"/>
      <w:sz w:val="24"/>
      <w:szCs w:val="24"/>
    </w:rPr>
  </w:style>
  <w:style w:type="paragraph" w:customStyle="1" w:styleId="3266">
    <w:name w:val="表内宋511111"/>
    <w:basedOn w:val="734"/>
    <w:qFormat/>
    <w:uiPriority w:val="0"/>
    <w:rPr>
      <w:rFonts w:ascii="宋体" w:hAnsi="宋体" w:cs="宋体"/>
      <w:sz w:val="21"/>
      <w:szCs w:val="24"/>
    </w:rPr>
  </w:style>
  <w:style w:type="paragraph" w:customStyle="1" w:styleId="3267">
    <w:name w:val="Char103"/>
    <w:basedOn w:val="1"/>
    <w:qFormat/>
    <w:uiPriority w:val="0"/>
    <w:pPr>
      <w:widowControl/>
      <w:jc w:val="left"/>
    </w:pPr>
    <w:rPr>
      <w:rFonts w:ascii="宋体" w:hAnsi="宋体" w:cs="宋体"/>
      <w:kern w:val="0"/>
      <w:szCs w:val="24"/>
    </w:rPr>
  </w:style>
  <w:style w:type="paragraph" w:customStyle="1" w:styleId="3268">
    <w:name w:val="默认段落字体 Para Char Char Char Char Char Char"/>
    <w:basedOn w:val="1"/>
    <w:qFormat/>
    <w:uiPriority w:val="0"/>
    <w:pPr>
      <w:widowControl/>
      <w:jc w:val="left"/>
    </w:pPr>
    <w:rPr>
      <w:rFonts w:ascii="宋体" w:hAnsi="宋体" w:cs="宋体"/>
      <w:kern w:val="0"/>
      <w:szCs w:val="24"/>
    </w:rPr>
  </w:style>
  <w:style w:type="paragraph" w:customStyle="1" w:styleId="3269">
    <w:name w:val="Char1013"/>
    <w:basedOn w:val="1"/>
    <w:qFormat/>
    <w:uiPriority w:val="0"/>
    <w:pPr>
      <w:widowControl/>
      <w:jc w:val="left"/>
    </w:pPr>
    <w:rPr>
      <w:rFonts w:ascii="宋体" w:hAnsi="宋体" w:cs="宋体"/>
      <w:kern w:val="0"/>
      <w:szCs w:val="24"/>
    </w:rPr>
  </w:style>
  <w:style w:type="paragraph" w:customStyle="1" w:styleId="3270">
    <w:name w:val="Char1411"/>
    <w:basedOn w:val="1"/>
    <w:qFormat/>
    <w:uiPriority w:val="0"/>
    <w:pPr>
      <w:widowControl/>
      <w:ind w:left="-48"/>
      <w:jc w:val="left"/>
    </w:pPr>
    <w:rPr>
      <w:rFonts w:ascii="宋体" w:hAnsi="宋体" w:cs="宋体"/>
      <w:kern w:val="0"/>
      <w:szCs w:val="24"/>
    </w:rPr>
  </w:style>
  <w:style w:type="paragraph" w:customStyle="1" w:styleId="3271">
    <w:name w:val="Char301"/>
    <w:basedOn w:val="1"/>
    <w:qFormat/>
    <w:uiPriority w:val="0"/>
    <w:pPr>
      <w:widowControl/>
      <w:ind w:left="-48"/>
      <w:jc w:val="left"/>
    </w:pPr>
    <w:rPr>
      <w:rFonts w:ascii="宋体" w:hAnsi="宋体" w:cs="宋体"/>
      <w:kern w:val="0"/>
      <w:szCs w:val="24"/>
    </w:rPr>
  </w:style>
  <w:style w:type="paragraph" w:customStyle="1" w:styleId="3272">
    <w:name w:val="Char122"/>
    <w:basedOn w:val="1"/>
    <w:qFormat/>
    <w:uiPriority w:val="0"/>
    <w:pPr>
      <w:widowControl/>
      <w:jc w:val="left"/>
    </w:pPr>
    <w:rPr>
      <w:rFonts w:ascii="宋体" w:hAnsi="宋体" w:cs="宋体"/>
      <w:kern w:val="0"/>
      <w:szCs w:val="24"/>
    </w:rPr>
  </w:style>
  <w:style w:type="paragraph" w:customStyle="1" w:styleId="3273">
    <w:name w:val="默认段落字体 Para Char Char Char Char411"/>
    <w:basedOn w:val="1"/>
    <w:qFormat/>
    <w:uiPriority w:val="0"/>
    <w:pPr>
      <w:widowControl/>
      <w:jc w:val="left"/>
    </w:pPr>
    <w:rPr>
      <w:rFonts w:ascii="宋体" w:hAnsi="宋体" w:cs="宋体"/>
      <w:kern w:val="0"/>
      <w:szCs w:val="24"/>
    </w:rPr>
  </w:style>
  <w:style w:type="paragraph" w:customStyle="1" w:styleId="3274">
    <w:name w:val="燕山正文132"/>
    <w:basedOn w:val="1"/>
    <w:qFormat/>
    <w:uiPriority w:val="0"/>
    <w:pPr>
      <w:widowControl/>
      <w:tabs>
        <w:tab w:val="left" w:pos="4680"/>
      </w:tabs>
      <w:ind w:firstLine="480"/>
      <w:jc w:val="left"/>
    </w:pPr>
    <w:rPr>
      <w:rFonts w:ascii="宋体" w:hAnsi="宋体" w:cs="宋体"/>
      <w:bCs/>
      <w:kern w:val="0"/>
      <w:szCs w:val="24"/>
    </w:rPr>
  </w:style>
  <w:style w:type="paragraph" w:customStyle="1" w:styleId="3275">
    <w:name w:val="表内54121"/>
    <w:basedOn w:val="1"/>
    <w:qFormat/>
    <w:uiPriority w:val="0"/>
    <w:pPr>
      <w:widowControl/>
      <w:spacing w:line="300" w:lineRule="auto"/>
      <w:jc w:val="center"/>
    </w:pPr>
    <w:rPr>
      <w:rFonts w:ascii="宋体" w:hAnsi="宋体" w:cs="宋体"/>
      <w:kern w:val="0"/>
      <w:szCs w:val="20"/>
    </w:rPr>
  </w:style>
  <w:style w:type="paragraph" w:customStyle="1" w:styleId="3276">
    <w:name w:val="列出段落31"/>
    <w:basedOn w:val="1"/>
    <w:qFormat/>
    <w:uiPriority w:val="0"/>
    <w:pPr>
      <w:ind w:firstLine="420"/>
    </w:pPr>
    <w:rPr>
      <w:szCs w:val="20"/>
    </w:rPr>
  </w:style>
  <w:style w:type="paragraph" w:customStyle="1" w:styleId="3277">
    <w:name w:val="表中文字33"/>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278">
    <w:name w:val="表题3123"/>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279">
    <w:name w:val="xl31"/>
    <w:basedOn w:val="1"/>
    <w:qFormat/>
    <w:uiPriority w:val="0"/>
    <w:pPr>
      <w:widowControl/>
      <w:pBdr>
        <w:top w:val="single" w:color="auto" w:sz="4" w:space="0"/>
        <w:left w:val="single" w:color="auto" w:sz="4" w:space="0"/>
        <w:bottom w:val="single" w:color="auto" w:sz="4" w:space="0"/>
        <w:right w:val="double" w:color="auto" w:sz="6" w:space="0"/>
      </w:pBdr>
      <w:spacing w:before="100" w:beforeAutospacing="1" w:after="100" w:afterAutospacing="1"/>
      <w:jc w:val="center"/>
      <w:textAlignment w:val="center"/>
    </w:pPr>
    <w:rPr>
      <w:rFonts w:hint="eastAsia" w:ascii="MingLiU" w:eastAsia="MingLiU"/>
      <w:kern w:val="0"/>
      <w:sz w:val="16"/>
      <w:szCs w:val="16"/>
      <w:lang w:eastAsia="zh-TW"/>
    </w:rPr>
  </w:style>
  <w:style w:type="paragraph" w:customStyle="1" w:styleId="3280">
    <w:name w:val="Char Char2 Char Char Char Char28"/>
    <w:basedOn w:val="1"/>
    <w:qFormat/>
    <w:uiPriority w:val="0"/>
    <w:pPr>
      <w:widowControl/>
      <w:jc w:val="left"/>
    </w:pPr>
    <w:rPr>
      <w:rFonts w:ascii="宋体" w:hAnsi="宋体" w:cs="宋体"/>
      <w:kern w:val="0"/>
      <w:szCs w:val="24"/>
    </w:rPr>
  </w:style>
  <w:style w:type="paragraph" w:customStyle="1" w:styleId="3281">
    <w:name w:val="表文字5122"/>
    <w:basedOn w:val="1"/>
    <w:qFormat/>
    <w:uiPriority w:val="0"/>
    <w:pPr>
      <w:widowControl/>
      <w:jc w:val="left"/>
      <w:textAlignment w:val="baseline"/>
    </w:pPr>
    <w:rPr>
      <w:rFonts w:ascii="宋体" w:hAnsi="宋体" w:cs="宋体"/>
      <w:kern w:val="0"/>
      <w:szCs w:val="20"/>
    </w:rPr>
  </w:style>
  <w:style w:type="paragraph" w:customStyle="1" w:styleId="3282">
    <w:name w:val="Char Char2 Char Char Char Char11"/>
    <w:basedOn w:val="1"/>
    <w:qFormat/>
    <w:uiPriority w:val="0"/>
    <w:pPr>
      <w:widowControl/>
      <w:jc w:val="left"/>
    </w:pPr>
    <w:rPr>
      <w:rFonts w:ascii="宋体" w:hAnsi="宋体" w:cs="宋体"/>
      <w:kern w:val="0"/>
      <w:szCs w:val="24"/>
    </w:rPr>
  </w:style>
  <w:style w:type="paragraph" w:customStyle="1" w:styleId="3283">
    <w:name w:val="燕山正文4"/>
    <w:basedOn w:val="1"/>
    <w:qFormat/>
    <w:uiPriority w:val="0"/>
    <w:pPr>
      <w:widowControl/>
      <w:tabs>
        <w:tab w:val="left" w:pos="4680"/>
      </w:tabs>
      <w:spacing w:line="480" w:lineRule="exact"/>
      <w:jc w:val="left"/>
    </w:pPr>
    <w:rPr>
      <w:rFonts w:ascii="宋体" w:hAnsi="宋体" w:cs="宋体"/>
      <w:kern w:val="0"/>
      <w:szCs w:val="24"/>
    </w:rPr>
  </w:style>
  <w:style w:type="paragraph" w:customStyle="1" w:styleId="3284">
    <w:name w:val="样式21"/>
    <w:basedOn w:val="1"/>
    <w:qFormat/>
    <w:uiPriority w:val="0"/>
    <w:pPr>
      <w:widowControl/>
      <w:jc w:val="center"/>
      <w:textAlignment w:val="baseline"/>
      <w:outlineLvl w:val="0"/>
    </w:pPr>
    <w:rPr>
      <w:rFonts w:ascii="宋体" w:hAnsi="宋体" w:cs="宋体"/>
      <w:kern w:val="0"/>
      <w:szCs w:val="20"/>
    </w:rPr>
  </w:style>
  <w:style w:type="paragraph" w:customStyle="1" w:styleId="3285">
    <w:name w:val="表中文字53"/>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286">
    <w:name w:val="Char Char Char Char1 Char Char Char13"/>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287">
    <w:name w:val="正文斜体11"/>
    <w:basedOn w:val="418"/>
    <w:next w:val="418"/>
    <w:qFormat/>
    <w:uiPriority w:val="0"/>
    <w:rPr>
      <w:rFonts w:hAnsi="宋体"/>
      <w:i/>
      <w:iCs/>
      <w:szCs w:val="24"/>
    </w:rPr>
  </w:style>
  <w:style w:type="paragraph" w:customStyle="1" w:styleId="3288">
    <w:name w:val="样式 四号 段前: 7.8 磅 行距: 多倍行距 1.25 字行 首行缩进:  2 字符"/>
    <w:basedOn w:val="1"/>
    <w:semiHidden/>
    <w:qFormat/>
    <w:uiPriority w:val="0"/>
    <w:pPr>
      <w:spacing w:before="156" w:line="300" w:lineRule="auto"/>
    </w:pPr>
    <w:rPr>
      <w:szCs w:val="20"/>
    </w:rPr>
  </w:style>
  <w:style w:type="paragraph" w:customStyle="1" w:styleId="3289">
    <w:name w:val="表中文字43"/>
    <w:basedOn w:val="1"/>
    <w:qFormat/>
    <w:uiPriority w:val="0"/>
    <w:pPr>
      <w:widowControl/>
      <w:spacing w:line="340" w:lineRule="exact"/>
      <w:ind w:firstLine="480"/>
      <w:jc w:val="center"/>
    </w:pPr>
    <w:rPr>
      <w:rFonts w:ascii="Arial" w:hAnsi="Arial" w:cs="宋体"/>
      <w:kern w:val="0"/>
      <w:sz w:val="20"/>
      <w:szCs w:val="24"/>
      <w:lang w:eastAsia="zh-TW"/>
    </w:rPr>
  </w:style>
  <w:style w:type="paragraph" w:customStyle="1" w:styleId="3290">
    <w:name w:val="表内宋5中33"/>
    <w:basedOn w:val="1"/>
    <w:qFormat/>
    <w:uiPriority w:val="0"/>
    <w:pPr>
      <w:widowControl/>
      <w:jc w:val="left"/>
      <w:textAlignment w:val="baseline"/>
    </w:pPr>
    <w:rPr>
      <w:rFonts w:ascii="宋体" w:hAnsi="宋体" w:cs="宋体"/>
      <w:kern w:val="0"/>
      <w:szCs w:val="20"/>
    </w:rPr>
  </w:style>
  <w:style w:type="paragraph" w:customStyle="1" w:styleId="3291">
    <w:name w:val="表6"/>
    <w:basedOn w:val="1"/>
    <w:qFormat/>
    <w:uiPriority w:val="0"/>
    <w:pPr>
      <w:widowControl/>
      <w:jc w:val="center"/>
    </w:pPr>
    <w:rPr>
      <w:rFonts w:ascii="宋体" w:hAnsi="宋体" w:cs="宋体"/>
      <w:kern w:val="0"/>
      <w:szCs w:val="24"/>
    </w:rPr>
  </w:style>
  <w:style w:type="paragraph" w:customStyle="1" w:styleId="3292">
    <w:name w:val="Char1512"/>
    <w:basedOn w:val="1"/>
    <w:qFormat/>
    <w:uiPriority w:val="0"/>
    <w:pPr>
      <w:widowControl/>
      <w:spacing w:before="156"/>
      <w:jc w:val="left"/>
    </w:pPr>
    <w:rPr>
      <w:rFonts w:ascii="黑体" w:hAnsi="宋体" w:eastAsia="黑体" w:cs="宋体"/>
      <w:kern w:val="0"/>
      <w:sz w:val="32"/>
      <w:szCs w:val="32"/>
    </w:rPr>
  </w:style>
  <w:style w:type="paragraph" w:customStyle="1" w:styleId="3293">
    <w:name w:val="样式 标题 4无效格式无效格式1河石管道4H4H41小小节河石管道41H42H411小小节1河石管道42...12"/>
    <w:basedOn w:val="5"/>
    <w:qFormat/>
    <w:uiPriority w:val="0"/>
    <w:pPr>
      <w:numPr>
        <w:ilvl w:val="0"/>
        <w:numId w:val="0"/>
      </w:numPr>
      <w:spacing w:after="0" w:line="360" w:lineRule="auto"/>
      <w:ind w:left="664" w:hanging="864"/>
    </w:pPr>
    <w:rPr>
      <w:rFonts w:ascii="黑体" w:hAnsi="Arial" w:eastAsia="黑体" w:cs="宋体"/>
      <w:b w:val="0"/>
      <w:bCs w:val="0"/>
      <w:kern w:val="2"/>
      <w:sz w:val="24"/>
      <w:szCs w:val="20"/>
    </w:rPr>
  </w:style>
  <w:style w:type="paragraph" w:customStyle="1" w:styleId="3294">
    <w:name w:val="wangjunbo.bullet"/>
    <w:basedOn w:val="1"/>
    <w:qFormat/>
    <w:uiPriority w:val="0"/>
    <w:pPr>
      <w:jc w:val="center"/>
    </w:pPr>
    <w:rPr>
      <w:rFonts w:ascii="宋体" w:hAnsi="宋体"/>
      <w:szCs w:val="20"/>
    </w:rPr>
  </w:style>
  <w:style w:type="paragraph" w:customStyle="1" w:styleId="3295">
    <w:name w:val="默认段落字体 Para Char Char Char1 Char Char"/>
    <w:basedOn w:val="1"/>
    <w:qFormat/>
    <w:uiPriority w:val="0"/>
    <w:pPr>
      <w:widowControl/>
      <w:jc w:val="left"/>
    </w:pPr>
    <w:rPr>
      <w:rFonts w:ascii="宋体" w:hAnsi="宋体" w:cs="宋体"/>
      <w:kern w:val="0"/>
      <w:szCs w:val="24"/>
    </w:rPr>
  </w:style>
  <w:style w:type="paragraph" w:customStyle="1" w:styleId="3296">
    <w:name w:val="样式 正文文字 + 楷体_GB2312 四号 首行缩进:  0.93 厘米"/>
    <w:basedOn w:val="25"/>
    <w:qFormat/>
    <w:uiPriority w:val="0"/>
    <w:pPr>
      <w:widowControl/>
      <w:spacing w:line="240" w:lineRule="auto"/>
      <w:ind w:firstLine="560"/>
      <w:jc w:val="left"/>
    </w:pPr>
    <w:rPr>
      <w:rFonts w:ascii="宋体" w:hAnsi="宋体"/>
      <w:sz w:val="28"/>
      <w:szCs w:val="20"/>
    </w:rPr>
  </w:style>
  <w:style w:type="paragraph" w:customStyle="1" w:styleId="3297">
    <w:name w:val="Char23"/>
    <w:basedOn w:val="1"/>
    <w:qFormat/>
    <w:uiPriority w:val="0"/>
    <w:pPr>
      <w:widowControl/>
      <w:ind w:left="-48"/>
      <w:jc w:val="left"/>
    </w:pPr>
    <w:rPr>
      <w:rFonts w:ascii="宋体" w:hAnsi="宋体" w:cs="宋体"/>
      <w:kern w:val="0"/>
      <w:szCs w:val="24"/>
    </w:rPr>
  </w:style>
  <w:style w:type="paragraph" w:customStyle="1" w:styleId="3298">
    <w:name w:val="表内54142"/>
    <w:basedOn w:val="1"/>
    <w:qFormat/>
    <w:uiPriority w:val="0"/>
    <w:pPr>
      <w:widowControl/>
      <w:spacing w:line="300" w:lineRule="auto"/>
      <w:jc w:val="center"/>
    </w:pPr>
    <w:rPr>
      <w:rFonts w:ascii="宋体" w:hAnsi="宋体" w:cs="宋体"/>
      <w:kern w:val="0"/>
      <w:szCs w:val="20"/>
    </w:rPr>
  </w:style>
  <w:style w:type="paragraph" w:customStyle="1" w:styleId="3299">
    <w:name w:val="Char38"/>
    <w:basedOn w:val="1"/>
    <w:qFormat/>
    <w:uiPriority w:val="0"/>
    <w:pPr>
      <w:widowControl/>
      <w:ind w:left="-48"/>
      <w:jc w:val="left"/>
    </w:pPr>
    <w:rPr>
      <w:rFonts w:ascii="宋体" w:hAnsi="宋体" w:cs="宋体"/>
      <w:kern w:val="0"/>
      <w:szCs w:val="24"/>
    </w:rPr>
  </w:style>
  <w:style w:type="paragraph" w:customStyle="1" w:styleId="3300">
    <w:name w:val="表格式"/>
    <w:basedOn w:val="46"/>
    <w:qFormat/>
    <w:uiPriority w:val="0"/>
    <w:pPr>
      <w:widowControl/>
      <w:spacing w:before="156" w:after="156" w:line="240" w:lineRule="exact"/>
    </w:pPr>
    <w:rPr>
      <w:rFonts w:ascii="Times New Roman" w:hAnsi="宋体" w:cs="宋体"/>
      <w:kern w:val="0"/>
      <w:sz w:val="21"/>
    </w:rPr>
  </w:style>
  <w:style w:type="paragraph" w:customStyle="1" w:styleId="3301">
    <w:name w:val="首行缩进:  0.99 厘米 + 首行缩进:  2 字符"/>
    <w:basedOn w:val="1"/>
    <w:qFormat/>
    <w:uiPriority w:val="0"/>
    <w:pPr>
      <w:widowControl/>
      <w:topLinePunct/>
      <w:spacing w:line="480" w:lineRule="exact"/>
      <w:ind w:firstLine="420"/>
      <w:jc w:val="center"/>
    </w:pPr>
    <w:rPr>
      <w:rFonts w:ascii="宋体" w:hAnsi="宋体" w:cs="宋体"/>
      <w:snapToGrid w:val="0"/>
      <w:color w:val="FF0000"/>
      <w:kern w:val="0"/>
      <w:szCs w:val="21"/>
    </w:rPr>
  </w:style>
  <w:style w:type="paragraph" w:customStyle="1" w:styleId="3302">
    <w:name w:val="表题21112"/>
    <w:basedOn w:val="1"/>
    <w:qFormat/>
    <w:uiPriority w:val="0"/>
    <w:pPr>
      <w:widowControl/>
      <w:jc w:val="center"/>
    </w:pPr>
    <w:rPr>
      <w:rFonts w:ascii="黑体" w:hAnsi="宋体" w:eastAsia="黑体" w:cs="宋体"/>
      <w:kern w:val="0"/>
      <w:szCs w:val="24"/>
    </w:rPr>
  </w:style>
  <w:style w:type="paragraph" w:customStyle="1" w:styleId="3303">
    <w:name w:val="文本框13"/>
    <w:basedOn w:val="1"/>
    <w:qFormat/>
    <w:uiPriority w:val="0"/>
    <w:pPr>
      <w:widowControl/>
      <w:spacing w:after="6"/>
      <w:jc w:val="center"/>
    </w:pPr>
    <w:rPr>
      <w:rFonts w:ascii="宋体" w:hAnsi="宋体" w:cs="宋体"/>
      <w:kern w:val="0"/>
      <w:szCs w:val="24"/>
    </w:rPr>
  </w:style>
  <w:style w:type="paragraph" w:customStyle="1" w:styleId="3304">
    <w:name w:val="燕山正文412"/>
    <w:basedOn w:val="1"/>
    <w:qFormat/>
    <w:uiPriority w:val="0"/>
    <w:pPr>
      <w:widowControl/>
      <w:tabs>
        <w:tab w:val="left" w:pos="4680"/>
      </w:tabs>
      <w:spacing w:line="480" w:lineRule="exact"/>
      <w:jc w:val="left"/>
    </w:pPr>
    <w:rPr>
      <w:rFonts w:ascii="宋体" w:hAnsi="宋体" w:cs="宋体"/>
      <w:kern w:val="0"/>
      <w:szCs w:val="24"/>
    </w:rPr>
  </w:style>
  <w:style w:type="paragraph" w:customStyle="1" w:styleId="3305">
    <w:name w:val="表内宋5中31"/>
    <w:basedOn w:val="1"/>
    <w:qFormat/>
    <w:uiPriority w:val="0"/>
    <w:pPr>
      <w:widowControl/>
      <w:jc w:val="left"/>
      <w:textAlignment w:val="baseline"/>
    </w:pPr>
    <w:rPr>
      <w:rFonts w:ascii="宋体" w:hAnsi="宋体" w:cs="宋体"/>
      <w:kern w:val="0"/>
      <w:szCs w:val="20"/>
    </w:rPr>
  </w:style>
  <w:style w:type="paragraph" w:customStyle="1" w:styleId="3306">
    <w:name w:val="Char Char2 Char Char Char Char9"/>
    <w:basedOn w:val="1"/>
    <w:qFormat/>
    <w:uiPriority w:val="0"/>
    <w:pPr>
      <w:widowControl/>
      <w:jc w:val="left"/>
    </w:pPr>
    <w:rPr>
      <w:rFonts w:ascii="宋体" w:hAnsi="宋体" w:cs="宋体"/>
      <w:kern w:val="0"/>
      <w:szCs w:val="24"/>
    </w:rPr>
  </w:style>
  <w:style w:type="paragraph" w:customStyle="1" w:styleId="3307">
    <w:name w:val="Char3112"/>
    <w:basedOn w:val="1"/>
    <w:qFormat/>
    <w:uiPriority w:val="0"/>
    <w:pPr>
      <w:widowControl/>
      <w:ind w:left="-48"/>
      <w:jc w:val="left"/>
    </w:pPr>
    <w:rPr>
      <w:rFonts w:ascii="宋体" w:hAnsi="宋体" w:cs="宋体"/>
      <w:kern w:val="0"/>
      <w:szCs w:val="24"/>
    </w:rPr>
  </w:style>
  <w:style w:type="paragraph" w:customStyle="1" w:styleId="3308">
    <w:name w:val="Char Char Char Char Char Char Char131"/>
    <w:basedOn w:val="1"/>
    <w:qFormat/>
    <w:uiPriority w:val="0"/>
    <w:pPr>
      <w:widowControl/>
      <w:jc w:val="left"/>
    </w:pPr>
    <w:rPr>
      <w:rFonts w:ascii="宋体" w:hAnsi="宋体" w:cs="宋体"/>
      <w:kern w:val="0"/>
      <w:szCs w:val="24"/>
    </w:rPr>
  </w:style>
  <w:style w:type="paragraph" w:customStyle="1" w:styleId="3309">
    <w:name w:val="Char229"/>
    <w:basedOn w:val="1"/>
    <w:qFormat/>
    <w:uiPriority w:val="0"/>
    <w:pPr>
      <w:widowControl/>
      <w:ind w:left="-48"/>
      <w:jc w:val="left"/>
    </w:pPr>
    <w:rPr>
      <w:rFonts w:ascii="宋体" w:hAnsi="宋体" w:cs="宋体"/>
      <w:kern w:val="0"/>
      <w:szCs w:val="24"/>
    </w:rPr>
  </w:style>
  <w:style w:type="paragraph" w:customStyle="1" w:styleId="3310">
    <w:name w:val="表内文字小24"/>
    <w:basedOn w:val="1"/>
    <w:qFormat/>
    <w:uiPriority w:val="0"/>
    <w:pPr>
      <w:widowControl/>
      <w:jc w:val="center"/>
    </w:pPr>
    <w:rPr>
      <w:rFonts w:ascii="宋体" w:hAnsi="Times" w:cs="宋体"/>
      <w:bCs/>
      <w:kern w:val="0"/>
      <w:szCs w:val="20"/>
    </w:rPr>
  </w:style>
  <w:style w:type="paragraph" w:customStyle="1" w:styleId="3311">
    <w:name w:val="標準インデント　2"/>
    <w:basedOn w:val="112"/>
    <w:qFormat/>
    <w:uiPriority w:val="0"/>
    <w:pPr>
      <w:overflowPunct w:val="0"/>
      <w:autoSpaceDE w:val="0"/>
      <w:autoSpaceDN w:val="0"/>
      <w:ind w:left="2900" w:hanging="2038"/>
      <w:textAlignment w:val="baseline"/>
    </w:pPr>
    <w:rPr>
      <w:rFonts w:ascii="Calibri" w:hAnsi="Calibri" w:eastAsia="MS Mincho"/>
      <w:sz w:val="20"/>
      <w:lang w:eastAsia="ja-JP"/>
    </w:rPr>
  </w:style>
  <w:style w:type="paragraph" w:customStyle="1" w:styleId="3312">
    <w:name w:val="样式 样式 宋体 + 首行缩进:  2 字符12"/>
    <w:basedOn w:val="1"/>
    <w:qFormat/>
    <w:uiPriority w:val="0"/>
    <w:pPr>
      <w:widowControl/>
      <w:ind w:firstLine="480"/>
      <w:jc w:val="left"/>
    </w:pPr>
    <w:rPr>
      <w:rFonts w:ascii="宋体" w:hAnsi="宋体" w:cs="宋体"/>
      <w:kern w:val="0"/>
      <w:szCs w:val="24"/>
    </w:rPr>
  </w:style>
  <w:style w:type="paragraph" w:customStyle="1" w:styleId="3313">
    <w:name w:val="Char1711"/>
    <w:basedOn w:val="1"/>
    <w:qFormat/>
    <w:uiPriority w:val="0"/>
    <w:pPr>
      <w:widowControl/>
      <w:ind w:left="-48"/>
      <w:jc w:val="left"/>
    </w:pPr>
    <w:rPr>
      <w:rFonts w:ascii="宋体" w:hAnsi="宋体" w:cs="宋体"/>
      <w:kern w:val="0"/>
      <w:szCs w:val="24"/>
    </w:rPr>
  </w:style>
  <w:style w:type="paragraph" w:customStyle="1" w:styleId="3314">
    <w:name w:val="M"/>
    <w:basedOn w:val="2"/>
    <w:qFormat/>
    <w:uiPriority w:val="0"/>
    <w:pPr>
      <w:keepLines w:val="0"/>
      <w:numPr>
        <w:numId w:val="0"/>
      </w:numPr>
      <w:tabs>
        <w:tab w:val="left" w:pos="2260"/>
        <w:tab w:val="left" w:pos="2820"/>
        <w:tab w:val="left" w:pos="3420"/>
      </w:tabs>
      <w:spacing w:before="440" w:line="240" w:lineRule="auto"/>
      <w:ind w:left="851" w:right="-28" w:hanging="851"/>
      <w:jc w:val="left"/>
    </w:pPr>
    <w:rPr>
      <w:rFonts w:ascii="Arial" w:hAnsi="Arial"/>
      <w:b w:val="0"/>
      <w:bCs w:val="0"/>
      <w:kern w:val="0"/>
      <w:sz w:val="22"/>
      <w:szCs w:val="20"/>
    </w:rPr>
  </w:style>
  <w:style w:type="paragraph" w:customStyle="1" w:styleId="3315">
    <w:name w:val="表格内容111"/>
    <w:basedOn w:val="98"/>
    <w:qFormat/>
    <w:uiPriority w:val="0"/>
    <w:pPr>
      <w:jc w:val="center"/>
    </w:pPr>
    <w:rPr>
      <w:rFonts w:ascii="Times New Roman" w:hAnsi="Times New Roman" w:cs="Times New Roman"/>
      <w:color w:val="000000"/>
      <w:szCs w:val="21"/>
    </w:rPr>
  </w:style>
  <w:style w:type="paragraph" w:customStyle="1" w:styleId="3316">
    <w:name w:val="font6"/>
    <w:basedOn w:val="1"/>
    <w:qFormat/>
    <w:uiPriority w:val="0"/>
    <w:pPr>
      <w:widowControl/>
      <w:spacing w:before="100" w:beforeAutospacing="1" w:after="100" w:afterAutospacing="1"/>
      <w:jc w:val="left"/>
    </w:pPr>
    <w:rPr>
      <w:rFonts w:hint="eastAsia" w:ascii="PMingLiU" w:eastAsia="PMingLiU"/>
      <w:kern w:val="0"/>
      <w:sz w:val="18"/>
      <w:szCs w:val="18"/>
      <w:lang w:eastAsia="zh-TW"/>
    </w:rPr>
  </w:style>
  <w:style w:type="paragraph" w:customStyle="1" w:styleId="3317">
    <w:name w:val="表题315"/>
    <w:basedOn w:val="752"/>
    <w:qFormat/>
    <w:uiPriority w:val="0"/>
    <w:pPr>
      <w:widowControl/>
      <w:tabs>
        <w:tab w:val="left" w:pos="4305"/>
      </w:tabs>
      <w:spacing w:after="0"/>
      <w:ind w:left="0" w:leftChars="0" w:firstLine="561" w:firstLineChars="0"/>
      <w:jc w:val="left"/>
    </w:pPr>
    <w:rPr>
      <w:rFonts w:ascii="宋体" w:hAnsi="宋体" w:cs="宋体"/>
      <w:sz w:val="24"/>
      <w:szCs w:val="24"/>
    </w:rPr>
  </w:style>
  <w:style w:type="paragraph" w:customStyle="1" w:styleId="3318">
    <w:name w:val="正文修改221"/>
    <w:basedOn w:val="786"/>
    <w:qFormat/>
    <w:uiPriority w:val="0"/>
    <w:rPr>
      <w:rFonts w:hAnsi="宋体" w:eastAsia="宋体" w:cs="宋体"/>
      <w:szCs w:val="24"/>
    </w:rPr>
  </w:style>
  <w:style w:type="paragraph" w:customStyle="1" w:styleId="3319">
    <w:name w:val="Char1 Char Char Char Char Char1 Char"/>
    <w:basedOn w:val="1"/>
    <w:qFormat/>
    <w:uiPriority w:val="0"/>
    <w:pPr>
      <w:widowControl/>
      <w:jc w:val="left"/>
    </w:pPr>
    <w:rPr>
      <w:rFonts w:ascii="宋体" w:hAnsi="宋体" w:cs="宋体"/>
      <w:kern w:val="0"/>
      <w:szCs w:val="21"/>
    </w:rPr>
  </w:style>
  <w:style w:type="paragraph" w:customStyle="1" w:styleId="3320">
    <w:name w:val="正文修改411"/>
    <w:basedOn w:val="786"/>
    <w:qFormat/>
    <w:uiPriority w:val="0"/>
    <w:rPr>
      <w:rFonts w:hAnsi="宋体" w:eastAsia="宋体" w:cs="宋体"/>
      <w:szCs w:val="24"/>
    </w:rPr>
  </w:style>
  <w:style w:type="paragraph" w:customStyle="1" w:styleId="3321">
    <w:name w:val="标题411"/>
    <w:basedOn w:val="1"/>
    <w:qFormat/>
    <w:uiPriority w:val="0"/>
    <w:pPr>
      <w:widowControl/>
      <w:spacing w:line="300" w:lineRule="auto"/>
      <w:jc w:val="left"/>
    </w:pPr>
    <w:rPr>
      <w:rFonts w:ascii="黑体" w:hAnsi="宋体" w:eastAsia="黑体" w:cs="宋体"/>
      <w:bCs/>
      <w:kern w:val="0"/>
      <w:szCs w:val="20"/>
    </w:rPr>
  </w:style>
  <w:style w:type="paragraph" w:customStyle="1" w:styleId="3322">
    <w:name w:val="xl69"/>
    <w:basedOn w:val="1"/>
    <w:qFormat/>
    <w:uiPriority w:val="0"/>
    <w:pPr>
      <w:widowControl/>
      <w:pBdr>
        <w:right w:val="single" w:color="auto" w:sz="8" w:space="0"/>
      </w:pBdr>
      <w:spacing w:before="100" w:beforeAutospacing="1" w:after="100" w:afterAutospacing="1"/>
      <w:jc w:val="center"/>
    </w:pPr>
    <w:rPr>
      <w:rFonts w:ascii="仿宋" w:hAnsi="仿宋" w:eastAsia="仿宋" w:cs="宋体"/>
      <w:kern w:val="0"/>
      <w:szCs w:val="21"/>
    </w:rPr>
  </w:style>
  <w:style w:type="paragraph" w:customStyle="1" w:styleId="3323">
    <w:name w:val="表文字5212"/>
    <w:basedOn w:val="1"/>
    <w:qFormat/>
    <w:uiPriority w:val="0"/>
    <w:pPr>
      <w:widowControl/>
      <w:jc w:val="left"/>
      <w:textAlignment w:val="baseline"/>
    </w:pPr>
    <w:rPr>
      <w:rFonts w:ascii="宋体" w:hAnsi="宋体" w:cs="宋体"/>
      <w:kern w:val="0"/>
      <w:szCs w:val="20"/>
    </w:rPr>
  </w:style>
  <w:style w:type="paragraph" w:customStyle="1" w:styleId="3324">
    <w:name w:val="附件213"/>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3325">
    <w:name w:val="燕山正文34"/>
    <w:basedOn w:val="1"/>
    <w:qFormat/>
    <w:uiPriority w:val="0"/>
    <w:pPr>
      <w:widowControl/>
      <w:tabs>
        <w:tab w:val="left" w:pos="4680"/>
      </w:tabs>
      <w:spacing w:line="480" w:lineRule="exact"/>
      <w:jc w:val="left"/>
    </w:pPr>
    <w:rPr>
      <w:rFonts w:ascii="宋体" w:hAnsi="宋体" w:cs="宋体"/>
      <w:kern w:val="0"/>
      <w:szCs w:val="24"/>
    </w:rPr>
  </w:style>
  <w:style w:type="paragraph" w:customStyle="1" w:styleId="3326">
    <w:name w:val="燕山正文1133"/>
    <w:basedOn w:val="1"/>
    <w:qFormat/>
    <w:uiPriority w:val="0"/>
    <w:pPr>
      <w:widowControl/>
      <w:tabs>
        <w:tab w:val="left" w:pos="4680"/>
      </w:tabs>
      <w:ind w:firstLine="480"/>
      <w:jc w:val="left"/>
    </w:pPr>
    <w:rPr>
      <w:rFonts w:ascii="宋体" w:hAnsi="宋体" w:cs="宋体"/>
      <w:bCs/>
      <w:snapToGrid w:val="0"/>
      <w:kern w:val="0"/>
      <w:szCs w:val="24"/>
    </w:rPr>
  </w:style>
  <w:style w:type="paragraph" w:customStyle="1" w:styleId="3327">
    <w:name w:val="表格内容21"/>
    <w:basedOn w:val="98"/>
    <w:qFormat/>
    <w:uiPriority w:val="0"/>
    <w:pPr>
      <w:jc w:val="center"/>
    </w:pPr>
    <w:rPr>
      <w:rFonts w:ascii="Times New Roman" w:hAnsi="Times New Roman" w:cs="Times New Roman"/>
      <w:color w:val="000000"/>
      <w:szCs w:val="21"/>
    </w:rPr>
  </w:style>
  <w:style w:type="paragraph" w:customStyle="1" w:styleId="3328">
    <w:name w:val="字元 字元 Char Char 字元 字元1"/>
    <w:basedOn w:val="1"/>
    <w:qFormat/>
    <w:uiPriority w:val="0"/>
    <w:rPr>
      <w:szCs w:val="24"/>
    </w:rPr>
  </w:style>
  <w:style w:type="paragraph" w:customStyle="1" w:styleId="3329">
    <w:name w:val="表内文字小8111"/>
    <w:basedOn w:val="1"/>
    <w:qFormat/>
    <w:uiPriority w:val="0"/>
    <w:pPr>
      <w:widowControl/>
      <w:jc w:val="center"/>
    </w:pPr>
    <w:rPr>
      <w:rFonts w:ascii="宋体" w:hAnsi="Times" w:cs="宋体"/>
      <w:kern w:val="0"/>
      <w:szCs w:val="20"/>
    </w:rPr>
  </w:style>
  <w:style w:type="paragraph" w:customStyle="1" w:styleId="3330">
    <w:name w:val="Char Char5 Char Char"/>
    <w:basedOn w:val="1"/>
    <w:qFormat/>
    <w:uiPriority w:val="0"/>
    <w:rPr>
      <w:rFonts w:ascii="宋体" w:hAnsi="宋体" w:cs="宋体"/>
      <w:szCs w:val="24"/>
    </w:rPr>
  </w:style>
  <w:style w:type="paragraph" w:customStyle="1" w:styleId="3331">
    <w:name w:val="表内5中111"/>
    <w:basedOn w:val="1"/>
    <w:qFormat/>
    <w:uiPriority w:val="0"/>
    <w:pPr>
      <w:widowControl/>
      <w:jc w:val="center"/>
    </w:pPr>
    <w:rPr>
      <w:rFonts w:ascii="宋体" w:hAnsi="宋体" w:cs="Arial"/>
      <w:snapToGrid w:val="0"/>
      <w:kern w:val="0"/>
      <w:szCs w:val="21"/>
    </w:rPr>
  </w:style>
  <w:style w:type="paragraph" w:customStyle="1" w:styleId="3332">
    <w:name w:val="Fax Header12"/>
    <w:basedOn w:val="1"/>
    <w:qFormat/>
    <w:uiPriority w:val="0"/>
    <w:pPr>
      <w:widowControl/>
      <w:spacing w:before="240" w:after="60"/>
      <w:jc w:val="left"/>
    </w:pPr>
    <w:rPr>
      <w:rFonts w:ascii="宋体" w:hAnsi="宋体" w:cs="宋体"/>
      <w:kern w:val="0"/>
      <w:sz w:val="20"/>
      <w:szCs w:val="20"/>
    </w:rPr>
  </w:style>
  <w:style w:type="paragraph" w:customStyle="1" w:styleId="3333">
    <w:name w:val="标题4312111"/>
    <w:basedOn w:val="1"/>
    <w:qFormat/>
    <w:uiPriority w:val="0"/>
    <w:pPr>
      <w:widowControl/>
      <w:spacing w:line="480" w:lineRule="exact"/>
      <w:jc w:val="center"/>
    </w:pPr>
    <w:rPr>
      <w:rFonts w:ascii="宋体" w:hAnsi="宋体" w:cs="宋体"/>
      <w:kern w:val="0"/>
      <w:szCs w:val="24"/>
    </w:rPr>
  </w:style>
  <w:style w:type="paragraph" w:customStyle="1" w:styleId="3334">
    <w:name w:val="表中文字6"/>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335">
    <w:name w:val="表内541331"/>
    <w:basedOn w:val="1"/>
    <w:qFormat/>
    <w:uiPriority w:val="0"/>
    <w:pPr>
      <w:widowControl/>
      <w:spacing w:line="300" w:lineRule="auto"/>
      <w:jc w:val="center"/>
    </w:pPr>
    <w:rPr>
      <w:rFonts w:ascii="宋体" w:hAnsi="宋体" w:cs="宋体"/>
      <w:kern w:val="0"/>
      <w:szCs w:val="20"/>
    </w:rPr>
  </w:style>
  <w:style w:type="paragraph" w:customStyle="1" w:styleId="3336">
    <w:name w:val="xl46"/>
    <w:basedOn w:val="1"/>
    <w:qFormat/>
    <w:uiPriority w:val="0"/>
    <w:pPr>
      <w:widowControl/>
      <w:pBdr>
        <w:top w:val="single" w:color="auto" w:sz="4" w:space="0"/>
        <w:left w:val="double" w:color="auto" w:sz="6" w:space="0"/>
        <w:bottom w:val="single" w:color="auto" w:sz="4" w:space="0"/>
        <w:right w:val="single" w:color="auto" w:sz="4" w:space="0"/>
      </w:pBdr>
      <w:spacing w:before="100" w:beforeAutospacing="1" w:after="100" w:afterAutospacing="1"/>
      <w:jc w:val="left"/>
      <w:textAlignment w:val="center"/>
    </w:pPr>
    <w:rPr>
      <w:rFonts w:hint="eastAsia" w:ascii="PMingLiU" w:eastAsia="PMingLiU"/>
      <w:kern w:val="0"/>
      <w:sz w:val="16"/>
      <w:szCs w:val="16"/>
      <w:lang w:eastAsia="zh-TW"/>
    </w:rPr>
  </w:style>
  <w:style w:type="paragraph" w:customStyle="1" w:styleId="3337">
    <w:name w:val="xl90"/>
    <w:basedOn w:val="1"/>
    <w:qFormat/>
    <w:uiPriority w:val="0"/>
    <w:pPr>
      <w:widowControl/>
      <w:pBdr>
        <w:bottom w:val="single" w:color="auto" w:sz="8" w:space="0"/>
        <w:right w:val="single" w:color="auto" w:sz="8" w:space="0"/>
      </w:pBdr>
      <w:spacing w:before="100" w:beforeAutospacing="1" w:after="100" w:afterAutospacing="1"/>
      <w:jc w:val="center"/>
    </w:pPr>
    <w:rPr>
      <w:kern w:val="0"/>
      <w:szCs w:val="21"/>
    </w:rPr>
  </w:style>
  <w:style w:type="paragraph" w:customStyle="1" w:styleId="3338">
    <w:name w:val="表内文字小83"/>
    <w:basedOn w:val="1"/>
    <w:qFormat/>
    <w:uiPriority w:val="0"/>
    <w:pPr>
      <w:widowControl/>
      <w:jc w:val="center"/>
    </w:pPr>
    <w:rPr>
      <w:rFonts w:ascii="宋体" w:hAnsi="Times" w:cs="宋体"/>
      <w:kern w:val="0"/>
      <w:szCs w:val="20"/>
    </w:rPr>
  </w:style>
  <w:style w:type="paragraph" w:customStyle="1" w:styleId="3339">
    <w:name w:val="表题3131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340">
    <w:name w:val="样式1213"/>
    <w:basedOn w:val="1586"/>
    <w:qFormat/>
    <w:uiPriority w:val="0"/>
    <w:pPr>
      <w:spacing w:line="240" w:lineRule="auto"/>
      <w:ind w:firstLine="0"/>
      <w:jc w:val="center"/>
    </w:pPr>
    <w:rPr>
      <w:rFonts w:cs="Times New Roman"/>
      <w:b/>
      <w:color w:val="auto"/>
      <w:szCs w:val="20"/>
    </w:rPr>
  </w:style>
  <w:style w:type="paragraph" w:customStyle="1" w:styleId="3341">
    <w:name w:val="正文修改413"/>
    <w:basedOn w:val="786"/>
    <w:qFormat/>
    <w:uiPriority w:val="0"/>
    <w:rPr>
      <w:rFonts w:hAnsi="宋体" w:eastAsia="宋体" w:cs="宋体"/>
      <w:szCs w:val="24"/>
    </w:rPr>
  </w:style>
  <w:style w:type="paragraph" w:customStyle="1" w:styleId="3342">
    <w:name w:val="Char Char2 Char Char Char Char20"/>
    <w:basedOn w:val="1"/>
    <w:qFormat/>
    <w:uiPriority w:val="0"/>
    <w:pPr>
      <w:widowControl/>
      <w:jc w:val="left"/>
    </w:pPr>
    <w:rPr>
      <w:rFonts w:ascii="宋体" w:hAnsi="宋体" w:cs="宋体"/>
      <w:kern w:val="0"/>
      <w:szCs w:val="24"/>
    </w:rPr>
  </w:style>
  <w:style w:type="paragraph" w:customStyle="1" w:styleId="3343">
    <w:name w:val="Char Char Char3"/>
    <w:basedOn w:val="1"/>
    <w:qFormat/>
    <w:uiPriority w:val="0"/>
    <w:pPr>
      <w:widowControl/>
      <w:jc w:val="left"/>
    </w:pPr>
    <w:rPr>
      <w:rFonts w:ascii="宋体" w:hAnsi="宋体" w:cs="宋体"/>
      <w:kern w:val="0"/>
      <w:szCs w:val="24"/>
    </w:rPr>
  </w:style>
  <w:style w:type="paragraph" w:customStyle="1" w:styleId="3344">
    <w:name w:val="图题72"/>
    <w:basedOn w:val="418"/>
    <w:next w:val="418"/>
    <w:qFormat/>
    <w:uiPriority w:val="0"/>
    <w:pPr>
      <w:ind w:firstLine="0"/>
      <w:jc w:val="center"/>
    </w:pPr>
    <w:rPr>
      <w:rFonts w:ascii="黑体" w:hAnsi="宋体" w:eastAsia="黑体" w:cs="宋体"/>
      <w:b/>
      <w:bCs/>
      <w:szCs w:val="24"/>
    </w:rPr>
  </w:style>
  <w:style w:type="paragraph" w:customStyle="1" w:styleId="3345">
    <w:name w:val="Char Char2 Char Char Char Char7"/>
    <w:basedOn w:val="1"/>
    <w:qFormat/>
    <w:uiPriority w:val="0"/>
    <w:pPr>
      <w:widowControl/>
      <w:jc w:val="left"/>
    </w:pPr>
    <w:rPr>
      <w:rFonts w:ascii="宋体" w:hAnsi="宋体" w:cs="宋体"/>
      <w:kern w:val="0"/>
      <w:szCs w:val="24"/>
    </w:rPr>
  </w:style>
  <w:style w:type="paragraph" w:customStyle="1" w:styleId="3346">
    <w:name w:val="Char Char Char Char Char Char Char Char Char Char Char1"/>
    <w:basedOn w:val="1"/>
    <w:qFormat/>
    <w:uiPriority w:val="0"/>
    <w:pPr>
      <w:widowControl/>
      <w:jc w:val="left"/>
    </w:pPr>
    <w:rPr>
      <w:rFonts w:ascii="宋体" w:hAnsi="宋体" w:cs="宋体"/>
      <w:kern w:val="0"/>
      <w:szCs w:val="24"/>
    </w:rPr>
  </w:style>
  <w:style w:type="paragraph" w:customStyle="1" w:styleId="3347">
    <w:name w:val="表题4111"/>
    <w:basedOn w:val="752"/>
    <w:qFormat/>
    <w:uiPriority w:val="0"/>
    <w:pPr>
      <w:widowControl/>
      <w:tabs>
        <w:tab w:val="left" w:pos="4305"/>
      </w:tabs>
      <w:spacing w:after="0" w:line="240" w:lineRule="auto"/>
      <w:ind w:left="0" w:leftChars="0" w:firstLine="0" w:firstLineChars="0"/>
      <w:jc w:val="center"/>
    </w:pPr>
    <w:rPr>
      <w:rFonts w:ascii="宋体" w:hAnsi="宋体" w:cs="宋体"/>
      <w:sz w:val="24"/>
      <w:szCs w:val="24"/>
    </w:rPr>
  </w:style>
  <w:style w:type="paragraph" w:customStyle="1" w:styleId="3348">
    <w:name w:val="列出段落2"/>
    <w:basedOn w:val="1"/>
    <w:qFormat/>
    <w:uiPriority w:val="99"/>
    <w:pPr>
      <w:widowControl/>
      <w:ind w:firstLine="420"/>
      <w:jc w:val="left"/>
    </w:pPr>
    <w:rPr>
      <w:rFonts w:ascii="宋体" w:hAnsi="宋体" w:cs="宋体"/>
      <w:kern w:val="0"/>
      <w:szCs w:val="24"/>
    </w:rPr>
  </w:style>
  <w:style w:type="paragraph" w:customStyle="1" w:styleId="3349">
    <w:name w:val="表内511"/>
    <w:basedOn w:val="1"/>
    <w:qFormat/>
    <w:uiPriority w:val="0"/>
    <w:pPr>
      <w:widowControl/>
      <w:jc w:val="center"/>
    </w:pPr>
    <w:rPr>
      <w:rFonts w:ascii="宋体" w:hAnsi="宋体" w:cs="宋体"/>
      <w:kern w:val="0"/>
      <w:sz w:val="20"/>
      <w:szCs w:val="20"/>
    </w:rPr>
  </w:style>
  <w:style w:type="paragraph" w:customStyle="1" w:styleId="3350">
    <w:name w:val="11111三级标题"/>
    <w:qFormat/>
    <w:uiPriority w:val="0"/>
    <w:pPr>
      <w:spacing w:after="60" w:line="460" w:lineRule="exact"/>
    </w:pPr>
    <w:rPr>
      <w:rFonts w:ascii="Times New Roman" w:hAnsi="Times New Roman" w:eastAsia="宋体" w:cs="Times New Roman"/>
      <w:lang w:val="en-US" w:eastAsia="zh-CN" w:bidi="ar-SA"/>
    </w:rPr>
  </w:style>
  <w:style w:type="paragraph" w:customStyle="1" w:styleId="3351">
    <w:name w:val="样式 三级标题 + 段前: 3 磅 段后: 7.8 磅 行距: 固定值 12 磅"/>
    <w:basedOn w:val="1935"/>
    <w:qFormat/>
    <w:uiPriority w:val="0"/>
    <w:pPr>
      <w:spacing w:before="60" w:after="156" w:line="240" w:lineRule="exact"/>
    </w:pPr>
    <w:rPr>
      <w:rFonts w:cs="宋体"/>
      <w:bCs/>
    </w:rPr>
  </w:style>
  <w:style w:type="paragraph" w:customStyle="1" w:styleId="3352">
    <w:name w:val="表内文字小31212"/>
    <w:basedOn w:val="1"/>
    <w:qFormat/>
    <w:uiPriority w:val="0"/>
    <w:pPr>
      <w:widowControl/>
      <w:jc w:val="center"/>
    </w:pPr>
    <w:rPr>
      <w:rFonts w:ascii="宋体" w:hAnsi="Times" w:cs="宋体"/>
      <w:bCs/>
      <w:color w:val="003366"/>
      <w:kern w:val="0"/>
      <w:szCs w:val="20"/>
    </w:rPr>
  </w:style>
  <w:style w:type="paragraph" w:customStyle="1" w:styleId="3353">
    <w:name w:val="Char1112"/>
    <w:basedOn w:val="1"/>
    <w:qFormat/>
    <w:uiPriority w:val="0"/>
    <w:pPr>
      <w:widowControl/>
      <w:spacing w:before="156"/>
      <w:jc w:val="left"/>
    </w:pPr>
    <w:rPr>
      <w:rFonts w:ascii="黑体" w:hAnsi="宋体" w:eastAsia="黑体" w:cs="宋体"/>
      <w:kern w:val="0"/>
      <w:sz w:val="32"/>
      <w:szCs w:val="32"/>
    </w:rPr>
  </w:style>
  <w:style w:type="paragraph" w:customStyle="1" w:styleId="3354">
    <w:name w:val="文本框五号"/>
    <w:basedOn w:val="98"/>
    <w:qFormat/>
    <w:uiPriority w:val="0"/>
    <w:pPr>
      <w:adjustRightInd w:val="0"/>
      <w:spacing w:line="240" w:lineRule="atLeast"/>
      <w:jc w:val="center"/>
    </w:pPr>
    <w:rPr>
      <w:rFonts w:ascii="Times New Roman" w:hAnsi="Times New Roman" w:eastAsia="仿宋_GB2312" w:cs="Times New Roman"/>
      <w:snapToGrid w:val="0"/>
      <w:color w:val="000000"/>
      <w:szCs w:val="21"/>
    </w:rPr>
  </w:style>
  <w:style w:type="paragraph" w:customStyle="1" w:styleId="3355">
    <w:name w:val="表序号"/>
    <w:basedOn w:val="6"/>
    <w:qFormat/>
    <w:uiPriority w:val="0"/>
    <w:pPr>
      <w:widowControl/>
      <w:numPr>
        <w:ilvl w:val="0"/>
        <w:numId w:val="0"/>
      </w:numPr>
      <w:tabs>
        <w:tab w:val="left" w:pos="0"/>
        <w:tab w:val="left" w:pos="780"/>
      </w:tabs>
      <w:ind w:left="360" w:leftChars="800" w:hanging="1134" w:hangingChars="200"/>
      <w:jc w:val="center"/>
    </w:pPr>
    <w:rPr>
      <w:rFonts w:ascii="宋体" w:hAnsi="Arial" w:cs="宋体"/>
      <w:kern w:val="0"/>
      <w:szCs w:val="24"/>
    </w:rPr>
  </w:style>
  <w:style w:type="paragraph" w:customStyle="1" w:styleId="3356">
    <w:name w:val="样式 表内小5 + 黑体 加粗 倾斜 下划线111"/>
    <w:basedOn w:val="1"/>
    <w:qFormat/>
    <w:uiPriority w:val="0"/>
    <w:pPr>
      <w:widowControl/>
      <w:spacing w:line="300" w:lineRule="auto"/>
      <w:jc w:val="left"/>
    </w:pPr>
    <w:rPr>
      <w:rFonts w:ascii="黑体" w:hAnsi="黑体" w:eastAsia="黑体" w:cs="宋体"/>
      <w:b/>
      <w:bCs/>
      <w:i/>
      <w:iCs/>
      <w:kern w:val="0"/>
      <w:sz w:val="18"/>
      <w:szCs w:val="24"/>
      <w:u w:val="single"/>
    </w:rPr>
  </w:style>
  <w:style w:type="paragraph" w:customStyle="1" w:styleId="3357">
    <w:name w:val="正文修改11"/>
    <w:basedOn w:val="786"/>
    <w:qFormat/>
    <w:uiPriority w:val="0"/>
    <w:rPr>
      <w:rFonts w:hAnsi="宋体" w:eastAsia="宋体" w:cs="宋体"/>
      <w:szCs w:val="24"/>
    </w:rPr>
  </w:style>
  <w:style w:type="paragraph" w:customStyle="1" w:styleId="3358">
    <w:name w:val="燕山正文1132"/>
    <w:basedOn w:val="1"/>
    <w:qFormat/>
    <w:uiPriority w:val="0"/>
    <w:pPr>
      <w:widowControl/>
      <w:tabs>
        <w:tab w:val="left" w:pos="4680"/>
      </w:tabs>
      <w:ind w:firstLine="480"/>
      <w:jc w:val="left"/>
    </w:pPr>
    <w:rPr>
      <w:rFonts w:ascii="宋体" w:hAnsi="宋体" w:cs="宋体"/>
      <w:bCs/>
      <w:snapToGrid w:val="0"/>
      <w:kern w:val="0"/>
      <w:szCs w:val="24"/>
    </w:rPr>
  </w:style>
  <w:style w:type="paragraph" w:customStyle="1" w:styleId="3359">
    <w:name w:val="Char433"/>
    <w:basedOn w:val="1"/>
    <w:qFormat/>
    <w:uiPriority w:val="0"/>
    <w:pPr>
      <w:widowControl/>
      <w:ind w:left="-48"/>
      <w:jc w:val="left"/>
    </w:pPr>
    <w:rPr>
      <w:rFonts w:ascii="宋体" w:hAnsi="宋体" w:cs="宋体"/>
      <w:kern w:val="0"/>
      <w:szCs w:val="24"/>
    </w:rPr>
  </w:style>
  <w:style w:type="paragraph" w:customStyle="1" w:styleId="3360">
    <w:name w:val="样式11111"/>
    <w:basedOn w:val="1586"/>
    <w:qFormat/>
    <w:uiPriority w:val="0"/>
    <w:pPr>
      <w:spacing w:line="240" w:lineRule="auto"/>
      <w:ind w:firstLine="0"/>
      <w:jc w:val="center"/>
    </w:pPr>
    <w:rPr>
      <w:rFonts w:cs="Times New Roman"/>
      <w:b/>
      <w:color w:val="auto"/>
      <w:szCs w:val="20"/>
    </w:rPr>
  </w:style>
  <w:style w:type="paragraph" w:customStyle="1" w:styleId="3361">
    <w:name w:val="引文目录1"/>
    <w:basedOn w:val="1"/>
    <w:next w:val="1"/>
    <w:qFormat/>
    <w:uiPriority w:val="0"/>
    <w:pPr>
      <w:widowControl/>
      <w:ind w:left="420" w:leftChars="200"/>
      <w:jc w:val="left"/>
    </w:pPr>
    <w:rPr>
      <w:rFonts w:ascii="宋体" w:hAnsi="宋体" w:cs="宋体"/>
      <w:kern w:val="0"/>
      <w:szCs w:val="24"/>
    </w:rPr>
  </w:style>
  <w:style w:type="paragraph" w:customStyle="1" w:styleId="3362">
    <w:name w:val="Char Char Char Char Char Char Char212"/>
    <w:basedOn w:val="1"/>
    <w:qFormat/>
    <w:uiPriority w:val="0"/>
    <w:pPr>
      <w:widowControl/>
      <w:jc w:val="left"/>
    </w:pPr>
    <w:rPr>
      <w:rFonts w:ascii="宋体" w:hAnsi="宋体" w:cs="宋体"/>
      <w:kern w:val="0"/>
      <w:szCs w:val="24"/>
    </w:rPr>
  </w:style>
  <w:style w:type="paragraph" w:customStyle="1" w:styleId="3363">
    <w:name w:val="默认段落字体 Para Char8"/>
    <w:basedOn w:val="1"/>
    <w:qFormat/>
    <w:uiPriority w:val="0"/>
    <w:pPr>
      <w:widowControl/>
      <w:jc w:val="left"/>
    </w:pPr>
    <w:rPr>
      <w:rFonts w:ascii="宋体" w:hAnsi="宋体" w:cs="宋体"/>
      <w:kern w:val="0"/>
      <w:szCs w:val="24"/>
    </w:rPr>
  </w:style>
  <w:style w:type="paragraph" w:customStyle="1" w:styleId="3364">
    <w:name w:val="样式 标题 1标题 1宋旭峰标题1章节H1h11headingHeader 1st Pageh1 chapte..."/>
    <w:basedOn w:val="2"/>
    <w:qFormat/>
    <w:uiPriority w:val="0"/>
    <w:pPr>
      <w:numPr>
        <w:numId w:val="0"/>
      </w:numPr>
      <w:spacing w:after="156"/>
      <w:jc w:val="left"/>
    </w:pPr>
    <w:rPr>
      <w:rFonts w:eastAsia="黑体"/>
      <w:kern w:val="0"/>
      <w:sz w:val="32"/>
      <w:szCs w:val="30"/>
    </w:rPr>
  </w:style>
  <w:style w:type="paragraph" w:customStyle="1" w:styleId="3365">
    <w:name w:val="正文格式7"/>
    <w:basedOn w:val="1"/>
    <w:qFormat/>
    <w:uiPriority w:val="0"/>
    <w:pPr>
      <w:widowControl/>
      <w:ind w:firstLine="482"/>
      <w:jc w:val="left"/>
    </w:pPr>
    <w:rPr>
      <w:rFonts w:ascii="宋体" w:hAnsi="宋体" w:cs="宋体"/>
      <w:kern w:val="0"/>
      <w:szCs w:val="24"/>
    </w:rPr>
  </w:style>
  <w:style w:type="paragraph" w:customStyle="1" w:styleId="3366">
    <w:name w:val="样式 正文缩进 + 宋体 黑色 首行缩进:  2 字符3"/>
    <w:basedOn w:val="112"/>
    <w:qFormat/>
    <w:uiPriority w:val="0"/>
    <w:pPr>
      <w:ind w:firstLine="480"/>
    </w:pPr>
    <w:rPr>
      <w:rFonts w:cs="宋体"/>
      <w:color w:val="FF00FF"/>
    </w:rPr>
  </w:style>
  <w:style w:type="paragraph" w:customStyle="1" w:styleId="3367">
    <w:name w:val="标题002"/>
    <w:basedOn w:val="1"/>
    <w:qFormat/>
    <w:uiPriority w:val="0"/>
    <w:pPr>
      <w:spacing w:before="160" w:line="480" w:lineRule="exact"/>
      <w:outlineLvl w:val="1"/>
    </w:pPr>
    <w:rPr>
      <w:b/>
      <w:bCs/>
      <w:szCs w:val="28"/>
    </w:rPr>
  </w:style>
  <w:style w:type="paragraph" w:customStyle="1" w:styleId="3368">
    <w:name w:val="注："/>
    <w:basedOn w:val="98"/>
    <w:next w:val="1"/>
    <w:qFormat/>
    <w:uiPriority w:val="0"/>
    <w:pPr>
      <w:widowControl w:val="0"/>
      <w:tabs>
        <w:tab w:val="left" w:pos="895"/>
      </w:tabs>
      <w:autoSpaceDE w:val="0"/>
      <w:autoSpaceDN w:val="0"/>
      <w:ind w:left="895" w:hanging="420"/>
    </w:pPr>
    <w:rPr>
      <w:rFonts w:ascii="宋体" w:hAnsi="Times New Roman" w:cs="Times New Roman"/>
      <w:color w:val="000000"/>
      <w:sz w:val="18"/>
    </w:rPr>
  </w:style>
  <w:style w:type="paragraph" w:customStyle="1" w:styleId="3369">
    <w:name w:val="表内文字小23"/>
    <w:basedOn w:val="1"/>
    <w:qFormat/>
    <w:uiPriority w:val="0"/>
    <w:pPr>
      <w:widowControl/>
      <w:jc w:val="center"/>
    </w:pPr>
    <w:rPr>
      <w:rFonts w:ascii="宋体" w:hAnsi="Times" w:cs="宋体"/>
      <w:bCs/>
      <w:kern w:val="0"/>
      <w:szCs w:val="20"/>
    </w:rPr>
  </w:style>
  <w:style w:type="paragraph" w:customStyle="1" w:styleId="3370">
    <w:name w:val="默认段落字体 Para Char Char Char Char1111"/>
    <w:basedOn w:val="1"/>
    <w:qFormat/>
    <w:uiPriority w:val="0"/>
    <w:pPr>
      <w:widowControl/>
      <w:jc w:val="left"/>
    </w:pPr>
    <w:rPr>
      <w:rFonts w:ascii="宋体" w:hAnsi="宋体" w:cs="宋体"/>
      <w:kern w:val="0"/>
      <w:szCs w:val="24"/>
    </w:rPr>
  </w:style>
  <w:style w:type="paragraph" w:customStyle="1" w:styleId="3371">
    <w:name w:val="福建正文缩进12"/>
    <w:basedOn w:val="112"/>
    <w:qFormat/>
    <w:uiPriority w:val="0"/>
    <w:pPr>
      <w:ind w:firstLine="567"/>
    </w:pPr>
    <w:rPr>
      <w:rFonts w:hAnsi="Calibri"/>
    </w:rPr>
  </w:style>
  <w:style w:type="paragraph" w:customStyle="1" w:styleId="3372">
    <w:name w:val="正文格式＝3"/>
    <w:basedOn w:val="418"/>
    <w:next w:val="418"/>
    <w:qFormat/>
    <w:uiPriority w:val="0"/>
    <w:rPr>
      <w:rFonts w:hAnsi="宋体"/>
      <w:szCs w:val="24"/>
    </w:rPr>
  </w:style>
  <w:style w:type="paragraph" w:customStyle="1" w:styleId="3373">
    <w:name w:val="正文缩1"/>
    <w:basedOn w:val="1"/>
    <w:qFormat/>
    <w:uiPriority w:val="0"/>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3374">
    <w:name w:val="章标题"/>
    <w:basedOn w:val="98"/>
    <w:next w:val="1"/>
    <w:qFormat/>
    <w:uiPriority w:val="0"/>
    <w:pPr>
      <w:tabs>
        <w:tab w:val="left" w:pos="903"/>
        <w:tab w:val="left" w:pos="1400"/>
      </w:tabs>
      <w:spacing w:before="50" w:after="50"/>
      <w:ind w:left="903" w:hanging="315"/>
      <w:outlineLvl w:val="1"/>
    </w:pPr>
    <w:rPr>
      <w:rFonts w:ascii="黑体" w:hAnsi="Times New Roman" w:eastAsia="黑体" w:cs="Times New Roman"/>
      <w:color w:val="000000"/>
    </w:rPr>
  </w:style>
  <w:style w:type="paragraph" w:customStyle="1" w:styleId="3375">
    <w:name w:val="Char81"/>
    <w:basedOn w:val="1"/>
    <w:qFormat/>
    <w:uiPriority w:val="0"/>
    <w:pPr>
      <w:widowControl/>
      <w:ind w:left="-48"/>
      <w:jc w:val="left"/>
    </w:pPr>
    <w:rPr>
      <w:rFonts w:ascii="宋体" w:hAnsi="宋体" w:cs="宋体"/>
      <w:kern w:val="0"/>
      <w:szCs w:val="24"/>
    </w:rPr>
  </w:style>
  <w:style w:type="paragraph" w:customStyle="1" w:styleId="3376">
    <w:name w:val="xl35"/>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hint="eastAsia" w:ascii="PMingLiU" w:eastAsia="PMingLiU"/>
      <w:kern w:val="0"/>
      <w:sz w:val="16"/>
      <w:szCs w:val="16"/>
      <w:lang w:eastAsia="zh-TW"/>
    </w:rPr>
  </w:style>
  <w:style w:type="paragraph" w:customStyle="1" w:styleId="3377">
    <w:name w:val="Char76"/>
    <w:basedOn w:val="1"/>
    <w:qFormat/>
    <w:uiPriority w:val="0"/>
    <w:pPr>
      <w:widowControl/>
      <w:ind w:left="-48"/>
      <w:jc w:val="left"/>
    </w:pPr>
    <w:rPr>
      <w:rFonts w:ascii="宋体" w:hAnsi="宋体" w:cs="宋体"/>
      <w:kern w:val="0"/>
      <w:szCs w:val="24"/>
    </w:rPr>
  </w:style>
  <w:style w:type="paragraph" w:customStyle="1" w:styleId="3378">
    <w:name w:val="表内文字小32"/>
    <w:basedOn w:val="1"/>
    <w:qFormat/>
    <w:uiPriority w:val="0"/>
    <w:pPr>
      <w:widowControl/>
      <w:jc w:val="center"/>
    </w:pPr>
    <w:rPr>
      <w:rFonts w:ascii="宋体" w:hAnsi="Times" w:cs="宋体"/>
      <w:kern w:val="0"/>
      <w:szCs w:val="20"/>
    </w:rPr>
  </w:style>
  <w:style w:type="paragraph" w:customStyle="1" w:styleId="3379">
    <w:name w:val="燕山正文123"/>
    <w:basedOn w:val="1"/>
    <w:qFormat/>
    <w:uiPriority w:val="0"/>
    <w:pPr>
      <w:widowControl/>
      <w:tabs>
        <w:tab w:val="left" w:pos="4680"/>
      </w:tabs>
      <w:spacing w:line="480" w:lineRule="exact"/>
      <w:jc w:val="left"/>
    </w:pPr>
    <w:rPr>
      <w:rFonts w:ascii="宋体" w:hAnsi="宋体" w:cs="宋体"/>
      <w:kern w:val="0"/>
      <w:szCs w:val="24"/>
    </w:rPr>
  </w:style>
  <w:style w:type="paragraph" w:customStyle="1" w:styleId="3380">
    <w:name w:val="Char Char Char Char Char Char Char171"/>
    <w:basedOn w:val="1"/>
    <w:qFormat/>
    <w:uiPriority w:val="0"/>
    <w:pPr>
      <w:widowControl/>
      <w:jc w:val="left"/>
    </w:pPr>
    <w:rPr>
      <w:rFonts w:ascii="宋体" w:hAnsi="宋体" w:cs="宋体"/>
      <w:kern w:val="0"/>
      <w:szCs w:val="24"/>
    </w:rPr>
  </w:style>
  <w:style w:type="paragraph" w:customStyle="1" w:styleId="3381">
    <w:name w:val="xl2412"/>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3382">
    <w:name w:val="福建正文缩进111"/>
    <w:basedOn w:val="112"/>
    <w:qFormat/>
    <w:uiPriority w:val="0"/>
    <w:pPr>
      <w:ind w:firstLine="567"/>
    </w:pPr>
    <w:rPr>
      <w:rFonts w:hAnsi="Calibri"/>
    </w:rPr>
  </w:style>
  <w:style w:type="paragraph" w:customStyle="1" w:styleId="3383">
    <w:name w:val="Char151"/>
    <w:basedOn w:val="1"/>
    <w:qFormat/>
    <w:uiPriority w:val="0"/>
    <w:pPr>
      <w:widowControl/>
      <w:spacing w:before="156"/>
      <w:jc w:val="left"/>
    </w:pPr>
    <w:rPr>
      <w:rFonts w:ascii="黑体" w:hAnsi="宋体" w:eastAsia="黑体" w:cs="宋体"/>
      <w:kern w:val="0"/>
      <w:sz w:val="32"/>
      <w:szCs w:val="32"/>
    </w:rPr>
  </w:style>
  <w:style w:type="paragraph" w:customStyle="1" w:styleId="3384">
    <w:name w:val="表内5中"/>
    <w:basedOn w:val="1"/>
    <w:qFormat/>
    <w:uiPriority w:val="0"/>
    <w:pPr>
      <w:widowControl/>
      <w:jc w:val="center"/>
    </w:pPr>
    <w:rPr>
      <w:rFonts w:ascii="宋体" w:hAnsi="宋体" w:cs="Arial"/>
      <w:snapToGrid w:val="0"/>
      <w:kern w:val="0"/>
      <w:szCs w:val="21"/>
    </w:rPr>
  </w:style>
  <w:style w:type="paragraph" w:customStyle="1" w:styleId="3385">
    <w:name w:val="样式 标题 4无效格式无效格式1河石管道4H4H41小小节河石管道41H42H411小小节1河石管道42...1"/>
    <w:basedOn w:val="5"/>
    <w:qFormat/>
    <w:uiPriority w:val="0"/>
    <w:pPr>
      <w:numPr>
        <w:ilvl w:val="0"/>
        <w:numId w:val="0"/>
      </w:numPr>
      <w:spacing w:after="0" w:line="360" w:lineRule="auto"/>
      <w:ind w:left="664" w:hanging="864"/>
    </w:pPr>
    <w:rPr>
      <w:rFonts w:ascii="黑体" w:hAnsi="Arial" w:eastAsia="黑体" w:cs="宋体"/>
      <w:b w:val="0"/>
      <w:bCs w:val="0"/>
      <w:kern w:val="2"/>
      <w:sz w:val="24"/>
      <w:szCs w:val="20"/>
    </w:rPr>
  </w:style>
  <w:style w:type="paragraph" w:customStyle="1" w:styleId="3386">
    <w:name w:val="表题3141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387">
    <w:name w:val="表文字5311"/>
    <w:basedOn w:val="1"/>
    <w:qFormat/>
    <w:uiPriority w:val="0"/>
    <w:pPr>
      <w:widowControl/>
      <w:jc w:val="left"/>
      <w:textAlignment w:val="baseline"/>
    </w:pPr>
    <w:rPr>
      <w:rFonts w:ascii="宋体" w:hAnsi="宋体" w:cs="宋体"/>
      <w:kern w:val="0"/>
      <w:szCs w:val="20"/>
    </w:rPr>
  </w:style>
  <w:style w:type="paragraph" w:customStyle="1" w:styleId="3388">
    <w:name w:val="表体宋旭峰"/>
    <w:basedOn w:val="1636"/>
    <w:qFormat/>
    <w:uiPriority w:val="0"/>
    <w:pPr>
      <w:overflowPunct w:val="0"/>
      <w:spacing w:line="280" w:lineRule="atLeast"/>
      <w:jc w:val="center"/>
      <w:textAlignment w:val="baseline"/>
    </w:pPr>
    <w:rPr>
      <w:rFonts w:cs="Courier New"/>
      <w:snapToGrid w:val="0"/>
      <w:kern w:val="24"/>
      <w:sz w:val="18"/>
      <w:szCs w:val="22"/>
    </w:rPr>
  </w:style>
  <w:style w:type="paragraph" w:customStyle="1" w:styleId="3389">
    <w:name w:val="样式11"/>
    <w:basedOn w:val="1"/>
    <w:qFormat/>
    <w:uiPriority w:val="0"/>
    <w:pPr>
      <w:widowControl/>
      <w:spacing w:line="312" w:lineRule="auto"/>
      <w:ind w:left="1275"/>
      <w:jc w:val="left"/>
    </w:pPr>
    <w:rPr>
      <w:rFonts w:ascii="仿宋_GB2312" w:hAnsi="宋体" w:cs="宋体"/>
      <w:kern w:val="0"/>
      <w:szCs w:val="24"/>
    </w:rPr>
  </w:style>
  <w:style w:type="paragraph" w:customStyle="1" w:styleId="3390">
    <w:name w:val="Char152"/>
    <w:basedOn w:val="1"/>
    <w:qFormat/>
    <w:uiPriority w:val="0"/>
    <w:pPr>
      <w:widowControl/>
      <w:spacing w:before="156"/>
      <w:jc w:val="left"/>
    </w:pPr>
    <w:rPr>
      <w:rFonts w:ascii="黑体" w:hAnsi="宋体" w:eastAsia="黑体" w:cs="宋体"/>
      <w:kern w:val="0"/>
      <w:sz w:val="32"/>
      <w:szCs w:val="32"/>
    </w:rPr>
  </w:style>
  <w:style w:type="paragraph" w:customStyle="1" w:styleId="3391">
    <w:name w:val="表内53113"/>
    <w:basedOn w:val="1"/>
    <w:qFormat/>
    <w:uiPriority w:val="0"/>
    <w:pPr>
      <w:widowControl/>
      <w:spacing w:line="300" w:lineRule="auto"/>
      <w:jc w:val="left"/>
    </w:pPr>
    <w:rPr>
      <w:rFonts w:ascii="宋体" w:hAnsi="宋体" w:cs="宋体"/>
      <w:kern w:val="0"/>
      <w:szCs w:val="20"/>
    </w:rPr>
  </w:style>
  <w:style w:type="paragraph" w:customStyle="1" w:styleId="3392">
    <w:name w:val="表内文字小223"/>
    <w:basedOn w:val="1"/>
    <w:qFormat/>
    <w:uiPriority w:val="0"/>
    <w:pPr>
      <w:widowControl/>
      <w:jc w:val="center"/>
    </w:pPr>
    <w:rPr>
      <w:rFonts w:ascii="宋体" w:hAnsi="Times" w:cs="宋体"/>
      <w:bCs/>
      <w:kern w:val="0"/>
      <w:szCs w:val="20"/>
    </w:rPr>
  </w:style>
  <w:style w:type="paragraph" w:customStyle="1" w:styleId="3393">
    <w:name w:val="样式 正文缩进正文缩进 Char正文缩进1 Char正文缩进1正文（首行缩进两字） Char正文缩进 Char Cha..."/>
    <w:basedOn w:val="1"/>
    <w:qFormat/>
    <w:uiPriority w:val="0"/>
    <w:pPr>
      <w:spacing w:before="156"/>
      <w:ind w:firstLine="567"/>
      <w:jc w:val="left"/>
    </w:pPr>
    <w:rPr>
      <w:rFonts w:cs="宋体"/>
      <w:szCs w:val="20"/>
    </w:rPr>
  </w:style>
  <w:style w:type="paragraph" w:customStyle="1" w:styleId="3394">
    <w:name w:val="默认段落字体 Para Char Char Char Char Char Char Char Char Char Char Char Char"/>
    <w:basedOn w:val="1"/>
    <w:qFormat/>
    <w:uiPriority w:val="0"/>
    <w:pPr>
      <w:widowControl/>
      <w:jc w:val="left"/>
    </w:pPr>
    <w:rPr>
      <w:rFonts w:ascii="宋体" w:hAnsi="宋体" w:cs="宋体"/>
      <w:kern w:val="0"/>
      <w:szCs w:val="24"/>
    </w:rPr>
  </w:style>
  <w:style w:type="paragraph" w:customStyle="1" w:styleId="3395">
    <w:name w:val="Char116"/>
    <w:basedOn w:val="1"/>
    <w:qFormat/>
    <w:uiPriority w:val="0"/>
    <w:pPr>
      <w:widowControl/>
      <w:ind w:left="-48"/>
      <w:jc w:val="left"/>
    </w:pPr>
    <w:rPr>
      <w:rFonts w:ascii="宋体" w:hAnsi="宋体" w:cs="宋体"/>
      <w:kern w:val="0"/>
      <w:szCs w:val="24"/>
    </w:rPr>
  </w:style>
  <w:style w:type="paragraph" w:customStyle="1" w:styleId="3396">
    <w:name w:val="图表题3"/>
    <w:basedOn w:val="418"/>
    <w:next w:val="418"/>
    <w:qFormat/>
    <w:uiPriority w:val="0"/>
    <w:pPr>
      <w:ind w:firstLine="0"/>
      <w:jc w:val="center"/>
    </w:pPr>
    <w:rPr>
      <w:rFonts w:ascii="黑体" w:hAnsi="宋体" w:eastAsia="黑体" w:cs="宋体"/>
      <w:b/>
      <w:bCs/>
      <w:szCs w:val="24"/>
    </w:rPr>
  </w:style>
  <w:style w:type="paragraph" w:customStyle="1" w:styleId="3397">
    <w:name w:val="Char131"/>
    <w:basedOn w:val="1"/>
    <w:qFormat/>
    <w:uiPriority w:val="0"/>
    <w:pPr>
      <w:widowControl/>
      <w:ind w:left="-48"/>
      <w:jc w:val="left"/>
    </w:pPr>
    <w:rPr>
      <w:rFonts w:ascii="宋体" w:hAnsi="宋体" w:cs="宋体"/>
      <w:kern w:val="0"/>
      <w:szCs w:val="24"/>
    </w:rPr>
  </w:style>
  <w:style w:type="paragraph" w:customStyle="1" w:styleId="3398">
    <w:name w:val="正文.5"/>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3399">
    <w:name w:val="正文格式821"/>
    <w:basedOn w:val="1"/>
    <w:qFormat/>
    <w:uiPriority w:val="0"/>
    <w:pPr>
      <w:widowControl/>
      <w:ind w:firstLine="482"/>
      <w:jc w:val="left"/>
    </w:pPr>
    <w:rPr>
      <w:rFonts w:ascii="宋体" w:hAnsi="宋体" w:cs="宋体"/>
      <w:kern w:val="0"/>
      <w:szCs w:val="24"/>
    </w:rPr>
  </w:style>
  <w:style w:type="paragraph" w:customStyle="1" w:styleId="3400">
    <w:name w:val="Char416"/>
    <w:basedOn w:val="1"/>
    <w:qFormat/>
    <w:uiPriority w:val="0"/>
    <w:pPr>
      <w:widowControl/>
      <w:ind w:left="-48"/>
      <w:jc w:val="left"/>
    </w:pPr>
    <w:rPr>
      <w:rFonts w:ascii="宋体" w:hAnsi="宋体" w:cs="宋体"/>
      <w:kern w:val="0"/>
      <w:szCs w:val="24"/>
    </w:rPr>
  </w:style>
  <w:style w:type="paragraph" w:customStyle="1" w:styleId="3401">
    <w:name w:val="样式 表内小5 + 黑体 加粗 倾斜 下划线21"/>
    <w:basedOn w:val="1"/>
    <w:qFormat/>
    <w:uiPriority w:val="0"/>
    <w:pPr>
      <w:widowControl/>
      <w:spacing w:line="300" w:lineRule="auto"/>
      <w:jc w:val="left"/>
    </w:pPr>
    <w:rPr>
      <w:rFonts w:ascii="黑体" w:hAnsi="黑体" w:eastAsia="黑体" w:cs="宋体"/>
      <w:b/>
      <w:bCs/>
      <w:i/>
      <w:iCs/>
      <w:kern w:val="0"/>
      <w:sz w:val="18"/>
      <w:szCs w:val="24"/>
      <w:u w:val="single"/>
    </w:rPr>
  </w:style>
  <w:style w:type="paragraph" w:customStyle="1" w:styleId="3402">
    <w:name w:val="表内5411"/>
    <w:basedOn w:val="1"/>
    <w:qFormat/>
    <w:uiPriority w:val="0"/>
    <w:pPr>
      <w:widowControl/>
      <w:spacing w:line="300" w:lineRule="auto"/>
      <w:jc w:val="center"/>
    </w:pPr>
    <w:rPr>
      <w:rFonts w:ascii="宋体" w:hAnsi="宋体" w:cs="宋体"/>
      <w:kern w:val="0"/>
      <w:szCs w:val="20"/>
    </w:rPr>
  </w:style>
  <w:style w:type="paragraph" w:customStyle="1" w:styleId="3403">
    <w:name w:val="左侧"/>
    <w:basedOn w:val="98"/>
    <w:qFormat/>
    <w:uiPriority w:val="0"/>
    <w:pPr>
      <w:spacing w:line="280" w:lineRule="exact"/>
      <w:jc w:val="center"/>
    </w:pPr>
    <w:rPr>
      <w:rFonts w:ascii="Batang" w:hAnsi="Batang" w:cs="Times New Roman"/>
      <w:color w:val="000000"/>
    </w:rPr>
  </w:style>
  <w:style w:type="paragraph" w:customStyle="1" w:styleId="3404">
    <w:name w:val="Char2311"/>
    <w:basedOn w:val="1"/>
    <w:qFormat/>
    <w:uiPriority w:val="0"/>
    <w:pPr>
      <w:widowControl/>
      <w:ind w:left="-48"/>
      <w:jc w:val="left"/>
    </w:pPr>
    <w:rPr>
      <w:rFonts w:ascii="宋体" w:hAnsi="宋体" w:cs="宋体"/>
      <w:kern w:val="0"/>
      <w:szCs w:val="24"/>
    </w:rPr>
  </w:style>
  <w:style w:type="paragraph" w:customStyle="1" w:styleId="3405">
    <w:name w:val="表中文字1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406">
    <w:name w:val="正文修改41"/>
    <w:basedOn w:val="786"/>
    <w:qFormat/>
    <w:uiPriority w:val="0"/>
    <w:rPr>
      <w:rFonts w:hAnsi="宋体" w:eastAsia="宋体" w:cs="宋体"/>
      <w:szCs w:val="24"/>
    </w:rPr>
  </w:style>
  <w:style w:type="paragraph" w:customStyle="1" w:styleId="3407">
    <w:name w:val="Char227"/>
    <w:basedOn w:val="1"/>
    <w:qFormat/>
    <w:uiPriority w:val="0"/>
    <w:pPr>
      <w:widowControl/>
      <w:ind w:left="-48"/>
      <w:jc w:val="left"/>
    </w:pPr>
    <w:rPr>
      <w:rFonts w:ascii="宋体" w:hAnsi="宋体" w:cs="宋体"/>
      <w:kern w:val="0"/>
      <w:szCs w:val="24"/>
    </w:rPr>
  </w:style>
  <w:style w:type="paragraph" w:customStyle="1" w:styleId="3408">
    <w:name w:val="xl29"/>
    <w:basedOn w:val="1"/>
    <w:qFormat/>
    <w:uiPriority w:val="0"/>
    <w:pPr>
      <w:widowControl/>
      <w:pBdr>
        <w:top w:val="single" w:color="auto" w:sz="4" w:space="0"/>
        <w:left w:val="single" w:color="auto" w:sz="4" w:space="0"/>
        <w:bottom w:val="single" w:color="auto" w:sz="4" w:space="0"/>
        <w:right w:val="double" w:color="auto" w:sz="6" w:space="0"/>
      </w:pBdr>
      <w:spacing w:before="100" w:beforeAutospacing="1" w:after="100" w:afterAutospacing="1"/>
      <w:jc w:val="center"/>
      <w:textAlignment w:val="center"/>
    </w:pPr>
    <w:rPr>
      <w:rFonts w:hint="eastAsia" w:ascii="PMingLiU" w:eastAsia="PMingLiU"/>
      <w:kern w:val="0"/>
      <w:sz w:val="16"/>
      <w:szCs w:val="16"/>
      <w:lang w:eastAsia="zh-TW"/>
    </w:rPr>
  </w:style>
  <w:style w:type="paragraph" w:customStyle="1" w:styleId="3409">
    <w:name w:val="Char Char Char Char Char Char Char124"/>
    <w:basedOn w:val="1"/>
    <w:qFormat/>
    <w:uiPriority w:val="0"/>
    <w:pPr>
      <w:widowControl/>
      <w:jc w:val="left"/>
    </w:pPr>
    <w:rPr>
      <w:rFonts w:ascii="宋体" w:hAnsi="宋体" w:cs="宋体"/>
      <w:kern w:val="0"/>
      <w:szCs w:val="24"/>
    </w:rPr>
  </w:style>
  <w:style w:type="paragraph" w:customStyle="1" w:styleId="3410">
    <w:name w:val="Char Char Char Char Char Char Char Char1 Char Char Char Char Char Char Char Char Char Char Char Char1"/>
    <w:basedOn w:val="1"/>
    <w:qFormat/>
    <w:uiPriority w:val="0"/>
    <w:pPr>
      <w:widowControl/>
      <w:jc w:val="left"/>
    </w:pPr>
    <w:rPr>
      <w:rFonts w:ascii="宋体" w:hAnsi="宋体" w:cs="宋体"/>
      <w:kern w:val="0"/>
      <w:szCs w:val="24"/>
    </w:rPr>
  </w:style>
  <w:style w:type="paragraph" w:customStyle="1" w:styleId="3411">
    <w:name w:val="标题43111"/>
    <w:basedOn w:val="1"/>
    <w:qFormat/>
    <w:uiPriority w:val="0"/>
    <w:pPr>
      <w:widowControl/>
      <w:spacing w:line="480" w:lineRule="exact"/>
      <w:jc w:val="center"/>
    </w:pPr>
    <w:rPr>
      <w:rFonts w:ascii="宋体" w:hAnsi="宋体" w:cs="宋体"/>
      <w:kern w:val="0"/>
      <w:szCs w:val="24"/>
    </w:rPr>
  </w:style>
  <w:style w:type="paragraph" w:customStyle="1" w:styleId="3412">
    <w:name w:val="正文格式2112"/>
    <w:basedOn w:val="1"/>
    <w:qFormat/>
    <w:uiPriority w:val="0"/>
    <w:pPr>
      <w:widowControl/>
      <w:ind w:firstLine="482"/>
      <w:jc w:val="left"/>
    </w:pPr>
    <w:rPr>
      <w:rFonts w:ascii="宋体" w:hAnsi="宋体" w:cs="宋体"/>
      <w:kern w:val="0"/>
      <w:szCs w:val="24"/>
    </w:rPr>
  </w:style>
  <w:style w:type="paragraph" w:customStyle="1" w:styleId="3413">
    <w:name w:val="正文修改3"/>
    <w:basedOn w:val="786"/>
    <w:qFormat/>
    <w:uiPriority w:val="0"/>
    <w:rPr>
      <w:rFonts w:hAnsi="宋体" w:eastAsia="宋体" w:cs="宋体"/>
      <w:szCs w:val="24"/>
    </w:rPr>
  </w:style>
  <w:style w:type="paragraph" w:customStyle="1" w:styleId="3414">
    <w:name w:val="样式112"/>
    <w:basedOn w:val="1586"/>
    <w:qFormat/>
    <w:uiPriority w:val="0"/>
    <w:pPr>
      <w:spacing w:line="240" w:lineRule="auto"/>
      <w:ind w:firstLine="0"/>
      <w:jc w:val="center"/>
    </w:pPr>
    <w:rPr>
      <w:rFonts w:cs="Times New Roman"/>
      <w:b/>
      <w:color w:val="auto"/>
      <w:szCs w:val="20"/>
    </w:rPr>
  </w:style>
  <w:style w:type="paragraph" w:customStyle="1" w:styleId="3415">
    <w:name w:val="默认段落字体 Para Char Char Char Char61"/>
    <w:basedOn w:val="1"/>
    <w:qFormat/>
    <w:uiPriority w:val="0"/>
    <w:pPr>
      <w:widowControl/>
      <w:jc w:val="left"/>
    </w:pPr>
    <w:rPr>
      <w:rFonts w:ascii="宋体" w:hAnsi="宋体" w:cs="宋体"/>
      <w:kern w:val="0"/>
      <w:szCs w:val="24"/>
    </w:rPr>
  </w:style>
  <w:style w:type="paragraph" w:customStyle="1" w:styleId="3416">
    <w:name w:val="标题414"/>
    <w:basedOn w:val="5"/>
    <w:next w:val="1"/>
    <w:qFormat/>
    <w:uiPriority w:val="0"/>
    <w:pPr>
      <w:numPr>
        <w:ilvl w:val="0"/>
        <w:numId w:val="0"/>
      </w:numPr>
      <w:spacing w:before="160" w:after="170" w:line="360" w:lineRule="auto"/>
    </w:pPr>
    <w:rPr>
      <w:rFonts w:ascii="黑体" w:hAnsi="Arial" w:eastAsia="黑体"/>
      <w:kern w:val="2"/>
      <w:sz w:val="24"/>
    </w:rPr>
  </w:style>
  <w:style w:type="paragraph" w:customStyle="1" w:styleId="3417">
    <w:name w:val="燕山正文1124"/>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3418">
    <w:name w:val="表中文字213"/>
    <w:basedOn w:val="1"/>
    <w:qFormat/>
    <w:uiPriority w:val="0"/>
    <w:pPr>
      <w:widowControl/>
      <w:spacing w:line="240" w:lineRule="atLeast"/>
      <w:ind w:right="-42" w:rightChars="-20"/>
      <w:jc w:val="center"/>
      <w:textAlignment w:val="baseline"/>
    </w:pPr>
    <w:rPr>
      <w:rFonts w:ascii="宋体" w:hAnsi="宋体" w:cs="宋体"/>
      <w:kern w:val="0"/>
      <w:szCs w:val="21"/>
    </w:rPr>
  </w:style>
  <w:style w:type="paragraph" w:customStyle="1" w:styleId="3419">
    <w:name w:val="表题1122"/>
    <w:basedOn w:val="17"/>
    <w:qFormat/>
    <w:uiPriority w:val="0"/>
    <w:pPr>
      <w:widowControl/>
      <w:ind w:firstLine="0" w:firstLineChars="0"/>
      <w:jc w:val="center"/>
    </w:pPr>
    <w:rPr>
      <w:rFonts w:ascii="黑体" w:cs="Arial"/>
    </w:rPr>
  </w:style>
  <w:style w:type="paragraph" w:customStyle="1" w:styleId="3420">
    <w:name w:val="表中文字412"/>
    <w:basedOn w:val="1"/>
    <w:qFormat/>
    <w:uiPriority w:val="0"/>
    <w:pPr>
      <w:widowControl/>
      <w:spacing w:line="340" w:lineRule="exact"/>
      <w:ind w:firstLine="480"/>
      <w:jc w:val="center"/>
    </w:pPr>
    <w:rPr>
      <w:rFonts w:ascii="Arial" w:hAnsi="Arial" w:cs="宋体"/>
      <w:kern w:val="0"/>
      <w:sz w:val="20"/>
      <w:szCs w:val="24"/>
      <w:lang w:eastAsia="zh-TW"/>
    </w:rPr>
  </w:style>
  <w:style w:type="paragraph" w:customStyle="1" w:styleId="3421">
    <w:name w:val="表中文字32"/>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422">
    <w:name w:val="表格内字体43"/>
    <w:basedOn w:val="418"/>
    <w:next w:val="418"/>
    <w:qFormat/>
    <w:uiPriority w:val="0"/>
    <w:pPr>
      <w:spacing w:line="240" w:lineRule="auto"/>
      <w:ind w:firstLine="0"/>
      <w:jc w:val="center"/>
    </w:pPr>
    <w:rPr>
      <w:rFonts w:hAnsi="宋体"/>
      <w:sz w:val="21"/>
      <w:szCs w:val="24"/>
    </w:rPr>
  </w:style>
  <w:style w:type="paragraph" w:customStyle="1" w:styleId="3423">
    <w:name w:val="目录1"/>
    <w:basedOn w:val="43"/>
    <w:next w:val="43"/>
    <w:qFormat/>
    <w:uiPriority w:val="0"/>
    <w:pPr>
      <w:widowControl/>
      <w:tabs>
        <w:tab w:val="left" w:leader="dot" w:pos="8492"/>
        <w:tab w:val="right" w:leader="dot" w:pos="8525"/>
      </w:tabs>
      <w:spacing w:before="120" w:after="156" w:line="360" w:lineRule="auto"/>
      <w:jc w:val="left"/>
      <w:textAlignment w:val="baseline"/>
    </w:pPr>
    <w:rPr>
      <w:rFonts w:ascii="宋体" w:hAnsi="Times New Roman"/>
      <w:b w:val="0"/>
      <w:bCs/>
      <w:caps/>
      <w:kern w:val="0"/>
      <w:szCs w:val="20"/>
    </w:rPr>
  </w:style>
  <w:style w:type="paragraph" w:customStyle="1" w:styleId="3424">
    <w:name w:val="列表 51"/>
    <w:basedOn w:val="1"/>
    <w:qFormat/>
    <w:uiPriority w:val="0"/>
    <w:pPr>
      <w:widowControl/>
      <w:ind w:left="100" w:leftChars="800" w:hanging="200" w:hangingChars="200"/>
      <w:jc w:val="left"/>
    </w:pPr>
    <w:rPr>
      <w:rFonts w:ascii="宋体" w:hAnsi="宋体" w:cs="宋体"/>
      <w:kern w:val="0"/>
      <w:szCs w:val="24"/>
    </w:rPr>
  </w:style>
  <w:style w:type="paragraph" w:customStyle="1" w:styleId="3425">
    <w:name w:val="表格内字体33"/>
    <w:basedOn w:val="418"/>
    <w:next w:val="418"/>
    <w:qFormat/>
    <w:uiPriority w:val="0"/>
    <w:pPr>
      <w:spacing w:line="240" w:lineRule="auto"/>
      <w:ind w:firstLine="0"/>
      <w:jc w:val="center"/>
    </w:pPr>
    <w:rPr>
      <w:rFonts w:hAnsi="宋体"/>
      <w:sz w:val="21"/>
      <w:szCs w:val="24"/>
    </w:rPr>
  </w:style>
  <w:style w:type="paragraph" w:customStyle="1" w:styleId="3426">
    <w:name w:val="表中文字52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427">
    <w:name w:val="样式 表内小5 + 黑体 加粗 倾斜 下划线13"/>
    <w:basedOn w:val="1"/>
    <w:qFormat/>
    <w:uiPriority w:val="0"/>
    <w:pPr>
      <w:widowControl/>
      <w:spacing w:line="300" w:lineRule="auto"/>
      <w:jc w:val="left"/>
    </w:pPr>
    <w:rPr>
      <w:rFonts w:ascii="黑体" w:hAnsi="黑体" w:eastAsia="黑体" w:cs="宋体"/>
      <w:b/>
      <w:bCs/>
      <w:i/>
      <w:iCs/>
      <w:kern w:val="0"/>
      <w:sz w:val="18"/>
      <w:szCs w:val="24"/>
      <w:u w:val="single"/>
    </w:rPr>
  </w:style>
  <w:style w:type="paragraph" w:customStyle="1" w:styleId="3428">
    <w:name w:val="二级无标题条"/>
    <w:basedOn w:val="1"/>
    <w:qFormat/>
    <w:uiPriority w:val="0"/>
    <w:pPr>
      <w:widowControl/>
      <w:jc w:val="left"/>
    </w:pPr>
    <w:rPr>
      <w:rFonts w:ascii="宋体" w:hAnsi="宋体" w:cs="宋体"/>
      <w:kern w:val="0"/>
      <w:szCs w:val="24"/>
    </w:rPr>
  </w:style>
  <w:style w:type="paragraph" w:customStyle="1" w:styleId="3429">
    <w:name w:val="谏壁标题4(chen)"/>
    <w:basedOn w:val="1"/>
    <w:qFormat/>
    <w:uiPriority w:val="0"/>
    <w:pPr>
      <w:widowControl/>
      <w:spacing w:before="156"/>
      <w:jc w:val="left"/>
      <w:outlineLvl w:val="3"/>
    </w:pPr>
    <w:rPr>
      <w:rFonts w:ascii="宋体" w:hAnsi="宋体" w:eastAsia="楷体_GB2312" w:cs="宋体"/>
      <w:kern w:val="0"/>
      <w:szCs w:val="24"/>
    </w:rPr>
  </w:style>
  <w:style w:type="paragraph" w:customStyle="1" w:styleId="3430">
    <w:name w:val="Char Char2 Char Char Char Char19"/>
    <w:basedOn w:val="1"/>
    <w:qFormat/>
    <w:uiPriority w:val="0"/>
    <w:pPr>
      <w:widowControl/>
      <w:jc w:val="left"/>
    </w:pPr>
    <w:rPr>
      <w:rFonts w:ascii="宋体" w:hAnsi="宋体" w:cs="宋体"/>
      <w:kern w:val="0"/>
      <w:szCs w:val="24"/>
    </w:rPr>
  </w:style>
  <w:style w:type="paragraph" w:customStyle="1" w:styleId="3431">
    <w:name w:val="表题41"/>
    <w:basedOn w:val="752"/>
    <w:qFormat/>
    <w:uiPriority w:val="0"/>
    <w:pPr>
      <w:widowControl/>
      <w:tabs>
        <w:tab w:val="left" w:pos="4305"/>
      </w:tabs>
      <w:spacing w:after="0"/>
      <w:ind w:left="0" w:leftChars="0" w:firstLine="561" w:firstLineChars="0"/>
      <w:jc w:val="left"/>
    </w:pPr>
    <w:rPr>
      <w:rFonts w:ascii="宋体" w:hAnsi="宋体" w:cs="宋体"/>
      <w:sz w:val="24"/>
      <w:szCs w:val="24"/>
    </w:rPr>
  </w:style>
  <w:style w:type="paragraph" w:customStyle="1" w:styleId="3432">
    <w:name w:val="表格内字体1111"/>
    <w:basedOn w:val="418"/>
    <w:qFormat/>
    <w:uiPriority w:val="0"/>
    <w:pPr>
      <w:spacing w:line="240" w:lineRule="auto"/>
      <w:ind w:firstLine="0"/>
      <w:jc w:val="center"/>
    </w:pPr>
    <w:rPr>
      <w:rFonts w:hAnsi="Times New Roman" w:cs="宋体"/>
      <w:sz w:val="21"/>
      <w:szCs w:val="20"/>
    </w:rPr>
  </w:style>
  <w:style w:type="paragraph" w:customStyle="1" w:styleId="3433">
    <w:name w:val="燕山正文133"/>
    <w:basedOn w:val="1"/>
    <w:qFormat/>
    <w:uiPriority w:val="0"/>
    <w:pPr>
      <w:widowControl/>
      <w:tabs>
        <w:tab w:val="left" w:pos="4680"/>
      </w:tabs>
      <w:ind w:firstLine="480"/>
      <w:jc w:val="left"/>
    </w:pPr>
    <w:rPr>
      <w:rFonts w:ascii="宋体" w:hAnsi="宋体" w:cs="宋体"/>
      <w:bCs/>
      <w:kern w:val="0"/>
      <w:szCs w:val="24"/>
    </w:rPr>
  </w:style>
  <w:style w:type="paragraph" w:customStyle="1" w:styleId="3434">
    <w:name w:val="表内宋5中111"/>
    <w:basedOn w:val="1"/>
    <w:qFormat/>
    <w:uiPriority w:val="0"/>
    <w:pPr>
      <w:widowControl/>
      <w:jc w:val="center"/>
      <w:textAlignment w:val="baseline"/>
    </w:pPr>
    <w:rPr>
      <w:rFonts w:ascii="宋体" w:hAnsi="宋体" w:cs="宋体"/>
      <w:kern w:val="0"/>
      <w:szCs w:val="20"/>
    </w:rPr>
  </w:style>
  <w:style w:type="paragraph" w:customStyle="1" w:styleId="3435">
    <w:name w:val="Char Char Char Char Char Char Char44"/>
    <w:basedOn w:val="1"/>
    <w:qFormat/>
    <w:uiPriority w:val="0"/>
    <w:pPr>
      <w:widowControl/>
      <w:jc w:val="left"/>
    </w:pPr>
    <w:rPr>
      <w:rFonts w:ascii="宋体" w:hAnsi="宋体" w:cs="宋体"/>
      <w:kern w:val="0"/>
      <w:szCs w:val="24"/>
    </w:rPr>
  </w:style>
  <w:style w:type="paragraph" w:customStyle="1" w:styleId="3436">
    <w:name w:val="式样"/>
    <w:basedOn w:val="1"/>
    <w:next w:val="41"/>
    <w:qFormat/>
    <w:uiPriority w:val="0"/>
    <w:rPr>
      <w:szCs w:val="20"/>
    </w:rPr>
  </w:style>
  <w:style w:type="paragraph" w:customStyle="1" w:styleId="3437">
    <w:name w:val="Char Char Char Char Char Char Char Char1 Char Char Char Char Char Char Char Char Char Char Char Char"/>
    <w:basedOn w:val="1"/>
    <w:qFormat/>
    <w:uiPriority w:val="0"/>
    <w:pPr>
      <w:widowControl/>
      <w:jc w:val="left"/>
    </w:pPr>
    <w:rPr>
      <w:rFonts w:ascii="宋体" w:hAnsi="宋体" w:cs="宋体"/>
      <w:kern w:val="0"/>
      <w:szCs w:val="24"/>
    </w:rPr>
  </w:style>
  <w:style w:type="paragraph" w:customStyle="1" w:styleId="3438">
    <w:name w:val="燕山正文52"/>
    <w:basedOn w:val="1"/>
    <w:qFormat/>
    <w:uiPriority w:val="0"/>
    <w:pPr>
      <w:widowControl/>
      <w:tabs>
        <w:tab w:val="left" w:pos="4680"/>
      </w:tabs>
      <w:spacing w:line="480" w:lineRule="exact"/>
      <w:jc w:val="left"/>
    </w:pPr>
    <w:rPr>
      <w:rFonts w:ascii="宋体" w:hAnsi="宋体" w:cs="宋体"/>
      <w:kern w:val="0"/>
      <w:szCs w:val="24"/>
    </w:rPr>
  </w:style>
  <w:style w:type="paragraph" w:customStyle="1" w:styleId="3439">
    <w:name w:val="表内541"/>
    <w:basedOn w:val="1"/>
    <w:qFormat/>
    <w:uiPriority w:val="0"/>
    <w:pPr>
      <w:widowControl/>
      <w:spacing w:line="300" w:lineRule="auto"/>
      <w:jc w:val="center"/>
    </w:pPr>
    <w:rPr>
      <w:rFonts w:ascii="宋体" w:hAnsi="宋体" w:cs="宋体"/>
      <w:kern w:val="0"/>
      <w:szCs w:val="20"/>
    </w:rPr>
  </w:style>
  <w:style w:type="paragraph" w:customStyle="1" w:styleId="3440">
    <w:name w:val="正文格式＝311"/>
    <w:basedOn w:val="418"/>
    <w:next w:val="418"/>
    <w:qFormat/>
    <w:uiPriority w:val="0"/>
    <w:rPr>
      <w:rFonts w:hAnsi="宋体"/>
      <w:szCs w:val="24"/>
    </w:rPr>
  </w:style>
  <w:style w:type="paragraph" w:customStyle="1" w:styleId="3441">
    <w:name w:val="a1"/>
    <w:basedOn w:val="1"/>
    <w:qFormat/>
    <w:uiPriority w:val="0"/>
    <w:pPr>
      <w:widowControl/>
      <w:spacing w:before="100" w:beforeAutospacing="1" w:after="100" w:afterAutospacing="1"/>
      <w:jc w:val="left"/>
    </w:pPr>
    <w:rPr>
      <w:rFonts w:ascii="宋体" w:hAnsi="宋体" w:cs="宋体"/>
      <w:kern w:val="0"/>
      <w:szCs w:val="24"/>
    </w:rPr>
  </w:style>
  <w:style w:type="paragraph" w:customStyle="1" w:styleId="3442">
    <w:name w:val="表内文字小312"/>
    <w:basedOn w:val="1"/>
    <w:qFormat/>
    <w:uiPriority w:val="0"/>
    <w:pPr>
      <w:widowControl/>
      <w:jc w:val="center"/>
    </w:pPr>
    <w:rPr>
      <w:rFonts w:ascii="宋体" w:hAnsi="Times" w:cs="宋体"/>
      <w:bCs/>
      <w:color w:val="003366"/>
      <w:kern w:val="0"/>
      <w:szCs w:val="20"/>
    </w:rPr>
  </w:style>
  <w:style w:type="paragraph" w:customStyle="1" w:styleId="3443">
    <w:name w:val="表中文字413"/>
    <w:basedOn w:val="1"/>
    <w:qFormat/>
    <w:uiPriority w:val="0"/>
    <w:pPr>
      <w:widowControl/>
      <w:spacing w:line="340" w:lineRule="exact"/>
      <w:ind w:firstLine="480"/>
      <w:jc w:val="center"/>
    </w:pPr>
    <w:rPr>
      <w:rFonts w:ascii="Arial" w:hAnsi="Arial" w:cs="宋体"/>
      <w:kern w:val="0"/>
      <w:sz w:val="20"/>
      <w:szCs w:val="24"/>
      <w:lang w:eastAsia="zh-TW"/>
    </w:rPr>
  </w:style>
  <w:style w:type="paragraph" w:customStyle="1" w:styleId="3444">
    <w:name w:val="正文居中"/>
    <w:basedOn w:val="482"/>
    <w:qFormat/>
    <w:uiPriority w:val="0"/>
    <w:pPr>
      <w:spacing w:before="48" w:after="0" w:line="360" w:lineRule="auto"/>
      <w:ind w:firstLine="480" w:firstLineChars="200"/>
      <w:jc w:val="left"/>
      <w:textAlignment w:val="baseline"/>
    </w:pPr>
    <w:rPr>
      <w:szCs w:val="24"/>
      <w:lang w:val="zh-CN"/>
    </w:rPr>
  </w:style>
  <w:style w:type="paragraph" w:customStyle="1" w:styleId="3445">
    <w:name w:val="2级标题"/>
    <w:basedOn w:val="3"/>
    <w:qFormat/>
    <w:uiPriority w:val="0"/>
    <w:pPr>
      <w:keepNext w:val="0"/>
      <w:keepLines w:val="0"/>
      <w:numPr>
        <w:ilvl w:val="0"/>
        <w:numId w:val="0"/>
      </w:numPr>
      <w:tabs>
        <w:tab w:val="left" w:pos="3564"/>
      </w:tabs>
      <w:spacing w:before="50" w:after="0" w:line="240" w:lineRule="auto"/>
    </w:pPr>
    <w:rPr>
      <w:rFonts w:ascii="黑体" w:hAnsi="Arial" w:eastAsia="黑体"/>
      <w:b w:val="0"/>
      <w:bCs w:val="0"/>
      <w:snapToGrid w:val="0"/>
      <w:sz w:val="30"/>
      <w:szCs w:val="28"/>
    </w:rPr>
  </w:style>
  <w:style w:type="paragraph" w:customStyle="1" w:styleId="3446">
    <w:name w:val="燕山正文511"/>
    <w:basedOn w:val="1"/>
    <w:qFormat/>
    <w:uiPriority w:val="0"/>
    <w:pPr>
      <w:widowControl/>
      <w:tabs>
        <w:tab w:val="left" w:pos="4680"/>
      </w:tabs>
      <w:spacing w:line="480" w:lineRule="exact"/>
      <w:jc w:val="left"/>
    </w:pPr>
    <w:rPr>
      <w:rFonts w:ascii="宋体" w:hAnsi="宋体" w:cs="宋体"/>
      <w:kern w:val="0"/>
      <w:szCs w:val="24"/>
    </w:rPr>
  </w:style>
  <w:style w:type="paragraph" w:customStyle="1" w:styleId="3447">
    <w:name w:val="xl55"/>
    <w:basedOn w:val="1"/>
    <w:qFormat/>
    <w:uiPriority w:val="0"/>
    <w:pPr>
      <w:widowControl/>
      <w:pBdr>
        <w:top w:val="double" w:color="auto" w:sz="6" w:space="0"/>
        <w:left w:val="double" w:color="auto" w:sz="6" w:space="0"/>
        <w:right w:val="single" w:color="auto" w:sz="4" w:space="0"/>
      </w:pBdr>
      <w:spacing w:before="100" w:beforeAutospacing="1" w:after="100" w:afterAutospacing="1"/>
      <w:jc w:val="center"/>
      <w:textAlignment w:val="center"/>
    </w:pPr>
    <w:rPr>
      <w:rFonts w:hint="eastAsia" w:ascii="PMingLiU" w:eastAsia="PMingLiU"/>
      <w:kern w:val="0"/>
      <w:sz w:val="16"/>
      <w:szCs w:val="16"/>
      <w:lang w:eastAsia="zh-TW"/>
    </w:rPr>
  </w:style>
  <w:style w:type="paragraph" w:customStyle="1" w:styleId="3448">
    <w:name w:val="Char Char Char Char Char Char Char Char Char Char Char Char Char Char Char Char Char"/>
    <w:basedOn w:val="1"/>
    <w:qFormat/>
    <w:uiPriority w:val="0"/>
    <w:pPr>
      <w:widowControl/>
      <w:jc w:val="left"/>
    </w:pPr>
    <w:rPr>
      <w:rFonts w:ascii="宋体" w:hAnsi="宋体" w:cs="宋体"/>
      <w:kern w:val="0"/>
      <w:szCs w:val="24"/>
    </w:rPr>
  </w:style>
  <w:style w:type="paragraph" w:customStyle="1" w:styleId="3449">
    <w:name w:val="表题131"/>
    <w:basedOn w:val="17"/>
    <w:qFormat/>
    <w:uiPriority w:val="0"/>
    <w:pPr>
      <w:widowControl/>
      <w:ind w:firstLine="0" w:firstLineChars="0"/>
      <w:jc w:val="center"/>
    </w:pPr>
    <w:rPr>
      <w:rFonts w:ascii="黑体" w:cs="Arial"/>
      <w:b/>
    </w:rPr>
  </w:style>
  <w:style w:type="paragraph" w:customStyle="1" w:styleId="3450">
    <w:name w:val="正文楷体"/>
    <w:basedOn w:val="1"/>
    <w:qFormat/>
    <w:uiPriority w:val="0"/>
    <w:rPr>
      <w:rFonts w:eastAsia="楷体_GB2312"/>
      <w:szCs w:val="24"/>
    </w:rPr>
  </w:style>
  <w:style w:type="paragraph" w:customStyle="1" w:styleId="3451">
    <w:name w:val="Char912"/>
    <w:basedOn w:val="1"/>
    <w:qFormat/>
    <w:uiPriority w:val="0"/>
    <w:pPr>
      <w:widowControl/>
      <w:ind w:left="-48"/>
      <w:jc w:val="left"/>
    </w:pPr>
    <w:rPr>
      <w:rFonts w:ascii="宋体" w:hAnsi="宋体" w:cs="宋体"/>
      <w:kern w:val="0"/>
      <w:szCs w:val="24"/>
    </w:rPr>
  </w:style>
  <w:style w:type="paragraph" w:customStyle="1" w:styleId="3452">
    <w:name w:val="正文图小四"/>
    <w:basedOn w:val="1"/>
    <w:qFormat/>
    <w:uiPriority w:val="0"/>
    <w:pPr>
      <w:widowControl/>
      <w:jc w:val="center"/>
      <w:textAlignment w:val="baseline"/>
    </w:pPr>
    <w:rPr>
      <w:rFonts w:ascii="宋体" w:hAnsi="宋体" w:cs="宋体"/>
      <w:kern w:val="0"/>
      <w:szCs w:val="24"/>
    </w:rPr>
  </w:style>
  <w:style w:type="paragraph" w:customStyle="1" w:styleId="3453">
    <w:name w:val="默认段落字体 Para Char5"/>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3454">
    <w:name w:val="表题31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455">
    <w:name w:val="Char1210"/>
    <w:basedOn w:val="1"/>
    <w:qFormat/>
    <w:uiPriority w:val="0"/>
    <w:pPr>
      <w:widowControl/>
      <w:jc w:val="left"/>
    </w:pPr>
    <w:rPr>
      <w:rFonts w:ascii="宋体" w:hAnsi="宋体" w:cs="宋体"/>
      <w:kern w:val="0"/>
      <w:szCs w:val="24"/>
    </w:rPr>
  </w:style>
  <w:style w:type="paragraph" w:customStyle="1" w:styleId="3456">
    <w:name w:val="黑体三号112"/>
    <w:basedOn w:val="418"/>
    <w:qFormat/>
    <w:uiPriority w:val="0"/>
    <w:pPr>
      <w:jc w:val="center"/>
    </w:pPr>
    <w:rPr>
      <w:rFonts w:ascii="黑体" w:hAnsi="宋体" w:eastAsia="黑体" w:cs="宋体"/>
      <w:b/>
      <w:bCs/>
      <w:sz w:val="32"/>
      <w:szCs w:val="20"/>
    </w:rPr>
  </w:style>
  <w:style w:type="paragraph" w:customStyle="1" w:styleId="3457">
    <w:name w:val="Char Char2 Char Char Char Char411"/>
    <w:basedOn w:val="1"/>
    <w:qFormat/>
    <w:uiPriority w:val="0"/>
    <w:pPr>
      <w:widowControl/>
      <w:jc w:val="left"/>
    </w:pPr>
    <w:rPr>
      <w:rFonts w:ascii="宋体" w:hAnsi="宋体" w:cs="宋体"/>
      <w:kern w:val="0"/>
      <w:szCs w:val="24"/>
    </w:rPr>
  </w:style>
  <w:style w:type="paragraph" w:customStyle="1" w:styleId="3458">
    <w:name w:val="谏壁标题1(chen）"/>
    <w:basedOn w:val="1"/>
    <w:qFormat/>
    <w:uiPriority w:val="0"/>
    <w:pPr>
      <w:keepNext/>
      <w:keepLines/>
      <w:pageBreakBefore/>
      <w:widowControl/>
      <w:spacing w:after="300"/>
      <w:jc w:val="left"/>
      <w:outlineLvl w:val="0"/>
    </w:pPr>
    <w:rPr>
      <w:rFonts w:ascii="宋体" w:hAnsi="宋体" w:eastAsia="黑体" w:cs="宋体"/>
      <w:bCs/>
      <w:kern w:val="44"/>
      <w:sz w:val="36"/>
      <w:szCs w:val="44"/>
    </w:rPr>
  </w:style>
  <w:style w:type="paragraph" w:customStyle="1" w:styleId="3459">
    <w:name w:val="表内5中14"/>
    <w:basedOn w:val="1"/>
    <w:qFormat/>
    <w:uiPriority w:val="0"/>
    <w:pPr>
      <w:widowControl/>
      <w:jc w:val="center"/>
    </w:pPr>
    <w:rPr>
      <w:rFonts w:ascii="宋体" w:hAnsi="宋体" w:cs="Arial"/>
      <w:snapToGrid w:val="0"/>
      <w:kern w:val="0"/>
      <w:szCs w:val="21"/>
    </w:rPr>
  </w:style>
  <w:style w:type="paragraph" w:customStyle="1" w:styleId="3460">
    <w:name w:val="黑体三号53"/>
    <w:basedOn w:val="418"/>
    <w:qFormat/>
    <w:uiPriority w:val="0"/>
    <w:pPr>
      <w:jc w:val="center"/>
    </w:pPr>
    <w:rPr>
      <w:rFonts w:ascii="黑体" w:hAnsi="宋体" w:eastAsia="黑体" w:cs="宋体"/>
      <w:b/>
      <w:bCs/>
      <w:sz w:val="32"/>
      <w:szCs w:val="20"/>
    </w:rPr>
  </w:style>
  <w:style w:type="paragraph" w:customStyle="1" w:styleId="3461">
    <w:name w:val="正文格式＝21"/>
    <w:basedOn w:val="418"/>
    <w:next w:val="418"/>
    <w:qFormat/>
    <w:uiPriority w:val="0"/>
    <w:rPr>
      <w:rFonts w:hAnsi="宋体"/>
      <w:szCs w:val="24"/>
    </w:rPr>
  </w:style>
  <w:style w:type="paragraph" w:customStyle="1" w:styleId="3462">
    <w:name w:val="Char413"/>
    <w:basedOn w:val="1"/>
    <w:qFormat/>
    <w:uiPriority w:val="0"/>
    <w:pPr>
      <w:widowControl/>
      <w:ind w:left="-48"/>
      <w:jc w:val="left"/>
    </w:pPr>
    <w:rPr>
      <w:rFonts w:ascii="宋体" w:hAnsi="宋体" w:cs="宋体"/>
      <w:kern w:val="0"/>
      <w:szCs w:val="24"/>
    </w:rPr>
  </w:style>
  <w:style w:type="paragraph" w:customStyle="1" w:styleId="3463">
    <w:name w:val="表中"/>
    <w:basedOn w:val="98"/>
    <w:qFormat/>
    <w:uiPriority w:val="0"/>
    <w:pPr>
      <w:adjustRightInd w:val="0"/>
      <w:snapToGrid w:val="0"/>
      <w:jc w:val="center"/>
    </w:pPr>
    <w:rPr>
      <w:rFonts w:ascii="Times New Roman" w:hAnsi="Times New Roman" w:cs="Times New Roman"/>
      <w:color w:val="000000"/>
      <w:kern w:val="44"/>
      <w:sz w:val="18"/>
    </w:rPr>
  </w:style>
  <w:style w:type="paragraph" w:customStyle="1" w:styleId="3464">
    <w:name w:val="Char Char Char Char1 Char Char Char27"/>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465">
    <w:name w:val="Char"/>
    <w:basedOn w:val="1"/>
    <w:qFormat/>
    <w:uiPriority w:val="0"/>
    <w:rPr>
      <w:szCs w:val="24"/>
    </w:rPr>
  </w:style>
  <w:style w:type="paragraph" w:customStyle="1" w:styleId="3466">
    <w:name w:val="表文字5113"/>
    <w:basedOn w:val="1"/>
    <w:qFormat/>
    <w:uiPriority w:val="0"/>
    <w:pPr>
      <w:widowControl/>
      <w:jc w:val="left"/>
      <w:textAlignment w:val="baseline"/>
    </w:pPr>
    <w:rPr>
      <w:rFonts w:ascii="宋体" w:hAnsi="宋体" w:cs="宋体"/>
      <w:kern w:val="0"/>
      <w:szCs w:val="20"/>
    </w:rPr>
  </w:style>
  <w:style w:type="paragraph" w:customStyle="1" w:styleId="3467">
    <w:name w:val="A正文11"/>
    <w:basedOn w:val="1"/>
    <w:qFormat/>
    <w:uiPriority w:val="0"/>
    <w:pPr>
      <w:widowControl/>
      <w:overflowPunct w:val="0"/>
      <w:autoSpaceDE w:val="0"/>
      <w:autoSpaceDN w:val="0"/>
      <w:jc w:val="left"/>
      <w:textAlignment w:val="baseline"/>
    </w:pPr>
    <w:rPr>
      <w:rFonts w:ascii="宋体" w:hAnsi="宋体" w:cs="宋体"/>
      <w:kern w:val="0"/>
      <w:szCs w:val="24"/>
    </w:rPr>
  </w:style>
  <w:style w:type="paragraph" w:customStyle="1" w:styleId="3468">
    <w:name w:val="附件111"/>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3469">
    <w:name w:val="1级标题"/>
    <w:basedOn w:val="2"/>
    <w:qFormat/>
    <w:uiPriority w:val="0"/>
    <w:pPr>
      <w:keepNext w:val="0"/>
      <w:keepLines w:val="0"/>
      <w:numPr>
        <w:numId w:val="0"/>
      </w:numPr>
      <w:jc w:val="left"/>
    </w:pPr>
    <w:rPr>
      <w:rFonts w:ascii="黑体" w:eastAsia="黑体"/>
      <w:b w:val="0"/>
      <w:sz w:val="32"/>
      <w:szCs w:val="30"/>
    </w:rPr>
  </w:style>
  <w:style w:type="paragraph" w:customStyle="1" w:styleId="3470">
    <w:name w:val="页号"/>
    <w:basedOn w:val="41"/>
    <w:qFormat/>
    <w:uiPriority w:val="0"/>
    <w:pPr>
      <w:widowControl/>
      <w:tabs>
        <w:tab w:val="center" w:pos="4320"/>
        <w:tab w:val="right" w:pos="8640"/>
        <w:tab w:val="clear" w:pos="4153"/>
        <w:tab w:val="clear" w:pos="8306"/>
      </w:tabs>
      <w:snapToGrid/>
      <w:spacing w:line="360" w:lineRule="auto"/>
      <w:ind w:firstLine="0" w:firstLineChars="0"/>
      <w:jc w:val="center"/>
      <w:textAlignment w:val="baseline"/>
    </w:pPr>
    <w:rPr>
      <w:rFonts w:ascii="宋体" w:hAnsi="Arial"/>
      <w:spacing w:val="3"/>
      <w:kern w:val="24"/>
      <w:sz w:val="24"/>
      <w:szCs w:val="20"/>
    </w:rPr>
  </w:style>
  <w:style w:type="paragraph" w:customStyle="1" w:styleId="3471">
    <w:name w:val="表内文字小2141"/>
    <w:basedOn w:val="1"/>
    <w:qFormat/>
    <w:uiPriority w:val="0"/>
    <w:pPr>
      <w:widowControl/>
      <w:jc w:val="center"/>
    </w:pPr>
    <w:rPr>
      <w:rFonts w:ascii="宋体" w:hAnsi="Times" w:cs="宋体"/>
      <w:bCs/>
      <w:kern w:val="0"/>
      <w:szCs w:val="20"/>
    </w:rPr>
  </w:style>
  <w:style w:type="paragraph" w:customStyle="1" w:styleId="3472">
    <w:name w:val="表题3132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473">
    <w:name w:val="couv"/>
    <w:basedOn w:val="1"/>
    <w:qFormat/>
    <w:uiPriority w:val="0"/>
    <w:pPr>
      <w:widowControl/>
      <w:spacing w:before="120" w:after="120"/>
      <w:jc w:val="center"/>
    </w:pPr>
    <w:rPr>
      <w:rFonts w:ascii="宋体" w:hAnsi="宋体" w:cs="宋体"/>
      <w:b/>
      <w:kern w:val="0"/>
      <w:sz w:val="40"/>
      <w:szCs w:val="20"/>
    </w:rPr>
  </w:style>
  <w:style w:type="paragraph" w:customStyle="1" w:styleId="3474">
    <w:name w:val="燕山正文15"/>
    <w:basedOn w:val="1"/>
    <w:qFormat/>
    <w:uiPriority w:val="0"/>
    <w:pPr>
      <w:widowControl/>
      <w:tabs>
        <w:tab w:val="left" w:pos="4680"/>
      </w:tabs>
      <w:spacing w:line="480" w:lineRule="exact"/>
      <w:jc w:val="left"/>
    </w:pPr>
    <w:rPr>
      <w:rFonts w:ascii="宋体" w:hAnsi="宋体" w:cs="宋体"/>
      <w:kern w:val="0"/>
      <w:szCs w:val="24"/>
    </w:rPr>
  </w:style>
  <w:style w:type="paragraph" w:customStyle="1" w:styleId="3475">
    <w:name w:val="正文修改1111"/>
    <w:basedOn w:val="786"/>
    <w:qFormat/>
    <w:uiPriority w:val="0"/>
    <w:rPr>
      <w:rFonts w:hAnsi="宋体" w:eastAsia="宋体" w:cs="宋体"/>
      <w:szCs w:val="24"/>
    </w:rPr>
  </w:style>
  <w:style w:type="paragraph" w:customStyle="1" w:styleId="3476">
    <w:name w:val="文-5"/>
    <w:basedOn w:val="1"/>
    <w:qFormat/>
    <w:uiPriority w:val="0"/>
    <w:pPr>
      <w:widowControl/>
      <w:tabs>
        <w:tab w:val="right" w:leader="dot" w:pos="8789"/>
      </w:tabs>
      <w:spacing w:before="120"/>
      <w:ind w:left="1276" w:firstLine="482"/>
      <w:jc w:val="left"/>
    </w:pPr>
    <w:rPr>
      <w:rFonts w:ascii="宋体" w:hAnsi="宋体" w:cs="宋体"/>
      <w:kern w:val="0"/>
      <w:szCs w:val="20"/>
    </w:rPr>
  </w:style>
  <w:style w:type="paragraph" w:customStyle="1" w:styleId="3477">
    <w:name w:val="表题3111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478">
    <w:name w:val="样式 表格内字体1 +11"/>
    <w:basedOn w:val="1722"/>
    <w:next w:val="559"/>
    <w:qFormat/>
    <w:uiPriority w:val="0"/>
    <w:rPr>
      <w:rFonts w:hAnsi="Times New Roman" w:cs="宋体"/>
      <w:szCs w:val="20"/>
    </w:rPr>
  </w:style>
  <w:style w:type="paragraph" w:customStyle="1" w:styleId="3479">
    <w:name w:val="默认段落字体 Para Char Char Char Char313"/>
    <w:basedOn w:val="1"/>
    <w:qFormat/>
    <w:uiPriority w:val="0"/>
    <w:pPr>
      <w:widowControl/>
      <w:jc w:val="left"/>
    </w:pPr>
    <w:rPr>
      <w:rFonts w:ascii="宋体" w:hAnsi="宋体" w:cs="宋体"/>
      <w:kern w:val="0"/>
      <w:szCs w:val="24"/>
    </w:rPr>
  </w:style>
  <w:style w:type="paragraph" w:customStyle="1" w:styleId="3480">
    <w:name w:val="正文格式＝73"/>
    <w:basedOn w:val="418"/>
    <w:next w:val="418"/>
    <w:qFormat/>
    <w:uiPriority w:val="0"/>
    <w:rPr>
      <w:rFonts w:hAnsi="宋体"/>
      <w:szCs w:val="24"/>
    </w:rPr>
  </w:style>
  <w:style w:type="paragraph" w:customStyle="1" w:styleId="3481">
    <w:name w:val="正文修改21"/>
    <w:basedOn w:val="786"/>
    <w:qFormat/>
    <w:uiPriority w:val="0"/>
    <w:rPr>
      <w:rFonts w:hAnsi="宋体" w:eastAsia="宋体" w:cs="宋体"/>
      <w:szCs w:val="24"/>
    </w:rPr>
  </w:style>
  <w:style w:type="paragraph" w:customStyle="1" w:styleId="3482">
    <w:name w:val="Char Char2 Char Char Char Char112"/>
    <w:basedOn w:val="1"/>
    <w:qFormat/>
    <w:uiPriority w:val="0"/>
    <w:pPr>
      <w:widowControl/>
      <w:jc w:val="left"/>
    </w:pPr>
    <w:rPr>
      <w:rFonts w:ascii="宋体" w:hAnsi="宋体" w:cs="宋体"/>
      <w:kern w:val="0"/>
      <w:szCs w:val="24"/>
    </w:rPr>
  </w:style>
  <w:style w:type="paragraph" w:customStyle="1" w:styleId="3483">
    <w:name w:val="Char125"/>
    <w:basedOn w:val="1"/>
    <w:qFormat/>
    <w:uiPriority w:val="0"/>
    <w:pPr>
      <w:widowControl/>
      <w:ind w:left="-48"/>
      <w:jc w:val="left"/>
    </w:pPr>
    <w:rPr>
      <w:rFonts w:ascii="宋体" w:hAnsi="宋体" w:cs="宋体"/>
      <w:kern w:val="0"/>
      <w:szCs w:val="24"/>
    </w:rPr>
  </w:style>
  <w:style w:type="paragraph" w:customStyle="1" w:styleId="3484">
    <w:name w:val="Char Char2 Char Char Char Char1111"/>
    <w:basedOn w:val="1"/>
    <w:qFormat/>
    <w:uiPriority w:val="0"/>
    <w:pPr>
      <w:widowControl/>
      <w:jc w:val="left"/>
    </w:pPr>
    <w:rPr>
      <w:rFonts w:ascii="宋体" w:hAnsi="宋体" w:cs="宋体"/>
      <w:kern w:val="0"/>
      <w:szCs w:val="24"/>
    </w:rPr>
  </w:style>
  <w:style w:type="paragraph" w:customStyle="1" w:styleId="3485">
    <w:name w:val="正文格式91"/>
    <w:basedOn w:val="1"/>
    <w:qFormat/>
    <w:uiPriority w:val="0"/>
    <w:pPr>
      <w:widowControl/>
      <w:ind w:firstLine="482"/>
      <w:jc w:val="left"/>
    </w:pPr>
    <w:rPr>
      <w:rFonts w:ascii="宋体" w:hAnsi="宋体" w:cs="宋体"/>
      <w:kern w:val="0"/>
      <w:szCs w:val="24"/>
    </w:rPr>
  </w:style>
  <w:style w:type="paragraph" w:customStyle="1" w:styleId="3486">
    <w:name w:val="Char Char2 Char Char Char Char24"/>
    <w:basedOn w:val="1"/>
    <w:qFormat/>
    <w:uiPriority w:val="0"/>
    <w:pPr>
      <w:widowControl/>
      <w:jc w:val="left"/>
    </w:pPr>
    <w:rPr>
      <w:rFonts w:ascii="宋体" w:hAnsi="宋体" w:cs="宋体"/>
      <w:kern w:val="0"/>
      <w:szCs w:val="24"/>
    </w:rPr>
  </w:style>
  <w:style w:type="paragraph" w:customStyle="1" w:styleId="3487">
    <w:name w:val="黑体三号111"/>
    <w:basedOn w:val="418"/>
    <w:qFormat/>
    <w:uiPriority w:val="0"/>
    <w:pPr>
      <w:jc w:val="center"/>
    </w:pPr>
    <w:rPr>
      <w:rFonts w:ascii="黑体" w:hAnsi="宋体" w:eastAsia="黑体" w:cs="宋体"/>
      <w:b/>
      <w:bCs/>
      <w:sz w:val="32"/>
      <w:szCs w:val="20"/>
    </w:rPr>
  </w:style>
  <w:style w:type="paragraph" w:customStyle="1" w:styleId="3488">
    <w:name w:val="表内宋5中11111"/>
    <w:basedOn w:val="1"/>
    <w:qFormat/>
    <w:uiPriority w:val="0"/>
    <w:pPr>
      <w:widowControl/>
      <w:jc w:val="center"/>
      <w:textAlignment w:val="baseline"/>
    </w:pPr>
    <w:rPr>
      <w:rFonts w:ascii="宋体" w:hAnsi="宋体" w:cs="宋体"/>
      <w:kern w:val="0"/>
      <w:szCs w:val="20"/>
    </w:rPr>
  </w:style>
  <w:style w:type="paragraph" w:customStyle="1" w:styleId="3489">
    <w:name w:val="宏福4"/>
    <w:basedOn w:val="1"/>
    <w:qFormat/>
    <w:uiPriority w:val="0"/>
    <w:pPr>
      <w:widowControl/>
      <w:spacing w:line="400" w:lineRule="atLeast"/>
      <w:ind w:firstLine="567"/>
      <w:jc w:val="left"/>
    </w:pPr>
    <w:rPr>
      <w:rFonts w:ascii="宋体" w:hAnsi="宋体" w:cs="宋体"/>
      <w:kern w:val="0"/>
      <w:szCs w:val="20"/>
    </w:rPr>
  </w:style>
  <w:style w:type="paragraph" w:customStyle="1" w:styleId="3490">
    <w:name w:val="表题14113"/>
    <w:basedOn w:val="1"/>
    <w:qFormat/>
    <w:uiPriority w:val="0"/>
    <w:pPr>
      <w:widowControl/>
      <w:jc w:val="center"/>
    </w:pPr>
    <w:rPr>
      <w:rFonts w:ascii="黑体" w:hAnsi="宋体" w:eastAsia="黑体" w:cs="宋体"/>
      <w:kern w:val="0"/>
      <w:szCs w:val="24"/>
    </w:rPr>
  </w:style>
  <w:style w:type="paragraph" w:customStyle="1" w:styleId="3491">
    <w:name w:val="正文格式＝31"/>
    <w:basedOn w:val="418"/>
    <w:next w:val="418"/>
    <w:qFormat/>
    <w:uiPriority w:val="0"/>
    <w:rPr>
      <w:rFonts w:hAnsi="宋体"/>
      <w:szCs w:val="24"/>
    </w:rPr>
  </w:style>
  <w:style w:type="paragraph" w:customStyle="1" w:styleId="3492">
    <w:name w:val="样式 标题 4无效格式无效格式1河石管道4H4H41小小节河石管道41H42H411小小节1河石管道42...121"/>
    <w:basedOn w:val="5"/>
    <w:qFormat/>
    <w:uiPriority w:val="0"/>
    <w:pPr>
      <w:numPr>
        <w:ilvl w:val="0"/>
        <w:numId w:val="0"/>
      </w:numPr>
      <w:spacing w:after="0" w:line="360" w:lineRule="auto"/>
      <w:ind w:left="664" w:hanging="864"/>
    </w:pPr>
    <w:rPr>
      <w:rFonts w:ascii="黑体" w:hAnsi="Arial" w:eastAsia="黑体" w:cs="宋体"/>
      <w:b w:val="0"/>
      <w:bCs w:val="0"/>
      <w:kern w:val="2"/>
      <w:sz w:val="24"/>
      <w:szCs w:val="20"/>
    </w:rPr>
  </w:style>
  <w:style w:type="paragraph" w:customStyle="1" w:styleId="3493">
    <w:name w:val="表内文字小114"/>
    <w:basedOn w:val="1"/>
    <w:qFormat/>
    <w:uiPriority w:val="0"/>
    <w:pPr>
      <w:widowControl/>
      <w:jc w:val="left"/>
    </w:pPr>
    <w:rPr>
      <w:rFonts w:ascii="宋体" w:hAnsi="Times" w:cs="宋体"/>
      <w:kern w:val="0"/>
      <w:szCs w:val="20"/>
    </w:rPr>
  </w:style>
  <w:style w:type="paragraph" w:customStyle="1" w:styleId="3494">
    <w:name w:val="图题112"/>
    <w:basedOn w:val="418"/>
    <w:next w:val="418"/>
    <w:qFormat/>
    <w:uiPriority w:val="0"/>
    <w:pPr>
      <w:ind w:firstLine="0"/>
      <w:jc w:val="center"/>
    </w:pPr>
    <w:rPr>
      <w:rFonts w:ascii="黑体" w:hAnsi="宋体" w:eastAsia="黑体" w:cs="宋体"/>
      <w:b/>
      <w:bCs/>
      <w:szCs w:val="24"/>
    </w:rPr>
  </w:style>
  <w:style w:type="paragraph" w:customStyle="1" w:styleId="3495">
    <w:name w:val="表文字5111"/>
    <w:basedOn w:val="1"/>
    <w:qFormat/>
    <w:uiPriority w:val="0"/>
    <w:pPr>
      <w:widowControl/>
      <w:jc w:val="left"/>
      <w:textAlignment w:val="baseline"/>
    </w:pPr>
    <w:rPr>
      <w:rFonts w:ascii="宋体" w:hAnsi="宋体" w:cs="宋体"/>
      <w:kern w:val="0"/>
      <w:szCs w:val="20"/>
    </w:rPr>
  </w:style>
  <w:style w:type="paragraph" w:customStyle="1" w:styleId="3496">
    <w:name w:val="xl632"/>
    <w:basedOn w:val="1"/>
    <w:qFormat/>
    <w:uiPriority w:val="0"/>
    <w:pPr>
      <w:widowControl/>
      <w:spacing w:before="100" w:beforeAutospacing="1" w:after="100" w:afterAutospacing="1"/>
      <w:jc w:val="center"/>
      <w:textAlignment w:val="center"/>
    </w:pPr>
    <w:rPr>
      <w:rFonts w:hint="eastAsia" w:ascii="黑体" w:hAnsi="宋体" w:eastAsia="黑体" w:cs="宋体"/>
      <w:kern w:val="0"/>
      <w:szCs w:val="24"/>
    </w:rPr>
  </w:style>
  <w:style w:type="paragraph" w:customStyle="1" w:styleId="3497">
    <w:name w:val="Char Char Char Char Char Char Char161"/>
    <w:basedOn w:val="1"/>
    <w:qFormat/>
    <w:uiPriority w:val="0"/>
    <w:pPr>
      <w:widowControl/>
      <w:jc w:val="left"/>
    </w:pPr>
    <w:rPr>
      <w:rFonts w:ascii="宋体" w:hAnsi="宋体" w:cs="宋体"/>
      <w:kern w:val="0"/>
      <w:szCs w:val="24"/>
    </w:rPr>
  </w:style>
  <w:style w:type="paragraph" w:customStyle="1" w:styleId="3498">
    <w:name w:val="表内宋5中112"/>
    <w:basedOn w:val="1"/>
    <w:qFormat/>
    <w:uiPriority w:val="0"/>
    <w:pPr>
      <w:widowControl/>
      <w:jc w:val="center"/>
      <w:textAlignment w:val="baseline"/>
    </w:pPr>
    <w:rPr>
      <w:rFonts w:ascii="宋体" w:hAnsi="宋体" w:cs="宋体"/>
      <w:kern w:val="0"/>
      <w:szCs w:val="20"/>
    </w:rPr>
  </w:style>
  <w:style w:type="paragraph" w:customStyle="1" w:styleId="3499">
    <w:name w:val="表格内容 Char"/>
    <w:basedOn w:val="98"/>
    <w:semiHidden/>
    <w:qFormat/>
    <w:uiPriority w:val="0"/>
    <w:pPr>
      <w:widowControl w:val="0"/>
      <w:tabs>
        <w:tab w:val="left" w:pos="10"/>
      </w:tabs>
      <w:adjustRightInd w:val="0"/>
      <w:snapToGrid w:val="0"/>
      <w:jc w:val="center"/>
    </w:pPr>
    <w:rPr>
      <w:rFonts w:ascii="Times New Roman" w:hAnsi="Times New Roman" w:cs="Times New Roman"/>
      <w:b/>
      <w:color w:val="000000"/>
      <w:szCs w:val="21"/>
    </w:rPr>
  </w:style>
  <w:style w:type="paragraph" w:customStyle="1" w:styleId="3500">
    <w:name w:val="Char Char Char Char Char Char Char1"/>
    <w:basedOn w:val="1"/>
    <w:qFormat/>
    <w:uiPriority w:val="0"/>
    <w:pPr>
      <w:widowControl/>
      <w:jc w:val="left"/>
    </w:pPr>
    <w:rPr>
      <w:rFonts w:ascii="宋体" w:hAnsi="宋体" w:cs="宋体"/>
      <w:kern w:val="0"/>
      <w:szCs w:val="24"/>
    </w:rPr>
  </w:style>
  <w:style w:type="paragraph" w:customStyle="1" w:styleId="3501">
    <w:name w:val="Char4"/>
    <w:basedOn w:val="1"/>
    <w:qFormat/>
    <w:uiPriority w:val="0"/>
    <w:pPr>
      <w:widowControl/>
      <w:jc w:val="left"/>
    </w:pPr>
    <w:rPr>
      <w:rFonts w:ascii="宋体" w:hAnsi="宋体" w:cs="宋体"/>
      <w:kern w:val="0"/>
      <w:szCs w:val="24"/>
    </w:rPr>
  </w:style>
  <w:style w:type="paragraph" w:customStyle="1" w:styleId="3502">
    <w:name w:val="公式样式1"/>
    <w:basedOn w:val="1"/>
    <w:qFormat/>
    <w:uiPriority w:val="0"/>
    <w:pPr>
      <w:widowControl/>
      <w:jc w:val="center"/>
    </w:pPr>
    <w:rPr>
      <w:rFonts w:ascii="仿宋_GB2312" w:hAnsi="宋体" w:cs="宋体"/>
      <w:kern w:val="0"/>
      <w:szCs w:val="24"/>
    </w:rPr>
  </w:style>
  <w:style w:type="paragraph" w:customStyle="1" w:styleId="3503">
    <w:name w:val="表内5211"/>
    <w:basedOn w:val="1"/>
    <w:qFormat/>
    <w:uiPriority w:val="0"/>
    <w:pPr>
      <w:widowControl/>
      <w:spacing w:line="300" w:lineRule="auto"/>
      <w:jc w:val="left"/>
    </w:pPr>
    <w:rPr>
      <w:rFonts w:ascii="宋体" w:hAnsi="宋体" w:cs="宋体"/>
      <w:kern w:val="0"/>
      <w:sz w:val="18"/>
      <w:szCs w:val="20"/>
    </w:rPr>
  </w:style>
  <w:style w:type="paragraph" w:customStyle="1" w:styleId="3504">
    <w:name w:val="表内小5中1"/>
    <w:basedOn w:val="1"/>
    <w:qFormat/>
    <w:uiPriority w:val="0"/>
    <w:pPr>
      <w:widowControl/>
      <w:jc w:val="center"/>
    </w:pPr>
    <w:rPr>
      <w:rFonts w:ascii="宋体" w:hAnsi="宋体" w:cs="宋体"/>
      <w:kern w:val="0"/>
      <w:sz w:val="18"/>
      <w:szCs w:val="20"/>
    </w:rPr>
  </w:style>
  <w:style w:type="paragraph" w:customStyle="1" w:styleId="3505">
    <w:name w:val="Char Char Char Char4"/>
    <w:basedOn w:val="1"/>
    <w:qFormat/>
    <w:uiPriority w:val="0"/>
    <w:pPr>
      <w:widowControl/>
      <w:jc w:val="left"/>
    </w:pPr>
    <w:rPr>
      <w:rFonts w:ascii="宋体" w:hAnsi="宋体" w:cs="宋体"/>
      <w:kern w:val="0"/>
      <w:szCs w:val="24"/>
    </w:rPr>
  </w:style>
  <w:style w:type="paragraph" w:customStyle="1" w:styleId="3506">
    <w:name w:val="Char Char Char Char Char Char Char Char Char2"/>
    <w:basedOn w:val="1"/>
    <w:qFormat/>
    <w:uiPriority w:val="0"/>
    <w:pPr>
      <w:widowControl/>
      <w:jc w:val="left"/>
    </w:pPr>
    <w:rPr>
      <w:rFonts w:ascii="宋体" w:hAnsi="宋体" w:cs="宋体"/>
      <w:kern w:val="0"/>
      <w:szCs w:val="24"/>
    </w:rPr>
  </w:style>
  <w:style w:type="paragraph" w:customStyle="1" w:styleId="3507">
    <w:name w:val="Char117"/>
    <w:basedOn w:val="1"/>
    <w:qFormat/>
    <w:uiPriority w:val="0"/>
    <w:pPr>
      <w:widowControl/>
      <w:ind w:left="-48"/>
      <w:jc w:val="left"/>
    </w:pPr>
    <w:rPr>
      <w:rFonts w:ascii="宋体" w:hAnsi="宋体" w:cs="宋体"/>
      <w:kern w:val="0"/>
      <w:szCs w:val="24"/>
    </w:rPr>
  </w:style>
  <w:style w:type="paragraph" w:customStyle="1" w:styleId="3508">
    <w:name w:val="表文字522"/>
    <w:basedOn w:val="1"/>
    <w:qFormat/>
    <w:uiPriority w:val="0"/>
    <w:pPr>
      <w:widowControl/>
      <w:jc w:val="left"/>
      <w:textAlignment w:val="baseline"/>
    </w:pPr>
    <w:rPr>
      <w:rFonts w:ascii="宋体" w:hAnsi="宋体" w:cs="宋体"/>
      <w:kern w:val="0"/>
      <w:szCs w:val="20"/>
    </w:rPr>
  </w:style>
  <w:style w:type="paragraph" w:customStyle="1" w:styleId="3509">
    <w:name w:val="表题112"/>
    <w:basedOn w:val="17"/>
    <w:qFormat/>
    <w:uiPriority w:val="0"/>
    <w:pPr>
      <w:widowControl/>
      <w:ind w:firstLine="0" w:firstLineChars="0"/>
      <w:jc w:val="center"/>
    </w:pPr>
    <w:rPr>
      <w:rFonts w:ascii="黑体" w:cs="Arial"/>
    </w:rPr>
  </w:style>
  <w:style w:type="paragraph" w:customStyle="1" w:styleId="3510">
    <w:name w:val="正文格式412"/>
    <w:basedOn w:val="1"/>
    <w:qFormat/>
    <w:uiPriority w:val="0"/>
    <w:pPr>
      <w:widowControl/>
      <w:ind w:firstLine="482"/>
      <w:jc w:val="left"/>
    </w:pPr>
    <w:rPr>
      <w:rFonts w:ascii="宋体" w:hAnsi="宋体" w:cs="宋体"/>
      <w:kern w:val="0"/>
      <w:szCs w:val="24"/>
    </w:rPr>
  </w:style>
  <w:style w:type="paragraph" w:customStyle="1" w:styleId="3511">
    <w:name w:val="表内522"/>
    <w:basedOn w:val="1"/>
    <w:qFormat/>
    <w:uiPriority w:val="0"/>
    <w:pPr>
      <w:widowControl/>
      <w:spacing w:line="300" w:lineRule="auto"/>
      <w:jc w:val="left"/>
    </w:pPr>
    <w:rPr>
      <w:rFonts w:ascii="宋体" w:hAnsi="宋体" w:cs="宋体"/>
      <w:kern w:val="0"/>
      <w:sz w:val="18"/>
      <w:szCs w:val="20"/>
    </w:rPr>
  </w:style>
  <w:style w:type="paragraph" w:customStyle="1" w:styleId="3512">
    <w:name w:val="表文字56"/>
    <w:basedOn w:val="1"/>
    <w:qFormat/>
    <w:uiPriority w:val="0"/>
    <w:pPr>
      <w:widowControl/>
      <w:jc w:val="left"/>
      <w:textAlignment w:val="baseline"/>
    </w:pPr>
    <w:rPr>
      <w:rFonts w:ascii="宋体" w:hAnsi="宋体" w:cs="宋体"/>
      <w:kern w:val="0"/>
      <w:szCs w:val="20"/>
    </w:rPr>
  </w:style>
  <w:style w:type="paragraph" w:customStyle="1" w:styleId="3513">
    <w:name w:val="Char511"/>
    <w:basedOn w:val="1"/>
    <w:qFormat/>
    <w:uiPriority w:val="0"/>
    <w:pPr>
      <w:widowControl/>
      <w:ind w:left="-45"/>
      <w:jc w:val="left"/>
    </w:pPr>
    <w:rPr>
      <w:rFonts w:ascii="宋体" w:hAnsi="宋体" w:cs="宋体"/>
      <w:kern w:val="0"/>
      <w:szCs w:val="24"/>
    </w:rPr>
  </w:style>
  <w:style w:type="paragraph" w:customStyle="1" w:styleId="3514">
    <w:name w:val="A正文2"/>
    <w:basedOn w:val="1"/>
    <w:qFormat/>
    <w:uiPriority w:val="0"/>
    <w:pPr>
      <w:widowControl/>
      <w:overflowPunct w:val="0"/>
      <w:autoSpaceDE w:val="0"/>
      <w:autoSpaceDN w:val="0"/>
      <w:jc w:val="left"/>
      <w:textAlignment w:val="baseline"/>
    </w:pPr>
    <w:rPr>
      <w:rFonts w:ascii="宋体" w:hAnsi="宋体" w:cs="宋体"/>
      <w:kern w:val="0"/>
      <w:szCs w:val="24"/>
    </w:rPr>
  </w:style>
  <w:style w:type="paragraph" w:customStyle="1" w:styleId="3515">
    <w:name w:val="Char Char2 Char Char Char Char15"/>
    <w:basedOn w:val="1"/>
    <w:qFormat/>
    <w:uiPriority w:val="0"/>
    <w:pPr>
      <w:widowControl/>
      <w:jc w:val="left"/>
    </w:pPr>
    <w:rPr>
      <w:rFonts w:ascii="宋体" w:hAnsi="宋体" w:cs="宋体"/>
      <w:kern w:val="0"/>
      <w:szCs w:val="24"/>
    </w:rPr>
  </w:style>
  <w:style w:type="paragraph" w:customStyle="1" w:styleId="3516">
    <w:name w:val="Char411"/>
    <w:basedOn w:val="1"/>
    <w:qFormat/>
    <w:uiPriority w:val="0"/>
    <w:pPr>
      <w:widowControl/>
      <w:ind w:left="-48"/>
      <w:jc w:val="left"/>
    </w:pPr>
    <w:rPr>
      <w:rFonts w:ascii="宋体" w:hAnsi="宋体" w:cs="宋体"/>
      <w:kern w:val="0"/>
      <w:szCs w:val="24"/>
    </w:rPr>
  </w:style>
  <w:style w:type="paragraph" w:customStyle="1" w:styleId="3517">
    <w:name w:val="xl6311"/>
    <w:basedOn w:val="1"/>
    <w:qFormat/>
    <w:uiPriority w:val="0"/>
    <w:pPr>
      <w:widowControl/>
      <w:spacing w:before="100" w:beforeAutospacing="1" w:after="100" w:afterAutospacing="1"/>
      <w:jc w:val="center"/>
      <w:textAlignment w:val="center"/>
    </w:pPr>
    <w:rPr>
      <w:rFonts w:hint="eastAsia" w:ascii="黑体" w:hAnsi="宋体" w:eastAsia="黑体" w:cs="宋体"/>
      <w:kern w:val="0"/>
      <w:szCs w:val="24"/>
    </w:rPr>
  </w:style>
  <w:style w:type="paragraph" w:customStyle="1" w:styleId="3518">
    <w:name w:val="Char52"/>
    <w:basedOn w:val="1"/>
    <w:qFormat/>
    <w:uiPriority w:val="0"/>
    <w:pPr>
      <w:widowControl/>
      <w:ind w:left="-45"/>
      <w:jc w:val="left"/>
    </w:pPr>
    <w:rPr>
      <w:rFonts w:ascii="宋体" w:hAnsi="宋体" w:cs="宋体"/>
      <w:kern w:val="0"/>
      <w:szCs w:val="24"/>
    </w:rPr>
  </w:style>
  <w:style w:type="paragraph" w:customStyle="1" w:styleId="3519">
    <w:name w:val="样式 报告书正文 + 首行缩进:  2 字符"/>
    <w:basedOn w:val="1"/>
    <w:qFormat/>
    <w:uiPriority w:val="0"/>
    <w:pPr>
      <w:adjustRightInd/>
      <w:snapToGrid/>
      <w:ind w:firstLine="480"/>
    </w:pPr>
  </w:style>
  <w:style w:type="paragraph" w:customStyle="1" w:styleId="3520">
    <w:name w:val="表5"/>
    <w:basedOn w:val="1"/>
    <w:qFormat/>
    <w:uiPriority w:val="0"/>
    <w:pPr>
      <w:widowControl/>
      <w:jc w:val="center"/>
    </w:pPr>
    <w:rPr>
      <w:rFonts w:ascii="宋体" w:hAnsi="宋体" w:cs="宋体"/>
      <w:kern w:val="0"/>
      <w:szCs w:val="24"/>
    </w:rPr>
  </w:style>
  <w:style w:type="paragraph" w:customStyle="1" w:styleId="3521">
    <w:name w:val="正文.22"/>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3522">
    <w:name w:val="条题"/>
    <w:basedOn w:val="1"/>
    <w:qFormat/>
    <w:uiPriority w:val="0"/>
    <w:pPr>
      <w:widowControl/>
      <w:tabs>
        <w:tab w:val="left" w:pos="360"/>
      </w:tabs>
      <w:spacing w:line="420" w:lineRule="exact"/>
      <w:ind w:left="360" w:firstLine="560"/>
      <w:jc w:val="left"/>
    </w:pPr>
    <w:rPr>
      <w:rFonts w:ascii="宋体" w:hAnsi="宋体" w:cs="宋体"/>
      <w:kern w:val="0"/>
      <w:szCs w:val="24"/>
    </w:rPr>
  </w:style>
  <w:style w:type="paragraph" w:customStyle="1" w:styleId="3523">
    <w:name w:val="表格内字体11"/>
    <w:basedOn w:val="418"/>
    <w:qFormat/>
    <w:uiPriority w:val="0"/>
    <w:pPr>
      <w:spacing w:line="240" w:lineRule="auto"/>
      <w:ind w:firstLine="0"/>
      <w:jc w:val="center"/>
    </w:pPr>
    <w:rPr>
      <w:rFonts w:hAnsi="Times New Roman" w:cs="宋体"/>
      <w:sz w:val="21"/>
      <w:szCs w:val="20"/>
    </w:rPr>
  </w:style>
  <w:style w:type="paragraph" w:customStyle="1" w:styleId="3524">
    <w:name w:val="表格内字体73"/>
    <w:basedOn w:val="418"/>
    <w:next w:val="418"/>
    <w:qFormat/>
    <w:uiPriority w:val="0"/>
    <w:pPr>
      <w:spacing w:line="240" w:lineRule="auto"/>
      <w:ind w:firstLine="0"/>
      <w:jc w:val="center"/>
    </w:pPr>
    <w:rPr>
      <w:rFonts w:hAnsi="宋体"/>
      <w:sz w:val="21"/>
      <w:szCs w:val="24"/>
    </w:rPr>
  </w:style>
  <w:style w:type="paragraph" w:customStyle="1" w:styleId="3525">
    <w:name w:val="Char Char Char Char Char Char Char31"/>
    <w:basedOn w:val="1"/>
    <w:qFormat/>
    <w:uiPriority w:val="0"/>
    <w:pPr>
      <w:widowControl/>
      <w:jc w:val="left"/>
    </w:pPr>
    <w:rPr>
      <w:rFonts w:ascii="宋体" w:hAnsi="宋体" w:cs="宋体"/>
      <w:kern w:val="0"/>
      <w:szCs w:val="24"/>
    </w:rPr>
  </w:style>
  <w:style w:type="paragraph" w:customStyle="1" w:styleId="3526">
    <w:name w:val="图题4"/>
    <w:basedOn w:val="418"/>
    <w:next w:val="418"/>
    <w:qFormat/>
    <w:uiPriority w:val="0"/>
    <w:pPr>
      <w:ind w:firstLine="0"/>
      <w:jc w:val="center"/>
    </w:pPr>
    <w:rPr>
      <w:rFonts w:ascii="黑体" w:hAnsi="宋体" w:eastAsia="黑体" w:cs="宋体"/>
      <w:b/>
      <w:bCs/>
      <w:szCs w:val="24"/>
    </w:rPr>
  </w:style>
  <w:style w:type="paragraph" w:customStyle="1" w:styleId="3527">
    <w:name w:val="标准3"/>
    <w:basedOn w:val="1"/>
    <w:qFormat/>
    <w:uiPriority w:val="0"/>
    <w:pPr>
      <w:widowControl/>
      <w:spacing w:before="120" w:line="336" w:lineRule="auto"/>
      <w:jc w:val="center"/>
      <w:textAlignment w:val="baseline"/>
    </w:pPr>
    <w:rPr>
      <w:rFonts w:ascii="黑体" w:hAnsi="宋体" w:eastAsia="黑体" w:cs="宋体"/>
      <w:kern w:val="0"/>
      <w:szCs w:val="20"/>
    </w:rPr>
  </w:style>
  <w:style w:type="paragraph" w:customStyle="1" w:styleId="3528">
    <w:name w:val="Char Char Char Char Char Char Char Char Char Char Char Char Char1"/>
    <w:basedOn w:val="1"/>
    <w:qFormat/>
    <w:uiPriority w:val="0"/>
    <w:pPr>
      <w:widowControl/>
      <w:jc w:val="left"/>
    </w:pPr>
    <w:rPr>
      <w:rFonts w:ascii="宋体" w:hAnsi="宋体" w:cs="宋体"/>
      <w:kern w:val="0"/>
      <w:szCs w:val="24"/>
    </w:rPr>
  </w:style>
  <w:style w:type="paragraph" w:customStyle="1" w:styleId="3529">
    <w:name w:val="reader-word-layer reader-word-s18-21"/>
    <w:basedOn w:val="1"/>
    <w:qFormat/>
    <w:uiPriority w:val="0"/>
    <w:pPr>
      <w:widowControl/>
      <w:spacing w:before="100" w:beforeAutospacing="1" w:after="100" w:afterAutospacing="1"/>
      <w:jc w:val="left"/>
    </w:pPr>
    <w:rPr>
      <w:rFonts w:ascii="宋体" w:hAnsi="宋体" w:cs="宋体"/>
      <w:kern w:val="0"/>
      <w:szCs w:val="24"/>
    </w:rPr>
  </w:style>
  <w:style w:type="paragraph" w:customStyle="1" w:styleId="3530">
    <w:name w:val="Char Char Char1 Char Char Char Char Char Char Char Char Char Char"/>
    <w:basedOn w:val="1"/>
    <w:qFormat/>
    <w:uiPriority w:val="99"/>
    <w:pPr>
      <w:widowControl/>
      <w:jc w:val="left"/>
    </w:pPr>
    <w:rPr>
      <w:rFonts w:ascii="宋体" w:hAnsi="宋体" w:cs="宋体"/>
      <w:kern w:val="0"/>
      <w:szCs w:val="24"/>
    </w:rPr>
  </w:style>
  <w:style w:type="paragraph" w:customStyle="1" w:styleId="3531">
    <w:name w:val="Char Char Char Char Char Char Char Char Char Char Char Char Char Char Char Char Char Char Char Char Char Char Char Char Char Char Char Char Char Char Char Char Char Char Char Char Char Char1"/>
    <w:basedOn w:val="1"/>
    <w:qFormat/>
    <w:uiPriority w:val="0"/>
    <w:pPr>
      <w:widowControl/>
      <w:jc w:val="left"/>
    </w:pPr>
    <w:rPr>
      <w:rFonts w:ascii="宋体" w:hAnsi="宋体" w:cs="宋体"/>
      <w:kern w:val="0"/>
      <w:szCs w:val="24"/>
    </w:rPr>
  </w:style>
  <w:style w:type="paragraph" w:customStyle="1" w:styleId="3532">
    <w:name w:val="Char Char Char Char1 Char Char Char4"/>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533">
    <w:name w:val="燕山正文24"/>
    <w:basedOn w:val="1"/>
    <w:qFormat/>
    <w:uiPriority w:val="0"/>
    <w:pPr>
      <w:widowControl/>
      <w:tabs>
        <w:tab w:val="left" w:pos="4680"/>
      </w:tabs>
      <w:spacing w:line="480" w:lineRule="exact"/>
      <w:jc w:val="left"/>
    </w:pPr>
    <w:rPr>
      <w:rFonts w:ascii="宋体" w:hAnsi="宋体" w:cs="宋体"/>
      <w:kern w:val="0"/>
      <w:szCs w:val="24"/>
    </w:rPr>
  </w:style>
  <w:style w:type="paragraph" w:customStyle="1" w:styleId="3534">
    <w:name w:val="表内宋5中4"/>
    <w:basedOn w:val="1"/>
    <w:qFormat/>
    <w:uiPriority w:val="0"/>
    <w:pPr>
      <w:widowControl/>
      <w:jc w:val="left"/>
      <w:textAlignment w:val="baseline"/>
    </w:pPr>
    <w:rPr>
      <w:rFonts w:ascii="宋体" w:hAnsi="宋体" w:cs="宋体"/>
      <w:kern w:val="0"/>
      <w:szCs w:val="20"/>
    </w:rPr>
  </w:style>
  <w:style w:type="paragraph" w:customStyle="1" w:styleId="3535">
    <w:name w:val="正文格式2"/>
    <w:basedOn w:val="1"/>
    <w:qFormat/>
    <w:uiPriority w:val="0"/>
    <w:pPr>
      <w:widowControl/>
      <w:ind w:firstLine="482"/>
      <w:jc w:val="left"/>
    </w:pPr>
    <w:rPr>
      <w:rFonts w:ascii="宋体" w:hAnsi="宋体" w:cs="宋体"/>
      <w:kern w:val="0"/>
      <w:szCs w:val="24"/>
    </w:rPr>
  </w:style>
  <w:style w:type="paragraph" w:customStyle="1" w:styleId="3536">
    <w:name w:val="燕山正文23"/>
    <w:basedOn w:val="1"/>
    <w:qFormat/>
    <w:uiPriority w:val="0"/>
    <w:pPr>
      <w:widowControl/>
      <w:tabs>
        <w:tab w:val="left" w:pos="4680"/>
      </w:tabs>
      <w:spacing w:line="480" w:lineRule="exact"/>
      <w:jc w:val="left"/>
    </w:pPr>
    <w:rPr>
      <w:rFonts w:ascii="宋体" w:hAnsi="宋体" w:cs="宋体"/>
      <w:kern w:val="0"/>
      <w:szCs w:val="24"/>
    </w:rPr>
  </w:style>
  <w:style w:type="paragraph" w:customStyle="1" w:styleId="3537">
    <w:name w:val="样式 标题 3 + 段前: 12 磅"/>
    <w:basedOn w:val="4"/>
    <w:qFormat/>
    <w:uiPriority w:val="0"/>
    <w:pPr>
      <w:keepNext w:val="0"/>
      <w:keepLines w:val="0"/>
      <w:widowControl/>
      <w:autoSpaceDE w:val="0"/>
      <w:autoSpaceDN w:val="0"/>
      <w:jc w:val="both"/>
    </w:pPr>
    <w:rPr>
      <w:rFonts w:ascii="黑体" w:hAnsi="宋体" w:eastAsia="黑体" w:cs="宋体"/>
      <w:b w:val="0"/>
      <w:bCs w:val="0"/>
      <w:kern w:val="21"/>
      <w:szCs w:val="20"/>
    </w:rPr>
  </w:style>
  <w:style w:type="paragraph" w:customStyle="1" w:styleId="3538">
    <w:name w:val="默认段落字体 Para Char Char Char Char6"/>
    <w:basedOn w:val="1"/>
    <w:qFormat/>
    <w:uiPriority w:val="0"/>
    <w:pPr>
      <w:widowControl/>
      <w:jc w:val="left"/>
    </w:pPr>
    <w:rPr>
      <w:rFonts w:ascii="宋体" w:hAnsi="宋体" w:cs="宋体"/>
      <w:kern w:val="0"/>
      <w:szCs w:val="24"/>
    </w:rPr>
  </w:style>
  <w:style w:type="paragraph" w:customStyle="1" w:styleId="3539">
    <w:name w:val="样式 (中文) 华文楷体 四号 首行缩进:  1.01 厘米 行距: 1.5 倍行距"/>
    <w:basedOn w:val="1"/>
    <w:semiHidden/>
    <w:qFormat/>
    <w:uiPriority w:val="0"/>
    <w:pPr>
      <w:widowControl/>
      <w:jc w:val="left"/>
    </w:pPr>
    <w:rPr>
      <w:rFonts w:ascii="宋体" w:hAnsi="宋体" w:cs="宋体"/>
      <w:kern w:val="0"/>
      <w:szCs w:val="24"/>
    </w:rPr>
  </w:style>
  <w:style w:type="paragraph" w:customStyle="1" w:styleId="3540">
    <w:name w:val="xl243"/>
    <w:basedOn w:val="1"/>
    <w:qFormat/>
    <w:uiPriority w:val="99"/>
    <w:pPr>
      <w:widowControl/>
      <w:pBdr>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3541">
    <w:name w:val="默认段落字体 Para Char Char Char Char51"/>
    <w:basedOn w:val="1"/>
    <w:qFormat/>
    <w:uiPriority w:val="0"/>
    <w:pPr>
      <w:widowControl/>
      <w:jc w:val="left"/>
    </w:pPr>
    <w:rPr>
      <w:rFonts w:ascii="宋体" w:hAnsi="宋体" w:cs="宋体"/>
      <w:kern w:val="0"/>
      <w:szCs w:val="24"/>
    </w:rPr>
  </w:style>
  <w:style w:type="paragraph" w:customStyle="1" w:styleId="3542">
    <w:name w:val="Char Char Char Char Char Char Char33"/>
    <w:basedOn w:val="1"/>
    <w:qFormat/>
    <w:uiPriority w:val="0"/>
    <w:pPr>
      <w:widowControl/>
      <w:jc w:val="left"/>
    </w:pPr>
    <w:rPr>
      <w:rFonts w:ascii="宋体" w:hAnsi="宋体" w:cs="宋体"/>
      <w:kern w:val="0"/>
      <w:szCs w:val="24"/>
    </w:rPr>
  </w:style>
  <w:style w:type="paragraph" w:customStyle="1" w:styleId="3543">
    <w:name w:val="样式 首行缩进:  2 字符"/>
    <w:basedOn w:val="1"/>
    <w:qFormat/>
    <w:uiPriority w:val="0"/>
    <w:pPr>
      <w:ind w:firstLine="480"/>
    </w:pPr>
    <w:rPr>
      <w:rFonts w:cs="宋体"/>
      <w:kern w:val="0"/>
      <w:szCs w:val="20"/>
    </w:rPr>
  </w:style>
  <w:style w:type="paragraph" w:customStyle="1" w:styleId="3544">
    <w:name w:val="表题91"/>
    <w:basedOn w:val="1636"/>
    <w:qFormat/>
    <w:uiPriority w:val="0"/>
    <w:pPr>
      <w:spacing w:line="300" w:lineRule="auto"/>
      <w:jc w:val="center"/>
    </w:pPr>
    <w:rPr>
      <w:rFonts w:ascii="黑体" w:eastAsia="黑体"/>
      <w:szCs w:val="22"/>
    </w:rPr>
  </w:style>
  <w:style w:type="paragraph" w:customStyle="1" w:styleId="3545">
    <w:name w:val="表内5411111"/>
    <w:basedOn w:val="1"/>
    <w:qFormat/>
    <w:uiPriority w:val="0"/>
    <w:pPr>
      <w:widowControl/>
      <w:spacing w:line="300" w:lineRule="auto"/>
      <w:jc w:val="center"/>
    </w:pPr>
    <w:rPr>
      <w:rFonts w:ascii="宋体" w:hAnsi="宋体" w:cs="宋体"/>
      <w:kern w:val="0"/>
      <w:szCs w:val="20"/>
    </w:rPr>
  </w:style>
  <w:style w:type="paragraph" w:customStyle="1" w:styleId="3546">
    <w:name w:val="默认段落字体 Para Char Char Char Char Char Char Char Char Char Char Char Char Char Char Char Char Char Char Char Char Char Char Char Char Char Char Char Char1 Char Char Char Char Char"/>
    <w:basedOn w:val="1"/>
    <w:qFormat/>
    <w:uiPriority w:val="0"/>
    <w:pPr>
      <w:widowControl/>
      <w:jc w:val="left"/>
    </w:pPr>
    <w:rPr>
      <w:rFonts w:ascii="宋体" w:hAnsi="宋体" w:cs="宋体"/>
      <w:kern w:val="0"/>
      <w:szCs w:val="24"/>
    </w:rPr>
  </w:style>
  <w:style w:type="paragraph" w:customStyle="1" w:styleId="3547">
    <w:name w:val="正文斜体12"/>
    <w:basedOn w:val="418"/>
    <w:next w:val="418"/>
    <w:qFormat/>
    <w:uiPriority w:val="0"/>
    <w:rPr>
      <w:rFonts w:hAnsi="宋体"/>
      <w:i/>
      <w:iCs/>
      <w:szCs w:val="24"/>
    </w:rPr>
  </w:style>
  <w:style w:type="paragraph" w:customStyle="1" w:styleId="3548">
    <w:name w:val="附件231"/>
    <w:basedOn w:val="2"/>
    <w:next w:val="418"/>
    <w:qFormat/>
    <w:uiPriority w:val="0"/>
    <w:pPr>
      <w:numPr>
        <w:numId w:val="0"/>
      </w:numPr>
      <w:spacing w:before="220"/>
    </w:pPr>
    <w:rPr>
      <w:rFonts w:ascii="黑体" w:eastAsia="黑体"/>
      <w:sz w:val="32"/>
      <w:szCs w:val="32"/>
    </w:rPr>
  </w:style>
  <w:style w:type="paragraph" w:customStyle="1" w:styleId="3549">
    <w:name w:val="xl65"/>
    <w:basedOn w:val="1"/>
    <w:qFormat/>
    <w:uiPriority w:val="0"/>
    <w:pPr>
      <w:widowControl/>
      <w:pBdr>
        <w:top w:val="single" w:color="auto" w:sz="12" w:space="0"/>
        <w:bottom w:val="single" w:color="auto" w:sz="8" w:space="0"/>
        <w:right w:val="single" w:color="auto" w:sz="8" w:space="0"/>
      </w:pBdr>
      <w:spacing w:before="100" w:beforeAutospacing="1" w:after="100" w:afterAutospacing="1"/>
      <w:jc w:val="center"/>
    </w:pPr>
    <w:rPr>
      <w:rFonts w:ascii="仿宋" w:hAnsi="仿宋" w:eastAsia="仿宋" w:cs="宋体"/>
      <w:kern w:val="0"/>
      <w:szCs w:val="21"/>
    </w:rPr>
  </w:style>
  <w:style w:type="paragraph" w:customStyle="1" w:styleId="3550">
    <w:name w:val="——"/>
    <w:basedOn w:val="2219"/>
    <w:qFormat/>
    <w:uiPriority w:val="0"/>
    <w:pPr>
      <w:ind w:left="0" w:firstLine="660" w:firstLineChars="300"/>
    </w:pPr>
  </w:style>
  <w:style w:type="paragraph" w:customStyle="1" w:styleId="3551">
    <w:name w:val="表格中"/>
    <w:basedOn w:val="1"/>
    <w:qFormat/>
    <w:uiPriority w:val="0"/>
    <w:pPr>
      <w:widowControl/>
      <w:spacing w:line="280" w:lineRule="exact"/>
      <w:jc w:val="center"/>
    </w:pPr>
    <w:rPr>
      <w:rFonts w:ascii="宋体" w:hAnsi="宋体" w:cs="宋体"/>
      <w:kern w:val="0"/>
      <w:sz w:val="18"/>
      <w:szCs w:val="24"/>
    </w:rPr>
  </w:style>
  <w:style w:type="paragraph" w:customStyle="1" w:styleId="3552">
    <w:name w:val="Char48"/>
    <w:basedOn w:val="1"/>
    <w:qFormat/>
    <w:uiPriority w:val="0"/>
    <w:pPr>
      <w:widowControl/>
      <w:ind w:left="-48"/>
      <w:jc w:val="left"/>
    </w:pPr>
    <w:rPr>
      <w:rFonts w:ascii="宋体" w:hAnsi="宋体" w:cs="宋体"/>
      <w:kern w:val="0"/>
      <w:szCs w:val="24"/>
    </w:rPr>
  </w:style>
  <w:style w:type="paragraph" w:customStyle="1" w:styleId="3553">
    <w:name w:val="表24"/>
    <w:basedOn w:val="1"/>
    <w:qFormat/>
    <w:uiPriority w:val="0"/>
    <w:pPr>
      <w:widowControl/>
      <w:jc w:val="center"/>
    </w:pPr>
    <w:rPr>
      <w:rFonts w:ascii="宋体" w:hAnsi="宋体" w:cs="宋体"/>
      <w:kern w:val="0"/>
      <w:szCs w:val="24"/>
    </w:rPr>
  </w:style>
  <w:style w:type="paragraph" w:customStyle="1" w:styleId="3554">
    <w:name w:val="表内文字小2132"/>
    <w:basedOn w:val="1"/>
    <w:qFormat/>
    <w:uiPriority w:val="0"/>
    <w:pPr>
      <w:widowControl/>
      <w:jc w:val="center"/>
      <w:textAlignment w:val="baseline"/>
    </w:pPr>
    <w:rPr>
      <w:rFonts w:ascii="宋体" w:hAnsi="Times" w:cs="宋体"/>
      <w:bCs/>
      <w:kern w:val="0"/>
      <w:szCs w:val="20"/>
    </w:rPr>
  </w:style>
  <w:style w:type="paragraph" w:customStyle="1" w:styleId="3555">
    <w:name w:val="样式 标题 3 + 段前: 12 磅13"/>
    <w:basedOn w:val="4"/>
    <w:qFormat/>
    <w:uiPriority w:val="0"/>
    <w:pPr>
      <w:keepNext w:val="0"/>
      <w:keepLines w:val="0"/>
      <w:widowControl/>
      <w:autoSpaceDE w:val="0"/>
      <w:autoSpaceDN w:val="0"/>
      <w:jc w:val="both"/>
    </w:pPr>
    <w:rPr>
      <w:rFonts w:ascii="黑体" w:hAnsi="宋体" w:eastAsia="黑体" w:cs="宋体"/>
      <w:b w:val="0"/>
      <w:bCs w:val="0"/>
      <w:kern w:val="21"/>
      <w:szCs w:val="20"/>
    </w:rPr>
  </w:style>
  <w:style w:type="paragraph" w:customStyle="1" w:styleId="3556">
    <w:name w:val="reader-word-layer reader-word-s18-11"/>
    <w:basedOn w:val="1"/>
    <w:qFormat/>
    <w:uiPriority w:val="0"/>
    <w:pPr>
      <w:widowControl/>
      <w:spacing w:before="100" w:beforeAutospacing="1" w:after="100" w:afterAutospacing="1"/>
      <w:jc w:val="left"/>
    </w:pPr>
    <w:rPr>
      <w:rFonts w:ascii="宋体" w:hAnsi="宋体" w:cs="宋体"/>
      <w:kern w:val="0"/>
      <w:szCs w:val="24"/>
    </w:rPr>
  </w:style>
  <w:style w:type="paragraph" w:customStyle="1" w:styleId="3557">
    <w:name w:val="Char Char Char Char Char Char Char9"/>
    <w:basedOn w:val="1"/>
    <w:qFormat/>
    <w:uiPriority w:val="0"/>
    <w:pPr>
      <w:widowControl/>
      <w:jc w:val="left"/>
    </w:pPr>
    <w:rPr>
      <w:rFonts w:ascii="宋体" w:hAnsi="宋体" w:cs="宋体"/>
      <w:kern w:val="0"/>
      <w:szCs w:val="24"/>
    </w:rPr>
  </w:style>
  <w:style w:type="paragraph" w:customStyle="1" w:styleId="3558">
    <w:name w:val="表内宋5中41"/>
    <w:basedOn w:val="1"/>
    <w:qFormat/>
    <w:uiPriority w:val="0"/>
    <w:pPr>
      <w:widowControl/>
      <w:jc w:val="left"/>
      <w:textAlignment w:val="baseline"/>
    </w:pPr>
    <w:rPr>
      <w:rFonts w:ascii="宋体" w:hAnsi="宋体" w:cs="宋体"/>
      <w:kern w:val="0"/>
      <w:szCs w:val="20"/>
    </w:rPr>
  </w:style>
  <w:style w:type="paragraph" w:customStyle="1" w:styleId="3559">
    <w:name w:val="燕山正文313"/>
    <w:basedOn w:val="1"/>
    <w:qFormat/>
    <w:uiPriority w:val="0"/>
    <w:pPr>
      <w:widowControl/>
      <w:tabs>
        <w:tab w:val="left" w:pos="4680"/>
      </w:tabs>
      <w:spacing w:line="480" w:lineRule="exact"/>
      <w:jc w:val="left"/>
    </w:pPr>
    <w:rPr>
      <w:rFonts w:ascii="宋体" w:hAnsi="宋体" w:cs="宋体"/>
      <w:kern w:val="0"/>
      <w:szCs w:val="24"/>
    </w:rPr>
  </w:style>
  <w:style w:type="paragraph" w:customStyle="1" w:styleId="3560">
    <w:name w:val="Char321"/>
    <w:basedOn w:val="1"/>
    <w:qFormat/>
    <w:uiPriority w:val="0"/>
    <w:pPr>
      <w:widowControl/>
      <w:ind w:left="-48"/>
      <w:jc w:val="left"/>
    </w:pPr>
    <w:rPr>
      <w:rFonts w:ascii="宋体" w:hAnsi="宋体" w:cs="宋体"/>
      <w:kern w:val="0"/>
      <w:szCs w:val="24"/>
    </w:rPr>
  </w:style>
  <w:style w:type="paragraph" w:customStyle="1" w:styleId="3561">
    <w:name w:val="表文字513"/>
    <w:basedOn w:val="1"/>
    <w:qFormat/>
    <w:uiPriority w:val="0"/>
    <w:pPr>
      <w:widowControl/>
      <w:jc w:val="left"/>
      <w:textAlignment w:val="baseline"/>
    </w:pPr>
    <w:rPr>
      <w:rFonts w:ascii="宋体" w:hAnsi="宋体" w:cs="宋体"/>
      <w:kern w:val="0"/>
      <w:szCs w:val="20"/>
    </w:rPr>
  </w:style>
  <w:style w:type="paragraph" w:customStyle="1" w:styleId="3562">
    <w:name w:val="Char324"/>
    <w:basedOn w:val="1"/>
    <w:qFormat/>
    <w:uiPriority w:val="0"/>
    <w:pPr>
      <w:widowControl/>
      <w:ind w:left="-48"/>
      <w:jc w:val="left"/>
    </w:pPr>
    <w:rPr>
      <w:rFonts w:ascii="宋体" w:hAnsi="宋体" w:cs="宋体"/>
      <w:kern w:val="0"/>
      <w:szCs w:val="24"/>
    </w:rPr>
  </w:style>
  <w:style w:type="paragraph" w:customStyle="1" w:styleId="3563">
    <w:name w:val="Char Char Char Char Char Char Char Char Char Char Char Char Char Char Char Char Char Char Char Char Char Char Char Char Char Char Char Char Char Char Char Char Char Char Char Char1"/>
    <w:basedOn w:val="1"/>
    <w:qFormat/>
    <w:uiPriority w:val="0"/>
    <w:pPr>
      <w:widowControl/>
      <w:jc w:val="left"/>
    </w:pPr>
    <w:rPr>
      <w:rFonts w:ascii="宋体" w:hAnsi="宋体" w:cs="宋体"/>
      <w:kern w:val="0"/>
      <w:szCs w:val="24"/>
    </w:rPr>
  </w:style>
  <w:style w:type="paragraph" w:customStyle="1" w:styleId="3564">
    <w:name w:val="表格内字体211"/>
    <w:basedOn w:val="418"/>
    <w:next w:val="418"/>
    <w:qFormat/>
    <w:uiPriority w:val="0"/>
    <w:pPr>
      <w:spacing w:line="240" w:lineRule="auto"/>
      <w:ind w:firstLine="0"/>
      <w:jc w:val="center"/>
    </w:pPr>
    <w:rPr>
      <w:rFonts w:hAnsi="宋体"/>
      <w:sz w:val="21"/>
      <w:szCs w:val="24"/>
    </w:rPr>
  </w:style>
  <w:style w:type="paragraph" w:customStyle="1" w:styleId="3565">
    <w:name w:val="正文修改113"/>
    <w:basedOn w:val="786"/>
    <w:qFormat/>
    <w:uiPriority w:val="0"/>
    <w:rPr>
      <w:rFonts w:hAnsi="宋体" w:eastAsia="宋体" w:cs="宋体"/>
      <w:szCs w:val="24"/>
    </w:rPr>
  </w:style>
  <w:style w:type="paragraph" w:customStyle="1" w:styleId="3566">
    <w:name w:val="Char61"/>
    <w:basedOn w:val="1"/>
    <w:qFormat/>
    <w:uiPriority w:val="0"/>
    <w:pPr>
      <w:widowControl/>
      <w:spacing w:before="156"/>
      <w:jc w:val="left"/>
    </w:pPr>
    <w:rPr>
      <w:rFonts w:ascii="黑体" w:hAnsi="宋体" w:eastAsia="黑体" w:cs="宋体"/>
      <w:kern w:val="0"/>
      <w:sz w:val="32"/>
      <w:szCs w:val="32"/>
    </w:rPr>
  </w:style>
  <w:style w:type="paragraph" w:customStyle="1" w:styleId="3567">
    <w:name w:val="样式 标题 4 + 段前: 7.8 磅"/>
    <w:basedOn w:val="5"/>
    <w:qFormat/>
    <w:uiPriority w:val="0"/>
  </w:style>
  <w:style w:type="paragraph" w:customStyle="1" w:styleId="3568">
    <w:name w:val="Char821"/>
    <w:basedOn w:val="1"/>
    <w:qFormat/>
    <w:uiPriority w:val="0"/>
    <w:pPr>
      <w:widowControl/>
      <w:ind w:left="-48"/>
      <w:jc w:val="left"/>
    </w:pPr>
    <w:rPr>
      <w:rFonts w:ascii="宋体" w:hAnsi="宋体" w:cs="宋体"/>
      <w:kern w:val="0"/>
      <w:szCs w:val="24"/>
    </w:rPr>
  </w:style>
  <w:style w:type="paragraph" w:customStyle="1" w:styleId="3569">
    <w:name w:val="Char415"/>
    <w:basedOn w:val="1"/>
    <w:qFormat/>
    <w:uiPriority w:val="0"/>
    <w:pPr>
      <w:widowControl/>
      <w:ind w:left="-48"/>
      <w:jc w:val="left"/>
    </w:pPr>
    <w:rPr>
      <w:rFonts w:ascii="宋体" w:hAnsi="宋体" w:cs="宋体"/>
      <w:kern w:val="0"/>
      <w:szCs w:val="24"/>
    </w:rPr>
  </w:style>
  <w:style w:type="paragraph" w:customStyle="1" w:styleId="3570">
    <w:name w:val="样式 正文缩进 + 宋体 黑色11"/>
    <w:basedOn w:val="112"/>
    <w:qFormat/>
    <w:uiPriority w:val="0"/>
  </w:style>
  <w:style w:type="paragraph" w:customStyle="1" w:styleId="3571">
    <w:name w:val="表内5912"/>
    <w:basedOn w:val="1"/>
    <w:qFormat/>
    <w:uiPriority w:val="0"/>
    <w:pPr>
      <w:widowControl/>
      <w:spacing w:line="300" w:lineRule="auto"/>
      <w:jc w:val="center"/>
    </w:pPr>
    <w:rPr>
      <w:rFonts w:ascii="宋体" w:hAnsi="宋体" w:cs="宋体"/>
      <w:snapToGrid w:val="0"/>
      <w:kern w:val="0"/>
      <w:szCs w:val="21"/>
    </w:rPr>
  </w:style>
  <w:style w:type="paragraph" w:customStyle="1" w:styleId="3572">
    <w:name w:val="MTDisplayEquation"/>
    <w:basedOn w:val="435"/>
    <w:next w:val="1"/>
    <w:qFormat/>
    <w:uiPriority w:val="0"/>
    <w:pPr>
      <w:widowControl/>
      <w:tabs>
        <w:tab w:val="center" w:pos="4160"/>
        <w:tab w:val="right" w:pos="8300"/>
      </w:tabs>
      <w:ind w:firstLine="0" w:firstLineChars="0"/>
    </w:pPr>
    <w:rPr>
      <w:snapToGrid w:val="0"/>
      <w:szCs w:val="24"/>
    </w:rPr>
  </w:style>
  <w:style w:type="paragraph" w:customStyle="1" w:styleId="3573">
    <w:name w:val="Char Char Char Char Char Char Char Char Char Char Char1 Char Char Char Char1"/>
    <w:basedOn w:val="1"/>
    <w:qFormat/>
    <w:uiPriority w:val="0"/>
    <w:pPr>
      <w:widowControl/>
      <w:jc w:val="left"/>
    </w:pPr>
    <w:rPr>
      <w:rFonts w:ascii="宋体" w:hAnsi="宋体" w:cs="宋体"/>
      <w:kern w:val="0"/>
      <w:szCs w:val="24"/>
    </w:rPr>
  </w:style>
  <w:style w:type="paragraph" w:customStyle="1" w:styleId="3574">
    <w:name w:val="表32"/>
    <w:basedOn w:val="1"/>
    <w:qFormat/>
    <w:uiPriority w:val="0"/>
    <w:pPr>
      <w:widowControl/>
      <w:jc w:val="center"/>
    </w:pPr>
    <w:rPr>
      <w:rFonts w:ascii="宋体" w:hAnsi="宋体" w:cs="宋体"/>
      <w:kern w:val="0"/>
      <w:szCs w:val="24"/>
    </w:rPr>
  </w:style>
  <w:style w:type="paragraph" w:customStyle="1" w:styleId="3575">
    <w:name w:val="Char328"/>
    <w:basedOn w:val="1"/>
    <w:qFormat/>
    <w:uiPriority w:val="0"/>
    <w:pPr>
      <w:widowControl/>
      <w:ind w:left="-48"/>
      <w:jc w:val="left"/>
    </w:pPr>
    <w:rPr>
      <w:rFonts w:ascii="宋体" w:hAnsi="宋体" w:cs="宋体"/>
      <w:kern w:val="0"/>
      <w:szCs w:val="24"/>
    </w:rPr>
  </w:style>
  <w:style w:type="paragraph" w:customStyle="1" w:styleId="3576">
    <w:name w:val="标题44"/>
    <w:basedOn w:val="1"/>
    <w:qFormat/>
    <w:uiPriority w:val="0"/>
    <w:pPr>
      <w:widowControl/>
      <w:spacing w:line="300" w:lineRule="auto"/>
      <w:jc w:val="left"/>
    </w:pPr>
    <w:rPr>
      <w:rFonts w:ascii="黑体" w:hAnsi="宋体" w:eastAsia="黑体" w:cs="宋体"/>
      <w:bCs/>
      <w:kern w:val="0"/>
      <w:szCs w:val="24"/>
    </w:rPr>
  </w:style>
  <w:style w:type="paragraph" w:customStyle="1" w:styleId="3577">
    <w:name w:val="表内文字小82"/>
    <w:basedOn w:val="1"/>
    <w:qFormat/>
    <w:uiPriority w:val="0"/>
    <w:pPr>
      <w:widowControl/>
      <w:jc w:val="center"/>
    </w:pPr>
    <w:rPr>
      <w:rFonts w:ascii="宋体" w:hAnsi="Times" w:cs="宋体"/>
      <w:kern w:val="0"/>
      <w:szCs w:val="20"/>
    </w:rPr>
  </w:style>
  <w:style w:type="paragraph" w:customStyle="1" w:styleId="3578">
    <w:name w:val="Char Char Char Char Char Char Char Char Char Char Char1 Char Char Char Char Char Char1 Char Char Char Char Char Char Char Char Char Char Char Char"/>
    <w:basedOn w:val="1"/>
    <w:qFormat/>
    <w:uiPriority w:val="0"/>
    <w:pPr>
      <w:widowControl/>
      <w:jc w:val="left"/>
    </w:pPr>
    <w:rPr>
      <w:rFonts w:ascii="宋体" w:hAnsi="宋体" w:cs="宋体"/>
      <w:kern w:val="0"/>
      <w:szCs w:val="24"/>
    </w:rPr>
  </w:style>
  <w:style w:type="paragraph" w:customStyle="1" w:styleId="3579">
    <w:name w:val="表内文字边1"/>
    <w:basedOn w:val="1"/>
    <w:qFormat/>
    <w:uiPriority w:val="0"/>
    <w:pPr>
      <w:widowControl/>
      <w:spacing w:line="240" w:lineRule="atLeast"/>
      <w:ind w:left="-21" w:leftChars="-10" w:right="-42" w:rightChars="-20"/>
      <w:jc w:val="left"/>
    </w:pPr>
    <w:rPr>
      <w:rFonts w:ascii="宋体" w:hAnsi="宋体" w:cs="宋体"/>
      <w:kern w:val="0"/>
      <w:szCs w:val="21"/>
    </w:rPr>
  </w:style>
  <w:style w:type="paragraph" w:customStyle="1" w:styleId="3580">
    <w:name w:val="表内宋5中1121"/>
    <w:basedOn w:val="1"/>
    <w:qFormat/>
    <w:uiPriority w:val="0"/>
    <w:pPr>
      <w:widowControl/>
      <w:jc w:val="center"/>
      <w:textAlignment w:val="baseline"/>
    </w:pPr>
    <w:rPr>
      <w:rFonts w:ascii="宋体" w:hAnsi="宋体" w:cs="宋体"/>
      <w:kern w:val="0"/>
      <w:szCs w:val="20"/>
    </w:rPr>
  </w:style>
  <w:style w:type="paragraph" w:customStyle="1" w:styleId="3581">
    <w:name w:val="Char211"/>
    <w:basedOn w:val="1"/>
    <w:qFormat/>
    <w:uiPriority w:val="0"/>
    <w:pPr>
      <w:widowControl/>
      <w:ind w:left="-48"/>
      <w:jc w:val="left"/>
    </w:pPr>
    <w:rPr>
      <w:rFonts w:ascii="宋体" w:hAnsi="宋体" w:cs="宋体"/>
      <w:kern w:val="0"/>
      <w:szCs w:val="24"/>
    </w:rPr>
  </w:style>
  <w:style w:type="paragraph" w:customStyle="1" w:styleId="3582">
    <w:name w:val="表内523"/>
    <w:basedOn w:val="1"/>
    <w:qFormat/>
    <w:uiPriority w:val="0"/>
    <w:pPr>
      <w:widowControl/>
      <w:spacing w:line="300" w:lineRule="auto"/>
      <w:jc w:val="left"/>
    </w:pPr>
    <w:rPr>
      <w:rFonts w:ascii="宋体" w:hAnsi="宋体" w:cs="宋体"/>
      <w:kern w:val="0"/>
      <w:sz w:val="18"/>
      <w:szCs w:val="20"/>
    </w:rPr>
  </w:style>
  <w:style w:type="paragraph" w:customStyle="1" w:styleId="3583">
    <w:name w:val="表内551"/>
    <w:basedOn w:val="1"/>
    <w:qFormat/>
    <w:uiPriority w:val="0"/>
    <w:pPr>
      <w:widowControl/>
      <w:spacing w:line="300" w:lineRule="auto"/>
      <w:jc w:val="left"/>
    </w:pPr>
    <w:rPr>
      <w:rFonts w:ascii="宋体" w:hAnsi="宋体" w:cs="宋体"/>
      <w:kern w:val="0"/>
      <w:sz w:val="18"/>
      <w:szCs w:val="20"/>
    </w:rPr>
  </w:style>
  <w:style w:type="paragraph" w:customStyle="1" w:styleId="3584">
    <w:name w:val="燕山正文1143"/>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3585">
    <w:name w:val="样式 正文文本 + 首行缩进:  2 字符4"/>
    <w:basedOn w:val="1"/>
    <w:qFormat/>
    <w:uiPriority w:val="0"/>
    <w:pPr>
      <w:textAlignment w:val="baseline"/>
    </w:pPr>
    <w:rPr>
      <w:rFonts w:cs="宋体"/>
      <w:szCs w:val="21"/>
    </w:rPr>
  </w:style>
  <w:style w:type="paragraph" w:customStyle="1" w:styleId="3586">
    <w:name w:val="tt3"/>
    <w:basedOn w:val="1"/>
    <w:qFormat/>
    <w:uiPriority w:val="0"/>
    <w:pPr>
      <w:widowControl/>
      <w:spacing w:before="100" w:beforeAutospacing="1" w:after="100" w:afterAutospacing="1"/>
      <w:jc w:val="left"/>
    </w:pPr>
    <w:rPr>
      <w:rFonts w:ascii="宋体" w:hAnsi="宋体" w:cs="宋体"/>
      <w:kern w:val="0"/>
      <w:szCs w:val="24"/>
    </w:rPr>
  </w:style>
  <w:style w:type="paragraph" w:customStyle="1" w:styleId="3587">
    <w:name w:val="文本"/>
    <w:basedOn w:val="1"/>
    <w:next w:val="1"/>
    <w:qFormat/>
    <w:uiPriority w:val="0"/>
    <w:pPr>
      <w:overflowPunct w:val="0"/>
      <w:autoSpaceDE w:val="0"/>
      <w:autoSpaceDN w:val="0"/>
      <w:adjustRightInd/>
      <w:snapToGrid/>
      <w:ind w:firstLine="480"/>
    </w:pPr>
    <w:rPr>
      <w:rFonts w:cs="Times New Roman"/>
      <w:szCs w:val="24"/>
      <w:lang w:val="zh-CN"/>
    </w:rPr>
  </w:style>
  <w:style w:type="paragraph" w:customStyle="1" w:styleId="3588">
    <w:name w:val="正文图竖五"/>
    <w:basedOn w:val="1"/>
    <w:qFormat/>
    <w:uiPriority w:val="0"/>
    <w:pPr>
      <w:widowControl/>
      <w:jc w:val="center"/>
    </w:pPr>
    <w:rPr>
      <w:rFonts w:ascii="宋体" w:hAnsi="宋体" w:cs="宋体"/>
      <w:kern w:val="0"/>
      <w:szCs w:val="21"/>
    </w:rPr>
  </w:style>
  <w:style w:type="paragraph" w:customStyle="1" w:styleId="3589">
    <w:name w:val="图表名称12"/>
    <w:basedOn w:val="482"/>
    <w:qFormat/>
    <w:uiPriority w:val="0"/>
    <w:pPr>
      <w:spacing w:after="0" w:line="480" w:lineRule="exact"/>
      <w:ind w:firstLine="0" w:firstLineChars="0"/>
      <w:jc w:val="center"/>
    </w:pPr>
    <w:rPr>
      <w:rFonts w:ascii="宋体" w:hAnsi="宋体"/>
      <w:bCs/>
      <w:szCs w:val="24"/>
    </w:rPr>
  </w:style>
  <w:style w:type="paragraph" w:customStyle="1" w:styleId="3590">
    <w:name w:val="Char Char Char Char Char Char"/>
    <w:basedOn w:val="1"/>
    <w:qFormat/>
    <w:uiPriority w:val="0"/>
    <w:pPr>
      <w:widowControl/>
      <w:spacing w:beforeLines="100" w:after="240"/>
      <w:jc w:val="center"/>
      <w:textAlignment w:val="baseline"/>
    </w:pPr>
    <w:rPr>
      <w:rFonts w:ascii="Arial" w:hAnsi="Arial" w:eastAsia="黑体" w:cs="Verdana"/>
      <w:b/>
      <w:bCs/>
      <w:kern w:val="0"/>
      <w:sz w:val="32"/>
      <w:szCs w:val="24"/>
      <w:lang w:val="zh-CN" w:eastAsia="en-US"/>
    </w:rPr>
  </w:style>
  <w:style w:type="paragraph" w:customStyle="1" w:styleId="3591">
    <w:name w:val="Char631"/>
    <w:basedOn w:val="1"/>
    <w:qFormat/>
    <w:uiPriority w:val="0"/>
    <w:pPr>
      <w:widowControl/>
      <w:spacing w:before="156"/>
      <w:jc w:val="left"/>
    </w:pPr>
    <w:rPr>
      <w:rFonts w:ascii="黑体" w:hAnsi="宋体" w:eastAsia="黑体" w:cs="宋体"/>
      <w:kern w:val="0"/>
      <w:sz w:val="32"/>
      <w:szCs w:val="32"/>
    </w:rPr>
  </w:style>
  <w:style w:type="paragraph" w:customStyle="1" w:styleId="3592">
    <w:name w:val="Char92"/>
    <w:basedOn w:val="1"/>
    <w:qFormat/>
    <w:uiPriority w:val="0"/>
    <w:pPr>
      <w:widowControl/>
      <w:ind w:left="-48"/>
      <w:jc w:val="left"/>
    </w:pPr>
    <w:rPr>
      <w:rFonts w:ascii="宋体" w:hAnsi="宋体" w:cs="宋体"/>
      <w:kern w:val="0"/>
      <w:szCs w:val="24"/>
    </w:rPr>
  </w:style>
  <w:style w:type="paragraph" w:customStyle="1" w:styleId="3593">
    <w:name w:val="Char Char Char Char Char Char Char34"/>
    <w:basedOn w:val="1"/>
    <w:qFormat/>
    <w:uiPriority w:val="0"/>
    <w:pPr>
      <w:widowControl/>
      <w:jc w:val="left"/>
    </w:pPr>
    <w:rPr>
      <w:rFonts w:ascii="宋体" w:hAnsi="宋体" w:cs="宋体"/>
      <w:kern w:val="0"/>
      <w:szCs w:val="24"/>
    </w:rPr>
  </w:style>
  <w:style w:type="paragraph" w:customStyle="1" w:styleId="3594">
    <w:name w:val="表内文字小21411"/>
    <w:basedOn w:val="1"/>
    <w:qFormat/>
    <w:uiPriority w:val="0"/>
    <w:pPr>
      <w:widowControl/>
      <w:jc w:val="center"/>
    </w:pPr>
    <w:rPr>
      <w:rFonts w:ascii="宋体" w:hAnsi="Times" w:cs="宋体"/>
      <w:bCs/>
      <w:kern w:val="0"/>
      <w:szCs w:val="20"/>
    </w:rPr>
  </w:style>
  <w:style w:type="paragraph" w:customStyle="1" w:styleId="3595">
    <w:name w:val="表中文字8"/>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596">
    <w:name w:val="环评正文21"/>
    <w:basedOn w:val="98"/>
    <w:qFormat/>
    <w:uiPriority w:val="0"/>
    <w:pPr>
      <w:spacing w:line="440" w:lineRule="exact"/>
      <w:ind w:firstLine="200" w:firstLineChars="200"/>
    </w:pPr>
    <w:rPr>
      <w:rFonts w:ascii="Times New Roman" w:hAnsi="Times New Roman" w:cs="Times New Roman"/>
      <w:bCs/>
      <w:color w:val="000000"/>
    </w:rPr>
  </w:style>
  <w:style w:type="paragraph" w:customStyle="1" w:styleId="3597">
    <w:name w:val="附件2111"/>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3598">
    <w:name w:val="表格内容居中"/>
    <w:basedOn w:val="98"/>
    <w:qFormat/>
    <w:uiPriority w:val="0"/>
    <w:pPr>
      <w:adjustRightInd w:val="0"/>
      <w:snapToGrid w:val="0"/>
      <w:jc w:val="center"/>
    </w:pPr>
    <w:rPr>
      <w:rFonts w:ascii="Times New Roman" w:hAnsi="Times New Roman" w:cs="Times New Roman"/>
      <w:color w:val="000000"/>
      <w:szCs w:val="21"/>
    </w:rPr>
  </w:style>
  <w:style w:type="paragraph" w:customStyle="1" w:styleId="3599">
    <w:name w:val="表题144"/>
    <w:basedOn w:val="17"/>
    <w:qFormat/>
    <w:uiPriority w:val="0"/>
    <w:pPr>
      <w:widowControl/>
      <w:ind w:firstLine="0" w:firstLineChars="0"/>
      <w:jc w:val="center"/>
    </w:pPr>
    <w:rPr>
      <w:rFonts w:ascii="黑体" w:cs="Arial"/>
      <w:b/>
    </w:rPr>
  </w:style>
  <w:style w:type="paragraph" w:customStyle="1" w:styleId="3600">
    <w:name w:val="Char291"/>
    <w:basedOn w:val="1"/>
    <w:qFormat/>
    <w:uiPriority w:val="0"/>
    <w:pPr>
      <w:widowControl/>
      <w:ind w:left="-48"/>
      <w:jc w:val="left"/>
    </w:pPr>
    <w:rPr>
      <w:rFonts w:ascii="宋体" w:hAnsi="宋体" w:cs="宋体"/>
      <w:kern w:val="0"/>
      <w:szCs w:val="24"/>
    </w:rPr>
  </w:style>
  <w:style w:type="paragraph" w:customStyle="1" w:styleId="3601">
    <w:name w:val="表文字51"/>
    <w:basedOn w:val="1"/>
    <w:qFormat/>
    <w:uiPriority w:val="0"/>
    <w:pPr>
      <w:widowControl/>
      <w:jc w:val="left"/>
      <w:textAlignment w:val="baseline"/>
    </w:pPr>
    <w:rPr>
      <w:rFonts w:ascii="宋体" w:hAnsi="宋体" w:cs="宋体"/>
      <w:kern w:val="0"/>
      <w:szCs w:val="20"/>
    </w:rPr>
  </w:style>
  <w:style w:type="paragraph" w:customStyle="1" w:styleId="3602">
    <w:name w:val="xl56"/>
    <w:basedOn w:val="1"/>
    <w:qFormat/>
    <w:uiPriority w:val="0"/>
    <w:pPr>
      <w:widowControl/>
      <w:pBdr>
        <w:left w:val="double" w:color="auto" w:sz="6" w:space="0"/>
        <w:bottom w:val="single" w:color="auto" w:sz="4" w:space="0"/>
        <w:right w:val="single" w:color="auto" w:sz="4" w:space="0"/>
      </w:pBdr>
      <w:spacing w:before="100" w:beforeAutospacing="1" w:after="100" w:afterAutospacing="1"/>
      <w:jc w:val="center"/>
      <w:textAlignment w:val="center"/>
    </w:pPr>
    <w:rPr>
      <w:rFonts w:ascii="PMingLiU" w:eastAsia="PMingLiU"/>
      <w:kern w:val="0"/>
      <w:szCs w:val="24"/>
      <w:lang w:eastAsia="zh-TW"/>
    </w:rPr>
  </w:style>
  <w:style w:type="paragraph" w:customStyle="1" w:styleId="3603">
    <w:name w:val="Char230"/>
    <w:basedOn w:val="1"/>
    <w:qFormat/>
    <w:uiPriority w:val="0"/>
    <w:pPr>
      <w:widowControl/>
      <w:ind w:left="-48"/>
      <w:jc w:val="left"/>
    </w:pPr>
    <w:rPr>
      <w:rFonts w:ascii="宋体" w:hAnsi="宋体" w:cs="宋体"/>
      <w:kern w:val="0"/>
      <w:szCs w:val="24"/>
    </w:rPr>
  </w:style>
  <w:style w:type="paragraph" w:customStyle="1" w:styleId="3604">
    <w:name w:val="样式 表内小5 + 黑体 加粗 倾斜 下划线3"/>
    <w:basedOn w:val="1"/>
    <w:qFormat/>
    <w:uiPriority w:val="0"/>
    <w:pPr>
      <w:widowControl/>
      <w:spacing w:line="300" w:lineRule="auto"/>
      <w:jc w:val="left"/>
    </w:pPr>
    <w:rPr>
      <w:rFonts w:ascii="黑体" w:hAnsi="黑体" w:eastAsia="黑体" w:cs="宋体"/>
      <w:b/>
      <w:bCs/>
      <w:i/>
      <w:iCs/>
      <w:kern w:val="0"/>
      <w:sz w:val="18"/>
      <w:szCs w:val="24"/>
      <w:u w:val="single"/>
    </w:rPr>
  </w:style>
  <w:style w:type="paragraph" w:customStyle="1" w:styleId="3605">
    <w:name w:val="表内文字边12"/>
    <w:basedOn w:val="1"/>
    <w:qFormat/>
    <w:uiPriority w:val="0"/>
    <w:pPr>
      <w:widowControl/>
      <w:spacing w:line="240" w:lineRule="atLeast"/>
      <w:ind w:left="-21" w:leftChars="-10" w:right="-42" w:rightChars="-20"/>
      <w:jc w:val="left"/>
    </w:pPr>
    <w:rPr>
      <w:rFonts w:ascii="宋体" w:hAnsi="宋体" w:cs="宋体"/>
      <w:kern w:val="0"/>
      <w:szCs w:val="21"/>
    </w:rPr>
  </w:style>
  <w:style w:type="paragraph" w:customStyle="1" w:styleId="3606">
    <w:name w:val="正文格式911"/>
    <w:basedOn w:val="1"/>
    <w:qFormat/>
    <w:uiPriority w:val="0"/>
    <w:pPr>
      <w:widowControl/>
      <w:ind w:firstLine="482"/>
      <w:jc w:val="left"/>
    </w:pPr>
    <w:rPr>
      <w:rFonts w:ascii="宋体" w:hAnsi="宋体" w:cs="宋体"/>
      <w:kern w:val="0"/>
      <w:szCs w:val="24"/>
    </w:rPr>
  </w:style>
  <w:style w:type="paragraph" w:customStyle="1" w:styleId="3607">
    <w:name w:val="表中文字111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608">
    <w:name w:val="列表3"/>
    <w:basedOn w:val="1"/>
    <w:qFormat/>
    <w:uiPriority w:val="0"/>
    <w:pPr>
      <w:widowControl/>
      <w:spacing w:line="360" w:lineRule="exact"/>
      <w:jc w:val="center"/>
    </w:pPr>
    <w:rPr>
      <w:rFonts w:ascii="仿宋_GB2312" w:hAnsi="宋体" w:cs="宋体"/>
      <w:kern w:val="0"/>
      <w:szCs w:val="20"/>
    </w:rPr>
  </w:style>
  <w:style w:type="paragraph" w:customStyle="1" w:styleId="3609">
    <w:name w:val="正文修改51"/>
    <w:basedOn w:val="786"/>
    <w:qFormat/>
    <w:uiPriority w:val="0"/>
    <w:rPr>
      <w:rFonts w:hAnsi="宋体" w:eastAsia="宋体" w:cs="宋体"/>
      <w:szCs w:val="24"/>
    </w:rPr>
  </w:style>
  <w:style w:type="paragraph" w:customStyle="1" w:styleId="3610">
    <w:name w:val="燕山正文134"/>
    <w:basedOn w:val="1"/>
    <w:qFormat/>
    <w:uiPriority w:val="0"/>
    <w:pPr>
      <w:widowControl/>
      <w:tabs>
        <w:tab w:val="left" w:pos="4680"/>
      </w:tabs>
      <w:ind w:firstLine="480"/>
      <w:jc w:val="left"/>
    </w:pPr>
    <w:rPr>
      <w:rFonts w:ascii="宋体" w:hAnsi="宋体" w:cs="宋体"/>
      <w:bCs/>
      <w:kern w:val="0"/>
      <w:szCs w:val="24"/>
    </w:rPr>
  </w:style>
  <w:style w:type="paragraph" w:customStyle="1" w:styleId="3611">
    <w:name w:val="表文字521"/>
    <w:basedOn w:val="1"/>
    <w:qFormat/>
    <w:uiPriority w:val="0"/>
    <w:pPr>
      <w:widowControl/>
      <w:jc w:val="left"/>
      <w:textAlignment w:val="baseline"/>
    </w:pPr>
    <w:rPr>
      <w:rFonts w:ascii="宋体" w:hAnsi="宋体" w:cs="宋体"/>
      <w:kern w:val="0"/>
      <w:szCs w:val="20"/>
    </w:rPr>
  </w:style>
  <w:style w:type="paragraph" w:customStyle="1" w:styleId="3612">
    <w:name w:val="Char Char Char Char Char Char Char129"/>
    <w:basedOn w:val="1"/>
    <w:qFormat/>
    <w:uiPriority w:val="0"/>
    <w:pPr>
      <w:widowControl/>
      <w:jc w:val="left"/>
    </w:pPr>
    <w:rPr>
      <w:rFonts w:ascii="宋体" w:hAnsi="宋体" w:cs="宋体"/>
      <w:kern w:val="0"/>
      <w:szCs w:val="24"/>
    </w:rPr>
  </w:style>
  <w:style w:type="paragraph" w:customStyle="1" w:styleId="3613">
    <w:name w:val="样式 标题 3条标题1.1.13h33rd levelH3l3CT标题 3 Char Char头level_...1"/>
    <w:basedOn w:val="4"/>
    <w:qFormat/>
    <w:uiPriority w:val="0"/>
    <w:pPr>
      <w:tabs>
        <w:tab w:val="left" w:pos="709"/>
      </w:tabs>
      <w:ind w:left="-1" w:leftChars="-1"/>
    </w:pPr>
    <w:rPr>
      <w:rFonts w:ascii="Times New Roman"/>
      <w:bCs w:val="0"/>
      <w:szCs w:val="24"/>
    </w:rPr>
  </w:style>
  <w:style w:type="paragraph" w:customStyle="1" w:styleId="3614">
    <w:name w:val="正文修改313"/>
    <w:basedOn w:val="786"/>
    <w:qFormat/>
    <w:uiPriority w:val="0"/>
    <w:rPr>
      <w:rFonts w:hAnsi="宋体" w:eastAsia="宋体" w:cs="宋体"/>
      <w:szCs w:val="24"/>
    </w:rPr>
  </w:style>
  <w:style w:type="paragraph" w:customStyle="1" w:styleId="3615">
    <w:name w:val="font16"/>
    <w:basedOn w:val="1"/>
    <w:qFormat/>
    <w:uiPriority w:val="0"/>
    <w:pPr>
      <w:widowControl/>
      <w:spacing w:before="100" w:beforeAutospacing="1" w:after="100" w:afterAutospacing="1"/>
      <w:jc w:val="left"/>
    </w:pPr>
    <w:rPr>
      <w:rFonts w:ascii="Courier New" w:hAnsi="Courier New" w:cs="Courier New"/>
      <w:kern w:val="0"/>
      <w:sz w:val="18"/>
      <w:szCs w:val="18"/>
    </w:rPr>
  </w:style>
  <w:style w:type="paragraph" w:customStyle="1" w:styleId="3616">
    <w:name w:val="表内宋5中113"/>
    <w:basedOn w:val="1"/>
    <w:qFormat/>
    <w:uiPriority w:val="0"/>
    <w:pPr>
      <w:widowControl/>
      <w:jc w:val="center"/>
      <w:textAlignment w:val="baseline"/>
    </w:pPr>
    <w:rPr>
      <w:rFonts w:ascii="宋体" w:hAnsi="宋体" w:cs="宋体"/>
      <w:kern w:val="0"/>
      <w:szCs w:val="20"/>
    </w:rPr>
  </w:style>
  <w:style w:type="paragraph" w:customStyle="1" w:styleId="3617">
    <w:name w:val="Char Char Char Char Char Char Char Char Char Char Char Char Char"/>
    <w:basedOn w:val="1"/>
    <w:qFormat/>
    <w:uiPriority w:val="0"/>
    <w:pPr>
      <w:tabs>
        <w:tab w:val="left" w:pos="432"/>
      </w:tabs>
      <w:ind w:left="432" w:hanging="432"/>
    </w:pPr>
    <w:rPr>
      <w:szCs w:val="24"/>
    </w:rPr>
  </w:style>
  <w:style w:type="paragraph" w:customStyle="1" w:styleId="3618">
    <w:name w:val="表内宋51141"/>
    <w:basedOn w:val="734"/>
    <w:qFormat/>
    <w:uiPriority w:val="0"/>
    <w:rPr>
      <w:rFonts w:ascii="宋体" w:hAnsi="宋体" w:cs="宋体"/>
      <w:sz w:val="21"/>
      <w:szCs w:val="24"/>
    </w:rPr>
  </w:style>
  <w:style w:type="paragraph" w:customStyle="1" w:styleId="3619">
    <w:name w:val="默认段落字体 Para Char Char Char Char23"/>
    <w:basedOn w:val="1"/>
    <w:qFormat/>
    <w:uiPriority w:val="0"/>
    <w:pPr>
      <w:widowControl/>
      <w:jc w:val="left"/>
    </w:pPr>
    <w:rPr>
      <w:rFonts w:ascii="宋体" w:hAnsi="宋体" w:cs="宋体"/>
      <w:kern w:val="0"/>
      <w:szCs w:val="24"/>
    </w:rPr>
  </w:style>
  <w:style w:type="paragraph" w:customStyle="1" w:styleId="3620">
    <w:name w:val="xl61"/>
    <w:basedOn w:val="1"/>
    <w:qFormat/>
    <w:uiPriority w:val="0"/>
    <w:pPr>
      <w:widowControl/>
      <w:pBdr>
        <w:top w:val="single" w:color="auto" w:sz="4" w:space="0"/>
        <w:left w:val="single" w:color="auto" w:sz="4" w:space="0"/>
        <w:bottom w:val="double" w:color="auto" w:sz="6" w:space="0"/>
      </w:pBdr>
      <w:spacing w:before="100" w:beforeAutospacing="1" w:after="100" w:afterAutospacing="1"/>
      <w:jc w:val="center"/>
      <w:textAlignment w:val="center"/>
    </w:pPr>
    <w:rPr>
      <w:rFonts w:eastAsia="PMingLiU"/>
      <w:kern w:val="0"/>
      <w:sz w:val="16"/>
      <w:szCs w:val="16"/>
      <w:lang w:eastAsia="zh-TW"/>
    </w:rPr>
  </w:style>
  <w:style w:type="paragraph" w:customStyle="1" w:styleId="3621">
    <w:name w:val="reader-word-layer reader-word-s18-9"/>
    <w:basedOn w:val="1"/>
    <w:qFormat/>
    <w:uiPriority w:val="0"/>
    <w:pPr>
      <w:widowControl/>
      <w:spacing w:before="100" w:beforeAutospacing="1" w:after="100" w:afterAutospacing="1"/>
      <w:jc w:val="left"/>
    </w:pPr>
    <w:rPr>
      <w:rFonts w:ascii="宋体" w:hAnsi="宋体" w:cs="宋体"/>
      <w:kern w:val="0"/>
      <w:szCs w:val="24"/>
    </w:rPr>
  </w:style>
  <w:style w:type="paragraph" w:customStyle="1" w:styleId="3622">
    <w:name w:val="正文格式11"/>
    <w:basedOn w:val="1"/>
    <w:qFormat/>
    <w:uiPriority w:val="0"/>
    <w:pPr>
      <w:widowControl/>
      <w:ind w:firstLine="482"/>
      <w:jc w:val="left"/>
    </w:pPr>
    <w:rPr>
      <w:rFonts w:ascii="宋体" w:hAnsi="宋体" w:cs="宋体"/>
      <w:kern w:val="0"/>
      <w:szCs w:val="24"/>
    </w:rPr>
  </w:style>
  <w:style w:type="paragraph" w:customStyle="1" w:styleId="3623">
    <w:name w:val="Char Char Char Char Char Char Char Char Char Char Char Char Char Char Char Char Char Char Char Char Char Char Char Char Char Char Char Char Char Char1"/>
    <w:basedOn w:val="1"/>
    <w:qFormat/>
    <w:uiPriority w:val="0"/>
    <w:pPr>
      <w:widowControl/>
      <w:jc w:val="left"/>
    </w:pPr>
    <w:rPr>
      <w:rFonts w:ascii="宋体" w:hAnsi="宋体" w:cs="宋体"/>
      <w:kern w:val="0"/>
      <w:szCs w:val="24"/>
    </w:rPr>
  </w:style>
  <w:style w:type="paragraph" w:customStyle="1" w:styleId="3624">
    <w:name w:val="表内宋5114"/>
    <w:basedOn w:val="734"/>
    <w:qFormat/>
    <w:uiPriority w:val="0"/>
    <w:rPr>
      <w:rFonts w:ascii="宋体" w:hAnsi="宋体" w:cs="宋体"/>
      <w:sz w:val="21"/>
      <w:szCs w:val="24"/>
    </w:rPr>
  </w:style>
  <w:style w:type="paragraph" w:customStyle="1" w:styleId="3625">
    <w:name w:val="样式 表内小5 + 黑体 加粗 倾斜 下划线1"/>
    <w:basedOn w:val="1"/>
    <w:qFormat/>
    <w:uiPriority w:val="0"/>
    <w:pPr>
      <w:widowControl/>
      <w:spacing w:line="300" w:lineRule="auto"/>
      <w:jc w:val="left"/>
    </w:pPr>
    <w:rPr>
      <w:rFonts w:ascii="黑体" w:hAnsi="黑体" w:eastAsia="黑体" w:cs="宋体"/>
      <w:b/>
      <w:bCs/>
      <w:i/>
      <w:iCs/>
      <w:kern w:val="0"/>
      <w:sz w:val="18"/>
      <w:szCs w:val="24"/>
      <w:u w:val="single"/>
    </w:rPr>
  </w:style>
  <w:style w:type="paragraph" w:customStyle="1" w:styleId="3626">
    <w:name w:val="图题61"/>
    <w:basedOn w:val="418"/>
    <w:next w:val="418"/>
    <w:qFormat/>
    <w:uiPriority w:val="0"/>
    <w:pPr>
      <w:ind w:firstLine="0"/>
      <w:jc w:val="center"/>
    </w:pPr>
    <w:rPr>
      <w:rFonts w:ascii="黑体" w:hAnsi="宋体" w:eastAsia="黑体" w:cs="宋体"/>
      <w:b/>
      <w:bCs/>
      <w:kern w:val="0"/>
      <w:szCs w:val="24"/>
    </w:rPr>
  </w:style>
  <w:style w:type="paragraph" w:customStyle="1" w:styleId="3627">
    <w:name w:val="默认段落字体 Para Char Char Char Char2"/>
    <w:basedOn w:val="1"/>
    <w:qFormat/>
    <w:uiPriority w:val="0"/>
    <w:pPr>
      <w:widowControl/>
      <w:jc w:val="left"/>
    </w:pPr>
    <w:rPr>
      <w:rFonts w:ascii="宋体" w:hAnsi="宋体" w:cs="宋体"/>
      <w:kern w:val="0"/>
      <w:szCs w:val="24"/>
    </w:rPr>
  </w:style>
  <w:style w:type="paragraph" w:customStyle="1" w:styleId="3628">
    <w:name w:val="默认段落字体 Para Char Char Char Char Char111"/>
    <w:basedOn w:val="1"/>
    <w:qFormat/>
    <w:uiPriority w:val="0"/>
    <w:pPr>
      <w:widowControl/>
      <w:jc w:val="left"/>
    </w:pPr>
    <w:rPr>
      <w:rFonts w:ascii="宋体" w:hAnsi="宋体" w:cs="宋体"/>
      <w:kern w:val="0"/>
      <w:szCs w:val="24"/>
    </w:rPr>
  </w:style>
  <w:style w:type="paragraph" w:customStyle="1" w:styleId="3629">
    <w:name w:val="五级条标题"/>
    <w:basedOn w:val="2453"/>
    <w:next w:val="1"/>
    <w:qFormat/>
    <w:uiPriority w:val="0"/>
    <w:pPr>
      <w:tabs>
        <w:tab w:val="left" w:pos="1296"/>
        <w:tab w:val="left" w:pos="2940"/>
        <w:tab w:val="left" w:pos="3500"/>
        <w:tab w:val="clear" w:pos="1152"/>
        <w:tab w:val="clear" w:pos="2520"/>
        <w:tab w:val="clear" w:pos="3080"/>
      </w:tabs>
      <w:outlineLvl w:val="6"/>
    </w:pPr>
  </w:style>
  <w:style w:type="paragraph" w:customStyle="1" w:styleId="3630">
    <w:name w:val="reader-word-layer reader-word-s18-22"/>
    <w:basedOn w:val="1"/>
    <w:qFormat/>
    <w:uiPriority w:val="0"/>
    <w:pPr>
      <w:widowControl/>
      <w:spacing w:before="100" w:beforeAutospacing="1" w:after="100" w:afterAutospacing="1"/>
      <w:jc w:val="left"/>
    </w:pPr>
    <w:rPr>
      <w:rFonts w:ascii="宋体" w:hAnsi="宋体" w:cs="宋体"/>
      <w:kern w:val="0"/>
      <w:szCs w:val="24"/>
    </w:rPr>
  </w:style>
  <w:style w:type="paragraph" w:customStyle="1" w:styleId="3631">
    <w:name w:val="表格内字体13"/>
    <w:basedOn w:val="418"/>
    <w:next w:val="418"/>
    <w:qFormat/>
    <w:uiPriority w:val="0"/>
    <w:pPr>
      <w:spacing w:line="240" w:lineRule="auto"/>
      <w:ind w:firstLine="0"/>
      <w:jc w:val="center"/>
    </w:pPr>
    <w:rPr>
      <w:rFonts w:hAnsi="宋体"/>
      <w:sz w:val="21"/>
      <w:szCs w:val="24"/>
    </w:rPr>
  </w:style>
  <w:style w:type="paragraph" w:customStyle="1" w:styleId="3632">
    <w:name w:val="Char Char2 Char Char Char Char210"/>
    <w:basedOn w:val="1"/>
    <w:qFormat/>
    <w:uiPriority w:val="0"/>
    <w:pPr>
      <w:widowControl/>
      <w:jc w:val="left"/>
    </w:pPr>
    <w:rPr>
      <w:rFonts w:ascii="宋体" w:hAnsi="宋体" w:cs="宋体"/>
      <w:kern w:val="0"/>
      <w:szCs w:val="24"/>
    </w:rPr>
  </w:style>
  <w:style w:type="paragraph" w:customStyle="1" w:styleId="3633">
    <w:name w:val="Char Char Char Char Char Char Char"/>
    <w:basedOn w:val="1"/>
    <w:qFormat/>
    <w:uiPriority w:val="0"/>
    <w:rPr>
      <w:szCs w:val="24"/>
    </w:rPr>
  </w:style>
  <w:style w:type="paragraph" w:customStyle="1" w:styleId="3634">
    <w:name w:val="引言"/>
    <w:basedOn w:val="1"/>
    <w:next w:val="1"/>
    <w:qFormat/>
    <w:uiPriority w:val="0"/>
    <w:pPr>
      <w:widowControl/>
      <w:jc w:val="center"/>
    </w:pPr>
    <w:rPr>
      <w:rFonts w:ascii="仿宋_GB2312" w:hAnsi="宋体" w:cs="宋体"/>
      <w:kern w:val="0"/>
      <w:szCs w:val="24"/>
    </w:rPr>
  </w:style>
  <w:style w:type="paragraph" w:customStyle="1" w:styleId="3635">
    <w:name w:val="xl63111"/>
    <w:basedOn w:val="1"/>
    <w:qFormat/>
    <w:uiPriority w:val="0"/>
    <w:pPr>
      <w:widowControl/>
      <w:spacing w:before="100" w:beforeAutospacing="1" w:after="100" w:afterAutospacing="1"/>
      <w:jc w:val="center"/>
      <w:textAlignment w:val="center"/>
    </w:pPr>
    <w:rPr>
      <w:rFonts w:hint="eastAsia" w:ascii="黑体" w:hAnsi="宋体" w:eastAsia="黑体" w:cs="宋体"/>
      <w:kern w:val="0"/>
      <w:szCs w:val="24"/>
    </w:rPr>
  </w:style>
  <w:style w:type="paragraph" w:customStyle="1" w:styleId="3636">
    <w:name w:val="表内5413"/>
    <w:basedOn w:val="1"/>
    <w:qFormat/>
    <w:uiPriority w:val="0"/>
    <w:pPr>
      <w:widowControl/>
      <w:spacing w:line="300" w:lineRule="auto"/>
      <w:jc w:val="center"/>
    </w:pPr>
    <w:rPr>
      <w:rFonts w:ascii="宋体" w:hAnsi="宋体" w:cs="宋体"/>
      <w:kern w:val="0"/>
      <w:szCs w:val="20"/>
    </w:rPr>
  </w:style>
  <w:style w:type="paragraph" w:customStyle="1" w:styleId="3637">
    <w:name w:val="Char4211"/>
    <w:basedOn w:val="1"/>
    <w:qFormat/>
    <w:uiPriority w:val="0"/>
    <w:pPr>
      <w:widowControl/>
      <w:ind w:left="-48"/>
      <w:jc w:val="left"/>
    </w:pPr>
    <w:rPr>
      <w:rFonts w:ascii="宋体" w:hAnsi="宋体" w:cs="宋体"/>
      <w:kern w:val="0"/>
      <w:szCs w:val="24"/>
    </w:rPr>
  </w:style>
  <w:style w:type="paragraph" w:customStyle="1" w:styleId="3638">
    <w:name w:val="表内54141"/>
    <w:basedOn w:val="1"/>
    <w:qFormat/>
    <w:uiPriority w:val="0"/>
    <w:pPr>
      <w:widowControl/>
      <w:spacing w:line="300" w:lineRule="auto"/>
      <w:jc w:val="center"/>
    </w:pPr>
    <w:rPr>
      <w:rFonts w:ascii="宋体" w:hAnsi="宋体" w:cs="宋体"/>
      <w:kern w:val="0"/>
      <w:szCs w:val="20"/>
    </w:rPr>
  </w:style>
  <w:style w:type="paragraph" w:customStyle="1" w:styleId="3639">
    <w:name w:val="Char311"/>
    <w:basedOn w:val="1"/>
    <w:qFormat/>
    <w:uiPriority w:val="0"/>
    <w:pPr>
      <w:widowControl/>
      <w:ind w:left="-48"/>
      <w:jc w:val="left"/>
    </w:pPr>
    <w:rPr>
      <w:rFonts w:ascii="宋体" w:hAnsi="宋体" w:cs="宋体"/>
      <w:kern w:val="0"/>
      <w:szCs w:val="24"/>
    </w:rPr>
  </w:style>
  <w:style w:type="paragraph" w:customStyle="1" w:styleId="3640">
    <w:name w:val="Char Char Char Char Char Char Char116"/>
    <w:basedOn w:val="1"/>
    <w:qFormat/>
    <w:uiPriority w:val="0"/>
    <w:pPr>
      <w:widowControl/>
      <w:jc w:val="left"/>
    </w:pPr>
    <w:rPr>
      <w:rFonts w:ascii="宋体" w:hAnsi="宋体" w:cs="宋体"/>
      <w:kern w:val="0"/>
      <w:szCs w:val="24"/>
    </w:rPr>
  </w:style>
  <w:style w:type="paragraph" w:customStyle="1" w:styleId="3641">
    <w:name w:val="Char36"/>
    <w:basedOn w:val="1"/>
    <w:qFormat/>
    <w:uiPriority w:val="0"/>
    <w:pPr>
      <w:widowControl/>
      <w:ind w:left="-48"/>
      <w:jc w:val="left"/>
    </w:pPr>
    <w:rPr>
      <w:rFonts w:ascii="宋体" w:hAnsi="宋体" w:cs="宋体"/>
      <w:kern w:val="0"/>
      <w:szCs w:val="24"/>
    </w:rPr>
  </w:style>
  <w:style w:type="paragraph" w:customStyle="1" w:styleId="3642">
    <w:name w:val="表中文字51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643">
    <w:name w:val="Char Char Char Char1 Char Char Char110"/>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644">
    <w:name w:val="样式 (西文) 幼圆 (中文) 幼圆 (符号) 宋体 居中"/>
    <w:basedOn w:val="1"/>
    <w:semiHidden/>
    <w:qFormat/>
    <w:uiPriority w:val="0"/>
    <w:pPr>
      <w:spacing w:line="120" w:lineRule="atLeast"/>
      <w:jc w:val="center"/>
    </w:pPr>
    <w:rPr>
      <w:rFonts w:ascii="幼圆" w:hAnsi="宋体" w:eastAsia="幼圆"/>
      <w:kern w:val="0"/>
      <w:szCs w:val="20"/>
    </w:rPr>
  </w:style>
  <w:style w:type="paragraph" w:customStyle="1" w:styleId="3645">
    <w:name w:val="标题43112"/>
    <w:basedOn w:val="1"/>
    <w:qFormat/>
    <w:uiPriority w:val="0"/>
    <w:pPr>
      <w:widowControl/>
      <w:spacing w:line="480" w:lineRule="exact"/>
      <w:jc w:val="center"/>
    </w:pPr>
    <w:rPr>
      <w:rFonts w:ascii="宋体" w:hAnsi="宋体" w:cs="宋体"/>
      <w:kern w:val="0"/>
      <w:szCs w:val="24"/>
    </w:rPr>
  </w:style>
  <w:style w:type="paragraph" w:customStyle="1" w:styleId="3646">
    <w:name w:val="样式23"/>
    <w:basedOn w:val="1"/>
    <w:qFormat/>
    <w:uiPriority w:val="0"/>
    <w:pPr>
      <w:widowControl/>
      <w:jc w:val="center"/>
      <w:textAlignment w:val="baseline"/>
      <w:outlineLvl w:val="0"/>
    </w:pPr>
    <w:rPr>
      <w:rFonts w:ascii="宋体" w:hAnsi="宋体" w:cs="宋体"/>
      <w:kern w:val="0"/>
      <w:szCs w:val="20"/>
    </w:rPr>
  </w:style>
  <w:style w:type="paragraph" w:customStyle="1" w:styleId="3647">
    <w:name w:val="Char Char Char Char Char Char Char Char Char Char Char1 Char Char Char Char Char Char Char Char Char Char Char Char Char Char Char Char1"/>
    <w:basedOn w:val="1"/>
    <w:qFormat/>
    <w:uiPriority w:val="0"/>
    <w:pPr>
      <w:widowControl/>
      <w:jc w:val="left"/>
    </w:pPr>
    <w:rPr>
      <w:rFonts w:ascii="宋体" w:hAnsi="宋体" w:cs="宋体"/>
      <w:kern w:val="0"/>
      <w:szCs w:val="24"/>
    </w:rPr>
  </w:style>
  <w:style w:type="paragraph" w:customStyle="1" w:styleId="3648">
    <w:name w:val="默认段落字体 Para Char1"/>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3649">
    <w:name w:val="文本框23"/>
    <w:basedOn w:val="1"/>
    <w:qFormat/>
    <w:uiPriority w:val="0"/>
    <w:pPr>
      <w:widowControl/>
      <w:spacing w:after="6"/>
      <w:jc w:val="center"/>
    </w:pPr>
    <w:rPr>
      <w:rFonts w:ascii="宋体" w:hAnsi="宋体" w:cs="宋体"/>
      <w:kern w:val="0"/>
      <w:szCs w:val="24"/>
    </w:rPr>
  </w:style>
  <w:style w:type="paragraph" w:customStyle="1" w:styleId="3650">
    <w:name w:val="文本框41"/>
    <w:basedOn w:val="1"/>
    <w:qFormat/>
    <w:uiPriority w:val="0"/>
    <w:pPr>
      <w:widowControl/>
      <w:spacing w:after="6"/>
      <w:jc w:val="center"/>
    </w:pPr>
    <w:rPr>
      <w:rFonts w:ascii="宋体" w:hAnsi="宋体" w:cs="宋体"/>
      <w:kern w:val="0"/>
      <w:szCs w:val="24"/>
    </w:rPr>
  </w:style>
  <w:style w:type="paragraph" w:customStyle="1" w:styleId="3651">
    <w:name w:val="默认段落字体 Para Char112"/>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3652">
    <w:name w:val="附件51"/>
    <w:basedOn w:val="2"/>
    <w:next w:val="418"/>
    <w:qFormat/>
    <w:uiPriority w:val="0"/>
    <w:pPr>
      <w:numPr>
        <w:numId w:val="0"/>
      </w:numPr>
      <w:adjustRightInd/>
      <w:snapToGrid/>
      <w:spacing w:after="210"/>
      <w:jc w:val="left"/>
    </w:pPr>
    <w:rPr>
      <w:rFonts w:ascii="黑体" w:eastAsia="黑体"/>
      <w:sz w:val="32"/>
      <w:szCs w:val="32"/>
    </w:rPr>
  </w:style>
  <w:style w:type="paragraph" w:customStyle="1" w:styleId="3653">
    <w:name w:val="样式411"/>
    <w:basedOn w:val="25"/>
    <w:qFormat/>
    <w:uiPriority w:val="0"/>
    <w:pPr>
      <w:widowControl/>
      <w:tabs>
        <w:tab w:val="left" w:pos="1820"/>
      </w:tabs>
      <w:spacing w:line="240" w:lineRule="atLeast"/>
      <w:jc w:val="center"/>
    </w:pPr>
    <w:rPr>
      <w:rFonts w:eastAsia="幼圆"/>
      <w:kern w:val="0"/>
      <w:sz w:val="21"/>
      <w:szCs w:val="20"/>
    </w:rPr>
  </w:style>
  <w:style w:type="paragraph" w:customStyle="1" w:styleId="3654">
    <w:name w:val="表内535"/>
    <w:basedOn w:val="1"/>
    <w:qFormat/>
    <w:uiPriority w:val="0"/>
    <w:pPr>
      <w:widowControl/>
      <w:spacing w:line="300" w:lineRule="auto"/>
      <w:jc w:val="left"/>
    </w:pPr>
    <w:rPr>
      <w:rFonts w:ascii="宋体" w:hAnsi="宋体" w:cs="宋体"/>
      <w:kern w:val="0"/>
      <w:szCs w:val="20"/>
    </w:rPr>
  </w:style>
  <w:style w:type="paragraph" w:customStyle="1" w:styleId="3655">
    <w:name w:val="Char126"/>
    <w:basedOn w:val="1"/>
    <w:qFormat/>
    <w:uiPriority w:val="0"/>
    <w:pPr>
      <w:widowControl/>
      <w:ind w:left="-48"/>
      <w:jc w:val="left"/>
    </w:pPr>
    <w:rPr>
      <w:rFonts w:ascii="宋体" w:hAnsi="宋体" w:cs="宋体"/>
      <w:kern w:val="0"/>
      <w:szCs w:val="24"/>
    </w:rPr>
  </w:style>
  <w:style w:type="paragraph" w:customStyle="1" w:styleId="3656">
    <w:name w:val="列表接续 31"/>
    <w:basedOn w:val="1"/>
    <w:qFormat/>
    <w:uiPriority w:val="0"/>
    <w:pPr>
      <w:widowControl/>
      <w:spacing w:after="120"/>
      <w:ind w:left="1260" w:leftChars="600"/>
      <w:jc w:val="left"/>
    </w:pPr>
    <w:rPr>
      <w:rFonts w:ascii="宋体" w:hAnsi="宋体" w:cs="宋体"/>
      <w:kern w:val="0"/>
      <w:szCs w:val="24"/>
    </w:rPr>
  </w:style>
  <w:style w:type="paragraph" w:customStyle="1" w:styleId="3657">
    <w:name w:val="Char314"/>
    <w:basedOn w:val="1"/>
    <w:qFormat/>
    <w:uiPriority w:val="0"/>
    <w:pPr>
      <w:widowControl/>
      <w:ind w:left="-48"/>
      <w:jc w:val="left"/>
    </w:pPr>
    <w:rPr>
      <w:rFonts w:ascii="宋体" w:hAnsi="宋体" w:cs="宋体"/>
      <w:kern w:val="0"/>
      <w:szCs w:val="24"/>
    </w:rPr>
  </w:style>
  <w:style w:type="paragraph" w:customStyle="1" w:styleId="3658">
    <w:name w:val="Fax Header"/>
    <w:basedOn w:val="1"/>
    <w:qFormat/>
    <w:uiPriority w:val="0"/>
    <w:pPr>
      <w:widowControl/>
      <w:spacing w:before="240" w:after="60"/>
      <w:jc w:val="left"/>
    </w:pPr>
    <w:rPr>
      <w:rFonts w:ascii="宋体" w:hAnsi="宋体" w:cs="宋体"/>
      <w:kern w:val="0"/>
      <w:sz w:val="20"/>
      <w:szCs w:val="20"/>
    </w:rPr>
  </w:style>
  <w:style w:type="paragraph" w:customStyle="1" w:styleId="3659">
    <w:name w:val="条文"/>
    <w:basedOn w:val="6"/>
    <w:next w:val="1"/>
    <w:qFormat/>
    <w:uiPriority w:val="0"/>
    <w:pPr>
      <w:keepNext w:val="0"/>
      <w:widowControl/>
      <w:numPr>
        <w:ilvl w:val="0"/>
        <w:numId w:val="0"/>
      </w:numPr>
      <w:tabs>
        <w:tab w:val="left" w:pos="2638"/>
      </w:tabs>
      <w:spacing w:before="120" w:line="240" w:lineRule="auto"/>
      <w:ind w:left="2638" w:hanging="420"/>
      <w:jc w:val="left"/>
    </w:pPr>
    <w:rPr>
      <w:rFonts w:ascii="Times New Roman" w:hAnsi="Times New Roman"/>
      <w:b w:val="0"/>
      <w:bCs w:val="0"/>
      <w:kern w:val="0"/>
      <w:szCs w:val="20"/>
    </w:rPr>
  </w:style>
  <w:style w:type="paragraph" w:customStyle="1" w:styleId="3660">
    <w:name w:val="Char Char Char Char Char Char Char43"/>
    <w:basedOn w:val="1"/>
    <w:qFormat/>
    <w:uiPriority w:val="0"/>
    <w:pPr>
      <w:widowControl/>
      <w:jc w:val="left"/>
    </w:pPr>
    <w:rPr>
      <w:rFonts w:ascii="宋体" w:hAnsi="宋体" w:cs="宋体"/>
      <w:kern w:val="0"/>
      <w:szCs w:val="24"/>
    </w:rPr>
  </w:style>
  <w:style w:type="paragraph" w:customStyle="1" w:styleId="3661">
    <w:name w:val="表内542"/>
    <w:basedOn w:val="1"/>
    <w:qFormat/>
    <w:uiPriority w:val="0"/>
    <w:pPr>
      <w:widowControl/>
      <w:spacing w:line="300" w:lineRule="auto"/>
      <w:jc w:val="left"/>
    </w:pPr>
    <w:rPr>
      <w:rFonts w:ascii="宋体" w:hAnsi="宋体" w:cs="宋体"/>
      <w:kern w:val="0"/>
      <w:sz w:val="18"/>
      <w:szCs w:val="20"/>
    </w:rPr>
  </w:style>
  <w:style w:type="paragraph" w:customStyle="1" w:styleId="3662">
    <w:name w:val="Char Char Char Char Char Char Char32"/>
    <w:basedOn w:val="1"/>
    <w:qFormat/>
    <w:uiPriority w:val="0"/>
    <w:pPr>
      <w:widowControl/>
      <w:jc w:val="left"/>
    </w:pPr>
    <w:rPr>
      <w:rFonts w:ascii="宋体" w:hAnsi="宋体" w:cs="宋体"/>
      <w:kern w:val="0"/>
      <w:szCs w:val="24"/>
    </w:rPr>
  </w:style>
  <w:style w:type="paragraph" w:customStyle="1" w:styleId="3663">
    <w:name w:val="正文格式112"/>
    <w:basedOn w:val="1"/>
    <w:qFormat/>
    <w:uiPriority w:val="0"/>
    <w:pPr>
      <w:widowControl/>
      <w:ind w:firstLine="482"/>
      <w:jc w:val="left"/>
    </w:pPr>
    <w:rPr>
      <w:rFonts w:ascii="宋体" w:hAnsi="宋体" w:cs="宋体"/>
      <w:kern w:val="0"/>
      <w:szCs w:val="24"/>
    </w:rPr>
  </w:style>
  <w:style w:type="paragraph" w:customStyle="1" w:styleId="3664">
    <w:name w:val="表内文字小26"/>
    <w:basedOn w:val="1"/>
    <w:qFormat/>
    <w:uiPriority w:val="0"/>
    <w:pPr>
      <w:widowControl/>
      <w:jc w:val="center"/>
    </w:pPr>
    <w:rPr>
      <w:rFonts w:ascii="宋体" w:hAnsi="Times" w:cs="宋体"/>
      <w:bCs/>
      <w:kern w:val="0"/>
      <w:szCs w:val="20"/>
    </w:rPr>
  </w:style>
  <w:style w:type="paragraph" w:customStyle="1" w:styleId="3665">
    <w:name w:val="c31"/>
    <w:basedOn w:val="98"/>
    <w:qFormat/>
    <w:uiPriority w:val="0"/>
    <w:pPr>
      <w:widowControl w:val="0"/>
      <w:autoSpaceDE w:val="0"/>
      <w:autoSpaceDN w:val="0"/>
      <w:adjustRightInd w:val="0"/>
    </w:pPr>
    <w:rPr>
      <w:rFonts w:ascii="Arial" w:hAnsi="Arial" w:cs="Times New Roman"/>
      <w:color w:val="000000"/>
    </w:rPr>
  </w:style>
  <w:style w:type="paragraph" w:customStyle="1" w:styleId="3666">
    <w:name w:val="Char Char Char Char Char Char Char Char Char Char Char1 Char Char Char Char Char Char"/>
    <w:basedOn w:val="1"/>
    <w:qFormat/>
    <w:uiPriority w:val="0"/>
    <w:pPr>
      <w:widowControl/>
      <w:tabs>
        <w:tab w:val="left" w:pos="425"/>
      </w:tabs>
      <w:jc w:val="left"/>
    </w:pPr>
    <w:rPr>
      <w:rFonts w:ascii="宋体" w:hAnsi="宋体" w:cs="宋体"/>
      <w:kern w:val="0"/>
      <w:szCs w:val="24"/>
    </w:rPr>
  </w:style>
  <w:style w:type="paragraph" w:customStyle="1" w:styleId="3667">
    <w:name w:val="Char Char Char Char Char Char Char48"/>
    <w:basedOn w:val="1"/>
    <w:qFormat/>
    <w:uiPriority w:val="0"/>
    <w:pPr>
      <w:widowControl/>
      <w:jc w:val="left"/>
    </w:pPr>
    <w:rPr>
      <w:rFonts w:ascii="宋体" w:hAnsi="宋体" w:cs="宋体"/>
      <w:kern w:val="0"/>
      <w:szCs w:val="24"/>
    </w:rPr>
  </w:style>
  <w:style w:type="paragraph" w:customStyle="1" w:styleId="3668">
    <w:name w:val="正文格式＝211"/>
    <w:basedOn w:val="418"/>
    <w:next w:val="418"/>
    <w:qFormat/>
    <w:uiPriority w:val="0"/>
    <w:rPr>
      <w:rFonts w:hAnsi="宋体"/>
      <w:szCs w:val="24"/>
    </w:rPr>
  </w:style>
  <w:style w:type="paragraph" w:customStyle="1" w:styleId="3669">
    <w:name w:val="TOC 标题1"/>
    <w:basedOn w:val="98"/>
    <w:next w:val="1"/>
    <w:unhideWhenUsed/>
    <w:qFormat/>
    <w:uiPriority w:val="39"/>
    <w:pPr>
      <w:adjustRightInd w:val="0"/>
      <w:snapToGrid w:val="0"/>
      <w:spacing w:line="500" w:lineRule="exact"/>
      <w:jc w:val="center"/>
    </w:pPr>
    <w:rPr>
      <w:rFonts w:ascii="Times New Roman" w:hAnsi="Times New Roman" w:eastAsia="仿宋_GB2312" w:cs="Times New Roman"/>
      <w:b/>
      <w:bCs/>
      <w:color w:val="000000"/>
      <w:kern w:val="44"/>
      <w:szCs w:val="44"/>
    </w:rPr>
  </w:style>
  <w:style w:type="paragraph" w:customStyle="1" w:styleId="3670">
    <w:name w:val="表题21113"/>
    <w:basedOn w:val="1"/>
    <w:qFormat/>
    <w:uiPriority w:val="0"/>
    <w:pPr>
      <w:widowControl/>
      <w:jc w:val="center"/>
    </w:pPr>
    <w:rPr>
      <w:rFonts w:ascii="黑体" w:hAnsi="宋体" w:eastAsia="黑体" w:cs="宋体"/>
      <w:kern w:val="0"/>
      <w:szCs w:val="24"/>
    </w:rPr>
  </w:style>
  <w:style w:type="paragraph" w:customStyle="1" w:styleId="3671">
    <w:name w:val="Char420"/>
    <w:basedOn w:val="1"/>
    <w:qFormat/>
    <w:uiPriority w:val="0"/>
    <w:pPr>
      <w:widowControl/>
      <w:ind w:left="-48"/>
      <w:jc w:val="left"/>
    </w:pPr>
    <w:rPr>
      <w:rFonts w:ascii="宋体" w:hAnsi="宋体" w:cs="宋体"/>
      <w:kern w:val="0"/>
      <w:szCs w:val="24"/>
    </w:rPr>
  </w:style>
  <w:style w:type="paragraph" w:customStyle="1" w:styleId="3672">
    <w:name w:val="首行缩进:  0.99 厘米 + 首行缩进:  2 字符21"/>
    <w:basedOn w:val="1"/>
    <w:qFormat/>
    <w:uiPriority w:val="0"/>
    <w:pPr>
      <w:widowControl/>
      <w:topLinePunct/>
      <w:spacing w:line="480" w:lineRule="exact"/>
      <w:ind w:firstLine="420"/>
      <w:jc w:val="center"/>
    </w:pPr>
    <w:rPr>
      <w:rFonts w:ascii="宋体" w:hAnsi="宋体" w:cs="宋体"/>
      <w:snapToGrid w:val="0"/>
      <w:color w:val="FF0000"/>
      <w:kern w:val="0"/>
      <w:szCs w:val="21"/>
    </w:rPr>
  </w:style>
  <w:style w:type="paragraph" w:customStyle="1" w:styleId="3673">
    <w:name w:val="默认段落字体 Para Char Char Char Char213"/>
    <w:basedOn w:val="1"/>
    <w:qFormat/>
    <w:uiPriority w:val="0"/>
    <w:pPr>
      <w:widowControl/>
      <w:jc w:val="left"/>
    </w:pPr>
    <w:rPr>
      <w:rFonts w:ascii="宋体" w:hAnsi="宋体" w:cs="宋体"/>
      <w:kern w:val="0"/>
      <w:szCs w:val="24"/>
    </w:rPr>
  </w:style>
  <w:style w:type="paragraph" w:customStyle="1" w:styleId="3674">
    <w:name w:val="表内文字小21221"/>
    <w:basedOn w:val="1"/>
    <w:qFormat/>
    <w:uiPriority w:val="0"/>
    <w:pPr>
      <w:widowControl/>
      <w:jc w:val="center"/>
    </w:pPr>
    <w:rPr>
      <w:rFonts w:ascii="宋体" w:hAnsi="Times" w:cs="宋体"/>
      <w:bCs/>
      <w:kern w:val="0"/>
      <w:szCs w:val="20"/>
    </w:rPr>
  </w:style>
  <w:style w:type="paragraph" w:customStyle="1" w:styleId="3675">
    <w:name w:val="表题9111"/>
    <w:basedOn w:val="1636"/>
    <w:qFormat/>
    <w:uiPriority w:val="0"/>
    <w:pPr>
      <w:spacing w:line="300" w:lineRule="auto"/>
      <w:jc w:val="center"/>
    </w:pPr>
    <w:rPr>
      <w:rFonts w:ascii="黑体" w:eastAsia="黑体"/>
      <w:szCs w:val="22"/>
    </w:rPr>
  </w:style>
  <w:style w:type="paragraph" w:customStyle="1" w:styleId="3676">
    <w:name w:val="表内541411"/>
    <w:basedOn w:val="1"/>
    <w:qFormat/>
    <w:uiPriority w:val="99"/>
    <w:pPr>
      <w:widowControl/>
      <w:spacing w:line="300" w:lineRule="auto"/>
      <w:jc w:val="center"/>
    </w:pPr>
    <w:rPr>
      <w:rFonts w:ascii="宋体" w:hAnsi="宋体" w:cs="宋体"/>
      <w:kern w:val="0"/>
      <w:szCs w:val="20"/>
    </w:rPr>
  </w:style>
  <w:style w:type="paragraph" w:customStyle="1" w:styleId="3677">
    <w:name w:val="默认段落字体 Para Char13"/>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3678">
    <w:name w:val="列表 41"/>
    <w:basedOn w:val="1"/>
    <w:qFormat/>
    <w:uiPriority w:val="0"/>
    <w:pPr>
      <w:widowControl/>
      <w:ind w:left="100" w:leftChars="600" w:hanging="200" w:hangingChars="200"/>
      <w:jc w:val="left"/>
    </w:pPr>
    <w:rPr>
      <w:rFonts w:ascii="宋体" w:hAnsi="宋体" w:cs="宋体"/>
      <w:kern w:val="0"/>
      <w:szCs w:val="24"/>
    </w:rPr>
  </w:style>
  <w:style w:type="paragraph" w:customStyle="1" w:styleId="3679">
    <w:name w:val="Char112"/>
    <w:basedOn w:val="1"/>
    <w:qFormat/>
    <w:uiPriority w:val="0"/>
    <w:pPr>
      <w:widowControl/>
      <w:ind w:left="-48"/>
      <w:jc w:val="left"/>
    </w:pPr>
    <w:rPr>
      <w:rFonts w:ascii="宋体" w:hAnsi="宋体" w:cs="宋体"/>
      <w:kern w:val="0"/>
      <w:szCs w:val="24"/>
    </w:rPr>
  </w:style>
  <w:style w:type="paragraph" w:customStyle="1" w:styleId="3680">
    <w:name w:val="样式 列表 + 左侧:  0 厘米 悬挂缩进: 2 字符"/>
    <w:basedOn w:val="46"/>
    <w:qFormat/>
    <w:uiPriority w:val="0"/>
    <w:pPr>
      <w:widowControl/>
      <w:tabs>
        <w:tab w:val="center" w:pos="4153"/>
        <w:tab w:val="right" w:pos="8306"/>
      </w:tabs>
      <w:spacing w:line="320" w:lineRule="exact"/>
    </w:pPr>
    <w:rPr>
      <w:rFonts w:ascii="Times New Roman" w:hAnsi="宋体" w:eastAsia="方正仿宋_GBK" w:cs="宋体"/>
      <w:kern w:val="0"/>
      <w:sz w:val="21"/>
      <w:szCs w:val="21"/>
    </w:rPr>
  </w:style>
  <w:style w:type="paragraph" w:customStyle="1" w:styleId="3681">
    <w:name w:val="正文.11"/>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3682">
    <w:name w:val="Char70"/>
    <w:basedOn w:val="1"/>
    <w:qFormat/>
    <w:uiPriority w:val="0"/>
    <w:pPr>
      <w:widowControl/>
      <w:ind w:left="-48"/>
      <w:jc w:val="left"/>
    </w:pPr>
    <w:rPr>
      <w:rFonts w:ascii="宋体" w:hAnsi="宋体" w:cs="宋体"/>
      <w:kern w:val="0"/>
      <w:szCs w:val="24"/>
    </w:rPr>
  </w:style>
  <w:style w:type="paragraph" w:customStyle="1" w:styleId="3683">
    <w:name w:val="燕山正文1331"/>
    <w:basedOn w:val="1"/>
    <w:qFormat/>
    <w:uiPriority w:val="0"/>
    <w:pPr>
      <w:widowControl/>
      <w:tabs>
        <w:tab w:val="left" w:pos="4680"/>
      </w:tabs>
      <w:ind w:firstLine="480"/>
      <w:jc w:val="left"/>
    </w:pPr>
    <w:rPr>
      <w:rFonts w:ascii="宋体" w:hAnsi="宋体" w:cs="宋体"/>
      <w:bCs/>
      <w:kern w:val="0"/>
      <w:szCs w:val="24"/>
    </w:rPr>
  </w:style>
  <w:style w:type="paragraph" w:customStyle="1" w:styleId="3684">
    <w:name w:val="表题1421"/>
    <w:basedOn w:val="17"/>
    <w:qFormat/>
    <w:uiPriority w:val="0"/>
    <w:pPr>
      <w:widowControl/>
      <w:ind w:firstLine="0" w:firstLineChars="0"/>
      <w:jc w:val="center"/>
    </w:pPr>
    <w:rPr>
      <w:rFonts w:ascii="黑体" w:cs="Arial"/>
      <w:b/>
    </w:rPr>
  </w:style>
  <w:style w:type="paragraph" w:customStyle="1" w:styleId="3685">
    <w:name w:val="Char Char Char Char Char Char Char1210"/>
    <w:basedOn w:val="1"/>
    <w:qFormat/>
    <w:uiPriority w:val="0"/>
    <w:pPr>
      <w:widowControl/>
      <w:jc w:val="left"/>
    </w:pPr>
    <w:rPr>
      <w:rFonts w:ascii="宋体" w:hAnsi="宋体" w:cs="宋体"/>
      <w:kern w:val="0"/>
      <w:szCs w:val="20"/>
    </w:rPr>
  </w:style>
  <w:style w:type="paragraph" w:customStyle="1" w:styleId="3686">
    <w:name w:val="Char Char Char Char Char Char Char Char Char Char Char Char Char Char Char Char Char Char Char Char Char Char Char Char1"/>
    <w:basedOn w:val="1"/>
    <w:qFormat/>
    <w:uiPriority w:val="0"/>
    <w:pPr>
      <w:widowControl/>
      <w:jc w:val="left"/>
    </w:pPr>
    <w:rPr>
      <w:rFonts w:ascii="宋体" w:hAnsi="宋体" w:cs="宋体"/>
      <w:kern w:val="0"/>
      <w:szCs w:val="24"/>
    </w:rPr>
  </w:style>
  <w:style w:type="paragraph" w:customStyle="1" w:styleId="3687">
    <w:name w:val="燕山正文61"/>
    <w:basedOn w:val="1"/>
    <w:qFormat/>
    <w:uiPriority w:val="0"/>
    <w:pPr>
      <w:widowControl/>
      <w:tabs>
        <w:tab w:val="left" w:pos="4680"/>
      </w:tabs>
      <w:spacing w:line="480" w:lineRule="exact"/>
      <w:jc w:val="left"/>
    </w:pPr>
    <w:rPr>
      <w:rFonts w:ascii="宋体" w:hAnsi="宋体" w:cs="宋体"/>
      <w:kern w:val="0"/>
      <w:szCs w:val="24"/>
    </w:rPr>
  </w:style>
  <w:style w:type="paragraph" w:customStyle="1" w:styleId="3688">
    <w:name w:val="Char4210"/>
    <w:basedOn w:val="1"/>
    <w:qFormat/>
    <w:uiPriority w:val="0"/>
    <w:pPr>
      <w:widowControl/>
      <w:ind w:left="-48"/>
      <w:jc w:val="left"/>
    </w:pPr>
    <w:rPr>
      <w:rFonts w:ascii="宋体" w:hAnsi="宋体" w:cs="宋体"/>
      <w:kern w:val="0"/>
      <w:szCs w:val="24"/>
    </w:rPr>
  </w:style>
  <w:style w:type="paragraph" w:customStyle="1" w:styleId="3689">
    <w:name w:val="Char66"/>
    <w:basedOn w:val="1"/>
    <w:qFormat/>
    <w:uiPriority w:val="0"/>
    <w:pPr>
      <w:widowControl/>
      <w:ind w:left="-48"/>
      <w:jc w:val="left"/>
    </w:pPr>
    <w:rPr>
      <w:rFonts w:ascii="宋体" w:hAnsi="宋体" w:cs="宋体"/>
      <w:kern w:val="0"/>
      <w:szCs w:val="24"/>
    </w:rPr>
  </w:style>
  <w:style w:type="paragraph" w:customStyle="1" w:styleId="3690">
    <w:name w:val="Char214"/>
    <w:basedOn w:val="1"/>
    <w:qFormat/>
    <w:uiPriority w:val="0"/>
    <w:pPr>
      <w:widowControl/>
      <w:spacing w:before="156"/>
      <w:jc w:val="left"/>
    </w:pPr>
    <w:rPr>
      <w:rFonts w:ascii="黑体" w:hAnsi="宋体" w:eastAsia="黑体" w:cs="宋体"/>
      <w:kern w:val="0"/>
      <w:sz w:val="32"/>
      <w:szCs w:val="32"/>
    </w:rPr>
  </w:style>
  <w:style w:type="paragraph" w:customStyle="1" w:styleId="3691">
    <w:name w:val="表内5中131"/>
    <w:basedOn w:val="1"/>
    <w:qFormat/>
    <w:uiPriority w:val="0"/>
    <w:pPr>
      <w:widowControl/>
      <w:jc w:val="center"/>
    </w:pPr>
    <w:rPr>
      <w:rFonts w:ascii="宋体" w:hAnsi="宋体" w:cs="Arial"/>
      <w:snapToGrid w:val="0"/>
      <w:kern w:val="0"/>
      <w:szCs w:val="21"/>
    </w:rPr>
  </w:style>
  <w:style w:type="paragraph" w:customStyle="1" w:styleId="3692">
    <w:name w:val="正文格式512"/>
    <w:basedOn w:val="1"/>
    <w:qFormat/>
    <w:uiPriority w:val="0"/>
    <w:pPr>
      <w:widowControl/>
      <w:ind w:firstLine="482"/>
      <w:jc w:val="left"/>
    </w:pPr>
    <w:rPr>
      <w:rFonts w:ascii="宋体" w:hAnsi="宋体" w:cs="宋体"/>
      <w:kern w:val="0"/>
      <w:szCs w:val="24"/>
    </w:rPr>
  </w:style>
  <w:style w:type="paragraph" w:customStyle="1" w:styleId="3693">
    <w:name w:val="附件121"/>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3694">
    <w:name w:val="表内文字小25"/>
    <w:basedOn w:val="1"/>
    <w:qFormat/>
    <w:uiPriority w:val="0"/>
    <w:pPr>
      <w:widowControl/>
      <w:jc w:val="center"/>
    </w:pPr>
    <w:rPr>
      <w:rFonts w:ascii="宋体" w:hAnsi="Times" w:cs="宋体"/>
      <w:bCs/>
      <w:kern w:val="0"/>
      <w:szCs w:val="20"/>
    </w:rPr>
  </w:style>
  <w:style w:type="paragraph" w:customStyle="1" w:styleId="3695">
    <w:name w:val="默认段落字体 Para Char Char Char Char43"/>
    <w:basedOn w:val="1"/>
    <w:qFormat/>
    <w:uiPriority w:val="0"/>
    <w:pPr>
      <w:widowControl/>
      <w:jc w:val="left"/>
    </w:pPr>
    <w:rPr>
      <w:rFonts w:ascii="宋体" w:hAnsi="宋体" w:cs="宋体"/>
      <w:kern w:val="0"/>
      <w:szCs w:val="24"/>
    </w:rPr>
  </w:style>
  <w:style w:type="paragraph" w:customStyle="1" w:styleId="3696">
    <w:name w:val="样式122"/>
    <w:basedOn w:val="1586"/>
    <w:qFormat/>
    <w:uiPriority w:val="0"/>
    <w:pPr>
      <w:spacing w:line="240" w:lineRule="auto"/>
      <w:ind w:firstLine="0"/>
      <w:jc w:val="center"/>
    </w:pPr>
    <w:rPr>
      <w:rFonts w:cs="Times New Roman"/>
      <w:b/>
      <w:color w:val="auto"/>
      <w:szCs w:val="20"/>
    </w:rPr>
  </w:style>
  <w:style w:type="paragraph" w:customStyle="1" w:styleId="3697">
    <w:name w:val="正文24"/>
    <w:basedOn w:val="98"/>
    <w:qFormat/>
    <w:uiPriority w:val="0"/>
    <w:pPr>
      <w:adjustRightInd w:val="0"/>
      <w:snapToGrid w:val="0"/>
      <w:spacing w:line="480" w:lineRule="atLeast"/>
      <w:jc w:val="center"/>
    </w:pPr>
    <w:rPr>
      <w:rFonts w:ascii="宋体" w:hAnsi="Times New Roman" w:cs="Times New Roman"/>
      <w:snapToGrid w:val="0"/>
      <w:color w:val="000000"/>
      <w:spacing w:val="6"/>
    </w:rPr>
  </w:style>
  <w:style w:type="paragraph" w:customStyle="1" w:styleId="3698">
    <w:name w:val="默认段落字体 Para Char Char Char Char63"/>
    <w:basedOn w:val="1"/>
    <w:qFormat/>
    <w:uiPriority w:val="0"/>
    <w:pPr>
      <w:widowControl/>
      <w:jc w:val="left"/>
    </w:pPr>
    <w:rPr>
      <w:rFonts w:ascii="宋体" w:hAnsi="宋体" w:cs="宋体"/>
      <w:kern w:val="0"/>
      <w:szCs w:val="24"/>
    </w:rPr>
  </w:style>
  <w:style w:type="paragraph" w:customStyle="1" w:styleId="3699">
    <w:name w:val="正文(黑体)"/>
    <w:basedOn w:val="1"/>
    <w:qFormat/>
    <w:uiPriority w:val="0"/>
    <w:pPr>
      <w:widowControl/>
      <w:autoSpaceDE w:val="0"/>
      <w:autoSpaceDN w:val="0"/>
      <w:spacing w:line="288" w:lineRule="auto"/>
      <w:ind w:firstLine="482"/>
      <w:jc w:val="left"/>
      <w:textAlignment w:val="baseline"/>
    </w:pPr>
    <w:rPr>
      <w:rFonts w:ascii="黑体" w:hAnsi="宋体" w:cs="宋体"/>
      <w:kern w:val="0"/>
      <w:szCs w:val="20"/>
    </w:rPr>
  </w:style>
  <w:style w:type="paragraph" w:customStyle="1" w:styleId="3700">
    <w:name w:val="表图1"/>
    <w:basedOn w:val="1"/>
    <w:qFormat/>
    <w:uiPriority w:val="0"/>
    <w:pPr>
      <w:widowControl/>
      <w:spacing w:line="360" w:lineRule="exact"/>
      <w:jc w:val="center"/>
    </w:pPr>
    <w:rPr>
      <w:rFonts w:ascii="仿宋_GB2312" w:hAnsi="宋体" w:cs="宋体"/>
      <w:kern w:val="0"/>
      <w:szCs w:val="24"/>
    </w:rPr>
  </w:style>
  <w:style w:type="paragraph" w:customStyle="1" w:styleId="3701">
    <w:name w:val="表内小5中31"/>
    <w:basedOn w:val="1"/>
    <w:qFormat/>
    <w:uiPriority w:val="0"/>
    <w:pPr>
      <w:widowControl/>
      <w:jc w:val="center"/>
    </w:pPr>
    <w:rPr>
      <w:rFonts w:ascii="宋体" w:hAnsi="宋体" w:cs="宋体"/>
      <w:kern w:val="0"/>
      <w:sz w:val="18"/>
      <w:szCs w:val="20"/>
    </w:rPr>
  </w:style>
  <w:style w:type="paragraph" w:customStyle="1" w:styleId="3702">
    <w:name w:val="燕山正文6"/>
    <w:basedOn w:val="1"/>
    <w:qFormat/>
    <w:uiPriority w:val="0"/>
    <w:pPr>
      <w:widowControl/>
      <w:tabs>
        <w:tab w:val="left" w:pos="4680"/>
      </w:tabs>
      <w:spacing w:line="480" w:lineRule="exact"/>
      <w:jc w:val="left"/>
    </w:pPr>
    <w:rPr>
      <w:rFonts w:ascii="宋体" w:hAnsi="宋体" w:cs="宋体"/>
      <w:kern w:val="0"/>
      <w:szCs w:val="24"/>
    </w:rPr>
  </w:style>
  <w:style w:type="paragraph" w:customStyle="1" w:styleId="3703">
    <w:name w:val="表内文字小2161"/>
    <w:basedOn w:val="1"/>
    <w:qFormat/>
    <w:uiPriority w:val="0"/>
    <w:pPr>
      <w:widowControl/>
      <w:jc w:val="center"/>
    </w:pPr>
    <w:rPr>
      <w:rFonts w:ascii="宋体" w:hAnsi="Times" w:cs="宋体"/>
      <w:bCs/>
      <w:kern w:val="0"/>
      <w:szCs w:val="20"/>
    </w:rPr>
  </w:style>
  <w:style w:type="paragraph" w:customStyle="1" w:styleId="3704">
    <w:name w:val="黑体三号43"/>
    <w:basedOn w:val="418"/>
    <w:qFormat/>
    <w:uiPriority w:val="0"/>
    <w:pPr>
      <w:jc w:val="center"/>
    </w:pPr>
    <w:rPr>
      <w:rFonts w:ascii="黑体" w:hAnsi="宋体" w:eastAsia="黑体" w:cs="宋体"/>
      <w:b/>
      <w:bCs/>
      <w:sz w:val="32"/>
      <w:szCs w:val="20"/>
    </w:rPr>
  </w:style>
  <w:style w:type="paragraph" w:customStyle="1" w:styleId="3705">
    <w:name w:val="Char Char Char Char1 Char Char Char112"/>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706">
    <w:name w:val="表内文字小111"/>
    <w:basedOn w:val="1"/>
    <w:qFormat/>
    <w:uiPriority w:val="0"/>
    <w:pPr>
      <w:widowControl/>
      <w:jc w:val="left"/>
    </w:pPr>
    <w:rPr>
      <w:rFonts w:ascii="宋体" w:hAnsi="Times" w:cs="宋体"/>
      <w:kern w:val="0"/>
      <w:szCs w:val="20"/>
    </w:rPr>
  </w:style>
  <w:style w:type="paragraph" w:customStyle="1" w:styleId="3707">
    <w:name w:val="附件12"/>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3708">
    <w:name w:val="表题31221"/>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709">
    <w:name w:val="Char216"/>
    <w:basedOn w:val="1"/>
    <w:qFormat/>
    <w:uiPriority w:val="0"/>
    <w:pPr>
      <w:widowControl/>
      <w:ind w:left="-48"/>
      <w:jc w:val="left"/>
    </w:pPr>
    <w:rPr>
      <w:rFonts w:ascii="宋体" w:hAnsi="宋体" w:cs="宋体"/>
      <w:kern w:val="0"/>
      <w:szCs w:val="24"/>
    </w:rPr>
  </w:style>
  <w:style w:type="paragraph" w:customStyle="1" w:styleId="3710">
    <w:name w:val="表内文字小811"/>
    <w:basedOn w:val="1"/>
    <w:qFormat/>
    <w:uiPriority w:val="0"/>
    <w:pPr>
      <w:widowControl/>
      <w:jc w:val="center"/>
    </w:pPr>
    <w:rPr>
      <w:rFonts w:ascii="宋体" w:hAnsi="Times" w:cs="宋体"/>
      <w:kern w:val="0"/>
      <w:szCs w:val="20"/>
    </w:rPr>
  </w:style>
  <w:style w:type="paragraph" w:customStyle="1" w:styleId="3711">
    <w:name w:val="表内54152"/>
    <w:basedOn w:val="1"/>
    <w:qFormat/>
    <w:uiPriority w:val="0"/>
    <w:pPr>
      <w:widowControl/>
      <w:spacing w:line="300" w:lineRule="auto"/>
      <w:jc w:val="center"/>
    </w:pPr>
    <w:rPr>
      <w:rFonts w:ascii="宋体" w:hAnsi="宋体" w:cs="宋体"/>
      <w:kern w:val="0"/>
      <w:szCs w:val="20"/>
    </w:rPr>
  </w:style>
  <w:style w:type="paragraph" w:customStyle="1" w:styleId="3712">
    <w:name w:val="表1111"/>
    <w:basedOn w:val="1"/>
    <w:qFormat/>
    <w:uiPriority w:val="0"/>
    <w:pPr>
      <w:widowControl/>
      <w:jc w:val="center"/>
    </w:pPr>
    <w:rPr>
      <w:rFonts w:ascii="宋体" w:hAnsi="宋体" w:cs="宋体"/>
      <w:kern w:val="0"/>
      <w:szCs w:val="24"/>
    </w:rPr>
  </w:style>
  <w:style w:type="paragraph" w:customStyle="1" w:styleId="3713">
    <w:name w:val="Char318"/>
    <w:basedOn w:val="1"/>
    <w:qFormat/>
    <w:uiPriority w:val="0"/>
    <w:pPr>
      <w:widowControl/>
      <w:ind w:left="-48"/>
      <w:jc w:val="left"/>
    </w:pPr>
    <w:rPr>
      <w:rFonts w:ascii="宋体" w:hAnsi="宋体" w:cs="宋体"/>
      <w:kern w:val="0"/>
      <w:szCs w:val="24"/>
    </w:rPr>
  </w:style>
  <w:style w:type="paragraph" w:customStyle="1" w:styleId="3714">
    <w:name w:val="前言、引言标题"/>
    <w:basedOn w:val="98"/>
    <w:next w:val="1"/>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color w:val="000000"/>
      <w:sz w:val="32"/>
    </w:rPr>
  </w:style>
  <w:style w:type="paragraph" w:customStyle="1" w:styleId="3715">
    <w:name w:val="表中文字421"/>
    <w:basedOn w:val="1"/>
    <w:qFormat/>
    <w:uiPriority w:val="0"/>
    <w:pPr>
      <w:widowControl/>
      <w:spacing w:line="340" w:lineRule="exact"/>
      <w:ind w:firstLine="480"/>
      <w:jc w:val="center"/>
    </w:pPr>
    <w:rPr>
      <w:rFonts w:ascii="Arial" w:hAnsi="Arial" w:cs="宋体"/>
      <w:kern w:val="0"/>
      <w:sz w:val="20"/>
      <w:szCs w:val="24"/>
      <w:lang w:eastAsia="zh-TW"/>
    </w:rPr>
  </w:style>
  <w:style w:type="paragraph" w:customStyle="1" w:styleId="3716">
    <w:name w:val="表内宋54"/>
    <w:basedOn w:val="1698"/>
    <w:qFormat/>
    <w:uiPriority w:val="0"/>
    <w:pPr>
      <w:autoSpaceDE w:val="0"/>
      <w:autoSpaceDN w:val="0"/>
      <w:textAlignment w:val="auto"/>
    </w:pPr>
    <w:rPr>
      <w:color w:val="auto"/>
      <w:w w:val="90"/>
    </w:rPr>
  </w:style>
  <w:style w:type="paragraph" w:customStyle="1" w:styleId="3717">
    <w:name w:val="Char Char Char Char Char Char Char127"/>
    <w:basedOn w:val="1"/>
    <w:qFormat/>
    <w:uiPriority w:val="0"/>
    <w:pPr>
      <w:widowControl/>
      <w:jc w:val="left"/>
    </w:pPr>
    <w:rPr>
      <w:rFonts w:ascii="宋体" w:hAnsi="宋体" w:cs="宋体"/>
      <w:kern w:val="0"/>
      <w:szCs w:val="24"/>
    </w:rPr>
  </w:style>
  <w:style w:type="paragraph" w:customStyle="1" w:styleId="3718">
    <w:name w:val="燕山正文112111"/>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3719">
    <w:name w:val="表格内字体6"/>
    <w:basedOn w:val="418"/>
    <w:next w:val="418"/>
    <w:qFormat/>
    <w:uiPriority w:val="0"/>
    <w:pPr>
      <w:spacing w:line="240" w:lineRule="auto"/>
      <w:ind w:firstLine="0"/>
      <w:jc w:val="center"/>
    </w:pPr>
    <w:rPr>
      <w:rFonts w:hAnsi="宋体"/>
      <w:sz w:val="21"/>
      <w:szCs w:val="24"/>
    </w:rPr>
  </w:style>
  <w:style w:type="paragraph" w:customStyle="1" w:styleId="3720">
    <w:name w:val="c13"/>
    <w:basedOn w:val="98"/>
    <w:qFormat/>
    <w:uiPriority w:val="0"/>
    <w:pPr>
      <w:widowControl w:val="0"/>
      <w:autoSpaceDE w:val="0"/>
      <w:autoSpaceDN w:val="0"/>
      <w:adjustRightInd w:val="0"/>
    </w:pPr>
    <w:rPr>
      <w:rFonts w:ascii="Arial" w:hAnsi="Arial" w:cs="Times New Roman"/>
      <w:color w:val="000000"/>
    </w:rPr>
  </w:style>
  <w:style w:type="paragraph" w:customStyle="1" w:styleId="3721">
    <w:name w:val="封面标准文稿编辑信息111"/>
    <w:basedOn w:val="98"/>
    <w:qFormat/>
    <w:uiPriority w:val="0"/>
    <w:pPr>
      <w:spacing w:before="180" w:line="180" w:lineRule="exact"/>
      <w:jc w:val="center"/>
    </w:pPr>
    <w:rPr>
      <w:rFonts w:ascii="宋体" w:hAnsi="Times New Roman" w:cs="Times New Roman"/>
      <w:color w:val="000000"/>
    </w:rPr>
  </w:style>
  <w:style w:type="paragraph" w:customStyle="1" w:styleId="3722">
    <w:name w:val="图表题4"/>
    <w:basedOn w:val="418"/>
    <w:next w:val="418"/>
    <w:qFormat/>
    <w:uiPriority w:val="0"/>
    <w:pPr>
      <w:ind w:firstLine="0"/>
      <w:jc w:val="center"/>
    </w:pPr>
    <w:rPr>
      <w:rFonts w:ascii="黑体" w:hAnsi="宋体" w:eastAsia="黑体" w:cs="宋体"/>
      <w:b/>
      <w:bCs/>
      <w:szCs w:val="24"/>
    </w:rPr>
  </w:style>
  <w:style w:type="paragraph" w:customStyle="1" w:styleId="3723">
    <w:name w:val="Char215"/>
    <w:basedOn w:val="1"/>
    <w:qFormat/>
    <w:uiPriority w:val="0"/>
    <w:pPr>
      <w:widowControl/>
      <w:ind w:left="-48"/>
      <w:jc w:val="left"/>
    </w:pPr>
    <w:rPr>
      <w:rFonts w:ascii="宋体" w:hAnsi="宋体" w:cs="宋体"/>
      <w:kern w:val="0"/>
      <w:szCs w:val="24"/>
    </w:rPr>
  </w:style>
  <w:style w:type="paragraph" w:customStyle="1" w:styleId="3724">
    <w:name w:val="默认段落字体 Para Char11"/>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3725">
    <w:name w:val="表内5中31"/>
    <w:basedOn w:val="1"/>
    <w:qFormat/>
    <w:uiPriority w:val="0"/>
    <w:pPr>
      <w:widowControl/>
      <w:jc w:val="center"/>
    </w:pPr>
    <w:rPr>
      <w:rFonts w:ascii="宋体" w:hAnsi="宋体" w:cs="Arial"/>
      <w:snapToGrid w:val="0"/>
      <w:kern w:val="0"/>
      <w:szCs w:val="21"/>
    </w:rPr>
  </w:style>
  <w:style w:type="paragraph" w:customStyle="1" w:styleId="3726">
    <w:name w:val="默认段落字体 Para Char Char Char Char32"/>
    <w:basedOn w:val="1"/>
    <w:qFormat/>
    <w:uiPriority w:val="0"/>
    <w:pPr>
      <w:widowControl/>
      <w:jc w:val="left"/>
    </w:pPr>
    <w:rPr>
      <w:rFonts w:ascii="宋体" w:hAnsi="宋体" w:cs="宋体"/>
      <w:kern w:val="0"/>
      <w:szCs w:val="24"/>
    </w:rPr>
  </w:style>
  <w:style w:type="paragraph" w:customStyle="1" w:styleId="3727">
    <w:name w:val="段落"/>
    <w:basedOn w:val="1"/>
    <w:qFormat/>
    <w:uiPriority w:val="0"/>
    <w:pPr>
      <w:widowControl/>
      <w:jc w:val="left"/>
    </w:pPr>
    <w:rPr>
      <w:rFonts w:ascii="宋体" w:hAnsi="宋体" w:cs="宋体"/>
      <w:kern w:val="0"/>
      <w:szCs w:val="24"/>
    </w:rPr>
  </w:style>
  <w:style w:type="paragraph" w:customStyle="1" w:styleId="3728">
    <w:name w:val="封面单位"/>
    <w:basedOn w:val="1"/>
    <w:qFormat/>
    <w:uiPriority w:val="0"/>
    <w:pPr>
      <w:widowControl/>
      <w:tabs>
        <w:tab w:val="center" w:pos="8222"/>
      </w:tabs>
      <w:jc w:val="center"/>
    </w:pPr>
    <w:rPr>
      <w:rFonts w:ascii="楷体_GB2312" w:hAnsi="宋体" w:eastAsia="楷体_GB2312" w:cs="楷体_GB2312"/>
      <w:b/>
      <w:bCs/>
      <w:kern w:val="0"/>
      <w:sz w:val="36"/>
      <w:szCs w:val="36"/>
    </w:rPr>
  </w:style>
  <w:style w:type="paragraph" w:customStyle="1" w:styleId="3729">
    <w:name w:val="xl54"/>
    <w:basedOn w:val="1"/>
    <w:qFormat/>
    <w:uiPriority w:val="0"/>
    <w:pPr>
      <w:widowControl/>
      <w:pBdr>
        <w:top w:val="double" w:color="auto" w:sz="6" w:space="0"/>
        <w:left w:val="single" w:color="auto" w:sz="4" w:space="0"/>
        <w:right w:val="single" w:color="auto" w:sz="4" w:space="0"/>
      </w:pBdr>
      <w:spacing w:before="100" w:beforeAutospacing="1" w:after="100" w:afterAutospacing="1"/>
      <w:jc w:val="center"/>
      <w:textAlignment w:val="center"/>
    </w:pPr>
    <w:rPr>
      <w:rFonts w:hint="eastAsia" w:ascii="PMingLiU" w:eastAsia="PMingLiU"/>
      <w:kern w:val="0"/>
      <w:sz w:val="16"/>
      <w:szCs w:val="16"/>
      <w:lang w:eastAsia="zh-TW"/>
    </w:rPr>
  </w:style>
  <w:style w:type="paragraph" w:customStyle="1" w:styleId="3730">
    <w:name w:val="样式131"/>
    <w:basedOn w:val="1586"/>
    <w:qFormat/>
    <w:uiPriority w:val="0"/>
    <w:pPr>
      <w:spacing w:line="240" w:lineRule="auto"/>
      <w:ind w:firstLine="0"/>
      <w:jc w:val="center"/>
    </w:pPr>
    <w:rPr>
      <w:rFonts w:cs="Times New Roman"/>
      <w:b/>
      <w:color w:val="auto"/>
      <w:szCs w:val="20"/>
    </w:rPr>
  </w:style>
  <w:style w:type="paragraph" w:customStyle="1" w:styleId="3731">
    <w:name w:val="表内文字小3141"/>
    <w:basedOn w:val="1"/>
    <w:qFormat/>
    <w:uiPriority w:val="0"/>
    <w:pPr>
      <w:widowControl/>
      <w:jc w:val="center"/>
    </w:pPr>
    <w:rPr>
      <w:rFonts w:ascii="宋体" w:hAnsi="Times" w:cs="宋体"/>
      <w:bCs/>
      <w:color w:val="003366"/>
      <w:kern w:val="0"/>
      <w:szCs w:val="20"/>
    </w:rPr>
  </w:style>
  <w:style w:type="paragraph" w:customStyle="1" w:styleId="3732">
    <w:name w:val="表内5412111"/>
    <w:basedOn w:val="1"/>
    <w:qFormat/>
    <w:uiPriority w:val="0"/>
    <w:pPr>
      <w:widowControl/>
      <w:spacing w:line="300" w:lineRule="auto"/>
      <w:jc w:val="center"/>
    </w:pPr>
    <w:rPr>
      <w:rFonts w:ascii="宋体" w:hAnsi="宋体" w:cs="宋体"/>
      <w:kern w:val="0"/>
      <w:szCs w:val="20"/>
    </w:rPr>
  </w:style>
  <w:style w:type="paragraph" w:customStyle="1" w:styleId="3733">
    <w:name w:val="图题111"/>
    <w:basedOn w:val="418"/>
    <w:next w:val="418"/>
    <w:qFormat/>
    <w:uiPriority w:val="0"/>
    <w:pPr>
      <w:ind w:firstLine="0"/>
      <w:jc w:val="center"/>
    </w:pPr>
    <w:rPr>
      <w:rFonts w:ascii="黑体" w:hAnsi="宋体" w:eastAsia="黑体" w:cs="宋体"/>
      <w:b/>
      <w:bCs/>
      <w:szCs w:val="24"/>
    </w:rPr>
  </w:style>
  <w:style w:type="paragraph" w:customStyle="1" w:styleId="3734">
    <w:name w:val="表内小5中21"/>
    <w:basedOn w:val="1"/>
    <w:qFormat/>
    <w:uiPriority w:val="0"/>
    <w:pPr>
      <w:widowControl/>
      <w:jc w:val="center"/>
    </w:pPr>
    <w:rPr>
      <w:rFonts w:ascii="宋体" w:hAnsi="宋体" w:cs="宋体"/>
      <w:kern w:val="0"/>
      <w:sz w:val="18"/>
      <w:szCs w:val="20"/>
    </w:rPr>
  </w:style>
  <w:style w:type="paragraph" w:customStyle="1" w:styleId="3735">
    <w:name w:val="附件221"/>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3736">
    <w:name w:val="xl78"/>
    <w:basedOn w:val="1"/>
    <w:qFormat/>
    <w:uiPriority w:val="0"/>
    <w:pPr>
      <w:widowControl/>
      <w:pBdr>
        <w:bottom w:val="single" w:color="auto" w:sz="12" w:space="0"/>
        <w:right w:val="single" w:color="auto" w:sz="8" w:space="0"/>
      </w:pBdr>
      <w:spacing w:before="100" w:beforeAutospacing="1" w:after="100" w:afterAutospacing="1"/>
      <w:jc w:val="center"/>
    </w:pPr>
    <w:rPr>
      <w:rFonts w:ascii="仿宋" w:hAnsi="仿宋" w:eastAsia="仿宋" w:cs="宋体"/>
      <w:kern w:val="0"/>
      <w:szCs w:val="21"/>
    </w:rPr>
  </w:style>
  <w:style w:type="paragraph" w:customStyle="1" w:styleId="3737">
    <w:name w:val="Char312"/>
    <w:basedOn w:val="1"/>
    <w:qFormat/>
    <w:uiPriority w:val="0"/>
    <w:pPr>
      <w:widowControl/>
      <w:ind w:left="-48"/>
      <w:jc w:val="left"/>
    </w:pPr>
    <w:rPr>
      <w:rFonts w:ascii="宋体" w:hAnsi="宋体" w:cs="宋体"/>
      <w:kern w:val="0"/>
      <w:szCs w:val="24"/>
    </w:rPr>
  </w:style>
  <w:style w:type="paragraph" w:customStyle="1" w:styleId="3738">
    <w:name w:val="样式 表格内字体1 +2"/>
    <w:basedOn w:val="1722"/>
    <w:next w:val="559"/>
    <w:qFormat/>
    <w:uiPriority w:val="0"/>
    <w:rPr>
      <w:rFonts w:hAnsi="Times New Roman" w:cs="宋体"/>
      <w:szCs w:val="20"/>
    </w:rPr>
  </w:style>
  <w:style w:type="paragraph" w:customStyle="1" w:styleId="3739">
    <w:name w:val="样式 左侧:  -0.16 厘米"/>
    <w:basedOn w:val="1"/>
    <w:qFormat/>
    <w:uiPriority w:val="0"/>
    <w:pPr>
      <w:widowControl/>
      <w:ind w:left="-90"/>
      <w:jc w:val="left"/>
    </w:pPr>
    <w:rPr>
      <w:rFonts w:ascii="宋体" w:hAnsi="宋体" w:cs="宋体"/>
      <w:snapToGrid w:val="0"/>
      <w:kern w:val="0"/>
      <w:szCs w:val="24"/>
    </w:rPr>
  </w:style>
  <w:style w:type="paragraph" w:customStyle="1" w:styleId="3740">
    <w:name w:val="正文格式＝613"/>
    <w:basedOn w:val="418"/>
    <w:next w:val="418"/>
    <w:qFormat/>
    <w:uiPriority w:val="0"/>
    <w:rPr>
      <w:rFonts w:hAnsi="宋体"/>
      <w:szCs w:val="24"/>
    </w:rPr>
  </w:style>
  <w:style w:type="paragraph" w:customStyle="1" w:styleId="3741">
    <w:name w:val="表内文字小311111"/>
    <w:basedOn w:val="1"/>
    <w:qFormat/>
    <w:uiPriority w:val="0"/>
    <w:pPr>
      <w:widowControl/>
      <w:jc w:val="center"/>
    </w:pPr>
    <w:rPr>
      <w:rFonts w:ascii="宋体" w:hAnsi="Times" w:cs="宋体"/>
      <w:bCs/>
      <w:color w:val="003366"/>
      <w:kern w:val="0"/>
      <w:szCs w:val="20"/>
    </w:rPr>
  </w:style>
  <w:style w:type="paragraph" w:customStyle="1" w:styleId="3742">
    <w:name w:val="广西炼油"/>
    <w:basedOn w:val="1"/>
    <w:qFormat/>
    <w:uiPriority w:val="0"/>
    <w:pPr>
      <w:spacing w:beforeLines="5"/>
      <w:ind w:firstLine="480"/>
    </w:pPr>
    <w:rPr>
      <w:rFonts w:ascii="宋体" w:hAnsi="宋体"/>
      <w:szCs w:val="28"/>
    </w:rPr>
  </w:style>
  <w:style w:type="paragraph" w:customStyle="1" w:styleId="3743">
    <w:name w:val="Char Char Char Char Char Char Char126"/>
    <w:basedOn w:val="1"/>
    <w:qFormat/>
    <w:uiPriority w:val="0"/>
    <w:pPr>
      <w:widowControl/>
      <w:jc w:val="left"/>
    </w:pPr>
    <w:rPr>
      <w:rFonts w:ascii="宋体" w:hAnsi="宋体" w:cs="宋体"/>
      <w:kern w:val="0"/>
      <w:szCs w:val="24"/>
    </w:rPr>
  </w:style>
  <w:style w:type="paragraph" w:customStyle="1" w:styleId="3744">
    <w:name w:val="样式 三级标题 + 小四 段前: 5 磅"/>
    <w:basedOn w:val="1935"/>
    <w:qFormat/>
    <w:uiPriority w:val="0"/>
    <w:pPr>
      <w:spacing w:before="60"/>
    </w:pPr>
    <w:rPr>
      <w:rFonts w:cs="宋体"/>
      <w:bCs/>
    </w:rPr>
  </w:style>
  <w:style w:type="paragraph" w:customStyle="1" w:styleId="3745">
    <w:name w:val="表内文字小232"/>
    <w:basedOn w:val="1"/>
    <w:qFormat/>
    <w:uiPriority w:val="0"/>
    <w:pPr>
      <w:widowControl/>
      <w:jc w:val="center"/>
    </w:pPr>
    <w:rPr>
      <w:rFonts w:ascii="宋体" w:hAnsi="Times" w:cs="宋体"/>
      <w:bCs/>
      <w:kern w:val="0"/>
      <w:szCs w:val="20"/>
    </w:rPr>
  </w:style>
  <w:style w:type="paragraph" w:customStyle="1" w:styleId="3746">
    <w:name w:val="Char Char Char Char Char Char Char5"/>
    <w:basedOn w:val="1"/>
    <w:qFormat/>
    <w:uiPriority w:val="0"/>
    <w:pPr>
      <w:widowControl/>
      <w:jc w:val="left"/>
    </w:pPr>
    <w:rPr>
      <w:rFonts w:ascii="宋体" w:hAnsi="宋体" w:cs="宋体"/>
      <w:kern w:val="0"/>
      <w:szCs w:val="24"/>
    </w:rPr>
  </w:style>
  <w:style w:type="paragraph" w:customStyle="1" w:styleId="3747">
    <w:name w:val="正文修改412"/>
    <w:basedOn w:val="786"/>
    <w:qFormat/>
    <w:uiPriority w:val="0"/>
    <w:rPr>
      <w:rFonts w:hAnsi="宋体" w:eastAsia="宋体" w:cs="宋体"/>
      <w:szCs w:val="24"/>
    </w:rPr>
  </w:style>
  <w:style w:type="paragraph" w:customStyle="1" w:styleId="3748">
    <w:name w:val="表中文字231"/>
    <w:basedOn w:val="1"/>
    <w:qFormat/>
    <w:uiPriority w:val="0"/>
    <w:pPr>
      <w:widowControl/>
      <w:spacing w:line="240" w:lineRule="atLeast"/>
      <w:ind w:right="-42" w:rightChars="-20"/>
      <w:jc w:val="center"/>
      <w:textAlignment w:val="baseline"/>
    </w:pPr>
    <w:rPr>
      <w:rFonts w:ascii="宋体" w:hAnsi="宋体" w:cs="宋体"/>
      <w:kern w:val="0"/>
      <w:szCs w:val="21"/>
    </w:rPr>
  </w:style>
  <w:style w:type="paragraph" w:customStyle="1" w:styleId="3749">
    <w:name w:val="表311"/>
    <w:basedOn w:val="1"/>
    <w:qFormat/>
    <w:uiPriority w:val="0"/>
    <w:pPr>
      <w:widowControl/>
      <w:jc w:val="center"/>
    </w:pPr>
    <w:rPr>
      <w:rFonts w:ascii="宋体" w:hAnsi="宋体" w:cs="宋体"/>
      <w:kern w:val="0"/>
      <w:szCs w:val="24"/>
    </w:rPr>
  </w:style>
  <w:style w:type="paragraph" w:customStyle="1" w:styleId="3750">
    <w:name w:val="xl47"/>
    <w:basedOn w:val="1"/>
    <w:qFormat/>
    <w:uiPriority w:val="0"/>
    <w:pPr>
      <w:widowControl/>
      <w:pBdr>
        <w:top w:val="single" w:color="auto" w:sz="4" w:space="0"/>
        <w:left w:val="double" w:color="auto" w:sz="6" w:space="0"/>
        <w:bottom w:val="single" w:color="auto" w:sz="4" w:space="0"/>
        <w:right w:val="single" w:color="auto" w:sz="4" w:space="0"/>
      </w:pBdr>
      <w:spacing w:before="100" w:beforeAutospacing="1" w:after="100" w:afterAutospacing="1"/>
      <w:jc w:val="center"/>
      <w:textAlignment w:val="center"/>
    </w:pPr>
    <w:rPr>
      <w:rFonts w:ascii="PMingLiU" w:eastAsia="PMingLiU"/>
      <w:kern w:val="0"/>
      <w:szCs w:val="24"/>
      <w:lang w:eastAsia="zh-TW"/>
    </w:rPr>
  </w:style>
  <w:style w:type="paragraph" w:customStyle="1" w:styleId="3751">
    <w:name w:val="Char110"/>
    <w:basedOn w:val="1"/>
    <w:qFormat/>
    <w:uiPriority w:val="0"/>
    <w:pPr>
      <w:widowControl/>
      <w:ind w:left="-48"/>
      <w:jc w:val="left"/>
    </w:pPr>
    <w:rPr>
      <w:rFonts w:ascii="宋体" w:hAnsi="宋体" w:cs="宋体"/>
      <w:kern w:val="0"/>
      <w:szCs w:val="24"/>
    </w:rPr>
  </w:style>
  <w:style w:type="paragraph" w:customStyle="1" w:styleId="3752">
    <w:name w:val="xl241"/>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3753">
    <w:name w:val="正文格式211"/>
    <w:basedOn w:val="1"/>
    <w:qFormat/>
    <w:uiPriority w:val="0"/>
    <w:pPr>
      <w:widowControl/>
      <w:ind w:firstLine="482"/>
      <w:jc w:val="left"/>
    </w:pPr>
    <w:rPr>
      <w:rFonts w:ascii="宋体" w:hAnsi="宋体" w:cs="宋体"/>
      <w:kern w:val="0"/>
      <w:szCs w:val="24"/>
    </w:rPr>
  </w:style>
  <w:style w:type="paragraph" w:customStyle="1" w:styleId="3754">
    <w:name w:val="Char1611"/>
    <w:basedOn w:val="1"/>
    <w:qFormat/>
    <w:uiPriority w:val="0"/>
    <w:pPr>
      <w:widowControl/>
      <w:ind w:left="-48"/>
      <w:jc w:val="left"/>
    </w:pPr>
    <w:rPr>
      <w:rFonts w:ascii="宋体" w:hAnsi="宋体" w:cs="宋体"/>
      <w:kern w:val="0"/>
      <w:szCs w:val="24"/>
    </w:rPr>
  </w:style>
  <w:style w:type="paragraph" w:customStyle="1" w:styleId="3755">
    <w:name w:val="默认段落字体 Para Char4"/>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3756">
    <w:name w:val="表内文字小311"/>
    <w:basedOn w:val="1"/>
    <w:qFormat/>
    <w:uiPriority w:val="0"/>
    <w:pPr>
      <w:widowControl/>
      <w:jc w:val="center"/>
    </w:pPr>
    <w:rPr>
      <w:rFonts w:ascii="宋体" w:hAnsi="Times" w:cs="宋体"/>
      <w:bCs/>
      <w:color w:val="003366"/>
      <w:kern w:val="0"/>
      <w:szCs w:val="20"/>
    </w:rPr>
  </w:style>
  <w:style w:type="paragraph" w:customStyle="1" w:styleId="3757">
    <w:name w:val="Char1 Char Char Char"/>
    <w:basedOn w:val="1"/>
    <w:qFormat/>
    <w:uiPriority w:val="0"/>
    <w:pPr>
      <w:widowControl/>
      <w:jc w:val="left"/>
    </w:pPr>
    <w:rPr>
      <w:rFonts w:ascii="宋体" w:hAnsi="宋体" w:cs="宋体"/>
      <w:kern w:val="0"/>
      <w:szCs w:val="21"/>
    </w:rPr>
  </w:style>
  <w:style w:type="paragraph" w:customStyle="1" w:styleId="3758">
    <w:name w:val="注解"/>
    <w:basedOn w:val="1"/>
    <w:qFormat/>
    <w:uiPriority w:val="0"/>
    <w:pPr>
      <w:ind w:left="624" w:right="170" w:hanging="454"/>
    </w:pPr>
    <w:rPr>
      <w:rFonts w:ascii="宋体" w:hAnsi="宋体"/>
      <w:sz w:val="15"/>
      <w:szCs w:val="20"/>
    </w:rPr>
  </w:style>
  <w:style w:type="paragraph" w:customStyle="1" w:styleId="3759">
    <w:name w:val="表内文字小215"/>
    <w:basedOn w:val="1"/>
    <w:qFormat/>
    <w:uiPriority w:val="0"/>
    <w:pPr>
      <w:widowControl/>
      <w:jc w:val="center"/>
    </w:pPr>
    <w:rPr>
      <w:rFonts w:ascii="宋体" w:hAnsi="Times" w:cs="宋体"/>
      <w:bCs/>
      <w:kern w:val="0"/>
      <w:szCs w:val="20"/>
    </w:rPr>
  </w:style>
  <w:style w:type="paragraph" w:customStyle="1" w:styleId="3760">
    <w:name w:val="样式 五号 居中"/>
    <w:basedOn w:val="1"/>
    <w:qFormat/>
    <w:uiPriority w:val="0"/>
    <w:pPr>
      <w:widowControl/>
      <w:jc w:val="center"/>
    </w:pPr>
    <w:rPr>
      <w:rFonts w:ascii="宋体" w:hAnsi="宋体" w:cs="宋体"/>
      <w:snapToGrid w:val="0"/>
      <w:kern w:val="0"/>
      <w:szCs w:val="21"/>
    </w:rPr>
  </w:style>
  <w:style w:type="paragraph" w:customStyle="1" w:styleId="3761">
    <w:name w:val="字元 字元3"/>
    <w:basedOn w:val="1"/>
    <w:qFormat/>
    <w:uiPriority w:val="0"/>
    <w:rPr>
      <w:szCs w:val="24"/>
    </w:rPr>
  </w:style>
  <w:style w:type="paragraph" w:customStyle="1" w:styleId="3762">
    <w:name w:val="样式 表格内字体1 +13"/>
    <w:basedOn w:val="1722"/>
    <w:next w:val="559"/>
    <w:qFormat/>
    <w:uiPriority w:val="0"/>
    <w:rPr>
      <w:rFonts w:hAnsi="Times New Roman" w:cs="宋体"/>
      <w:szCs w:val="20"/>
    </w:rPr>
  </w:style>
  <w:style w:type="paragraph" w:customStyle="1" w:styleId="3763">
    <w:name w:val="表文字5131"/>
    <w:basedOn w:val="1"/>
    <w:qFormat/>
    <w:uiPriority w:val="0"/>
    <w:pPr>
      <w:widowControl/>
      <w:jc w:val="left"/>
      <w:textAlignment w:val="baseline"/>
    </w:pPr>
    <w:rPr>
      <w:rFonts w:ascii="宋体" w:hAnsi="宋体" w:cs="宋体"/>
      <w:kern w:val="0"/>
      <w:szCs w:val="20"/>
    </w:rPr>
  </w:style>
  <w:style w:type="paragraph" w:customStyle="1" w:styleId="3764">
    <w:name w:val="表43"/>
    <w:basedOn w:val="1"/>
    <w:qFormat/>
    <w:uiPriority w:val="0"/>
    <w:pPr>
      <w:widowControl/>
      <w:jc w:val="center"/>
    </w:pPr>
    <w:rPr>
      <w:rFonts w:ascii="宋体" w:hAnsi="宋体" w:cs="宋体"/>
      <w:kern w:val="0"/>
      <w:szCs w:val="24"/>
    </w:rPr>
  </w:style>
  <w:style w:type="paragraph" w:customStyle="1" w:styleId="3765">
    <w:name w:val="样式 标题 2节第一章 标题 2Heading 2 HiddenHeading 2 CCBSheading 2H2...1"/>
    <w:basedOn w:val="3"/>
    <w:qFormat/>
    <w:uiPriority w:val="0"/>
  </w:style>
  <w:style w:type="paragraph" w:customStyle="1" w:styleId="3766">
    <w:name w:val="正文格式42"/>
    <w:basedOn w:val="1"/>
    <w:qFormat/>
    <w:uiPriority w:val="0"/>
    <w:pPr>
      <w:widowControl/>
      <w:ind w:firstLine="482"/>
      <w:jc w:val="left"/>
    </w:pPr>
    <w:rPr>
      <w:rFonts w:ascii="宋体" w:hAnsi="宋体" w:cs="宋体"/>
      <w:kern w:val="0"/>
      <w:szCs w:val="24"/>
    </w:rPr>
  </w:style>
  <w:style w:type="paragraph" w:customStyle="1" w:styleId="3767">
    <w:name w:val="Char30"/>
    <w:basedOn w:val="1"/>
    <w:qFormat/>
    <w:uiPriority w:val="0"/>
    <w:pPr>
      <w:widowControl/>
      <w:ind w:left="-48"/>
      <w:jc w:val="left"/>
    </w:pPr>
    <w:rPr>
      <w:rFonts w:ascii="宋体" w:hAnsi="宋体" w:cs="宋体"/>
      <w:kern w:val="0"/>
      <w:szCs w:val="24"/>
    </w:rPr>
  </w:style>
  <w:style w:type="paragraph" w:customStyle="1" w:styleId="3768">
    <w:name w:val="列表编号 31"/>
    <w:basedOn w:val="1"/>
    <w:qFormat/>
    <w:uiPriority w:val="0"/>
    <w:pPr>
      <w:widowControl/>
      <w:tabs>
        <w:tab w:val="left" w:pos="1200"/>
      </w:tabs>
      <w:ind w:left="1200" w:hanging="360"/>
      <w:jc w:val="left"/>
    </w:pPr>
    <w:rPr>
      <w:rFonts w:ascii="宋体" w:hAnsi="宋体" w:cs="宋体"/>
      <w:kern w:val="0"/>
      <w:szCs w:val="24"/>
    </w:rPr>
  </w:style>
  <w:style w:type="paragraph" w:customStyle="1" w:styleId="3769">
    <w:name w:val="表格12"/>
    <w:basedOn w:val="1"/>
    <w:qFormat/>
    <w:uiPriority w:val="0"/>
    <w:pPr>
      <w:widowControl/>
      <w:jc w:val="center"/>
      <w:textAlignment w:val="baseline"/>
    </w:pPr>
    <w:rPr>
      <w:rFonts w:ascii="宋体" w:hAnsi="宋体" w:cs="宋体"/>
      <w:kern w:val="0"/>
      <w:szCs w:val="20"/>
    </w:rPr>
  </w:style>
  <w:style w:type="paragraph" w:customStyle="1" w:styleId="3770">
    <w:name w:val="Char50"/>
    <w:basedOn w:val="1"/>
    <w:qFormat/>
    <w:uiPriority w:val="0"/>
    <w:pPr>
      <w:widowControl/>
      <w:ind w:left="-48"/>
      <w:jc w:val="left"/>
    </w:pPr>
    <w:rPr>
      <w:rFonts w:ascii="宋体" w:hAnsi="宋体" w:cs="宋体"/>
      <w:kern w:val="0"/>
      <w:szCs w:val="24"/>
    </w:rPr>
  </w:style>
  <w:style w:type="paragraph" w:customStyle="1" w:styleId="3771">
    <w:name w:val="表格 32"/>
    <w:basedOn w:val="1"/>
    <w:qFormat/>
    <w:uiPriority w:val="0"/>
    <w:pPr>
      <w:autoSpaceDE w:val="0"/>
      <w:autoSpaceDN w:val="0"/>
      <w:jc w:val="center"/>
      <w:textAlignment w:val="baseline"/>
    </w:pPr>
    <w:rPr>
      <w:rFonts w:eastAsia="楷体_GB2312"/>
      <w:kern w:val="0"/>
      <w:szCs w:val="20"/>
    </w:rPr>
  </w:style>
  <w:style w:type="paragraph" w:customStyle="1" w:styleId="3772">
    <w:name w:val="样式24"/>
    <w:basedOn w:val="1"/>
    <w:qFormat/>
    <w:uiPriority w:val="0"/>
    <w:pPr>
      <w:widowControl/>
      <w:jc w:val="center"/>
      <w:textAlignment w:val="baseline"/>
      <w:outlineLvl w:val="0"/>
    </w:pPr>
    <w:rPr>
      <w:rFonts w:ascii="宋体" w:hAnsi="宋体" w:cs="宋体"/>
      <w:kern w:val="0"/>
      <w:szCs w:val="20"/>
    </w:rPr>
  </w:style>
  <w:style w:type="paragraph" w:customStyle="1" w:styleId="3773">
    <w:name w:val="表文字5"/>
    <w:basedOn w:val="1"/>
    <w:qFormat/>
    <w:uiPriority w:val="0"/>
    <w:pPr>
      <w:widowControl/>
      <w:jc w:val="left"/>
      <w:textAlignment w:val="baseline"/>
    </w:pPr>
    <w:rPr>
      <w:rFonts w:ascii="宋体" w:hAnsi="宋体" w:cs="宋体"/>
      <w:kern w:val="0"/>
      <w:szCs w:val="20"/>
    </w:rPr>
  </w:style>
  <w:style w:type="paragraph" w:customStyle="1" w:styleId="3774">
    <w:name w:val="正文格式9"/>
    <w:basedOn w:val="1"/>
    <w:qFormat/>
    <w:uiPriority w:val="0"/>
    <w:pPr>
      <w:widowControl/>
      <w:ind w:firstLine="482"/>
      <w:jc w:val="left"/>
    </w:pPr>
    <w:rPr>
      <w:rFonts w:ascii="宋体" w:hAnsi="宋体" w:cs="宋体"/>
      <w:kern w:val="0"/>
      <w:szCs w:val="24"/>
    </w:rPr>
  </w:style>
  <w:style w:type="paragraph" w:customStyle="1" w:styleId="3775">
    <w:name w:val="列出段落3"/>
    <w:basedOn w:val="1"/>
    <w:qFormat/>
    <w:uiPriority w:val="0"/>
    <w:pPr>
      <w:widowControl/>
      <w:ind w:firstLine="420"/>
      <w:jc w:val="left"/>
    </w:pPr>
    <w:rPr>
      <w:rFonts w:ascii="宋体" w:hAnsi="宋体" w:cs="宋体"/>
      <w:kern w:val="0"/>
      <w:szCs w:val="24"/>
    </w:rPr>
  </w:style>
  <w:style w:type="paragraph" w:customStyle="1" w:styleId="3776">
    <w:name w:val="font12"/>
    <w:basedOn w:val="1"/>
    <w:qFormat/>
    <w:uiPriority w:val="0"/>
    <w:pPr>
      <w:widowControl/>
      <w:spacing w:before="100" w:beforeAutospacing="1" w:after="100" w:afterAutospacing="1"/>
      <w:jc w:val="left"/>
    </w:pPr>
    <w:rPr>
      <w:kern w:val="0"/>
      <w:szCs w:val="21"/>
    </w:rPr>
  </w:style>
  <w:style w:type="paragraph" w:customStyle="1" w:styleId="3777">
    <w:name w:val="样式 正文(首行缩进) + 8 磅 加粗 首行缩进:  2 字符1"/>
    <w:basedOn w:val="1"/>
    <w:qFormat/>
    <w:uiPriority w:val="0"/>
    <w:pPr>
      <w:widowControl/>
      <w:jc w:val="left"/>
    </w:pPr>
    <w:rPr>
      <w:rFonts w:ascii="宋体" w:hAnsi="宋体" w:cs="宋体"/>
      <w:b/>
      <w:bCs/>
      <w:snapToGrid w:val="0"/>
      <w:kern w:val="0"/>
      <w:sz w:val="16"/>
      <w:szCs w:val="20"/>
    </w:rPr>
  </w:style>
  <w:style w:type="paragraph" w:customStyle="1" w:styleId="3778">
    <w:name w:val="表内宋5中311"/>
    <w:basedOn w:val="1"/>
    <w:qFormat/>
    <w:uiPriority w:val="0"/>
    <w:pPr>
      <w:widowControl/>
      <w:jc w:val="left"/>
      <w:textAlignment w:val="baseline"/>
    </w:pPr>
    <w:rPr>
      <w:rFonts w:ascii="宋体" w:hAnsi="宋体" w:cs="宋体"/>
      <w:kern w:val="0"/>
      <w:szCs w:val="20"/>
    </w:rPr>
  </w:style>
  <w:style w:type="paragraph" w:customStyle="1" w:styleId="3779">
    <w:name w:val="表格内字体511"/>
    <w:basedOn w:val="418"/>
    <w:next w:val="418"/>
    <w:qFormat/>
    <w:uiPriority w:val="0"/>
    <w:pPr>
      <w:spacing w:line="240" w:lineRule="auto"/>
      <w:ind w:firstLine="0"/>
    </w:pPr>
    <w:rPr>
      <w:rFonts w:hAnsi="宋体"/>
      <w:sz w:val="21"/>
      <w:szCs w:val="24"/>
    </w:rPr>
  </w:style>
  <w:style w:type="paragraph" w:customStyle="1" w:styleId="3780">
    <w:name w:val="表内宋5中12"/>
    <w:basedOn w:val="1"/>
    <w:qFormat/>
    <w:uiPriority w:val="0"/>
    <w:pPr>
      <w:widowControl/>
      <w:jc w:val="center"/>
      <w:textAlignment w:val="baseline"/>
    </w:pPr>
    <w:rPr>
      <w:rFonts w:ascii="宋体" w:hAnsi="宋体" w:cs="宋体"/>
      <w:kern w:val="0"/>
      <w:szCs w:val="20"/>
    </w:rPr>
  </w:style>
  <w:style w:type="paragraph" w:customStyle="1" w:styleId="3781">
    <w:name w:val="表113"/>
    <w:basedOn w:val="1"/>
    <w:qFormat/>
    <w:uiPriority w:val="0"/>
    <w:pPr>
      <w:widowControl/>
      <w:jc w:val="center"/>
    </w:pPr>
    <w:rPr>
      <w:rFonts w:ascii="宋体" w:hAnsi="宋体" w:cs="宋体"/>
      <w:kern w:val="0"/>
      <w:szCs w:val="24"/>
    </w:rPr>
  </w:style>
  <w:style w:type="paragraph" w:customStyle="1" w:styleId="3782">
    <w:name w:val="Char Char Char Char1 Char Char Char10"/>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783">
    <w:name w:val="表格文字2"/>
    <w:basedOn w:val="1"/>
    <w:qFormat/>
    <w:uiPriority w:val="0"/>
    <w:pPr>
      <w:widowControl/>
      <w:tabs>
        <w:tab w:val="left" w:pos="277"/>
        <w:tab w:val="left" w:pos="600"/>
        <w:tab w:val="left" w:pos="780"/>
        <w:tab w:val="left" w:pos="2517"/>
      </w:tabs>
      <w:spacing w:before="60"/>
      <w:jc w:val="center"/>
      <w:textAlignment w:val="baseline"/>
    </w:pPr>
    <w:rPr>
      <w:rFonts w:ascii="宋体" w:hAnsi="宋体" w:cs="宋体"/>
      <w:kern w:val="0"/>
      <w:szCs w:val="21"/>
    </w:rPr>
  </w:style>
  <w:style w:type="paragraph" w:customStyle="1" w:styleId="3784">
    <w:name w:val="图表名称2"/>
    <w:basedOn w:val="482"/>
    <w:qFormat/>
    <w:uiPriority w:val="0"/>
    <w:pPr>
      <w:spacing w:after="0" w:line="480" w:lineRule="exact"/>
      <w:ind w:firstLine="0" w:firstLineChars="0"/>
      <w:jc w:val="center"/>
    </w:pPr>
    <w:rPr>
      <w:rFonts w:ascii="宋体" w:hAnsi="宋体"/>
      <w:bCs/>
      <w:szCs w:val="24"/>
    </w:rPr>
  </w:style>
  <w:style w:type="paragraph" w:customStyle="1" w:styleId="3785">
    <w:name w:val="图题43"/>
    <w:basedOn w:val="418"/>
    <w:next w:val="418"/>
    <w:qFormat/>
    <w:uiPriority w:val="0"/>
    <w:pPr>
      <w:ind w:firstLine="0"/>
      <w:jc w:val="center"/>
    </w:pPr>
    <w:rPr>
      <w:rFonts w:ascii="黑体" w:hAnsi="宋体" w:eastAsia="黑体" w:cs="宋体"/>
      <w:b/>
      <w:bCs/>
      <w:szCs w:val="24"/>
    </w:rPr>
  </w:style>
  <w:style w:type="paragraph" w:customStyle="1" w:styleId="3786">
    <w:name w:val="表内宋5中22"/>
    <w:basedOn w:val="1"/>
    <w:qFormat/>
    <w:uiPriority w:val="0"/>
    <w:pPr>
      <w:widowControl/>
      <w:jc w:val="center"/>
      <w:textAlignment w:val="baseline"/>
    </w:pPr>
    <w:rPr>
      <w:rFonts w:ascii="宋体" w:hAnsi="宋体" w:cs="宋体"/>
      <w:kern w:val="0"/>
      <w:szCs w:val="20"/>
    </w:rPr>
  </w:style>
  <w:style w:type="paragraph" w:customStyle="1" w:styleId="3787">
    <w:name w:val="Char Char Char Char Char Char Char1111"/>
    <w:basedOn w:val="1"/>
    <w:qFormat/>
    <w:uiPriority w:val="0"/>
    <w:pPr>
      <w:widowControl/>
      <w:jc w:val="left"/>
    </w:pPr>
    <w:rPr>
      <w:rFonts w:ascii="宋体" w:hAnsi="宋体" w:cs="宋体"/>
      <w:kern w:val="0"/>
      <w:szCs w:val="24"/>
    </w:rPr>
  </w:style>
  <w:style w:type="paragraph" w:customStyle="1" w:styleId="3788">
    <w:name w:val="表题151"/>
    <w:basedOn w:val="17"/>
    <w:qFormat/>
    <w:uiPriority w:val="0"/>
    <w:pPr>
      <w:widowControl/>
      <w:ind w:firstLine="0" w:firstLineChars="0"/>
      <w:jc w:val="center"/>
    </w:pPr>
    <w:rPr>
      <w:rFonts w:ascii="黑体" w:cs="Arial"/>
      <w:b/>
    </w:rPr>
  </w:style>
  <w:style w:type="paragraph" w:customStyle="1" w:styleId="3789">
    <w:name w:val="燕山正文1122"/>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3790">
    <w:name w:val="正文.4"/>
    <w:basedOn w:val="98"/>
    <w:qFormat/>
    <w:uiPriority w:val="0"/>
    <w:pPr>
      <w:widowControl w:val="0"/>
      <w:autoSpaceDE w:val="0"/>
      <w:autoSpaceDN w:val="0"/>
      <w:adjustRightInd w:val="0"/>
    </w:pPr>
    <w:rPr>
      <w:rFonts w:ascii="Times New Roman;Symbol;Arial;婼" w:hAnsi="Times New Roman" w:eastAsia="Times New Roman;Symbol;Arial;婼" w:cs="Times New Roman"/>
      <w:color w:val="000000"/>
      <w:szCs w:val="21"/>
    </w:rPr>
  </w:style>
  <w:style w:type="paragraph" w:customStyle="1" w:styleId="3791">
    <w:name w:val="正文格式＝13"/>
    <w:basedOn w:val="418"/>
    <w:next w:val="418"/>
    <w:qFormat/>
    <w:uiPriority w:val="0"/>
    <w:rPr>
      <w:rFonts w:hAnsi="宋体"/>
      <w:szCs w:val="24"/>
    </w:rPr>
  </w:style>
  <w:style w:type="paragraph" w:customStyle="1" w:styleId="3792">
    <w:name w:val="表中文字411"/>
    <w:basedOn w:val="1"/>
    <w:qFormat/>
    <w:uiPriority w:val="0"/>
    <w:pPr>
      <w:widowControl/>
      <w:spacing w:line="340" w:lineRule="exact"/>
      <w:ind w:firstLine="480"/>
      <w:jc w:val="center"/>
    </w:pPr>
    <w:rPr>
      <w:rFonts w:ascii="Arial" w:hAnsi="Arial" w:cs="宋体"/>
      <w:kern w:val="0"/>
      <w:sz w:val="20"/>
      <w:szCs w:val="24"/>
      <w:lang w:eastAsia="zh-TW"/>
    </w:rPr>
  </w:style>
  <w:style w:type="paragraph" w:customStyle="1" w:styleId="3793">
    <w:name w:val="正文修改511"/>
    <w:basedOn w:val="786"/>
    <w:qFormat/>
    <w:uiPriority w:val="0"/>
    <w:rPr>
      <w:rFonts w:hAnsi="宋体" w:eastAsia="宋体" w:cs="宋体"/>
      <w:szCs w:val="24"/>
    </w:rPr>
  </w:style>
  <w:style w:type="paragraph" w:customStyle="1" w:styleId="3794">
    <w:name w:val="表 头"/>
    <w:basedOn w:val="1"/>
    <w:qFormat/>
    <w:uiPriority w:val="0"/>
    <w:pPr>
      <w:widowControl/>
      <w:spacing w:before="120" w:after="120" w:line="360" w:lineRule="atLeast"/>
      <w:jc w:val="center"/>
    </w:pPr>
    <w:rPr>
      <w:rFonts w:ascii="宋体" w:hAnsi="宋体" w:eastAsia="黑体" w:cs="宋体"/>
      <w:spacing w:val="10"/>
      <w:kern w:val="0"/>
      <w:szCs w:val="20"/>
    </w:rPr>
  </w:style>
  <w:style w:type="paragraph" w:customStyle="1" w:styleId="3795">
    <w:name w:val="表格内字体5"/>
    <w:basedOn w:val="418"/>
    <w:next w:val="418"/>
    <w:qFormat/>
    <w:uiPriority w:val="0"/>
    <w:pPr>
      <w:spacing w:line="240" w:lineRule="auto"/>
      <w:ind w:firstLine="0"/>
    </w:pPr>
    <w:rPr>
      <w:rFonts w:hAnsi="宋体"/>
      <w:sz w:val="21"/>
      <w:szCs w:val="24"/>
    </w:rPr>
  </w:style>
  <w:style w:type="paragraph" w:customStyle="1" w:styleId="3796">
    <w:name w:val="Char223"/>
    <w:basedOn w:val="1"/>
    <w:qFormat/>
    <w:uiPriority w:val="0"/>
    <w:pPr>
      <w:widowControl/>
      <w:ind w:left="-48"/>
      <w:jc w:val="left"/>
    </w:pPr>
    <w:rPr>
      <w:rFonts w:ascii="宋体" w:hAnsi="宋体" w:cs="宋体"/>
      <w:kern w:val="0"/>
      <w:szCs w:val="24"/>
    </w:rPr>
  </w:style>
  <w:style w:type="paragraph" w:customStyle="1" w:styleId="3797">
    <w:name w:val="表题113"/>
    <w:basedOn w:val="17"/>
    <w:qFormat/>
    <w:uiPriority w:val="0"/>
    <w:pPr>
      <w:widowControl/>
      <w:ind w:firstLine="0" w:firstLineChars="0"/>
      <w:jc w:val="center"/>
    </w:pPr>
    <w:rPr>
      <w:rFonts w:ascii="黑体" w:cs="Arial"/>
    </w:rPr>
  </w:style>
  <w:style w:type="paragraph" w:customStyle="1" w:styleId="3798">
    <w:name w:val="表格内字体3"/>
    <w:basedOn w:val="418"/>
    <w:next w:val="418"/>
    <w:qFormat/>
    <w:uiPriority w:val="0"/>
    <w:pPr>
      <w:spacing w:line="240" w:lineRule="auto"/>
      <w:ind w:firstLine="0"/>
      <w:jc w:val="center"/>
    </w:pPr>
    <w:rPr>
      <w:rFonts w:hAnsi="宋体"/>
      <w:sz w:val="21"/>
      <w:szCs w:val="24"/>
    </w:rPr>
  </w:style>
  <w:style w:type="paragraph" w:customStyle="1" w:styleId="3799">
    <w:name w:val="Char Char Char1 Char Char Char Char"/>
    <w:basedOn w:val="1"/>
    <w:next w:val="1"/>
    <w:qFormat/>
    <w:uiPriority w:val="0"/>
    <w:pPr>
      <w:widowControl/>
      <w:jc w:val="left"/>
    </w:pPr>
    <w:rPr>
      <w:rFonts w:ascii="宋体" w:hAnsi="宋体" w:eastAsia="汉鼎简书宋" w:cs="宋体"/>
      <w:kern w:val="0"/>
      <w:szCs w:val="24"/>
    </w:rPr>
  </w:style>
  <w:style w:type="paragraph" w:customStyle="1" w:styleId="3800">
    <w:name w:val="zxz5"/>
    <w:basedOn w:val="98"/>
    <w:next w:val="435"/>
    <w:qFormat/>
    <w:uiPriority w:val="0"/>
    <w:pPr>
      <w:tabs>
        <w:tab w:val="left" w:pos="0"/>
      </w:tabs>
      <w:jc w:val="center"/>
    </w:pPr>
    <w:rPr>
      <w:rFonts w:ascii="宋体" w:hAnsi="宋体" w:eastAsia="Times New Roman" w:cs="宋体"/>
      <w:bCs/>
      <w:color w:val="000000"/>
      <w:sz w:val="18"/>
      <w:szCs w:val="18"/>
    </w:rPr>
  </w:style>
  <w:style w:type="paragraph" w:customStyle="1" w:styleId="3801">
    <w:name w:val="标题422"/>
    <w:basedOn w:val="1"/>
    <w:qFormat/>
    <w:uiPriority w:val="0"/>
    <w:pPr>
      <w:widowControl/>
      <w:spacing w:line="300" w:lineRule="auto"/>
      <w:jc w:val="left"/>
    </w:pPr>
    <w:rPr>
      <w:rFonts w:ascii="黑体" w:hAnsi="宋体" w:eastAsia="黑体" w:cs="宋体"/>
      <w:bCs/>
      <w:kern w:val="0"/>
      <w:szCs w:val="24"/>
    </w:rPr>
  </w:style>
  <w:style w:type="paragraph" w:customStyle="1" w:styleId="3802">
    <w:name w:val="Char Char Char Char Char Char Char Char1"/>
    <w:basedOn w:val="1"/>
    <w:qFormat/>
    <w:uiPriority w:val="0"/>
    <w:pPr>
      <w:widowControl/>
      <w:jc w:val="left"/>
    </w:pPr>
    <w:rPr>
      <w:rFonts w:ascii="宋体" w:hAnsi="宋体" w:cs="宋体"/>
      <w:kern w:val="0"/>
      <w:szCs w:val="24"/>
    </w:rPr>
  </w:style>
  <w:style w:type="paragraph" w:customStyle="1" w:styleId="3803">
    <w:name w:val="图题74"/>
    <w:basedOn w:val="418"/>
    <w:next w:val="418"/>
    <w:qFormat/>
    <w:uiPriority w:val="0"/>
    <w:pPr>
      <w:ind w:firstLine="0"/>
      <w:jc w:val="center"/>
    </w:pPr>
    <w:rPr>
      <w:rFonts w:ascii="黑体" w:hAnsi="宋体" w:eastAsia="黑体" w:cs="宋体"/>
      <w:b/>
      <w:bCs/>
      <w:szCs w:val="24"/>
    </w:rPr>
  </w:style>
  <w:style w:type="paragraph" w:customStyle="1" w:styleId="3804">
    <w:name w:val="Char Char2 Char Char Char Char8"/>
    <w:basedOn w:val="1"/>
    <w:qFormat/>
    <w:uiPriority w:val="0"/>
    <w:pPr>
      <w:widowControl/>
      <w:jc w:val="left"/>
    </w:pPr>
    <w:rPr>
      <w:rFonts w:ascii="宋体" w:hAnsi="宋体" w:cs="宋体"/>
      <w:kern w:val="0"/>
      <w:szCs w:val="24"/>
    </w:rPr>
  </w:style>
  <w:style w:type="paragraph" w:customStyle="1" w:styleId="3805">
    <w:name w:val="项目编号"/>
    <w:basedOn w:val="1"/>
    <w:next w:val="2391"/>
    <w:qFormat/>
    <w:uiPriority w:val="0"/>
    <w:pPr>
      <w:widowControl/>
      <w:spacing w:before="120" w:after="120"/>
      <w:jc w:val="left"/>
    </w:pPr>
    <w:rPr>
      <w:rFonts w:ascii="宋体" w:hAnsi="宋体" w:cs="宋体"/>
      <w:kern w:val="0"/>
      <w:szCs w:val="24"/>
    </w:rPr>
  </w:style>
  <w:style w:type="paragraph" w:customStyle="1" w:styleId="3806">
    <w:name w:val="KY-标题-1.1.1"/>
    <w:basedOn w:val="1"/>
    <w:next w:val="1"/>
    <w:qFormat/>
    <w:uiPriority w:val="0"/>
    <w:pPr>
      <w:keepNext/>
      <w:keepLines/>
      <w:tabs>
        <w:tab w:val="left" w:pos="360"/>
        <w:tab w:val="left" w:pos="567"/>
      </w:tabs>
      <w:spacing w:beforeLines="100"/>
      <w:ind w:left="360"/>
      <w:outlineLvl w:val="2"/>
    </w:pPr>
    <w:rPr>
      <w:rFonts w:eastAsia="黑体"/>
      <w:kern w:val="0"/>
      <w:szCs w:val="28"/>
    </w:rPr>
  </w:style>
  <w:style w:type="paragraph" w:customStyle="1" w:styleId="3807">
    <w:name w:val="表格内字体42"/>
    <w:basedOn w:val="418"/>
    <w:next w:val="418"/>
    <w:qFormat/>
    <w:uiPriority w:val="0"/>
    <w:pPr>
      <w:spacing w:line="240" w:lineRule="auto"/>
      <w:ind w:firstLine="0"/>
      <w:jc w:val="center"/>
    </w:pPr>
    <w:rPr>
      <w:rFonts w:hAnsi="宋体"/>
      <w:sz w:val="21"/>
      <w:szCs w:val="24"/>
    </w:rPr>
  </w:style>
  <w:style w:type="paragraph" w:customStyle="1" w:styleId="3808">
    <w:name w:val="表文字523"/>
    <w:basedOn w:val="1"/>
    <w:qFormat/>
    <w:uiPriority w:val="0"/>
    <w:pPr>
      <w:widowControl/>
      <w:jc w:val="left"/>
      <w:textAlignment w:val="baseline"/>
    </w:pPr>
    <w:rPr>
      <w:rFonts w:ascii="宋体" w:hAnsi="宋体" w:cs="宋体"/>
      <w:kern w:val="0"/>
      <w:szCs w:val="20"/>
    </w:rPr>
  </w:style>
  <w:style w:type="paragraph" w:customStyle="1" w:styleId="3809">
    <w:name w:val="燕山正文13111"/>
    <w:basedOn w:val="1"/>
    <w:qFormat/>
    <w:uiPriority w:val="0"/>
    <w:pPr>
      <w:widowControl/>
      <w:tabs>
        <w:tab w:val="left" w:pos="4680"/>
      </w:tabs>
      <w:ind w:firstLine="480"/>
      <w:jc w:val="left"/>
    </w:pPr>
    <w:rPr>
      <w:rFonts w:ascii="宋体" w:hAnsi="宋体" w:cs="宋体"/>
      <w:bCs/>
      <w:kern w:val="0"/>
      <w:szCs w:val="24"/>
    </w:rPr>
  </w:style>
  <w:style w:type="paragraph" w:customStyle="1" w:styleId="3810">
    <w:name w:val="标准12"/>
    <w:basedOn w:val="1"/>
    <w:qFormat/>
    <w:uiPriority w:val="0"/>
    <w:pPr>
      <w:widowControl/>
      <w:spacing w:before="120" w:line="336" w:lineRule="auto"/>
      <w:jc w:val="center"/>
      <w:textAlignment w:val="baseline"/>
    </w:pPr>
    <w:rPr>
      <w:rFonts w:ascii="黑体" w:hAnsi="宋体" w:eastAsia="黑体" w:cs="宋体"/>
      <w:kern w:val="0"/>
      <w:szCs w:val="20"/>
    </w:rPr>
  </w:style>
  <w:style w:type="paragraph" w:customStyle="1" w:styleId="3811">
    <w:name w:val="Char Char Char Char Char Char Char14"/>
    <w:basedOn w:val="1"/>
    <w:qFormat/>
    <w:uiPriority w:val="0"/>
    <w:pPr>
      <w:widowControl/>
      <w:jc w:val="left"/>
    </w:pPr>
    <w:rPr>
      <w:rFonts w:ascii="宋体" w:hAnsi="宋体" w:cs="宋体"/>
      <w:kern w:val="0"/>
      <w:szCs w:val="24"/>
    </w:rPr>
  </w:style>
  <w:style w:type="paragraph" w:customStyle="1" w:styleId="3812">
    <w:name w:val="表内文字小216"/>
    <w:basedOn w:val="1"/>
    <w:qFormat/>
    <w:uiPriority w:val="0"/>
    <w:pPr>
      <w:widowControl/>
      <w:jc w:val="center"/>
    </w:pPr>
    <w:rPr>
      <w:rFonts w:ascii="宋体" w:hAnsi="Times" w:cs="宋体"/>
      <w:bCs/>
      <w:kern w:val="0"/>
      <w:szCs w:val="20"/>
    </w:rPr>
  </w:style>
  <w:style w:type="paragraph" w:customStyle="1" w:styleId="3813">
    <w:name w:val="Char119"/>
    <w:basedOn w:val="1"/>
    <w:qFormat/>
    <w:uiPriority w:val="0"/>
    <w:pPr>
      <w:widowControl/>
      <w:ind w:left="-48"/>
      <w:jc w:val="left"/>
    </w:pPr>
    <w:rPr>
      <w:rFonts w:ascii="宋体" w:hAnsi="宋体" w:cs="宋体"/>
      <w:kern w:val="0"/>
      <w:szCs w:val="24"/>
    </w:rPr>
  </w:style>
  <w:style w:type="paragraph" w:customStyle="1" w:styleId="3814">
    <w:name w:val="Char141"/>
    <w:basedOn w:val="1"/>
    <w:qFormat/>
    <w:uiPriority w:val="0"/>
    <w:pPr>
      <w:widowControl/>
      <w:ind w:left="-48"/>
      <w:jc w:val="left"/>
    </w:pPr>
    <w:rPr>
      <w:rFonts w:ascii="宋体" w:hAnsi="宋体" w:cs="宋体"/>
      <w:kern w:val="0"/>
      <w:szCs w:val="24"/>
    </w:rPr>
  </w:style>
  <w:style w:type="paragraph" w:customStyle="1" w:styleId="3815">
    <w:name w:val="表内文字小3131"/>
    <w:basedOn w:val="1"/>
    <w:qFormat/>
    <w:uiPriority w:val="0"/>
    <w:pPr>
      <w:widowControl/>
      <w:jc w:val="center"/>
    </w:pPr>
    <w:rPr>
      <w:rFonts w:ascii="宋体" w:hAnsi="Times" w:cs="宋体"/>
      <w:bCs/>
      <w:color w:val="003366"/>
      <w:kern w:val="0"/>
      <w:szCs w:val="20"/>
    </w:rPr>
  </w:style>
  <w:style w:type="paragraph" w:customStyle="1" w:styleId="3816">
    <w:name w:val="Char Char2 Char Char Char Char311"/>
    <w:basedOn w:val="1"/>
    <w:qFormat/>
    <w:uiPriority w:val="0"/>
    <w:pPr>
      <w:widowControl/>
      <w:jc w:val="left"/>
    </w:pPr>
    <w:rPr>
      <w:rFonts w:ascii="宋体" w:hAnsi="宋体" w:cs="宋体"/>
      <w:kern w:val="0"/>
      <w:szCs w:val="24"/>
    </w:rPr>
  </w:style>
  <w:style w:type="paragraph" w:customStyle="1" w:styleId="3817">
    <w:name w:val="样式 表格内字体1 +111"/>
    <w:basedOn w:val="1722"/>
    <w:next w:val="559"/>
    <w:qFormat/>
    <w:uiPriority w:val="0"/>
    <w:rPr>
      <w:rFonts w:hAnsi="Times New Roman" w:cs="宋体"/>
      <w:szCs w:val="20"/>
    </w:rPr>
  </w:style>
  <w:style w:type="paragraph" w:customStyle="1" w:styleId="3818">
    <w:name w:val="图题62"/>
    <w:basedOn w:val="418"/>
    <w:next w:val="418"/>
    <w:qFormat/>
    <w:uiPriority w:val="0"/>
    <w:pPr>
      <w:ind w:firstLine="0"/>
      <w:jc w:val="center"/>
    </w:pPr>
    <w:rPr>
      <w:rFonts w:ascii="黑体" w:hAnsi="宋体" w:eastAsia="黑体" w:cs="宋体"/>
      <w:b/>
      <w:bCs/>
      <w:kern w:val="0"/>
      <w:szCs w:val="24"/>
    </w:rPr>
  </w:style>
  <w:style w:type="paragraph" w:customStyle="1" w:styleId="3819">
    <w:name w:val="正文213"/>
    <w:basedOn w:val="98"/>
    <w:qFormat/>
    <w:uiPriority w:val="0"/>
    <w:pPr>
      <w:adjustRightInd w:val="0"/>
      <w:snapToGrid w:val="0"/>
      <w:spacing w:line="480" w:lineRule="atLeast"/>
      <w:jc w:val="center"/>
    </w:pPr>
    <w:rPr>
      <w:rFonts w:ascii="宋体" w:hAnsi="Times New Roman" w:cs="Times New Roman"/>
      <w:snapToGrid w:val="0"/>
      <w:color w:val="000000"/>
      <w:spacing w:val="6"/>
    </w:rPr>
  </w:style>
  <w:style w:type="paragraph" w:customStyle="1" w:styleId="3820">
    <w:name w:val="样式 标题 4 + 四号 段前: 1 行"/>
    <w:basedOn w:val="5"/>
    <w:qFormat/>
    <w:uiPriority w:val="0"/>
    <w:pPr>
      <w:numPr>
        <w:ilvl w:val="0"/>
        <w:numId w:val="0"/>
      </w:numPr>
      <w:tabs>
        <w:tab w:val="left" w:pos="1680"/>
      </w:tabs>
      <w:spacing w:beforeLines="100" w:after="0" w:line="420" w:lineRule="exact"/>
      <w:ind w:left="560"/>
    </w:pPr>
    <w:rPr>
      <w:rFonts w:ascii="Arial" w:hAnsi="Arial" w:eastAsia="黑体"/>
      <w:b w:val="0"/>
      <w:bCs w:val="0"/>
      <w:szCs w:val="20"/>
    </w:rPr>
  </w:style>
  <w:style w:type="paragraph" w:customStyle="1" w:styleId="3821">
    <w:name w:val="燕山正文43"/>
    <w:basedOn w:val="1"/>
    <w:qFormat/>
    <w:uiPriority w:val="0"/>
    <w:pPr>
      <w:widowControl/>
      <w:tabs>
        <w:tab w:val="left" w:pos="4680"/>
      </w:tabs>
      <w:spacing w:line="480" w:lineRule="exact"/>
      <w:jc w:val="left"/>
    </w:pPr>
    <w:rPr>
      <w:rFonts w:ascii="宋体" w:hAnsi="宋体" w:cs="宋体"/>
      <w:kern w:val="0"/>
      <w:szCs w:val="24"/>
    </w:rPr>
  </w:style>
  <w:style w:type="paragraph" w:customStyle="1" w:styleId="3822">
    <w:name w:val="表内宋5中5"/>
    <w:basedOn w:val="1"/>
    <w:qFormat/>
    <w:uiPriority w:val="0"/>
    <w:pPr>
      <w:widowControl/>
      <w:jc w:val="left"/>
      <w:textAlignment w:val="baseline"/>
    </w:pPr>
    <w:rPr>
      <w:rFonts w:ascii="宋体" w:hAnsi="宋体" w:cs="宋体"/>
      <w:kern w:val="0"/>
      <w:szCs w:val="20"/>
    </w:rPr>
  </w:style>
  <w:style w:type="paragraph" w:customStyle="1" w:styleId="3823">
    <w:name w:val="图题注2"/>
    <w:basedOn w:val="17"/>
    <w:qFormat/>
    <w:uiPriority w:val="0"/>
    <w:pPr>
      <w:widowControl/>
      <w:ind w:firstLine="0" w:firstLineChars="0"/>
      <w:jc w:val="center"/>
    </w:pPr>
    <w:rPr>
      <w:rFonts w:ascii="黑体" w:cs="宋体"/>
      <w:b/>
      <w:bCs/>
    </w:rPr>
  </w:style>
  <w:style w:type="paragraph" w:customStyle="1" w:styleId="3824">
    <w:name w:val="默认段落字体 Para Char23"/>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3825">
    <w:name w:val="表内文字小121"/>
    <w:basedOn w:val="1"/>
    <w:qFormat/>
    <w:uiPriority w:val="0"/>
    <w:pPr>
      <w:widowControl/>
      <w:jc w:val="center"/>
    </w:pPr>
    <w:rPr>
      <w:rFonts w:ascii="宋体" w:hAnsi="Times" w:cs="宋体"/>
      <w:kern w:val="0"/>
      <w:szCs w:val="20"/>
    </w:rPr>
  </w:style>
  <w:style w:type="paragraph" w:customStyle="1" w:styleId="3826">
    <w:name w:val="文-1"/>
    <w:basedOn w:val="1"/>
    <w:qFormat/>
    <w:uiPriority w:val="0"/>
    <w:pPr>
      <w:widowControl/>
      <w:spacing w:before="120"/>
      <w:ind w:left="851" w:firstLine="482"/>
      <w:jc w:val="left"/>
    </w:pPr>
    <w:rPr>
      <w:rFonts w:ascii="宋体" w:hAnsi="宋体" w:cs="宋体"/>
      <w:kern w:val="0"/>
      <w:szCs w:val="20"/>
    </w:rPr>
  </w:style>
  <w:style w:type="paragraph" w:customStyle="1" w:styleId="3827">
    <w:name w:val="A正文111"/>
    <w:basedOn w:val="1"/>
    <w:qFormat/>
    <w:uiPriority w:val="0"/>
    <w:pPr>
      <w:widowControl/>
      <w:overflowPunct w:val="0"/>
      <w:autoSpaceDE w:val="0"/>
      <w:autoSpaceDN w:val="0"/>
      <w:jc w:val="left"/>
      <w:textAlignment w:val="baseline"/>
    </w:pPr>
    <w:rPr>
      <w:rFonts w:ascii="宋体" w:hAnsi="宋体" w:cs="宋体"/>
      <w:kern w:val="0"/>
      <w:szCs w:val="24"/>
    </w:rPr>
  </w:style>
  <w:style w:type="paragraph" w:customStyle="1" w:styleId="3828">
    <w:name w:val="表内5中22"/>
    <w:basedOn w:val="1"/>
    <w:qFormat/>
    <w:uiPriority w:val="0"/>
    <w:pPr>
      <w:widowControl/>
      <w:jc w:val="center"/>
    </w:pPr>
    <w:rPr>
      <w:rFonts w:ascii="宋体" w:hAnsi="宋体" w:cs="Arial"/>
      <w:snapToGrid w:val="0"/>
      <w:kern w:val="0"/>
      <w:szCs w:val="21"/>
    </w:rPr>
  </w:style>
  <w:style w:type="paragraph" w:customStyle="1" w:styleId="3829">
    <w:name w:val="正文王"/>
    <w:basedOn w:val="1636"/>
    <w:qFormat/>
    <w:uiPriority w:val="0"/>
    <w:pPr>
      <w:spacing w:line="440" w:lineRule="exact"/>
    </w:pPr>
    <w:rPr>
      <w:rFonts w:ascii="Arial" w:hAnsi="Arial"/>
      <w:snapToGrid w:val="0"/>
      <w:kern w:val="0"/>
      <w:szCs w:val="22"/>
    </w:rPr>
  </w:style>
  <w:style w:type="paragraph" w:customStyle="1" w:styleId="3830">
    <w:name w:val="燕山正文53"/>
    <w:basedOn w:val="1"/>
    <w:qFormat/>
    <w:uiPriority w:val="0"/>
    <w:pPr>
      <w:widowControl/>
      <w:tabs>
        <w:tab w:val="left" w:pos="4680"/>
      </w:tabs>
      <w:spacing w:line="480" w:lineRule="exact"/>
      <w:jc w:val="left"/>
    </w:pPr>
    <w:rPr>
      <w:rFonts w:ascii="宋体" w:hAnsi="宋体" w:cs="宋体"/>
      <w:kern w:val="0"/>
      <w:szCs w:val="24"/>
    </w:rPr>
  </w:style>
  <w:style w:type="paragraph" w:customStyle="1" w:styleId="3831">
    <w:name w:val="表格内字体213"/>
    <w:basedOn w:val="418"/>
    <w:next w:val="418"/>
    <w:qFormat/>
    <w:uiPriority w:val="0"/>
    <w:pPr>
      <w:spacing w:line="240" w:lineRule="auto"/>
      <w:ind w:firstLine="0"/>
      <w:jc w:val="center"/>
    </w:pPr>
    <w:rPr>
      <w:rFonts w:hAnsi="宋体"/>
      <w:sz w:val="21"/>
      <w:szCs w:val="24"/>
    </w:rPr>
  </w:style>
  <w:style w:type="paragraph" w:customStyle="1" w:styleId="3832">
    <w:name w:val="表内54112"/>
    <w:basedOn w:val="1"/>
    <w:qFormat/>
    <w:uiPriority w:val="0"/>
    <w:pPr>
      <w:widowControl/>
      <w:spacing w:line="300" w:lineRule="auto"/>
      <w:jc w:val="center"/>
    </w:pPr>
    <w:rPr>
      <w:rFonts w:ascii="宋体" w:hAnsi="宋体" w:cs="宋体"/>
      <w:kern w:val="0"/>
      <w:szCs w:val="20"/>
    </w:rPr>
  </w:style>
  <w:style w:type="paragraph" w:customStyle="1" w:styleId="3833">
    <w:name w:val="Char Char Char Char Char Char Char24"/>
    <w:basedOn w:val="1"/>
    <w:qFormat/>
    <w:uiPriority w:val="0"/>
    <w:pPr>
      <w:widowControl/>
      <w:jc w:val="left"/>
    </w:pPr>
    <w:rPr>
      <w:rFonts w:ascii="宋体" w:hAnsi="宋体" w:cs="宋体"/>
      <w:kern w:val="0"/>
      <w:szCs w:val="24"/>
    </w:rPr>
  </w:style>
  <w:style w:type="paragraph" w:customStyle="1" w:styleId="3834">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MingLiU" w:eastAsia="MingLiU"/>
      <w:kern w:val="0"/>
      <w:sz w:val="16"/>
      <w:szCs w:val="16"/>
      <w:lang w:eastAsia="zh-TW"/>
    </w:rPr>
  </w:style>
  <w:style w:type="paragraph" w:customStyle="1" w:styleId="3835">
    <w:name w:val="表内文字小31331"/>
    <w:basedOn w:val="1"/>
    <w:qFormat/>
    <w:uiPriority w:val="0"/>
    <w:pPr>
      <w:widowControl/>
      <w:jc w:val="center"/>
    </w:pPr>
    <w:rPr>
      <w:rFonts w:ascii="宋体" w:hAnsi="Times" w:cs="宋体"/>
      <w:bCs/>
      <w:color w:val="003366"/>
      <w:kern w:val="0"/>
      <w:szCs w:val="20"/>
    </w:rPr>
  </w:style>
  <w:style w:type="paragraph" w:customStyle="1" w:styleId="3836">
    <w:name w:val="附件14"/>
    <w:basedOn w:val="2"/>
    <w:next w:val="418"/>
    <w:qFormat/>
    <w:uiPriority w:val="0"/>
    <w:pPr>
      <w:numPr>
        <w:numId w:val="0"/>
      </w:numPr>
      <w:adjustRightInd/>
      <w:snapToGrid/>
      <w:spacing w:after="210"/>
      <w:jc w:val="left"/>
    </w:pPr>
    <w:rPr>
      <w:rFonts w:ascii="黑体" w:eastAsia="黑体"/>
      <w:b w:val="0"/>
      <w:sz w:val="32"/>
      <w:szCs w:val="32"/>
    </w:rPr>
  </w:style>
  <w:style w:type="paragraph" w:customStyle="1" w:styleId="3837">
    <w:name w:val="表内宋5中24"/>
    <w:basedOn w:val="1"/>
    <w:qFormat/>
    <w:uiPriority w:val="0"/>
    <w:pPr>
      <w:widowControl/>
      <w:jc w:val="center"/>
      <w:textAlignment w:val="baseline"/>
    </w:pPr>
    <w:rPr>
      <w:rFonts w:ascii="宋体" w:hAnsi="宋体" w:cs="宋体"/>
      <w:kern w:val="0"/>
      <w:szCs w:val="20"/>
    </w:rPr>
  </w:style>
  <w:style w:type="paragraph" w:customStyle="1" w:styleId="3838">
    <w:name w:val="表题114"/>
    <w:basedOn w:val="17"/>
    <w:qFormat/>
    <w:uiPriority w:val="0"/>
    <w:pPr>
      <w:widowControl/>
      <w:ind w:firstLine="0" w:firstLineChars="0"/>
      <w:jc w:val="center"/>
    </w:pPr>
    <w:rPr>
      <w:rFonts w:ascii="黑体" w:cs="Arial"/>
    </w:rPr>
  </w:style>
  <w:style w:type="paragraph" w:customStyle="1" w:styleId="3839">
    <w:name w:val="默认段落字体 Para Char Char Char Char11"/>
    <w:basedOn w:val="1"/>
    <w:qFormat/>
    <w:uiPriority w:val="0"/>
    <w:pPr>
      <w:widowControl/>
      <w:jc w:val="left"/>
    </w:pPr>
    <w:rPr>
      <w:rFonts w:ascii="宋体" w:hAnsi="宋体" w:cs="宋体"/>
      <w:kern w:val="0"/>
      <w:szCs w:val="24"/>
    </w:rPr>
  </w:style>
  <w:style w:type="paragraph" w:customStyle="1" w:styleId="3840">
    <w:name w:val="默认段落字体 Para Char Char Char Char53"/>
    <w:basedOn w:val="1"/>
    <w:qFormat/>
    <w:uiPriority w:val="0"/>
    <w:pPr>
      <w:widowControl/>
      <w:jc w:val="left"/>
    </w:pPr>
    <w:rPr>
      <w:rFonts w:ascii="宋体" w:hAnsi="宋体" w:cs="宋体"/>
      <w:kern w:val="0"/>
      <w:szCs w:val="24"/>
    </w:rPr>
  </w:style>
  <w:style w:type="paragraph" w:customStyle="1" w:styleId="3841">
    <w:name w:val="表格 33"/>
    <w:basedOn w:val="1"/>
    <w:qFormat/>
    <w:uiPriority w:val="0"/>
    <w:pPr>
      <w:autoSpaceDE w:val="0"/>
      <w:autoSpaceDN w:val="0"/>
      <w:jc w:val="center"/>
      <w:textAlignment w:val="baseline"/>
    </w:pPr>
    <w:rPr>
      <w:rFonts w:eastAsia="楷体"/>
      <w:kern w:val="0"/>
      <w:szCs w:val="20"/>
    </w:rPr>
  </w:style>
  <w:style w:type="paragraph" w:customStyle="1" w:styleId="3842">
    <w:name w:val="默认段落字体 Para Char32"/>
    <w:basedOn w:val="1"/>
    <w:qFormat/>
    <w:uiPriority w:val="0"/>
    <w:pPr>
      <w:widowControl/>
      <w:jc w:val="left"/>
    </w:pPr>
    <w:rPr>
      <w:rFonts w:ascii="宋体" w:hAnsi="宋体" w:cs="宋体"/>
      <w:kern w:val="0"/>
      <w:szCs w:val="24"/>
    </w:rPr>
  </w:style>
  <w:style w:type="paragraph" w:customStyle="1" w:styleId="3843">
    <w:name w:val="Char Char Char Char Char Char Char219"/>
    <w:basedOn w:val="1"/>
    <w:qFormat/>
    <w:uiPriority w:val="0"/>
    <w:pPr>
      <w:widowControl/>
      <w:jc w:val="left"/>
    </w:pPr>
    <w:rPr>
      <w:rFonts w:ascii="宋体" w:hAnsi="宋体" w:cs="宋体"/>
      <w:kern w:val="0"/>
      <w:szCs w:val="24"/>
    </w:rPr>
  </w:style>
  <w:style w:type="paragraph" w:customStyle="1" w:styleId="3844">
    <w:name w:val="Char Char2 Char Char Char Char23"/>
    <w:basedOn w:val="1"/>
    <w:qFormat/>
    <w:uiPriority w:val="0"/>
    <w:pPr>
      <w:widowControl/>
      <w:jc w:val="left"/>
    </w:pPr>
    <w:rPr>
      <w:rFonts w:ascii="宋体" w:hAnsi="宋体" w:cs="宋体"/>
      <w:kern w:val="0"/>
      <w:szCs w:val="24"/>
    </w:rPr>
  </w:style>
  <w:style w:type="paragraph" w:customStyle="1" w:styleId="3845">
    <w:name w:val="标题431111"/>
    <w:basedOn w:val="1"/>
    <w:qFormat/>
    <w:uiPriority w:val="0"/>
    <w:pPr>
      <w:widowControl/>
      <w:spacing w:line="480" w:lineRule="exact"/>
      <w:jc w:val="center"/>
    </w:pPr>
    <w:rPr>
      <w:rFonts w:ascii="宋体" w:hAnsi="宋体" w:cs="宋体"/>
      <w:kern w:val="0"/>
      <w:szCs w:val="24"/>
    </w:rPr>
  </w:style>
  <w:style w:type="paragraph" w:customStyle="1" w:styleId="3846">
    <w:name w:val="表题912"/>
    <w:basedOn w:val="1636"/>
    <w:qFormat/>
    <w:uiPriority w:val="0"/>
    <w:pPr>
      <w:spacing w:line="300" w:lineRule="auto"/>
      <w:jc w:val="center"/>
    </w:pPr>
    <w:rPr>
      <w:rFonts w:ascii="黑体" w:eastAsia="黑体"/>
      <w:szCs w:val="22"/>
    </w:rPr>
  </w:style>
  <w:style w:type="paragraph" w:customStyle="1" w:styleId="3847">
    <w:name w:val="正文格式213"/>
    <w:basedOn w:val="1"/>
    <w:qFormat/>
    <w:uiPriority w:val="0"/>
    <w:pPr>
      <w:widowControl/>
      <w:ind w:firstLine="482"/>
      <w:jc w:val="left"/>
    </w:pPr>
    <w:rPr>
      <w:rFonts w:ascii="宋体" w:hAnsi="宋体" w:cs="宋体"/>
      <w:kern w:val="0"/>
      <w:szCs w:val="24"/>
    </w:rPr>
  </w:style>
  <w:style w:type="paragraph" w:customStyle="1" w:styleId="3848">
    <w:name w:val="文本框3"/>
    <w:basedOn w:val="1"/>
    <w:qFormat/>
    <w:uiPriority w:val="0"/>
    <w:pPr>
      <w:widowControl/>
      <w:spacing w:after="6"/>
      <w:jc w:val="center"/>
    </w:pPr>
    <w:rPr>
      <w:rFonts w:ascii="宋体" w:hAnsi="宋体" w:cs="宋体"/>
      <w:kern w:val="0"/>
      <w:szCs w:val="24"/>
    </w:rPr>
  </w:style>
  <w:style w:type="paragraph" w:customStyle="1" w:styleId="3849">
    <w:name w:val="Char Char Char1 Char Char Char Char Char Char Char Char Char Char Char Char Char Char Char1 Char Char Char Char Char Char Char Char Char Char Char Char Char Char Char Char Char Char Char Char Char Char Char Char Char Char Char Char Char Char"/>
    <w:basedOn w:val="1"/>
    <w:qFormat/>
    <w:uiPriority w:val="0"/>
    <w:pPr>
      <w:widowControl/>
      <w:spacing w:line="240" w:lineRule="exact"/>
      <w:jc w:val="left"/>
    </w:pPr>
    <w:rPr>
      <w:rFonts w:ascii="宋体" w:hAnsi="宋体" w:cs="宋体"/>
      <w:kern w:val="0"/>
      <w:szCs w:val="28"/>
    </w:rPr>
  </w:style>
  <w:style w:type="paragraph" w:customStyle="1" w:styleId="3850">
    <w:name w:val="表格内字体8"/>
    <w:basedOn w:val="418"/>
    <w:next w:val="418"/>
    <w:qFormat/>
    <w:uiPriority w:val="0"/>
    <w:pPr>
      <w:spacing w:line="240" w:lineRule="auto"/>
      <w:ind w:firstLine="0"/>
      <w:jc w:val="center"/>
    </w:pPr>
    <w:rPr>
      <w:rFonts w:hAnsi="宋体"/>
      <w:sz w:val="21"/>
      <w:szCs w:val="24"/>
    </w:rPr>
  </w:style>
  <w:style w:type="paragraph" w:customStyle="1" w:styleId="3851">
    <w:name w:val="默认段落字体 Para Char Char Char Char112"/>
    <w:basedOn w:val="1"/>
    <w:qFormat/>
    <w:uiPriority w:val="0"/>
    <w:pPr>
      <w:widowControl/>
      <w:jc w:val="left"/>
    </w:pPr>
    <w:rPr>
      <w:rFonts w:ascii="宋体" w:hAnsi="宋体" w:cs="宋体"/>
      <w:kern w:val="0"/>
      <w:szCs w:val="24"/>
    </w:rPr>
  </w:style>
  <w:style w:type="paragraph" w:customStyle="1" w:styleId="3852">
    <w:name w:val="二级标题 Char Char Char"/>
    <w:basedOn w:val="1"/>
    <w:next w:val="1"/>
    <w:qFormat/>
    <w:uiPriority w:val="0"/>
    <w:pPr>
      <w:widowControl/>
      <w:spacing w:line="529" w:lineRule="exact"/>
      <w:jc w:val="left"/>
    </w:pPr>
    <w:rPr>
      <w:rFonts w:ascii="宋体" w:hAnsi="宋体" w:cs="宋体"/>
      <w:kern w:val="0"/>
      <w:szCs w:val="28"/>
    </w:rPr>
  </w:style>
  <w:style w:type="paragraph" w:customStyle="1" w:styleId="3853">
    <w:name w:val="正文-1"/>
    <w:basedOn w:val="1"/>
    <w:qFormat/>
    <w:uiPriority w:val="0"/>
    <w:pPr>
      <w:widowControl/>
      <w:spacing w:line="440" w:lineRule="exact"/>
      <w:jc w:val="left"/>
    </w:pPr>
    <w:rPr>
      <w:rFonts w:ascii="宋体" w:hAnsi="宋体" w:cs="宋体"/>
      <w:kern w:val="0"/>
      <w:szCs w:val="20"/>
    </w:rPr>
  </w:style>
  <w:style w:type="paragraph" w:customStyle="1" w:styleId="3854">
    <w:name w:val="Char Char2 Char Char Char Char3"/>
    <w:basedOn w:val="1"/>
    <w:qFormat/>
    <w:uiPriority w:val="0"/>
    <w:pPr>
      <w:widowControl/>
      <w:jc w:val="left"/>
    </w:pPr>
    <w:rPr>
      <w:rFonts w:ascii="宋体" w:hAnsi="宋体" w:cs="宋体"/>
      <w:kern w:val="0"/>
      <w:szCs w:val="24"/>
    </w:rPr>
  </w:style>
  <w:style w:type="paragraph" w:customStyle="1" w:styleId="3855">
    <w:name w:val="正文样式1"/>
    <w:basedOn w:val="1"/>
    <w:qFormat/>
    <w:uiPriority w:val="0"/>
    <w:pPr>
      <w:widowControl/>
      <w:spacing w:line="400" w:lineRule="atLeast"/>
      <w:ind w:firstLine="454"/>
      <w:jc w:val="left"/>
      <w:textAlignment w:val="baseline"/>
    </w:pPr>
    <w:rPr>
      <w:rFonts w:ascii="宋体" w:hAnsi="宋体" w:cs="宋体"/>
      <w:b/>
      <w:kern w:val="24"/>
      <w:szCs w:val="20"/>
    </w:rPr>
  </w:style>
  <w:style w:type="paragraph" w:customStyle="1" w:styleId="3856">
    <w:name w:val="标题43132"/>
    <w:basedOn w:val="1"/>
    <w:qFormat/>
    <w:uiPriority w:val="0"/>
    <w:pPr>
      <w:widowControl/>
      <w:spacing w:line="480" w:lineRule="exact"/>
      <w:jc w:val="center"/>
    </w:pPr>
    <w:rPr>
      <w:rFonts w:ascii="宋体" w:hAnsi="宋体" w:cs="宋体"/>
      <w:kern w:val="0"/>
      <w:szCs w:val="24"/>
    </w:rPr>
  </w:style>
  <w:style w:type="paragraph" w:customStyle="1" w:styleId="3857">
    <w:name w:val="正文格式＝52"/>
    <w:basedOn w:val="418"/>
    <w:next w:val="418"/>
    <w:qFormat/>
    <w:uiPriority w:val="0"/>
    <w:rPr>
      <w:rFonts w:hAnsi="宋体"/>
      <w:szCs w:val="24"/>
    </w:rPr>
  </w:style>
  <w:style w:type="paragraph" w:customStyle="1" w:styleId="3858">
    <w:name w:val="正文格式52"/>
    <w:basedOn w:val="1"/>
    <w:qFormat/>
    <w:uiPriority w:val="0"/>
    <w:pPr>
      <w:widowControl/>
      <w:ind w:firstLine="482"/>
      <w:jc w:val="left"/>
    </w:pPr>
    <w:rPr>
      <w:rFonts w:ascii="宋体" w:hAnsi="宋体" w:cs="宋体"/>
      <w:kern w:val="0"/>
      <w:szCs w:val="24"/>
    </w:rPr>
  </w:style>
  <w:style w:type="paragraph" w:customStyle="1" w:styleId="3859">
    <w:name w:val="正文文本 22"/>
    <w:basedOn w:val="1"/>
    <w:qFormat/>
    <w:uiPriority w:val="0"/>
    <w:pPr>
      <w:spacing w:after="120"/>
      <w:ind w:left="420"/>
      <w:textAlignment w:val="baseline"/>
    </w:pPr>
    <w:rPr>
      <w:rFonts w:hint="eastAsia" w:ascii="宋体" w:hAnsi="宋体"/>
      <w:szCs w:val="20"/>
    </w:rPr>
  </w:style>
  <w:style w:type="paragraph" w:customStyle="1" w:styleId="3860">
    <w:name w:val="Char Char Char Char Char Char Char2110"/>
    <w:basedOn w:val="1"/>
    <w:qFormat/>
    <w:uiPriority w:val="0"/>
    <w:pPr>
      <w:widowControl/>
      <w:jc w:val="left"/>
    </w:pPr>
    <w:rPr>
      <w:rFonts w:ascii="宋体" w:hAnsi="宋体" w:cs="宋体"/>
      <w:kern w:val="0"/>
      <w:szCs w:val="24"/>
    </w:rPr>
  </w:style>
  <w:style w:type="paragraph" w:customStyle="1" w:styleId="3861">
    <w:name w:val="Char1212"/>
    <w:basedOn w:val="1"/>
    <w:qFormat/>
    <w:uiPriority w:val="0"/>
    <w:pPr>
      <w:widowControl/>
      <w:jc w:val="left"/>
    </w:pPr>
    <w:rPr>
      <w:rFonts w:ascii="宋体" w:hAnsi="宋体" w:cs="宋体"/>
      <w:kern w:val="0"/>
      <w:szCs w:val="24"/>
    </w:rPr>
  </w:style>
  <w:style w:type="paragraph" w:customStyle="1" w:styleId="3862">
    <w:name w:val="表内594"/>
    <w:basedOn w:val="1"/>
    <w:qFormat/>
    <w:uiPriority w:val="0"/>
    <w:pPr>
      <w:widowControl/>
      <w:spacing w:line="300" w:lineRule="auto"/>
      <w:jc w:val="center"/>
    </w:pPr>
    <w:rPr>
      <w:rFonts w:ascii="宋体" w:hAnsi="宋体" w:cs="宋体"/>
      <w:snapToGrid w:val="0"/>
      <w:kern w:val="0"/>
      <w:szCs w:val="21"/>
    </w:rPr>
  </w:style>
  <w:style w:type="paragraph" w:customStyle="1" w:styleId="3863">
    <w:name w:val="正文格式＝113"/>
    <w:basedOn w:val="418"/>
    <w:next w:val="418"/>
    <w:qFormat/>
    <w:uiPriority w:val="0"/>
    <w:rPr>
      <w:rFonts w:hAnsi="宋体"/>
      <w:szCs w:val="24"/>
    </w:rPr>
  </w:style>
  <w:style w:type="paragraph" w:customStyle="1" w:styleId="3864">
    <w:name w:val="样式 标题 4无效格式无效格式1河石管道4H4H41小小节河石管道41H42H411小小节1河石管道42...2"/>
    <w:basedOn w:val="5"/>
    <w:qFormat/>
    <w:uiPriority w:val="0"/>
    <w:pPr>
      <w:numPr>
        <w:ilvl w:val="0"/>
        <w:numId w:val="0"/>
      </w:numPr>
      <w:spacing w:after="0" w:line="360" w:lineRule="auto"/>
      <w:ind w:left="1404" w:hanging="864"/>
    </w:pPr>
    <w:rPr>
      <w:rFonts w:ascii="黑体" w:hAnsi="Arial" w:eastAsia="黑体"/>
      <w:b w:val="0"/>
      <w:bCs w:val="0"/>
      <w:kern w:val="2"/>
      <w:sz w:val="24"/>
      <w:szCs w:val="24"/>
    </w:rPr>
  </w:style>
  <w:style w:type="paragraph" w:customStyle="1" w:styleId="3865">
    <w:name w:val="表内文字小2311"/>
    <w:basedOn w:val="1"/>
    <w:qFormat/>
    <w:uiPriority w:val="0"/>
    <w:pPr>
      <w:widowControl/>
      <w:jc w:val="center"/>
    </w:pPr>
    <w:rPr>
      <w:rFonts w:ascii="宋体" w:hAnsi="Times" w:cs="宋体"/>
      <w:bCs/>
      <w:kern w:val="0"/>
      <w:szCs w:val="20"/>
    </w:rPr>
  </w:style>
  <w:style w:type="paragraph" w:customStyle="1" w:styleId="3866">
    <w:name w:val="黑体三号1"/>
    <w:basedOn w:val="418"/>
    <w:qFormat/>
    <w:uiPriority w:val="0"/>
    <w:pPr>
      <w:jc w:val="center"/>
    </w:pPr>
    <w:rPr>
      <w:rFonts w:ascii="黑体" w:hAnsi="宋体" w:eastAsia="黑体" w:cs="宋体"/>
      <w:b/>
      <w:bCs/>
      <w:sz w:val="32"/>
      <w:szCs w:val="20"/>
    </w:rPr>
  </w:style>
  <w:style w:type="paragraph" w:customStyle="1" w:styleId="3867">
    <w:name w:val="font9"/>
    <w:basedOn w:val="1"/>
    <w:qFormat/>
    <w:uiPriority w:val="0"/>
    <w:pPr>
      <w:widowControl/>
      <w:spacing w:before="100" w:beforeAutospacing="1" w:after="100" w:afterAutospacing="1"/>
      <w:jc w:val="left"/>
    </w:pPr>
    <w:rPr>
      <w:rFonts w:eastAsia="PMingLiU"/>
      <w:kern w:val="0"/>
      <w:sz w:val="16"/>
      <w:szCs w:val="16"/>
      <w:lang w:eastAsia="zh-TW"/>
    </w:rPr>
  </w:style>
  <w:style w:type="paragraph" w:customStyle="1" w:styleId="3868">
    <w:name w:val="Char 正文"/>
    <w:basedOn w:val="2"/>
    <w:qFormat/>
    <w:uiPriority w:val="0"/>
    <w:pPr>
      <w:numPr>
        <w:numId w:val="0"/>
      </w:numPr>
      <w:spacing w:beforeLines="100" w:afterLines="100" w:line="348" w:lineRule="auto"/>
      <w:jc w:val="left"/>
    </w:pPr>
    <w:rPr>
      <w:rFonts w:ascii="Tahoma" w:hAnsi="Tahoma"/>
      <w:bCs w:val="0"/>
      <w:szCs w:val="20"/>
    </w:rPr>
  </w:style>
  <w:style w:type="paragraph" w:customStyle="1" w:styleId="3869">
    <w:name w:val="表内5113"/>
    <w:basedOn w:val="1"/>
    <w:qFormat/>
    <w:uiPriority w:val="0"/>
    <w:pPr>
      <w:widowControl/>
      <w:jc w:val="center"/>
    </w:pPr>
    <w:rPr>
      <w:rFonts w:ascii="宋体" w:hAnsi="宋体" w:cs="宋体"/>
      <w:kern w:val="0"/>
      <w:sz w:val="20"/>
      <w:szCs w:val="20"/>
    </w:rPr>
  </w:style>
  <w:style w:type="paragraph" w:customStyle="1" w:styleId="3870">
    <w:name w:val="Char Char2 Char Char Char Char1"/>
    <w:basedOn w:val="1"/>
    <w:qFormat/>
    <w:uiPriority w:val="0"/>
    <w:pPr>
      <w:widowControl/>
      <w:jc w:val="left"/>
    </w:pPr>
    <w:rPr>
      <w:rFonts w:ascii="宋体" w:hAnsi="宋体" w:cs="宋体"/>
      <w:kern w:val="0"/>
      <w:szCs w:val="24"/>
    </w:rPr>
  </w:style>
  <w:style w:type="paragraph" w:customStyle="1" w:styleId="3871">
    <w:name w:val="燕山正文1141"/>
    <w:basedOn w:val="1"/>
    <w:qFormat/>
    <w:uiPriority w:val="0"/>
    <w:pPr>
      <w:widowControl/>
      <w:tabs>
        <w:tab w:val="left" w:pos="4680"/>
      </w:tabs>
      <w:spacing w:line="480" w:lineRule="exact"/>
      <w:jc w:val="left"/>
    </w:pPr>
    <w:rPr>
      <w:rFonts w:ascii="宋体" w:hAnsi="宋体" w:cs="宋体"/>
      <w:bCs/>
      <w:kern w:val="0"/>
      <w:szCs w:val="24"/>
    </w:rPr>
  </w:style>
  <w:style w:type="paragraph" w:customStyle="1" w:styleId="3872">
    <w:name w:val="表内54114"/>
    <w:basedOn w:val="1"/>
    <w:qFormat/>
    <w:uiPriority w:val="0"/>
    <w:pPr>
      <w:widowControl/>
      <w:spacing w:line="300" w:lineRule="auto"/>
      <w:jc w:val="center"/>
    </w:pPr>
    <w:rPr>
      <w:rFonts w:ascii="宋体" w:hAnsi="宋体" w:cs="宋体"/>
      <w:kern w:val="0"/>
      <w:szCs w:val="20"/>
    </w:rPr>
  </w:style>
  <w:style w:type="paragraph" w:customStyle="1" w:styleId="3873">
    <w:name w:val="A正文3"/>
    <w:basedOn w:val="1"/>
    <w:qFormat/>
    <w:uiPriority w:val="0"/>
    <w:pPr>
      <w:widowControl/>
      <w:overflowPunct w:val="0"/>
      <w:autoSpaceDE w:val="0"/>
      <w:autoSpaceDN w:val="0"/>
      <w:jc w:val="left"/>
      <w:textAlignment w:val="baseline"/>
    </w:pPr>
    <w:rPr>
      <w:rFonts w:ascii="宋体" w:hAnsi="宋体" w:cs="宋体"/>
      <w:kern w:val="0"/>
      <w:szCs w:val="24"/>
    </w:rPr>
  </w:style>
  <w:style w:type="paragraph" w:customStyle="1" w:styleId="3874">
    <w:name w:val="样式 日期 + 左侧:  21 字符"/>
    <w:basedOn w:val="438"/>
    <w:qFormat/>
    <w:uiPriority w:val="0"/>
    <w:pPr>
      <w:widowControl/>
      <w:ind w:left="1800" w:leftChars="1800" w:firstLine="0" w:firstLineChars="0"/>
    </w:pPr>
    <w:rPr>
      <w:rFonts w:ascii="Times New Roman" w:cs="宋体"/>
      <w:b/>
      <w:bCs/>
      <w:sz w:val="28"/>
      <w:szCs w:val="20"/>
    </w:rPr>
  </w:style>
  <w:style w:type="paragraph" w:customStyle="1" w:styleId="3875">
    <w:name w:val="表内文字小3122"/>
    <w:basedOn w:val="1"/>
    <w:qFormat/>
    <w:uiPriority w:val="0"/>
    <w:pPr>
      <w:widowControl/>
      <w:jc w:val="center"/>
    </w:pPr>
    <w:rPr>
      <w:rFonts w:ascii="宋体" w:hAnsi="Times" w:cs="宋体"/>
      <w:bCs/>
      <w:color w:val="003366"/>
      <w:kern w:val="0"/>
      <w:szCs w:val="20"/>
    </w:rPr>
  </w:style>
  <w:style w:type="paragraph" w:customStyle="1" w:styleId="3876">
    <w:name w:val="reader-word-layer reader-word-s18-1"/>
    <w:basedOn w:val="1"/>
    <w:qFormat/>
    <w:uiPriority w:val="0"/>
    <w:pPr>
      <w:widowControl/>
      <w:spacing w:before="100" w:beforeAutospacing="1" w:after="100" w:afterAutospacing="1"/>
      <w:jc w:val="left"/>
    </w:pPr>
    <w:rPr>
      <w:rFonts w:ascii="宋体" w:hAnsi="宋体" w:cs="宋体"/>
      <w:kern w:val="0"/>
      <w:szCs w:val="24"/>
    </w:rPr>
  </w:style>
  <w:style w:type="paragraph" w:customStyle="1" w:styleId="3877">
    <w:name w:val="表头5"/>
    <w:basedOn w:val="1"/>
    <w:qFormat/>
    <w:uiPriority w:val="0"/>
    <w:pPr>
      <w:tabs>
        <w:tab w:val="left" w:pos="1080"/>
      </w:tabs>
      <w:spacing w:beforeLines="100" w:after="120" w:line="240" w:lineRule="atLeast"/>
      <w:ind w:left="950" w:leftChars="250" w:hanging="425"/>
    </w:pPr>
    <w:rPr>
      <w:b/>
      <w:szCs w:val="24"/>
    </w:rPr>
  </w:style>
  <w:style w:type="paragraph" w:customStyle="1" w:styleId="3878">
    <w:name w:val="表"/>
    <w:basedOn w:val="1"/>
    <w:qFormat/>
    <w:uiPriority w:val="0"/>
    <w:pPr>
      <w:jc w:val="center"/>
    </w:pPr>
    <w:rPr>
      <w:spacing w:val="2"/>
      <w:szCs w:val="20"/>
    </w:rPr>
  </w:style>
  <w:style w:type="paragraph" w:customStyle="1" w:styleId="3879">
    <w:name w:val="样式2"/>
    <w:basedOn w:val="2"/>
    <w:qFormat/>
    <w:uiPriority w:val="0"/>
    <w:pPr>
      <w:keepNext w:val="0"/>
      <w:keepLines w:val="0"/>
      <w:widowControl w:val="0"/>
      <w:numPr>
        <w:numId w:val="0"/>
      </w:numPr>
      <w:spacing w:before="120" w:after="120" w:line="300" w:lineRule="auto"/>
      <w:jc w:val="left"/>
    </w:pPr>
    <w:rPr>
      <w:b w:val="0"/>
      <w:bCs w:val="0"/>
      <w:kern w:val="2"/>
      <w:sz w:val="32"/>
      <w:szCs w:val="28"/>
    </w:rPr>
  </w:style>
  <w:style w:type="paragraph" w:customStyle="1" w:styleId="3880">
    <w:name w:val="段落1"/>
    <w:basedOn w:val="1"/>
    <w:qFormat/>
    <w:uiPriority w:val="0"/>
    <w:pPr>
      <w:spacing w:line="480" w:lineRule="exact"/>
      <w:ind w:firstLine="538" w:firstLineChars="210"/>
    </w:pPr>
    <w:rPr>
      <w:spacing w:val="8"/>
      <w:szCs w:val="20"/>
    </w:rPr>
  </w:style>
  <w:style w:type="paragraph" w:customStyle="1" w:styleId="3881">
    <w:name w:val="Default"/>
    <w:basedOn w:val="98"/>
    <w:qFormat/>
    <w:uiPriority w:val="0"/>
    <w:pPr>
      <w:widowControl w:val="0"/>
      <w:autoSpaceDE w:val="0"/>
      <w:autoSpaceDN w:val="0"/>
      <w:adjustRightInd w:val="0"/>
    </w:pPr>
    <w:rPr>
      <w:rFonts w:ascii="宋体" w:hAnsi="Times New Roman" w:cs="宋体"/>
      <w:color w:val="000000"/>
    </w:rPr>
  </w:style>
  <w:style w:type="paragraph" w:customStyle="1" w:styleId="3882">
    <w:name w:val="样式 标题 4无效格式无效格式1河石管道4H4H41小小节河石管道41H42H411小小节1河石管道42...13"/>
    <w:basedOn w:val="5"/>
    <w:qFormat/>
    <w:uiPriority w:val="0"/>
    <w:pPr>
      <w:numPr>
        <w:ilvl w:val="0"/>
        <w:numId w:val="0"/>
      </w:numPr>
      <w:spacing w:after="0" w:line="360" w:lineRule="auto"/>
      <w:ind w:left="664" w:hanging="864"/>
    </w:pPr>
    <w:rPr>
      <w:rFonts w:ascii="黑体" w:hAnsi="Arial" w:eastAsia="黑体" w:cs="宋体"/>
      <w:b w:val="0"/>
      <w:bCs w:val="0"/>
      <w:kern w:val="2"/>
      <w:sz w:val="24"/>
      <w:szCs w:val="20"/>
    </w:rPr>
  </w:style>
  <w:style w:type="paragraph" w:customStyle="1" w:styleId="3883">
    <w:name w:val="表题3114"/>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884">
    <w:name w:val="xl59"/>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hint="eastAsia" w:ascii="PMingLiU" w:eastAsia="PMingLiU"/>
      <w:kern w:val="0"/>
      <w:sz w:val="16"/>
      <w:szCs w:val="16"/>
      <w:lang w:eastAsia="zh-TW"/>
    </w:rPr>
  </w:style>
  <w:style w:type="paragraph" w:customStyle="1" w:styleId="3885">
    <w:name w:val="燕山正文41"/>
    <w:basedOn w:val="1"/>
    <w:qFormat/>
    <w:uiPriority w:val="0"/>
    <w:pPr>
      <w:widowControl/>
      <w:tabs>
        <w:tab w:val="left" w:pos="4680"/>
      </w:tabs>
      <w:spacing w:line="480" w:lineRule="exact"/>
      <w:jc w:val="left"/>
    </w:pPr>
    <w:rPr>
      <w:rFonts w:ascii="宋体" w:hAnsi="宋体" w:cs="宋体"/>
      <w:kern w:val="0"/>
      <w:szCs w:val="24"/>
    </w:rPr>
  </w:style>
  <w:style w:type="paragraph" w:customStyle="1" w:styleId="3886">
    <w:name w:val="font19"/>
    <w:basedOn w:val="1"/>
    <w:qFormat/>
    <w:uiPriority w:val="0"/>
    <w:pPr>
      <w:widowControl/>
      <w:spacing w:before="100" w:beforeAutospacing="1" w:after="100" w:afterAutospacing="1"/>
      <w:jc w:val="left"/>
    </w:pPr>
    <w:rPr>
      <w:kern w:val="0"/>
      <w:sz w:val="18"/>
      <w:szCs w:val="18"/>
    </w:rPr>
  </w:style>
  <w:style w:type="paragraph" w:customStyle="1" w:styleId="3887">
    <w:name w:val="正文222"/>
    <w:basedOn w:val="98"/>
    <w:qFormat/>
    <w:uiPriority w:val="0"/>
    <w:pPr>
      <w:adjustRightInd w:val="0"/>
      <w:snapToGrid w:val="0"/>
      <w:spacing w:line="480" w:lineRule="atLeast"/>
      <w:jc w:val="center"/>
    </w:pPr>
    <w:rPr>
      <w:rFonts w:ascii="宋体" w:hAnsi="Times New Roman" w:cs="Times New Roman"/>
      <w:snapToGrid w:val="0"/>
      <w:color w:val="000000"/>
      <w:spacing w:val="6"/>
    </w:rPr>
  </w:style>
  <w:style w:type="paragraph" w:customStyle="1" w:styleId="3888">
    <w:name w:val="Char Char Char Char Char Char Char117"/>
    <w:basedOn w:val="1"/>
    <w:qFormat/>
    <w:uiPriority w:val="0"/>
    <w:pPr>
      <w:widowControl/>
      <w:jc w:val="left"/>
    </w:pPr>
    <w:rPr>
      <w:rFonts w:ascii="宋体" w:hAnsi="宋体" w:cs="宋体"/>
      <w:kern w:val="0"/>
      <w:szCs w:val="24"/>
    </w:rPr>
  </w:style>
  <w:style w:type="paragraph" w:customStyle="1" w:styleId="3889">
    <w:name w:val="Char333"/>
    <w:basedOn w:val="1"/>
    <w:qFormat/>
    <w:uiPriority w:val="0"/>
    <w:pPr>
      <w:widowControl/>
      <w:ind w:left="-48"/>
      <w:jc w:val="left"/>
    </w:pPr>
    <w:rPr>
      <w:rFonts w:ascii="宋体" w:hAnsi="宋体" w:cs="宋体"/>
      <w:kern w:val="0"/>
      <w:szCs w:val="24"/>
    </w:rPr>
  </w:style>
  <w:style w:type="paragraph" w:customStyle="1" w:styleId="3890">
    <w:name w:val="正文修改44"/>
    <w:basedOn w:val="786"/>
    <w:qFormat/>
    <w:uiPriority w:val="0"/>
    <w:rPr>
      <w:rFonts w:hAnsi="宋体" w:eastAsia="宋体" w:cs="宋体"/>
      <w:szCs w:val="24"/>
    </w:rPr>
  </w:style>
  <w:style w:type="paragraph" w:customStyle="1" w:styleId="3891">
    <w:name w:val="Char Char Char Char Char Char Char412"/>
    <w:basedOn w:val="1"/>
    <w:qFormat/>
    <w:uiPriority w:val="0"/>
    <w:pPr>
      <w:widowControl/>
      <w:jc w:val="left"/>
    </w:pPr>
    <w:rPr>
      <w:rFonts w:ascii="宋体" w:hAnsi="宋体" w:cs="宋体"/>
      <w:kern w:val="0"/>
      <w:szCs w:val="24"/>
    </w:rPr>
  </w:style>
  <w:style w:type="paragraph" w:customStyle="1" w:styleId="3892">
    <w:name w:val="正文缩2"/>
    <w:basedOn w:val="1"/>
    <w:qFormat/>
    <w:uiPriority w:val="0"/>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3893">
    <w:name w:val="表内宋5中3"/>
    <w:basedOn w:val="1"/>
    <w:qFormat/>
    <w:uiPriority w:val="0"/>
    <w:pPr>
      <w:widowControl/>
      <w:jc w:val="left"/>
      <w:textAlignment w:val="baseline"/>
    </w:pPr>
    <w:rPr>
      <w:rFonts w:ascii="宋体" w:hAnsi="宋体" w:cs="宋体"/>
      <w:kern w:val="0"/>
      <w:szCs w:val="20"/>
    </w:rPr>
  </w:style>
  <w:style w:type="paragraph" w:customStyle="1" w:styleId="3894">
    <w:name w:val="表内宋511121"/>
    <w:basedOn w:val="734"/>
    <w:qFormat/>
    <w:uiPriority w:val="0"/>
    <w:rPr>
      <w:rFonts w:ascii="宋体" w:hAnsi="宋体" w:cs="宋体"/>
      <w:sz w:val="21"/>
      <w:szCs w:val="24"/>
    </w:rPr>
  </w:style>
  <w:style w:type="paragraph" w:customStyle="1" w:styleId="3895">
    <w:name w:val="表题3113"/>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896">
    <w:name w:val="表内文字小31113"/>
    <w:basedOn w:val="1"/>
    <w:qFormat/>
    <w:uiPriority w:val="0"/>
    <w:pPr>
      <w:widowControl/>
      <w:jc w:val="center"/>
    </w:pPr>
    <w:rPr>
      <w:rFonts w:ascii="宋体" w:hAnsi="Times" w:cs="宋体"/>
      <w:bCs/>
      <w:color w:val="003366"/>
      <w:kern w:val="0"/>
      <w:szCs w:val="20"/>
    </w:rPr>
  </w:style>
  <w:style w:type="paragraph" w:customStyle="1" w:styleId="3897">
    <w:name w:val="列表接续1"/>
    <w:basedOn w:val="1"/>
    <w:qFormat/>
    <w:uiPriority w:val="0"/>
    <w:pPr>
      <w:widowControl/>
      <w:spacing w:after="120"/>
      <w:ind w:left="420" w:leftChars="200"/>
      <w:jc w:val="left"/>
    </w:pPr>
    <w:rPr>
      <w:rFonts w:ascii="宋体" w:hAnsi="宋体" w:cs="宋体"/>
      <w:kern w:val="0"/>
      <w:szCs w:val="24"/>
    </w:rPr>
  </w:style>
  <w:style w:type="paragraph" w:customStyle="1" w:styleId="3898">
    <w:name w:val="表格内字体61"/>
    <w:basedOn w:val="418"/>
    <w:next w:val="418"/>
    <w:qFormat/>
    <w:uiPriority w:val="0"/>
    <w:pPr>
      <w:spacing w:line="240" w:lineRule="auto"/>
      <w:ind w:firstLine="0"/>
      <w:jc w:val="center"/>
    </w:pPr>
    <w:rPr>
      <w:rFonts w:hAnsi="宋体"/>
      <w:sz w:val="21"/>
      <w:szCs w:val="24"/>
    </w:rPr>
  </w:style>
  <w:style w:type="paragraph" w:customStyle="1" w:styleId="3899">
    <w:name w:val="表格内字体71"/>
    <w:basedOn w:val="418"/>
    <w:next w:val="418"/>
    <w:qFormat/>
    <w:uiPriority w:val="0"/>
    <w:pPr>
      <w:spacing w:line="240" w:lineRule="auto"/>
      <w:ind w:firstLine="0"/>
      <w:jc w:val="center"/>
    </w:pPr>
    <w:rPr>
      <w:rFonts w:hAnsi="宋体"/>
      <w:sz w:val="21"/>
      <w:szCs w:val="24"/>
    </w:rPr>
  </w:style>
  <w:style w:type="paragraph" w:customStyle="1" w:styleId="3900">
    <w:name w:val="font17"/>
    <w:basedOn w:val="1"/>
    <w:qFormat/>
    <w:uiPriority w:val="0"/>
    <w:pPr>
      <w:widowControl/>
      <w:spacing w:before="100" w:beforeAutospacing="1" w:after="100" w:afterAutospacing="1"/>
      <w:jc w:val="left"/>
    </w:pPr>
    <w:rPr>
      <w:kern w:val="0"/>
      <w:sz w:val="18"/>
      <w:szCs w:val="18"/>
    </w:rPr>
  </w:style>
  <w:style w:type="paragraph" w:customStyle="1" w:styleId="3901">
    <w:name w:val="样式 标题 3 + 段前: 12 磅1"/>
    <w:basedOn w:val="4"/>
    <w:qFormat/>
    <w:uiPriority w:val="0"/>
    <w:pPr>
      <w:keepNext w:val="0"/>
      <w:keepLines w:val="0"/>
      <w:widowControl/>
      <w:autoSpaceDE w:val="0"/>
      <w:autoSpaceDN w:val="0"/>
      <w:jc w:val="both"/>
    </w:pPr>
    <w:rPr>
      <w:rFonts w:ascii="黑体" w:hAnsi="宋体" w:eastAsia="黑体" w:cs="宋体"/>
      <w:b w:val="0"/>
      <w:bCs w:val="0"/>
      <w:kern w:val="21"/>
      <w:szCs w:val="20"/>
    </w:rPr>
  </w:style>
  <w:style w:type="paragraph" w:customStyle="1" w:styleId="3902">
    <w:name w:val="正文格式62"/>
    <w:basedOn w:val="1"/>
    <w:qFormat/>
    <w:uiPriority w:val="0"/>
    <w:pPr>
      <w:widowControl/>
      <w:ind w:firstLine="482"/>
      <w:jc w:val="left"/>
    </w:pPr>
    <w:rPr>
      <w:rFonts w:ascii="宋体" w:hAnsi="宋体" w:cs="宋体"/>
      <w:kern w:val="0"/>
      <w:szCs w:val="24"/>
    </w:rPr>
  </w:style>
  <w:style w:type="paragraph" w:customStyle="1" w:styleId="3903">
    <w:name w:val="表中文字53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904">
    <w:name w:val="样式 小四 加粗 行距: 1.5 倍行距"/>
    <w:basedOn w:val="1"/>
    <w:qFormat/>
    <w:uiPriority w:val="0"/>
    <w:pPr>
      <w:widowControl/>
      <w:jc w:val="left"/>
    </w:pPr>
    <w:rPr>
      <w:rFonts w:ascii="宋体" w:hAnsi="宋体" w:cs="宋体"/>
      <w:b/>
      <w:bCs/>
      <w:kern w:val="0"/>
      <w:szCs w:val="20"/>
    </w:rPr>
  </w:style>
  <w:style w:type="paragraph" w:customStyle="1" w:styleId="3905">
    <w:name w:val="正文修改4"/>
    <w:basedOn w:val="786"/>
    <w:qFormat/>
    <w:uiPriority w:val="0"/>
    <w:rPr>
      <w:rFonts w:hAnsi="宋体" w:eastAsia="宋体" w:cs="宋体"/>
      <w:szCs w:val="24"/>
    </w:rPr>
  </w:style>
  <w:style w:type="paragraph" w:customStyle="1" w:styleId="3906">
    <w:name w:val="Char Char1 Char"/>
    <w:basedOn w:val="1"/>
    <w:qFormat/>
    <w:uiPriority w:val="0"/>
    <w:pPr>
      <w:widowControl/>
      <w:jc w:val="left"/>
    </w:pPr>
    <w:rPr>
      <w:rFonts w:ascii="宋体" w:hAnsi="宋体" w:cs="宋体"/>
      <w:kern w:val="0"/>
      <w:szCs w:val="24"/>
    </w:rPr>
  </w:style>
  <w:style w:type="paragraph" w:customStyle="1" w:styleId="3907">
    <w:name w:val="正文修改213"/>
    <w:basedOn w:val="786"/>
    <w:qFormat/>
    <w:uiPriority w:val="0"/>
    <w:rPr>
      <w:rFonts w:hAnsi="宋体" w:eastAsia="宋体" w:cs="宋体"/>
      <w:szCs w:val="24"/>
    </w:rPr>
  </w:style>
  <w:style w:type="paragraph" w:customStyle="1" w:styleId="3908">
    <w:name w:val="Char Char Char Char Char Char Char Char1 Char Char Char Char Char Char Char Char Char Char1"/>
    <w:basedOn w:val="1"/>
    <w:qFormat/>
    <w:uiPriority w:val="0"/>
    <w:pPr>
      <w:widowControl/>
      <w:jc w:val="left"/>
    </w:pPr>
    <w:rPr>
      <w:rFonts w:ascii="宋体" w:hAnsi="宋体" w:cs="宋体"/>
      <w:kern w:val="0"/>
      <w:szCs w:val="24"/>
    </w:rPr>
  </w:style>
  <w:style w:type="paragraph" w:customStyle="1" w:styleId="3909">
    <w:name w:val="表格内容31"/>
    <w:basedOn w:val="98"/>
    <w:qFormat/>
    <w:uiPriority w:val="0"/>
    <w:pPr>
      <w:jc w:val="center"/>
    </w:pPr>
    <w:rPr>
      <w:rFonts w:ascii="Times New Roman" w:hAnsi="Times New Roman" w:cs="Times New Roman"/>
      <w:color w:val="000000"/>
      <w:szCs w:val="21"/>
    </w:rPr>
  </w:style>
  <w:style w:type="paragraph" w:customStyle="1" w:styleId="3910">
    <w:name w:val="表题31112"/>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3911">
    <w:name w:val="谏壁表头"/>
    <w:basedOn w:val="671"/>
    <w:qFormat/>
    <w:uiPriority w:val="0"/>
    <w:pPr>
      <w:widowControl/>
      <w:ind w:firstLine="482" w:firstLineChars="0"/>
      <w:jc w:val="center"/>
    </w:pPr>
    <w:rPr>
      <w:b/>
      <w:szCs w:val="24"/>
    </w:rPr>
  </w:style>
  <w:style w:type="paragraph" w:customStyle="1" w:styleId="3912">
    <w:name w:val="表中文字11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913">
    <w:name w:val="表中文字513"/>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914">
    <w:name w:val="！正文"/>
    <w:basedOn w:val="1"/>
    <w:qFormat/>
    <w:uiPriority w:val="0"/>
    <w:pPr>
      <w:ind w:firstLine="480"/>
    </w:pPr>
    <w:rPr>
      <w:rFonts w:cs="宋体"/>
      <w:szCs w:val="20"/>
    </w:rPr>
  </w:style>
  <w:style w:type="paragraph" w:customStyle="1" w:styleId="3915">
    <w:name w:val="Char Char Char Char Char Char Char13"/>
    <w:basedOn w:val="1"/>
    <w:qFormat/>
    <w:uiPriority w:val="0"/>
    <w:pPr>
      <w:widowControl/>
      <w:jc w:val="left"/>
    </w:pPr>
    <w:rPr>
      <w:rFonts w:ascii="宋体" w:hAnsi="宋体" w:cs="宋体"/>
      <w:kern w:val="0"/>
      <w:szCs w:val="24"/>
    </w:rPr>
  </w:style>
  <w:style w:type="paragraph" w:customStyle="1" w:styleId="3916">
    <w:name w:val="黑体三号312"/>
    <w:basedOn w:val="418"/>
    <w:qFormat/>
    <w:uiPriority w:val="0"/>
    <w:pPr>
      <w:jc w:val="center"/>
    </w:pPr>
    <w:rPr>
      <w:rFonts w:ascii="黑体" w:hAnsi="宋体" w:eastAsia="黑体" w:cs="宋体"/>
      <w:b/>
      <w:bCs/>
      <w:sz w:val="32"/>
      <w:szCs w:val="20"/>
    </w:rPr>
  </w:style>
  <w:style w:type="paragraph" w:customStyle="1" w:styleId="3917">
    <w:name w:val="表112"/>
    <w:basedOn w:val="1"/>
    <w:qFormat/>
    <w:uiPriority w:val="0"/>
    <w:pPr>
      <w:widowControl/>
      <w:jc w:val="center"/>
    </w:pPr>
    <w:rPr>
      <w:rFonts w:ascii="宋体" w:hAnsi="宋体" w:cs="宋体"/>
      <w:kern w:val="0"/>
      <w:szCs w:val="24"/>
    </w:rPr>
  </w:style>
  <w:style w:type="paragraph" w:customStyle="1" w:styleId="3918">
    <w:name w:val="表、图名宋旭峰"/>
    <w:basedOn w:val="568"/>
    <w:qFormat/>
    <w:uiPriority w:val="0"/>
    <w:pPr>
      <w:spacing w:line="360" w:lineRule="auto"/>
      <w:textAlignment w:val="auto"/>
    </w:pPr>
    <w:rPr>
      <w:rFonts w:ascii="黑体" w:hAnsi="宋体"/>
      <w:spacing w:val="0"/>
    </w:rPr>
  </w:style>
  <w:style w:type="paragraph" w:customStyle="1" w:styleId="3919">
    <w:name w:val="表中文字5"/>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920">
    <w:name w:val="黑体三号331"/>
    <w:basedOn w:val="418"/>
    <w:qFormat/>
    <w:uiPriority w:val="0"/>
    <w:pPr>
      <w:jc w:val="center"/>
    </w:pPr>
    <w:rPr>
      <w:rFonts w:ascii="黑体" w:hAnsi="宋体" w:eastAsia="黑体" w:cs="宋体"/>
      <w:b/>
      <w:bCs/>
      <w:sz w:val="32"/>
      <w:szCs w:val="20"/>
    </w:rPr>
  </w:style>
  <w:style w:type="paragraph" w:customStyle="1" w:styleId="3921">
    <w:name w:val="font14"/>
    <w:basedOn w:val="1"/>
    <w:qFormat/>
    <w:uiPriority w:val="0"/>
    <w:pPr>
      <w:widowControl/>
      <w:spacing w:before="100" w:beforeAutospacing="1" w:after="100" w:afterAutospacing="1"/>
      <w:jc w:val="left"/>
    </w:pPr>
    <w:rPr>
      <w:color w:val="FF0000"/>
      <w:kern w:val="0"/>
      <w:szCs w:val="21"/>
    </w:rPr>
  </w:style>
  <w:style w:type="paragraph" w:customStyle="1" w:styleId="3922">
    <w:name w:val="标题413"/>
    <w:basedOn w:val="5"/>
    <w:next w:val="1"/>
    <w:qFormat/>
    <w:uiPriority w:val="0"/>
    <w:pPr>
      <w:numPr>
        <w:ilvl w:val="0"/>
        <w:numId w:val="0"/>
      </w:numPr>
      <w:spacing w:before="160" w:after="170" w:line="360" w:lineRule="auto"/>
    </w:pPr>
    <w:rPr>
      <w:rFonts w:ascii="黑体" w:hAnsi="Arial" w:eastAsia="黑体"/>
      <w:sz w:val="24"/>
    </w:rPr>
  </w:style>
  <w:style w:type="paragraph" w:customStyle="1" w:styleId="3923">
    <w:name w:val="样式 标题 4无效格式无效格式1河石管道4H4H41小小节河石管道41H42H411小小节1河石管道42...41"/>
    <w:basedOn w:val="5"/>
    <w:qFormat/>
    <w:uiPriority w:val="0"/>
    <w:pPr>
      <w:numPr>
        <w:ilvl w:val="0"/>
        <w:numId w:val="0"/>
      </w:numPr>
      <w:spacing w:after="0" w:line="360" w:lineRule="auto"/>
      <w:ind w:left="664" w:hanging="864"/>
    </w:pPr>
    <w:rPr>
      <w:rFonts w:ascii="黑体" w:hAnsi="Arial" w:eastAsia="黑体"/>
      <w:b w:val="0"/>
      <w:bCs w:val="0"/>
      <w:kern w:val="2"/>
      <w:sz w:val="24"/>
      <w:szCs w:val="24"/>
    </w:rPr>
  </w:style>
  <w:style w:type="paragraph" w:customStyle="1" w:styleId="3924">
    <w:name w:val="正文缩11"/>
    <w:basedOn w:val="1"/>
    <w:qFormat/>
    <w:uiPriority w:val="0"/>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3925">
    <w:name w:val="默认段落字体 Para Char Char Char Char211"/>
    <w:basedOn w:val="1"/>
    <w:qFormat/>
    <w:uiPriority w:val="0"/>
    <w:pPr>
      <w:widowControl/>
      <w:jc w:val="left"/>
    </w:pPr>
    <w:rPr>
      <w:rFonts w:ascii="宋体" w:hAnsi="宋体" w:cs="宋体"/>
      <w:kern w:val="0"/>
      <w:szCs w:val="24"/>
    </w:rPr>
  </w:style>
  <w:style w:type="paragraph" w:customStyle="1" w:styleId="3926">
    <w:name w:val="KY-正文-（6）"/>
    <w:basedOn w:val="1"/>
    <w:next w:val="1"/>
    <w:qFormat/>
    <w:uiPriority w:val="0"/>
    <w:pPr>
      <w:outlineLvl w:val="5"/>
    </w:pPr>
    <w:rPr>
      <w:szCs w:val="28"/>
    </w:rPr>
  </w:style>
  <w:style w:type="paragraph" w:customStyle="1" w:styleId="3927">
    <w:name w:val="黑体三号24"/>
    <w:basedOn w:val="418"/>
    <w:qFormat/>
    <w:uiPriority w:val="0"/>
    <w:pPr>
      <w:jc w:val="center"/>
    </w:pPr>
    <w:rPr>
      <w:rFonts w:ascii="黑体" w:hAnsi="宋体" w:eastAsia="黑体" w:cs="宋体"/>
      <w:b/>
      <w:bCs/>
      <w:sz w:val="32"/>
      <w:szCs w:val="20"/>
    </w:rPr>
  </w:style>
  <w:style w:type="paragraph" w:customStyle="1" w:styleId="3928">
    <w:name w:val="Char4112"/>
    <w:basedOn w:val="1"/>
    <w:qFormat/>
    <w:uiPriority w:val="0"/>
    <w:pPr>
      <w:widowControl/>
      <w:ind w:left="-48"/>
      <w:jc w:val="left"/>
    </w:pPr>
    <w:rPr>
      <w:rFonts w:ascii="宋体" w:hAnsi="宋体" w:cs="宋体"/>
      <w:kern w:val="0"/>
      <w:szCs w:val="24"/>
    </w:rPr>
  </w:style>
  <w:style w:type="paragraph" w:customStyle="1" w:styleId="3929">
    <w:name w:val="正文修改112"/>
    <w:basedOn w:val="786"/>
    <w:qFormat/>
    <w:uiPriority w:val="0"/>
    <w:rPr>
      <w:rFonts w:hAnsi="宋体" w:eastAsia="宋体" w:cs="宋体"/>
      <w:szCs w:val="24"/>
    </w:rPr>
  </w:style>
  <w:style w:type="paragraph" w:customStyle="1" w:styleId="3930">
    <w:name w:val="样式 标题 4无效格式无效格式1河石管道4H4H41小小节河石管道41H42H411小小节1河石管道42...113"/>
    <w:basedOn w:val="5"/>
    <w:qFormat/>
    <w:uiPriority w:val="0"/>
    <w:pPr>
      <w:numPr>
        <w:ilvl w:val="0"/>
        <w:numId w:val="0"/>
      </w:numPr>
      <w:spacing w:after="0" w:line="360" w:lineRule="auto"/>
      <w:ind w:left="664" w:hanging="864"/>
    </w:pPr>
    <w:rPr>
      <w:rFonts w:ascii="黑体" w:hAnsi="Arial" w:eastAsia="黑体" w:cs="宋体"/>
      <w:b w:val="0"/>
      <w:bCs w:val="0"/>
      <w:kern w:val="2"/>
      <w:sz w:val="24"/>
      <w:szCs w:val="20"/>
    </w:rPr>
  </w:style>
  <w:style w:type="paragraph" w:customStyle="1" w:styleId="3931">
    <w:name w:val="表中文字1112"/>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932">
    <w:name w:val="黑体三号14"/>
    <w:basedOn w:val="418"/>
    <w:qFormat/>
    <w:uiPriority w:val="0"/>
    <w:pPr>
      <w:jc w:val="center"/>
    </w:pPr>
    <w:rPr>
      <w:rFonts w:ascii="黑体" w:hAnsi="宋体" w:eastAsia="黑体" w:cs="宋体"/>
      <w:b/>
      <w:bCs/>
      <w:sz w:val="32"/>
      <w:szCs w:val="20"/>
    </w:rPr>
  </w:style>
  <w:style w:type="paragraph" w:customStyle="1" w:styleId="3933">
    <w:name w:val="表内文字小2113"/>
    <w:basedOn w:val="1"/>
    <w:qFormat/>
    <w:uiPriority w:val="0"/>
    <w:pPr>
      <w:widowControl/>
      <w:jc w:val="center"/>
    </w:pPr>
    <w:rPr>
      <w:rFonts w:ascii="宋体" w:hAnsi="Times" w:cs="宋体"/>
      <w:bCs/>
      <w:kern w:val="0"/>
      <w:szCs w:val="20"/>
    </w:rPr>
  </w:style>
  <w:style w:type="paragraph" w:customStyle="1" w:styleId="3934">
    <w:name w:val="框图"/>
    <w:basedOn w:val="1"/>
    <w:qFormat/>
    <w:uiPriority w:val="0"/>
    <w:pPr>
      <w:widowControl/>
      <w:ind w:left="2" w:leftChars="-38" w:right="-106" w:rightChars="-38" w:hanging="108" w:hangingChars="54"/>
      <w:jc w:val="center"/>
    </w:pPr>
    <w:rPr>
      <w:rFonts w:ascii="仿宋_GB2312" w:hAnsi="宋体" w:cs="宋体"/>
      <w:kern w:val="0"/>
      <w:sz w:val="20"/>
      <w:szCs w:val="20"/>
    </w:rPr>
  </w:style>
  <w:style w:type="paragraph" w:customStyle="1" w:styleId="3935">
    <w:name w:val="表内宋5中212"/>
    <w:basedOn w:val="1"/>
    <w:qFormat/>
    <w:uiPriority w:val="0"/>
    <w:pPr>
      <w:widowControl/>
      <w:jc w:val="center"/>
      <w:textAlignment w:val="baseline"/>
    </w:pPr>
    <w:rPr>
      <w:rFonts w:ascii="宋体" w:hAnsi="宋体" w:cs="宋体"/>
      <w:kern w:val="0"/>
      <w:szCs w:val="20"/>
    </w:rPr>
  </w:style>
  <w:style w:type="paragraph" w:customStyle="1" w:styleId="3936">
    <w:name w:val="燕山正文44"/>
    <w:basedOn w:val="1"/>
    <w:qFormat/>
    <w:uiPriority w:val="0"/>
    <w:pPr>
      <w:widowControl/>
      <w:tabs>
        <w:tab w:val="left" w:pos="4680"/>
      </w:tabs>
      <w:spacing w:line="480" w:lineRule="exact"/>
      <w:jc w:val="left"/>
    </w:pPr>
    <w:rPr>
      <w:rFonts w:ascii="宋体" w:hAnsi="宋体" w:cs="宋体"/>
      <w:kern w:val="0"/>
      <w:szCs w:val="24"/>
    </w:rPr>
  </w:style>
  <w:style w:type="paragraph" w:customStyle="1" w:styleId="3937">
    <w:name w:val="数据来源"/>
    <w:basedOn w:val="1"/>
    <w:qFormat/>
    <w:uiPriority w:val="0"/>
    <w:pPr>
      <w:widowControl/>
      <w:spacing w:line="280" w:lineRule="exact"/>
      <w:jc w:val="left"/>
    </w:pPr>
    <w:rPr>
      <w:rFonts w:ascii="宋体" w:hAnsi="宋体" w:eastAsia="楷体_GB2312" w:cs="宋体"/>
      <w:kern w:val="0"/>
      <w:szCs w:val="20"/>
    </w:rPr>
  </w:style>
  <w:style w:type="paragraph" w:customStyle="1" w:styleId="3938">
    <w:name w:val="表内小5中11"/>
    <w:basedOn w:val="1"/>
    <w:qFormat/>
    <w:uiPriority w:val="0"/>
    <w:pPr>
      <w:widowControl/>
      <w:jc w:val="center"/>
    </w:pPr>
    <w:rPr>
      <w:rFonts w:ascii="宋体" w:hAnsi="宋体" w:cs="宋体"/>
      <w:kern w:val="0"/>
      <w:sz w:val="18"/>
      <w:szCs w:val="20"/>
    </w:rPr>
  </w:style>
  <w:style w:type="paragraph" w:customStyle="1" w:styleId="3939">
    <w:name w:val="表名1"/>
    <w:basedOn w:val="2484"/>
    <w:qFormat/>
    <w:uiPriority w:val="0"/>
    <w:pPr>
      <w:keepNext/>
      <w:overflowPunct w:val="0"/>
      <w:spacing w:line="240" w:lineRule="auto"/>
      <w:textAlignment w:val="baseline"/>
    </w:pPr>
    <w:rPr>
      <w:rFonts w:ascii="Times New Roman" w:hAnsi="Times New Roman"/>
      <w:kern w:val="24"/>
      <w:sz w:val="21"/>
      <w:szCs w:val="21"/>
    </w:rPr>
  </w:style>
  <w:style w:type="paragraph" w:customStyle="1" w:styleId="3940">
    <w:name w:val="Char19"/>
    <w:basedOn w:val="1"/>
    <w:qFormat/>
    <w:uiPriority w:val="0"/>
    <w:pPr>
      <w:widowControl/>
      <w:ind w:left="-45"/>
      <w:jc w:val="left"/>
    </w:pPr>
    <w:rPr>
      <w:rFonts w:ascii="宋体" w:hAnsi="宋体" w:cs="宋体"/>
      <w:kern w:val="0"/>
      <w:szCs w:val="24"/>
    </w:rPr>
  </w:style>
  <w:style w:type="paragraph" w:customStyle="1" w:styleId="3941">
    <w:name w:val="表文字5213"/>
    <w:basedOn w:val="1"/>
    <w:qFormat/>
    <w:uiPriority w:val="0"/>
    <w:pPr>
      <w:widowControl/>
      <w:jc w:val="left"/>
      <w:textAlignment w:val="baseline"/>
    </w:pPr>
    <w:rPr>
      <w:rFonts w:ascii="宋体" w:hAnsi="宋体" w:cs="宋体"/>
      <w:kern w:val="0"/>
      <w:szCs w:val="20"/>
    </w:rPr>
  </w:style>
  <w:style w:type="paragraph" w:customStyle="1" w:styleId="3942">
    <w:name w:val="Char831"/>
    <w:basedOn w:val="1"/>
    <w:qFormat/>
    <w:uiPriority w:val="0"/>
    <w:pPr>
      <w:widowControl/>
      <w:ind w:left="-48"/>
      <w:jc w:val="left"/>
    </w:pPr>
    <w:rPr>
      <w:rFonts w:ascii="宋体" w:hAnsi="宋体" w:cs="宋体"/>
      <w:kern w:val="0"/>
      <w:szCs w:val="24"/>
    </w:rPr>
  </w:style>
  <w:style w:type="paragraph" w:customStyle="1" w:styleId="3943">
    <w:name w:val="Char218"/>
    <w:basedOn w:val="1"/>
    <w:qFormat/>
    <w:uiPriority w:val="0"/>
    <w:pPr>
      <w:widowControl/>
      <w:ind w:left="-48"/>
      <w:jc w:val="left"/>
    </w:pPr>
    <w:rPr>
      <w:rFonts w:ascii="宋体" w:hAnsi="宋体" w:cs="宋体"/>
      <w:kern w:val="0"/>
      <w:szCs w:val="24"/>
    </w:rPr>
  </w:style>
  <w:style w:type="paragraph" w:customStyle="1" w:styleId="3944">
    <w:name w:val="封面标准文稿编辑信息1"/>
    <w:basedOn w:val="98"/>
    <w:qFormat/>
    <w:uiPriority w:val="0"/>
    <w:pPr>
      <w:spacing w:before="180" w:line="180" w:lineRule="exact"/>
      <w:jc w:val="center"/>
    </w:pPr>
    <w:rPr>
      <w:rFonts w:ascii="宋体" w:hAnsi="Times New Roman" w:cs="Times New Roman"/>
      <w:color w:val="000000"/>
    </w:rPr>
  </w:style>
  <w:style w:type="paragraph" w:customStyle="1" w:styleId="3945">
    <w:name w:val="图表题2"/>
    <w:basedOn w:val="418"/>
    <w:next w:val="418"/>
    <w:qFormat/>
    <w:uiPriority w:val="0"/>
    <w:pPr>
      <w:ind w:firstLine="0"/>
      <w:jc w:val="center"/>
    </w:pPr>
    <w:rPr>
      <w:rFonts w:ascii="黑体" w:hAnsi="宋体" w:eastAsia="黑体" w:cs="宋体"/>
      <w:b/>
      <w:bCs/>
      <w:szCs w:val="24"/>
    </w:rPr>
  </w:style>
  <w:style w:type="paragraph" w:customStyle="1" w:styleId="3946">
    <w:name w:val="默认段落字体 Para Char313"/>
    <w:basedOn w:val="1"/>
    <w:qFormat/>
    <w:uiPriority w:val="0"/>
    <w:pPr>
      <w:widowControl/>
      <w:jc w:val="left"/>
    </w:pPr>
    <w:rPr>
      <w:rFonts w:ascii="宋体" w:hAnsi="宋体" w:cs="宋体"/>
      <w:kern w:val="0"/>
      <w:szCs w:val="24"/>
    </w:rPr>
  </w:style>
  <w:style w:type="paragraph" w:customStyle="1" w:styleId="3947">
    <w:name w:val="默认段落字体 Para Char41"/>
    <w:basedOn w:val="1"/>
    <w:next w:val="1"/>
    <w:qFormat/>
    <w:uiPriority w:val="0"/>
    <w:pPr>
      <w:widowControl/>
      <w:spacing w:line="480" w:lineRule="exact"/>
      <w:jc w:val="left"/>
    </w:pPr>
    <w:rPr>
      <w:rFonts w:ascii="宋体" w:hAnsi="宋体" w:eastAsia="汉鼎简书宋" w:cs="宋体"/>
      <w:kern w:val="0"/>
      <w:szCs w:val="24"/>
    </w:rPr>
  </w:style>
  <w:style w:type="paragraph" w:customStyle="1" w:styleId="3948">
    <w:name w:val="正文缩111"/>
    <w:basedOn w:val="1"/>
    <w:qFormat/>
    <w:uiPriority w:val="0"/>
    <w:pPr>
      <w:widowControl/>
      <w:spacing w:line="480" w:lineRule="atLeast"/>
      <w:ind w:firstLine="567"/>
      <w:jc w:val="left"/>
      <w:textAlignment w:val="baseline"/>
    </w:pPr>
    <w:rPr>
      <w:rFonts w:ascii="宋体" w:hAnsi="宋体" w:cs="宋体"/>
      <w:color w:val="000080"/>
      <w:spacing w:val="6"/>
      <w:kern w:val="0"/>
      <w:szCs w:val="20"/>
    </w:rPr>
  </w:style>
  <w:style w:type="paragraph" w:customStyle="1" w:styleId="3949">
    <w:name w:val="KY-标题-1.1"/>
    <w:basedOn w:val="2350"/>
    <w:next w:val="3806"/>
    <w:qFormat/>
    <w:uiPriority w:val="0"/>
    <w:pPr>
      <w:spacing w:before="360" w:after="240"/>
      <w:outlineLvl w:val="1"/>
    </w:pPr>
    <w:rPr>
      <w:rFonts w:eastAsia="楷体_GB2312"/>
    </w:rPr>
  </w:style>
  <w:style w:type="paragraph" w:customStyle="1" w:styleId="3950">
    <w:name w:val="表题21111"/>
    <w:basedOn w:val="1"/>
    <w:qFormat/>
    <w:uiPriority w:val="0"/>
    <w:pPr>
      <w:widowControl/>
      <w:jc w:val="center"/>
    </w:pPr>
    <w:rPr>
      <w:rFonts w:ascii="黑体" w:hAnsi="宋体" w:eastAsia="黑体" w:cs="宋体"/>
      <w:kern w:val="0"/>
      <w:szCs w:val="24"/>
    </w:rPr>
  </w:style>
  <w:style w:type="paragraph" w:customStyle="1" w:styleId="3951">
    <w:name w:val="Char Char Char Char1 Char Char Char11"/>
    <w:basedOn w:val="1"/>
    <w:qFormat/>
    <w:uiPriority w:val="0"/>
    <w:pPr>
      <w:widowControl/>
      <w:spacing w:after="160" w:line="240" w:lineRule="exact"/>
      <w:jc w:val="left"/>
    </w:pPr>
    <w:rPr>
      <w:rFonts w:ascii="Verdana" w:hAnsi="Verdana" w:cs="宋体"/>
      <w:kern w:val="0"/>
      <w:sz w:val="20"/>
      <w:szCs w:val="20"/>
      <w:lang w:eastAsia="en-US"/>
    </w:rPr>
  </w:style>
  <w:style w:type="paragraph" w:customStyle="1" w:styleId="3952">
    <w:name w:val="表内5中6"/>
    <w:basedOn w:val="1"/>
    <w:qFormat/>
    <w:uiPriority w:val="0"/>
    <w:pPr>
      <w:widowControl/>
      <w:jc w:val="center"/>
    </w:pPr>
    <w:rPr>
      <w:rFonts w:ascii="宋体" w:hAnsi="宋体" w:cs="Arial"/>
      <w:snapToGrid w:val="0"/>
      <w:kern w:val="0"/>
      <w:szCs w:val="21"/>
    </w:rPr>
  </w:style>
  <w:style w:type="paragraph" w:customStyle="1" w:styleId="3953">
    <w:name w:val="标-4"/>
    <w:basedOn w:val="1"/>
    <w:qFormat/>
    <w:uiPriority w:val="0"/>
    <w:pPr>
      <w:widowControl/>
      <w:spacing w:before="120"/>
      <w:ind w:left="851" w:hanging="851"/>
      <w:jc w:val="left"/>
    </w:pPr>
    <w:rPr>
      <w:rFonts w:ascii="宋体" w:hAnsi="宋体" w:cs="宋体"/>
      <w:kern w:val="0"/>
      <w:szCs w:val="20"/>
    </w:rPr>
  </w:style>
  <w:style w:type="paragraph" w:customStyle="1" w:styleId="3954">
    <w:name w:val="标题43114"/>
    <w:basedOn w:val="1"/>
    <w:qFormat/>
    <w:uiPriority w:val="0"/>
    <w:pPr>
      <w:widowControl/>
      <w:spacing w:line="480" w:lineRule="exact"/>
      <w:jc w:val="center"/>
    </w:pPr>
    <w:rPr>
      <w:rFonts w:ascii="宋体" w:hAnsi="宋体" w:cs="宋体"/>
      <w:kern w:val="0"/>
      <w:szCs w:val="24"/>
    </w:rPr>
  </w:style>
  <w:style w:type="paragraph" w:customStyle="1" w:styleId="3955">
    <w:name w:val="Char22"/>
    <w:basedOn w:val="1"/>
    <w:qFormat/>
    <w:uiPriority w:val="0"/>
    <w:pPr>
      <w:widowControl/>
      <w:jc w:val="left"/>
    </w:pPr>
    <w:rPr>
      <w:rFonts w:ascii="宋体" w:hAnsi="宋体" w:cs="宋体"/>
      <w:kern w:val="0"/>
      <w:szCs w:val="24"/>
    </w:rPr>
  </w:style>
  <w:style w:type="paragraph" w:customStyle="1" w:styleId="3956">
    <w:name w:val="xl64"/>
    <w:basedOn w:val="1"/>
    <w:qFormat/>
    <w:uiPriority w:val="0"/>
    <w:pPr>
      <w:widowControl/>
      <w:spacing w:before="100" w:beforeAutospacing="1" w:after="100" w:afterAutospacing="1"/>
      <w:jc w:val="center"/>
      <w:textAlignment w:val="bottom"/>
    </w:pPr>
    <w:rPr>
      <w:rFonts w:ascii="仿宋_GB2312" w:hAnsi="宋体" w:cs="宋体"/>
      <w:kern w:val="0"/>
      <w:szCs w:val="21"/>
    </w:rPr>
  </w:style>
  <w:style w:type="paragraph" w:customStyle="1" w:styleId="3957">
    <w:name w:val="Char310"/>
    <w:basedOn w:val="1"/>
    <w:qFormat/>
    <w:uiPriority w:val="0"/>
    <w:pPr>
      <w:widowControl/>
      <w:ind w:left="-48"/>
      <w:jc w:val="left"/>
    </w:pPr>
    <w:rPr>
      <w:rFonts w:ascii="宋体" w:hAnsi="宋体" w:cs="宋体"/>
      <w:kern w:val="0"/>
      <w:szCs w:val="24"/>
    </w:rPr>
  </w:style>
  <w:style w:type="paragraph" w:customStyle="1" w:styleId="3958">
    <w:name w:val="燕山正文2"/>
    <w:basedOn w:val="1"/>
    <w:qFormat/>
    <w:uiPriority w:val="0"/>
    <w:pPr>
      <w:widowControl/>
      <w:tabs>
        <w:tab w:val="left" w:pos="4680"/>
      </w:tabs>
      <w:spacing w:line="480" w:lineRule="exact"/>
      <w:jc w:val="left"/>
    </w:pPr>
    <w:rPr>
      <w:rFonts w:ascii="宋体" w:hAnsi="宋体" w:cs="宋体"/>
      <w:kern w:val="0"/>
      <w:szCs w:val="24"/>
    </w:rPr>
  </w:style>
  <w:style w:type="paragraph" w:customStyle="1" w:styleId="3959">
    <w:name w:val="Char Char Char2"/>
    <w:basedOn w:val="1"/>
    <w:qFormat/>
    <w:uiPriority w:val="0"/>
    <w:pPr>
      <w:widowControl/>
      <w:jc w:val="left"/>
    </w:pPr>
    <w:rPr>
      <w:rFonts w:ascii="宋体" w:hAnsi="宋体" w:cs="宋体"/>
      <w:kern w:val="0"/>
      <w:szCs w:val="24"/>
    </w:rPr>
  </w:style>
  <w:style w:type="paragraph" w:customStyle="1" w:styleId="3960">
    <w:name w:val="A正文12"/>
    <w:basedOn w:val="1"/>
    <w:qFormat/>
    <w:uiPriority w:val="0"/>
    <w:pPr>
      <w:widowControl/>
      <w:overflowPunct w:val="0"/>
      <w:autoSpaceDE w:val="0"/>
      <w:autoSpaceDN w:val="0"/>
      <w:jc w:val="left"/>
      <w:textAlignment w:val="baseline"/>
    </w:pPr>
    <w:rPr>
      <w:rFonts w:ascii="宋体" w:hAnsi="宋体" w:cs="宋体"/>
      <w:kern w:val="0"/>
      <w:szCs w:val="24"/>
    </w:rPr>
  </w:style>
  <w:style w:type="paragraph" w:customStyle="1" w:styleId="3961">
    <w:name w:val="表内59111"/>
    <w:basedOn w:val="1"/>
    <w:qFormat/>
    <w:uiPriority w:val="0"/>
    <w:pPr>
      <w:widowControl/>
      <w:spacing w:line="300" w:lineRule="auto"/>
      <w:jc w:val="center"/>
    </w:pPr>
    <w:rPr>
      <w:rFonts w:ascii="宋体" w:hAnsi="宋体" w:cs="宋体"/>
      <w:snapToGrid w:val="0"/>
      <w:kern w:val="0"/>
      <w:szCs w:val="21"/>
    </w:rPr>
  </w:style>
  <w:style w:type="paragraph" w:customStyle="1" w:styleId="3962">
    <w:name w:val="表格内字体32"/>
    <w:basedOn w:val="418"/>
    <w:next w:val="418"/>
    <w:qFormat/>
    <w:uiPriority w:val="0"/>
    <w:pPr>
      <w:spacing w:line="240" w:lineRule="auto"/>
      <w:ind w:firstLine="0"/>
      <w:jc w:val="center"/>
    </w:pPr>
    <w:rPr>
      <w:rFonts w:hAnsi="宋体"/>
      <w:sz w:val="21"/>
      <w:szCs w:val="24"/>
    </w:rPr>
  </w:style>
  <w:style w:type="paragraph" w:customStyle="1" w:styleId="3963">
    <w:name w:val="Default2"/>
    <w:basedOn w:val="98"/>
    <w:qFormat/>
    <w:uiPriority w:val="0"/>
    <w:pPr>
      <w:widowControl w:val="0"/>
      <w:autoSpaceDE w:val="0"/>
      <w:autoSpaceDN w:val="0"/>
      <w:adjustRightInd w:val="0"/>
    </w:pPr>
    <w:rPr>
      <w:rFonts w:ascii="宋体" w:hAnsi="Times New Roman" w:cs="Times New Roman"/>
      <w:color w:val="000000"/>
    </w:rPr>
  </w:style>
  <w:style w:type="paragraph" w:customStyle="1" w:styleId="3964">
    <w:name w:val="2"/>
    <w:basedOn w:val="1"/>
    <w:next w:val="16"/>
    <w:qFormat/>
    <w:uiPriority w:val="0"/>
    <w:pPr>
      <w:spacing w:before="120" w:line="400" w:lineRule="exact"/>
      <w:ind w:firstLine="420"/>
      <w:textAlignment w:val="baseline"/>
    </w:pPr>
    <w:rPr>
      <w:kern w:val="28"/>
      <w:szCs w:val="20"/>
    </w:rPr>
  </w:style>
  <w:style w:type="paragraph" w:customStyle="1" w:styleId="3965">
    <w:name w:val="表题162"/>
    <w:basedOn w:val="17"/>
    <w:qFormat/>
    <w:uiPriority w:val="0"/>
    <w:pPr>
      <w:widowControl/>
      <w:ind w:firstLine="0" w:firstLineChars="0"/>
      <w:jc w:val="center"/>
    </w:pPr>
    <w:rPr>
      <w:rFonts w:ascii="黑体" w:cs="Arial"/>
      <w:b/>
    </w:rPr>
  </w:style>
  <w:style w:type="paragraph" w:customStyle="1" w:styleId="3966">
    <w:name w:val="表题414"/>
    <w:basedOn w:val="752"/>
    <w:qFormat/>
    <w:uiPriority w:val="0"/>
    <w:pPr>
      <w:widowControl/>
      <w:tabs>
        <w:tab w:val="left" w:pos="4305"/>
      </w:tabs>
      <w:spacing w:after="0" w:line="240" w:lineRule="auto"/>
      <w:ind w:left="0" w:leftChars="0" w:firstLine="0" w:firstLineChars="0"/>
      <w:jc w:val="center"/>
    </w:pPr>
    <w:rPr>
      <w:rFonts w:ascii="宋体" w:hAnsi="宋体" w:cs="宋体"/>
      <w:sz w:val="24"/>
      <w:szCs w:val="24"/>
    </w:rPr>
  </w:style>
  <w:style w:type="paragraph" w:customStyle="1" w:styleId="3967">
    <w:name w:val="Char9"/>
    <w:basedOn w:val="1"/>
    <w:qFormat/>
    <w:uiPriority w:val="0"/>
    <w:pPr>
      <w:widowControl/>
      <w:ind w:left="-48"/>
      <w:jc w:val="left"/>
    </w:pPr>
    <w:rPr>
      <w:rFonts w:ascii="宋体" w:hAnsi="宋体" w:cs="宋体"/>
      <w:kern w:val="0"/>
      <w:szCs w:val="24"/>
    </w:rPr>
  </w:style>
  <w:style w:type="paragraph" w:customStyle="1" w:styleId="3968">
    <w:name w:val="正文格式15"/>
    <w:basedOn w:val="1"/>
    <w:qFormat/>
    <w:uiPriority w:val="0"/>
    <w:pPr>
      <w:widowControl/>
      <w:ind w:firstLine="482"/>
      <w:jc w:val="left"/>
    </w:pPr>
    <w:rPr>
      <w:rFonts w:ascii="宋体" w:hAnsi="宋体" w:cs="宋体"/>
      <w:kern w:val="0"/>
      <w:szCs w:val="24"/>
    </w:rPr>
  </w:style>
  <w:style w:type="paragraph" w:customStyle="1" w:styleId="3969">
    <w:name w:val="Char163"/>
    <w:basedOn w:val="1"/>
    <w:qFormat/>
    <w:uiPriority w:val="0"/>
    <w:pPr>
      <w:widowControl/>
      <w:ind w:left="-48"/>
      <w:jc w:val="left"/>
    </w:pPr>
    <w:rPr>
      <w:rFonts w:ascii="宋体" w:hAnsi="宋体" w:cs="宋体"/>
      <w:kern w:val="0"/>
      <w:szCs w:val="24"/>
    </w:rPr>
  </w:style>
  <w:style w:type="paragraph" w:customStyle="1" w:styleId="3970">
    <w:name w:val="样式 正文缩进正文缩进2正文缩进 Char Char正文缩进 Char Char Char Char正文缩进 Char ..."/>
    <w:basedOn w:val="16"/>
    <w:qFormat/>
    <w:uiPriority w:val="0"/>
    <w:pPr>
      <w:ind w:firstLine="200"/>
    </w:pPr>
    <w:rPr>
      <w:rFonts w:cs="宋体"/>
    </w:rPr>
  </w:style>
  <w:style w:type="paragraph" w:customStyle="1" w:styleId="3971">
    <w:name w:val="图题2111"/>
    <w:basedOn w:val="418"/>
    <w:next w:val="418"/>
    <w:qFormat/>
    <w:uiPriority w:val="0"/>
    <w:pPr>
      <w:ind w:firstLine="0"/>
      <w:jc w:val="center"/>
    </w:pPr>
    <w:rPr>
      <w:rFonts w:ascii="黑体" w:hAnsi="宋体" w:eastAsia="黑体" w:cs="宋体"/>
      <w:b/>
      <w:bCs/>
      <w:szCs w:val="24"/>
    </w:rPr>
  </w:style>
  <w:style w:type="paragraph" w:customStyle="1" w:styleId="3972">
    <w:name w:val="黑体三号34"/>
    <w:basedOn w:val="418"/>
    <w:qFormat/>
    <w:uiPriority w:val="0"/>
    <w:pPr>
      <w:jc w:val="center"/>
    </w:pPr>
    <w:rPr>
      <w:rFonts w:ascii="黑体" w:hAnsi="宋体" w:eastAsia="黑体" w:cs="宋体"/>
      <w:b/>
      <w:bCs/>
      <w:sz w:val="32"/>
      <w:szCs w:val="20"/>
    </w:rPr>
  </w:style>
  <w:style w:type="paragraph" w:customStyle="1" w:styleId="3973">
    <w:name w:val="样式 正文缩进 + 宋体 黑色1"/>
    <w:basedOn w:val="112"/>
    <w:qFormat/>
    <w:uiPriority w:val="0"/>
  </w:style>
  <w:style w:type="paragraph" w:customStyle="1" w:styleId="3974">
    <w:name w:val="正文格式＝511"/>
    <w:basedOn w:val="418"/>
    <w:next w:val="418"/>
    <w:qFormat/>
    <w:uiPriority w:val="0"/>
    <w:rPr>
      <w:rFonts w:hAnsi="宋体"/>
      <w:szCs w:val="24"/>
    </w:rPr>
  </w:style>
  <w:style w:type="paragraph" w:customStyle="1" w:styleId="3975">
    <w:name w:val="表内宋51122"/>
    <w:basedOn w:val="734"/>
    <w:qFormat/>
    <w:uiPriority w:val="0"/>
    <w:rPr>
      <w:rFonts w:ascii="宋体" w:hAnsi="宋体" w:cs="宋体"/>
      <w:sz w:val="21"/>
      <w:szCs w:val="24"/>
    </w:rPr>
  </w:style>
  <w:style w:type="paragraph" w:customStyle="1" w:styleId="3976">
    <w:name w:val="封面标准文稿编辑信息4"/>
    <w:basedOn w:val="98"/>
    <w:qFormat/>
    <w:uiPriority w:val="0"/>
    <w:pPr>
      <w:spacing w:before="180" w:line="180" w:lineRule="exact"/>
      <w:jc w:val="center"/>
    </w:pPr>
    <w:rPr>
      <w:rFonts w:ascii="宋体" w:hAnsi="Times New Roman" w:cs="Times New Roman"/>
      <w:color w:val="000000"/>
    </w:rPr>
  </w:style>
  <w:style w:type="paragraph" w:customStyle="1" w:styleId="3977">
    <w:name w:val="Char Char Char Char Char Char Char Char Char Char Char1 Char Char Char Char Char Char Char Char Char Char Char Char Char Char Char Char"/>
    <w:basedOn w:val="1"/>
    <w:qFormat/>
    <w:uiPriority w:val="0"/>
    <w:pPr>
      <w:widowControl/>
      <w:jc w:val="left"/>
    </w:pPr>
    <w:rPr>
      <w:rFonts w:ascii="宋体" w:hAnsi="宋体" w:cs="宋体"/>
      <w:kern w:val="0"/>
      <w:szCs w:val="24"/>
    </w:rPr>
  </w:style>
  <w:style w:type="paragraph" w:customStyle="1" w:styleId="3978">
    <w:name w:val="表中文字31"/>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3979">
    <w:name w:val="表内宋5中114"/>
    <w:basedOn w:val="1"/>
    <w:qFormat/>
    <w:uiPriority w:val="0"/>
    <w:pPr>
      <w:widowControl/>
      <w:jc w:val="center"/>
      <w:textAlignment w:val="baseline"/>
    </w:pPr>
    <w:rPr>
      <w:rFonts w:ascii="宋体" w:hAnsi="宋体" w:cs="宋体"/>
      <w:kern w:val="0"/>
      <w:szCs w:val="20"/>
    </w:rPr>
  </w:style>
  <w:style w:type="paragraph" w:customStyle="1" w:styleId="3980">
    <w:name w:val="Char39"/>
    <w:basedOn w:val="1"/>
    <w:qFormat/>
    <w:uiPriority w:val="0"/>
    <w:pPr>
      <w:widowControl/>
      <w:spacing w:before="156"/>
      <w:jc w:val="left"/>
    </w:pPr>
    <w:rPr>
      <w:rFonts w:ascii="黑体" w:hAnsi="宋体" w:eastAsia="黑体" w:cs="宋体"/>
      <w:kern w:val="0"/>
      <w:sz w:val="32"/>
      <w:szCs w:val="32"/>
    </w:rPr>
  </w:style>
  <w:style w:type="paragraph" w:customStyle="1" w:styleId="3981">
    <w:name w:val="Char43"/>
    <w:basedOn w:val="1"/>
    <w:qFormat/>
    <w:uiPriority w:val="0"/>
    <w:pPr>
      <w:widowControl/>
      <w:ind w:left="-48"/>
      <w:jc w:val="left"/>
    </w:pPr>
    <w:rPr>
      <w:rFonts w:ascii="宋体" w:hAnsi="宋体" w:cs="宋体"/>
      <w:kern w:val="0"/>
      <w:szCs w:val="24"/>
    </w:rPr>
  </w:style>
  <w:style w:type="paragraph" w:customStyle="1" w:styleId="3982">
    <w:name w:val="xl83"/>
    <w:basedOn w:val="1"/>
    <w:qFormat/>
    <w:uiPriority w:val="0"/>
    <w:pPr>
      <w:widowControl/>
      <w:pBdr>
        <w:top w:val="single" w:color="auto" w:sz="8" w:space="0"/>
        <w:left w:val="single" w:color="auto" w:sz="8" w:space="0"/>
        <w:right w:val="single" w:color="auto" w:sz="8" w:space="0"/>
      </w:pBdr>
      <w:spacing w:before="100" w:beforeAutospacing="1" w:after="100" w:afterAutospacing="1"/>
      <w:jc w:val="center"/>
    </w:pPr>
    <w:rPr>
      <w:kern w:val="0"/>
      <w:szCs w:val="21"/>
    </w:rPr>
  </w:style>
  <w:style w:type="paragraph" w:customStyle="1" w:styleId="3983">
    <w:name w:val="正文格式＝32"/>
    <w:basedOn w:val="418"/>
    <w:next w:val="418"/>
    <w:qFormat/>
    <w:uiPriority w:val="0"/>
    <w:rPr>
      <w:rFonts w:hAnsi="宋体"/>
      <w:szCs w:val="24"/>
    </w:rPr>
  </w:style>
  <w:style w:type="paragraph" w:customStyle="1" w:styleId="3984">
    <w:name w:val="表内文字小2133"/>
    <w:basedOn w:val="1"/>
    <w:qFormat/>
    <w:uiPriority w:val="0"/>
    <w:pPr>
      <w:widowControl/>
      <w:jc w:val="center"/>
      <w:textAlignment w:val="baseline"/>
    </w:pPr>
    <w:rPr>
      <w:rFonts w:ascii="宋体" w:hAnsi="Times" w:cs="宋体"/>
      <w:bCs/>
      <w:kern w:val="0"/>
      <w:szCs w:val="20"/>
    </w:rPr>
  </w:style>
  <w:style w:type="paragraph" w:customStyle="1" w:styleId="3985">
    <w:name w:val="表内5中41"/>
    <w:basedOn w:val="1"/>
    <w:qFormat/>
    <w:uiPriority w:val="0"/>
    <w:pPr>
      <w:widowControl/>
      <w:jc w:val="center"/>
    </w:pPr>
    <w:rPr>
      <w:rFonts w:ascii="宋体" w:hAnsi="宋体" w:cs="宋体"/>
      <w:bCs/>
      <w:kern w:val="0"/>
      <w:szCs w:val="20"/>
    </w:rPr>
  </w:style>
  <w:style w:type="paragraph" w:customStyle="1" w:styleId="3986">
    <w:name w:val="默认段落字体 Para Char Char Char1 Char Char Char Char Char Char Char Char Char Char"/>
    <w:basedOn w:val="1"/>
    <w:qFormat/>
    <w:uiPriority w:val="0"/>
    <w:pPr>
      <w:widowControl/>
      <w:jc w:val="left"/>
    </w:pPr>
    <w:rPr>
      <w:rFonts w:ascii="宋体" w:hAnsi="宋体" w:cs="宋体"/>
      <w:kern w:val="0"/>
      <w:szCs w:val="24"/>
    </w:rPr>
  </w:style>
  <w:style w:type="paragraph" w:customStyle="1" w:styleId="3987">
    <w:name w:val="文本框12"/>
    <w:basedOn w:val="1"/>
    <w:qFormat/>
    <w:uiPriority w:val="0"/>
    <w:pPr>
      <w:widowControl/>
      <w:spacing w:after="6"/>
      <w:jc w:val="center"/>
    </w:pPr>
    <w:rPr>
      <w:rFonts w:ascii="宋体" w:hAnsi="宋体" w:cs="宋体"/>
      <w:kern w:val="0"/>
      <w:szCs w:val="24"/>
    </w:rPr>
  </w:style>
  <w:style w:type="paragraph" w:customStyle="1" w:styleId="3988">
    <w:name w:val="Char313"/>
    <w:basedOn w:val="1"/>
    <w:qFormat/>
    <w:uiPriority w:val="0"/>
    <w:pPr>
      <w:widowControl/>
      <w:ind w:left="-48"/>
      <w:jc w:val="left"/>
    </w:pPr>
    <w:rPr>
      <w:rFonts w:ascii="宋体" w:hAnsi="宋体" w:cs="宋体"/>
      <w:kern w:val="0"/>
      <w:szCs w:val="24"/>
    </w:rPr>
  </w:style>
  <w:style w:type="paragraph" w:customStyle="1" w:styleId="3989">
    <w:name w:val="正文格式＝11"/>
    <w:basedOn w:val="418"/>
    <w:next w:val="418"/>
    <w:qFormat/>
    <w:uiPriority w:val="0"/>
    <w:rPr>
      <w:rFonts w:hAnsi="宋体"/>
      <w:szCs w:val="24"/>
    </w:rPr>
  </w:style>
  <w:style w:type="paragraph" w:customStyle="1" w:styleId="3990">
    <w:name w:val="燕山正文141"/>
    <w:basedOn w:val="1"/>
    <w:qFormat/>
    <w:uiPriority w:val="0"/>
    <w:pPr>
      <w:widowControl/>
      <w:tabs>
        <w:tab w:val="left" w:pos="4680"/>
      </w:tabs>
      <w:spacing w:line="480" w:lineRule="exact"/>
      <w:jc w:val="left"/>
    </w:pPr>
    <w:rPr>
      <w:rFonts w:ascii="宋体" w:hAnsi="宋体" w:cs="宋体"/>
      <w:kern w:val="0"/>
      <w:szCs w:val="24"/>
    </w:rPr>
  </w:style>
  <w:style w:type="paragraph" w:customStyle="1" w:styleId="3991">
    <w:name w:val="样式 标题 3 + 黑体 四号"/>
    <w:basedOn w:val="4"/>
    <w:qFormat/>
    <w:uiPriority w:val="0"/>
    <w:pPr>
      <w:widowControl/>
      <w:spacing w:before="160" w:after="160"/>
    </w:pPr>
    <w:rPr>
      <w:rFonts w:ascii="黑体" w:hAnsi="黑体" w:eastAsia="黑体"/>
    </w:rPr>
  </w:style>
  <w:style w:type="paragraph" w:customStyle="1" w:styleId="3992">
    <w:name w:val="表内文字边13"/>
    <w:basedOn w:val="1"/>
    <w:qFormat/>
    <w:uiPriority w:val="0"/>
    <w:pPr>
      <w:widowControl/>
      <w:spacing w:line="240" w:lineRule="atLeast"/>
      <w:ind w:left="-21" w:leftChars="-10" w:right="-42" w:rightChars="-20"/>
      <w:jc w:val="left"/>
    </w:pPr>
    <w:rPr>
      <w:rFonts w:ascii="宋体" w:hAnsi="宋体" w:cs="宋体"/>
      <w:kern w:val="0"/>
      <w:szCs w:val="21"/>
    </w:rPr>
  </w:style>
  <w:style w:type="paragraph" w:customStyle="1" w:styleId="3993">
    <w:name w:val="表中文字1"/>
    <w:basedOn w:val="98"/>
    <w:qFormat/>
    <w:uiPriority w:val="0"/>
    <w:pPr>
      <w:widowControl w:val="0"/>
      <w:adjustRightInd w:val="0"/>
      <w:snapToGrid w:val="0"/>
      <w:jc w:val="center"/>
    </w:pPr>
    <w:rPr>
      <w:rFonts w:ascii="仿宋_GB2312" w:hAnsi="华文仿宋" w:eastAsia="仿宋_GB2312" w:cs="Times New Roman"/>
      <w:b/>
      <w:color w:val="000000"/>
      <w:szCs w:val="21"/>
    </w:rPr>
  </w:style>
  <w:style w:type="paragraph" w:customStyle="1" w:styleId="3994">
    <w:name w:val="标题431311"/>
    <w:basedOn w:val="1"/>
    <w:qFormat/>
    <w:uiPriority w:val="0"/>
    <w:pPr>
      <w:widowControl/>
      <w:spacing w:line="480" w:lineRule="exact"/>
      <w:jc w:val="center"/>
    </w:pPr>
    <w:rPr>
      <w:rFonts w:ascii="宋体" w:hAnsi="宋体" w:cs="宋体"/>
      <w:kern w:val="0"/>
      <w:szCs w:val="24"/>
    </w:rPr>
  </w:style>
  <w:style w:type="paragraph" w:customStyle="1" w:styleId="3995">
    <w:name w:val="标题45"/>
    <w:basedOn w:val="1"/>
    <w:qFormat/>
    <w:uiPriority w:val="0"/>
    <w:pPr>
      <w:widowControl/>
      <w:spacing w:line="300" w:lineRule="auto"/>
      <w:jc w:val="left"/>
    </w:pPr>
    <w:rPr>
      <w:rFonts w:ascii="黑体" w:hAnsi="宋体" w:eastAsia="黑体" w:cs="宋体"/>
      <w:bCs/>
      <w:kern w:val="0"/>
      <w:szCs w:val="24"/>
    </w:rPr>
  </w:style>
  <w:style w:type="paragraph" w:customStyle="1" w:styleId="3996">
    <w:name w:val="Char Char Char Char Char Char Char132"/>
    <w:basedOn w:val="1"/>
    <w:qFormat/>
    <w:uiPriority w:val="0"/>
    <w:pPr>
      <w:widowControl/>
      <w:jc w:val="left"/>
    </w:pPr>
    <w:rPr>
      <w:rFonts w:ascii="宋体" w:hAnsi="宋体" w:cs="宋体"/>
      <w:kern w:val="0"/>
      <w:szCs w:val="24"/>
    </w:rPr>
  </w:style>
  <w:style w:type="paragraph" w:customStyle="1" w:styleId="3997">
    <w:name w:val="右侧"/>
    <w:basedOn w:val="98"/>
    <w:qFormat/>
    <w:uiPriority w:val="0"/>
    <w:pPr>
      <w:spacing w:line="280" w:lineRule="exact"/>
      <w:jc w:val="right"/>
    </w:pPr>
    <w:rPr>
      <w:rFonts w:ascii="Batang" w:hAnsi="Batang" w:cs="Times New Roman"/>
      <w:color w:val="000000"/>
      <w:sz w:val="18"/>
    </w:rPr>
  </w:style>
  <w:style w:type="paragraph" w:customStyle="1" w:styleId="3998">
    <w:name w:val="Char Char Char Char Char Char Char120"/>
    <w:basedOn w:val="1"/>
    <w:qFormat/>
    <w:uiPriority w:val="0"/>
    <w:pPr>
      <w:widowControl/>
      <w:jc w:val="left"/>
    </w:pPr>
    <w:rPr>
      <w:rFonts w:ascii="宋体" w:hAnsi="宋体" w:cs="宋体"/>
      <w:kern w:val="0"/>
      <w:szCs w:val="24"/>
    </w:rPr>
  </w:style>
  <w:style w:type="paragraph" w:customStyle="1" w:styleId="3999">
    <w:name w:val="样式 出版正文 + (中文) 宋体 四号 首行缩进:  1.5 字符 行距: 1.5 倍行距"/>
    <w:basedOn w:val="1"/>
    <w:semiHidden/>
    <w:qFormat/>
    <w:uiPriority w:val="0"/>
    <w:rPr>
      <w:rFonts w:ascii="宋体" w:hAnsi="宋体"/>
      <w:bCs/>
      <w:kern w:val="0"/>
      <w:szCs w:val="32"/>
    </w:rPr>
  </w:style>
  <w:style w:type="paragraph" w:customStyle="1" w:styleId="4000">
    <w:name w:val="黑体三号12"/>
    <w:basedOn w:val="418"/>
    <w:qFormat/>
    <w:uiPriority w:val="0"/>
    <w:pPr>
      <w:jc w:val="center"/>
    </w:pPr>
    <w:rPr>
      <w:rFonts w:ascii="黑体" w:hAnsi="宋体" w:eastAsia="黑体" w:cs="宋体"/>
      <w:b/>
      <w:bCs/>
      <w:sz w:val="32"/>
      <w:szCs w:val="20"/>
    </w:rPr>
  </w:style>
  <w:style w:type="paragraph" w:customStyle="1" w:styleId="4001">
    <w:name w:val="图题611"/>
    <w:basedOn w:val="418"/>
    <w:next w:val="418"/>
    <w:qFormat/>
    <w:uiPriority w:val="0"/>
    <w:pPr>
      <w:ind w:firstLine="0"/>
      <w:jc w:val="center"/>
    </w:pPr>
    <w:rPr>
      <w:rFonts w:ascii="黑体" w:hAnsi="宋体" w:eastAsia="黑体" w:cs="宋体"/>
      <w:b/>
      <w:bCs/>
      <w:kern w:val="0"/>
      <w:szCs w:val="24"/>
    </w:rPr>
  </w:style>
  <w:style w:type="paragraph" w:customStyle="1" w:styleId="4002">
    <w:name w:val="表中文字13"/>
    <w:basedOn w:val="1"/>
    <w:qFormat/>
    <w:uiPriority w:val="0"/>
    <w:pPr>
      <w:widowControl/>
      <w:spacing w:line="240" w:lineRule="atLeast"/>
      <w:ind w:left="-24" w:leftChars="-10" w:right="-48" w:rightChars="-20"/>
      <w:jc w:val="center"/>
    </w:pPr>
    <w:rPr>
      <w:rFonts w:ascii="宋体" w:hAnsi="宋体" w:cs="宋体"/>
      <w:kern w:val="0"/>
      <w:szCs w:val="21"/>
    </w:rPr>
  </w:style>
  <w:style w:type="paragraph" w:customStyle="1" w:styleId="4003">
    <w:name w:val="表内541221"/>
    <w:basedOn w:val="1"/>
    <w:qFormat/>
    <w:uiPriority w:val="0"/>
    <w:pPr>
      <w:widowControl/>
      <w:spacing w:line="300" w:lineRule="auto"/>
      <w:jc w:val="center"/>
    </w:pPr>
    <w:rPr>
      <w:rFonts w:ascii="宋体" w:hAnsi="宋体" w:cs="宋体"/>
      <w:kern w:val="0"/>
      <w:szCs w:val="20"/>
    </w:rPr>
  </w:style>
  <w:style w:type="paragraph" w:customStyle="1" w:styleId="4004">
    <w:name w:val="正文22"/>
    <w:basedOn w:val="98"/>
    <w:qFormat/>
    <w:uiPriority w:val="0"/>
    <w:pPr>
      <w:adjustRightInd w:val="0"/>
      <w:snapToGrid w:val="0"/>
      <w:spacing w:line="480" w:lineRule="atLeast"/>
      <w:jc w:val="center"/>
    </w:pPr>
    <w:rPr>
      <w:rFonts w:ascii="宋体" w:hAnsi="Times New Roman" w:cs="Times New Roman"/>
      <w:snapToGrid w:val="0"/>
      <w:color w:val="000000"/>
      <w:spacing w:val="6"/>
    </w:rPr>
  </w:style>
  <w:style w:type="paragraph" w:customStyle="1" w:styleId="4005">
    <w:name w:val="xl81"/>
    <w:basedOn w:val="1"/>
    <w:qFormat/>
    <w:uiPriority w:val="0"/>
    <w:pPr>
      <w:widowControl/>
      <w:pBdr>
        <w:top w:val="single" w:color="auto" w:sz="8" w:space="0"/>
        <w:left w:val="single" w:color="auto" w:sz="8" w:space="0"/>
        <w:right w:val="single" w:color="auto" w:sz="8" w:space="0"/>
      </w:pBdr>
      <w:spacing w:before="100" w:beforeAutospacing="1" w:after="100" w:afterAutospacing="1"/>
      <w:jc w:val="center"/>
    </w:pPr>
    <w:rPr>
      <w:rFonts w:ascii="仿宋" w:hAnsi="仿宋" w:eastAsia="仿宋" w:cs="宋体"/>
      <w:kern w:val="0"/>
      <w:szCs w:val="21"/>
    </w:rPr>
  </w:style>
  <w:style w:type="paragraph" w:customStyle="1" w:styleId="4006">
    <w:name w:val="表题312"/>
    <w:basedOn w:val="752"/>
    <w:qFormat/>
    <w:uiPriority w:val="0"/>
    <w:pPr>
      <w:widowControl/>
      <w:tabs>
        <w:tab w:val="left" w:pos="4305"/>
      </w:tabs>
      <w:spacing w:after="0" w:line="240" w:lineRule="auto"/>
      <w:ind w:left="0" w:leftChars="0" w:firstLine="0" w:firstLineChars="0"/>
      <w:jc w:val="center"/>
    </w:pPr>
    <w:rPr>
      <w:rFonts w:ascii="宋体" w:hAnsi="宋体"/>
      <w:sz w:val="24"/>
    </w:rPr>
  </w:style>
  <w:style w:type="paragraph" w:customStyle="1" w:styleId="4007">
    <w:name w:val="WPS Plain"/>
    <w:qFormat/>
    <w:uiPriority w:val="0"/>
    <w:rPr>
      <w:rFonts w:ascii="Calibri" w:hAnsi="Calibri" w:eastAsia="宋体" w:cs="Calibri"/>
      <w:lang w:val="en-US" w:eastAsia="zh-CN" w:bidi="ar-SA"/>
    </w:rPr>
  </w:style>
  <w:style w:type="paragraph" w:customStyle="1" w:styleId="4008">
    <w:name w:val="附件31"/>
    <w:basedOn w:val="2"/>
    <w:next w:val="418"/>
    <w:qFormat/>
    <w:uiPriority w:val="0"/>
    <w:pPr>
      <w:numPr>
        <w:numId w:val="0"/>
      </w:numPr>
      <w:spacing w:after="120"/>
      <w:jc w:val="left"/>
    </w:pPr>
    <w:rPr>
      <w:rFonts w:ascii="黑体" w:eastAsia="黑体"/>
      <w:b w:val="0"/>
      <w:sz w:val="32"/>
      <w:szCs w:val="32"/>
    </w:rPr>
  </w:style>
  <w:style w:type="paragraph" w:customStyle="1" w:styleId="4009">
    <w:name w:val="正文231"/>
    <w:basedOn w:val="98"/>
    <w:qFormat/>
    <w:uiPriority w:val="0"/>
    <w:pPr>
      <w:adjustRightInd w:val="0"/>
      <w:snapToGrid w:val="0"/>
      <w:spacing w:line="480" w:lineRule="atLeast"/>
      <w:jc w:val="center"/>
    </w:pPr>
    <w:rPr>
      <w:rFonts w:ascii="宋体" w:hAnsi="Times New Roman" w:cs="Times New Roman"/>
      <w:snapToGrid w:val="0"/>
      <w:color w:val="000000"/>
      <w:spacing w:val="6"/>
    </w:rPr>
  </w:style>
  <w:style w:type="paragraph" w:customStyle="1" w:styleId="4010">
    <w:name w:val="表内5416"/>
    <w:basedOn w:val="1"/>
    <w:qFormat/>
    <w:uiPriority w:val="0"/>
    <w:pPr>
      <w:widowControl/>
      <w:spacing w:line="300" w:lineRule="auto"/>
      <w:jc w:val="center"/>
    </w:pPr>
    <w:rPr>
      <w:rFonts w:ascii="宋体" w:hAnsi="宋体" w:cs="宋体"/>
      <w:kern w:val="0"/>
      <w:szCs w:val="20"/>
    </w:rPr>
  </w:style>
  <w:style w:type="paragraph" w:customStyle="1" w:styleId="4011">
    <w:name w:val="Char29"/>
    <w:basedOn w:val="1"/>
    <w:qFormat/>
    <w:uiPriority w:val="0"/>
    <w:pPr>
      <w:widowControl/>
      <w:ind w:left="-48"/>
      <w:jc w:val="left"/>
    </w:pPr>
    <w:rPr>
      <w:rFonts w:ascii="宋体" w:hAnsi="宋体" w:cs="宋体"/>
      <w:kern w:val="0"/>
      <w:szCs w:val="24"/>
    </w:rPr>
  </w:style>
  <w:style w:type="paragraph" w:customStyle="1" w:styleId="4012">
    <w:name w:val="Char114"/>
    <w:basedOn w:val="1"/>
    <w:qFormat/>
    <w:uiPriority w:val="0"/>
    <w:pPr>
      <w:widowControl/>
      <w:ind w:left="-48"/>
      <w:jc w:val="left"/>
    </w:pPr>
    <w:rPr>
      <w:rFonts w:ascii="宋体" w:hAnsi="宋体" w:cs="宋体"/>
      <w:kern w:val="0"/>
      <w:szCs w:val="24"/>
    </w:rPr>
  </w:style>
  <w:style w:type="paragraph" w:customStyle="1" w:styleId="4013">
    <w:name w:val="表内文字小214"/>
    <w:basedOn w:val="1"/>
    <w:qFormat/>
    <w:uiPriority w:val="0"/>
    <w:pPr>
      <w:widowControl/>
      <w:jc w:val="center"/>
    </w:pPr>
    <w:rPr>
      <w:rFonts w:ascii="宋体" w:hAnsi="Times" w:cs="宋体"/>
      <w:bCs/>
      <w:kern w:val="0"/>
      <w:szCs w:val="20"/>
    </w:rPr>
  </w:style>
  <w:style w:type="paragraph" w:customStyle="1" w:styleId="4014">
    <w:name w:val="燕山正文1151"/>
    <w:basedOn w:val="1"/>
    <w:qFormat/>
    <w:uiPriority w:val="0"/>
    <w:pPr>
      <w:widowControl/>
      <w:tabs>
        <w:tab w:val="left" w:pos="4680"/>
      </w:tabs>
      <w:ind w:firstLine="480"/>
      <w:jc w:val="left"/>
    </w:pPr>
    <w:rPr>
      <w:rFonts w:ascii="宋体" w:hAnsi="宋体" w:cs="宋体"/>
      <w:bCs/>
      <w:snapToGrid w:val="0"/>
      <w:kern w:val="0"/>
      <w:szCs w:val="24"/>
    </w:rPr>
  </w:style>
  <w:style w:type="paragraph" w:customStyle="1" w:styleId="4015">
    <w:name w:val="图题8"/>
    <w:basedOn w:val="418"/>
    <w:next w:val="418"/>
    <w:qFormat/>
    <w:uiPriority w:val="0"/>
    <w:pPr>
      <w:ind w:firstLine="0"/>
      <w:jc w:val="center"/>
    </w:pPr>
    <w:rPr>
      <w:rFonts w:ascii="黑体" w:hAnsi="宋体" w:eastAsia="黑体" w:cs="宋体"/>
      <w:b/>
      <w:bCs/>
      <w:szCs w:val="24"/>
    </w:rPr>
  </w:style>
  <w:style w:type="paragraph" w:customStyle="1" w:styleId="4016">
    <w:name w:val="正文 首行缩进:  2 字符"/>
    <w:basedOn w:val="1"/>
    <w:qFormat/>
    <w:uiPriority w:val="0"/>
    <w:pPr>
      <w:widowControl/>
      <w:spacing w:line="460" w:lineRule="exact"/>
      <w:ind w:firstLine="480"/>
      <w:jc w:val="left"/>
    </w:pPr>
    <w:rPr>
      <w:rFonts w:ascii="宋体" w:hAnsi="宋体" w:cs="宋体"/>
      <w:kern w:val="0"/>
      <w:szCs w:val="20"/>
    </w:rPr>
  </w:style>
  <w:style w:type="paragraph" w:customStyle="1" w:styleId="4017">
    <w:name w:val="样式 正文"/>
    <w:basedOn w:val="1"/>
    <w:qFormat/>
    <w:uiPriority w:val="0"/>
    <w:pPr>
      <w:ind w:firstLine="560"/>
    </w:pPr>
    <w:rPr>
      <w:rFonts w:cs="宋体"/>
      <w:sz w:val="28"/>
      <w:szCs w:val="20"/>
    </w:rPr>
  </w:style>
  <w:style w:type="paragraph" w:customStyle="1" w:styleId="4018">
    <w:name w:val="reader-word-layer"/>
    <w:basedOn w:val="1"/>
    <w:qFormat/>
    <w:uiPriority w:val="0"/>
    <w:pPr>
      <w:widowControl/>
      <w:spacing w:before="100" w:beforeAutospacing="1" w:after="100" w:afterAutospacing="1"/>
      <w:jc w:val="left"/>
    </w:pPr>
    <w:rPr>
      <w:rFonts w:ascii="宋体" w:hAnsi="宋体" w:cs="宋体"/>
      <w:kern w:val="0"/>
      <w:szCs w:val="24"/>
    </w:rPr>
  </w:style>
  <w:style w:type="paragraph" w:customStyle="1" w:styleId="4019">
    <w:name w:val="表格标注"/>
    <w:basedOn w:val="1629"/>
    <w:qFormat/>
    <w:uiPriority w:val="0"/>
    <w:pPr>
      <w:spacing w:beforeLines="20"/>
    </w:pPr>
  </w:style>
  <w:style w:type="paragraph" w:customStyle="1" w:styleId="4020">
    <w:name w:val="图题421"/>
    <w:basedOn w:val="418"/>
    <w:next w:val="418"/>
    <w:qFormat/>
    <w:uiPriority w:val="0"/>
    <w:pPr>
      <w:ind w:firstLine="0"/>
      <w:jc w:val="center"/>
    </w:pPr>
    <w:rPr>
      <w:rFonts w:ascii="黑体" w:hAnsi="宋体" w:eastAsia="黑体" w:cs="宋体"/>
      <w:b/>
      <w:bCs/>
      <w:szCs w:val="24"/>
    </w:rPr>
  </w:style>
  <w:style w:type="paragraph" w:customStyle="1" w:styleId="4021">
    <w:name w:val="标题4313"/>
    <w:basedOn w:val="1"/>
    <w:qFormat/>
    <w:uiPriority w:val="0"/>
    <w:pPr>
      <w:widowControl/>
      <w:spacing w:line="480" w:lineRule="exact"/>
      <w:jc w:val="center"/>
    </w:pPr>
    <w:rPr>
      <w:rFonts w:ascii="宋体" w:hAnsi="宋体" w:cs="宋体"/>
      <w:kern w:val="0"/>
      <w:szCs w:val="24"/>
    </w:rPr>
  </w:style>
  <w:style w:type="paragraph" w:customStyle="1" w:styleId="4022">
    <w:name w:val="表题11112"/>
    <w:basedOn w:val="17"/>
    <w:qFormat/>
    <w:uiPriority w:val="0"/>
    <w:pPr>
      <w:widowControl/>
      <w:ind w:firstLine="0" w:firstLineChars="0"/>
      <w:jc w:val="center"/>
    </w:pPr>
    <w:rPr>
      <w:rFonts w:ascii="黑体" w:cs="Arial"/>
    </w:rPr>
  </w:style>
  <w:style w:type="paragraph" w:customStyle="1" w:styleId="4023">
    <w:name w:val="表内文字小316"/>
    <w:basedOn w:val="1"/>
    <w:qFormat/>
    <w:uiPriority w:val="0"/>
    <w:pPr>
      <w:widowControl/>
      <w:jc w:val="center"/>
    </w:pPr>
    <w:rPr>
      <w:rFonts w:ascii="宋体" w:hAnsi="Times" w:cs="宋体"/>
      <w:bCs/>
      <w:color w:val="003366"/>
      <w:kern w:val="0"/>
      <w:szCs w:val="20"/>
    </w:rPr>
  </w:style>
  <w:style w:type="paragraph" w:customStyle="1" w:styleId="4024">
    <w:name w:val="标题样式2"/>
    <w:basedOn w:val="1"/>
    <w:qFormat/>
    <w:uiPriority w:val="0"/>
    <w:pPr>
      <w:widowControl/>
      <w:spacing w:line="480" w:lineRule="atLeast"/>
      <w:jc w:val="left"/>
      <w:textAlignment w:val="baseline"/>
    </w:pPr>
    <w:rPr>
      <w:rFonts w:ascii="新宋体" w:hAnsi="新宋体" w:cs="宋体"/>
      <w:kern w:val="0"/>
      <w:szCs w:val="20"/>
    </w:rPr>
  </w:style>
  <w:style w:type="paragraph" w:customStyle="1" w:styleId="4025">
    <w:name w:val="样式 标题 4无效格式无效格式1河石管道4H4H41小小节河石管道41H42H411小小节1河石管道42...31"/>
    <w:basedOn w:val="5"/>
    <w:qFormat/>
    <w:uiPriority w:val="0"/>
    <w:pPr>
      <w:numPr>
        <w:ilvl w:val="0"/>
        <w:numId w:val="0"/>
      </w:numPr>
      <w:spacing w:after="0" w:line="360" w:lineRule="auto"/>
      <w:ind w:left="664" w:hanging="864"/>
    </w:pPr>
    <w:rPr>
      <w:rFonts w:ascii="黑体" w:hAnsi="Arial" w:eastAsia="黑体"/>
      <w:b w:val="0"/>
      <w:bCs w:val="0"/>
      <w:kern w:val="2"/>
      <w:sz w:val="24"/>
      <w:szCs w:val="24"/>
    </w:rPr>
  </w:style>
  <w:style w:type="paragraph" w:customStyle="1" w:styleId="4026">
    <w:name w:val="Char Char2 Char Char Char Char81"/>
    <w:basedOn w:val="1"/>
    <w:qFormat/>
    <w:uiPriority w:val="0"/>
    <w:pPr>
      <w:widowControl/>
      <w:jc w:val="left"/>
    </w:pPr>
    <w:rPr>
      <w:rFonts w:ascii="宋体" w:hAnsi="宋体" w:cs="宋体"/>
      <w:kern w:val="0"/>
      <w:szCs w:val="24"/>
    </w:rPr>
  </w:style>
  <w:style w:type="paragraph" w:customStyle="1" w:styleId="4027">
    <w:name w:val="表内文字小84"/>
    <w:basedOn w:val="1"/>
    <w:qFormat/>
    <w:uiPriority w:val="0"/>
    <w:pPr>
      <w:widowControl/>
      <w:jc w:val="center"/>
    </w:pPr>
    <w:rPr>
      <w:rFonts w:ascii="宋体" w:hAnsi="Times" w:cs="宋体"/>
      <w:kern w:val="0"/>
      <w:szCs w:val="20"/>
    </w:rPr>
  </w:style>
  <w:style w:type="paragraph" w:customStyle="1" w:styleId="4028">
    <w:name w:val="图题82"/>
    <w:basedOn w:val="418"/>
    <w:next w:val="418"/>
    <w:qFormat/>
    <w:uiPriority w:val="0"/>
    <w:pPr>
      <w:ind w:firstLine="0"/>
      <w:jc w:val="center"/>
    </w:pPr>
    <w:rPr>
      <w:rFonts w:ascii="黑体" w:hAnsi="宋体" w:eastAsia="黑体" w:cs="宋体"/>
      <w:b/>
      <w:bCs/>
      <w:szCs w:val="24"/>
    </w:rPr>
  </w:style>
  <w:style w:type="paragraph" w:customStyle="1" w:styleId="4029">
    <w:name w:val="Char Char Char Char Char Char Char20"/>
    <w:basedOn w:val="1"/>
    <w:qFormat/>
    <w:uiPriority w:val="0"/>
    <w:pPr>
      <w:widowControl/>
      <w:jc w:val="left"/>
    </w:pPr>
    <w:rPr>
      <w:rFonts w:ascii="宋体" w:hAnsi="宋体" w:cs="宋体"/>
      <w:kern w:val="0"/>
      <w:szCs w:val="24"/>
    </w:rPr>
  </w:style>
  <w:style w:type="paragraph" w:customStyle="1" w:styleId="4030">
    <w:name w:val="Char Char Char Char Char Char Char Char Char Char Char Char Char Char1"/>
    <w:basedOn w:val="1"/>
    <w:qFormat/>
    <w:uiPriority w:val="0"/>
    <w:pPr>
      <w:widowControl/>
      <w:jc w:val="left"/>
    </w:pPr>
    <w:rPr>
      <w:rFonts w:ascii="宋体" w:hAnsi="宋体" w:cs="宋体"/>
      <w:kern w:val="0"/>
      <w:szCs w:val="24"/>
    </w:rPr>
  </w:style>
  <w:style w:type="paragraph" w:customStyle="1" w:styleId="4031">
    <w:name w:val="标准4"/>
    <w:basedOn w:val="1"/>
    <w:qFormat/>
    <w:uiPriority w:val="0"/>
    <w:pPr>
      <w:widowControl/>
      <w:spacing w:before="120" w:line="336" w:lineRule="auto"/>
      <w:jc w:val="center"/>
      <w:textAlignment w:val="baseline"/>
    </w:pPr>
    <w:rPr>
      <w:rFonts w:ascii="黑体" w:hAnsi="宋体" w:eastAsia="黑体" w:cs="宋体"/>
      <w:kern w:val="0"/>
      <w:szCs w:val="20"/>
    </w:rPr>
  </w:style>
  <w:style w:type="paragraph" w:customStyle="1" w:styleId="4032">
    <w:name w:val="Char351"/>
    <w:basedOn w:val="1"/>
    <w:qFormat/>
    <w:uiPriority w:val="0"/>
    <w:pPr>
      <w:widowControl/>
      <w:ind w:left="-48"/>
      <w:jc w:val="left"/>
    </w:pPr>
    <w:rPr>
      <w:rFonts w:ascii="宋体" w:hAnsi="宋体" w:cs="宋体"/>
      <w:kern w:val="0"/>
      <w:szCs w:val="24"/>
    </w:rPr>
  </w:style>
  <w:style w:type="paragraph" w:customStyle="1" w:styleId="4033">
    <w:name w:val="表内宋5中51"/>
    <w:basedOn w:val="1"/>
    <w:qFormat/>
    <w:uiPriority w:val="0"/>
    <w:pPr>
      <w:widowControl/>
      <w:jc w:val="left"/>
      <w:textAlignment w:val="baseline"/>
    </w:pPr>
    <w:rPr>
      <w:rFonts w:ascii="宋体" w:hAnsi="宋体" w:cs="宋体"/>
      <w:kern w:val="0"/>
      <w:szCs w:val="20"/>
    </w:rPr>
  </w:style>
  <w:style w:type="paragraph" w:customStyle="1" w:styleId="4034">
    <w:name w:val="Char15"/>
    <w:basedOn w:val="1"/>
    <w:qFormat/>
    <w:uiPriority w:val="0"/>
    <w:pPr>
      <w:widowControl/>
      <w:ind w:left="-48"/>
      <w:jc w:val="left"/>
    </w:pPr>
    <w:rPr>
      <w:rFonts w:ascii="宋体" w:hAnsi="宋体" w:cs="宋体"/>
      <w:kern w:val="0"/>
      <w:szCs w:val="24"/>
    </w:rPr>
  </w:style>
  <w:style w:type="paragraph" w:customStyle="1" w:styleId="4035">
    <w:name w:val="默认段落字体 Para Char Char Char Char31"/>
    <w:basedOn w:val="1"/>
    <w:qFormat/>
    <w:uiPriority w:val="0"/>
    <w:pPr>
      <w:widowControl/>
      <w:jc w:val="left"/>
    </w:pPr>
    <w:rPr>
      <w:rFonts w:ascii="宋体" w:hAnsi="宋体" w:cs="宋体"/>
      <w:kern w:val="0"/>
      <w:szCs w:val="24"/>
    </w:rPr>
  </w:style>
  <w:style w:type="paragraph" w:customStyle="1" w:styleId="4036">
    <w:name w:val="表内56"/>
    <w:basedOn w:val="1"/>
    <w:qFormat/>
    <w:uiPriority w:val="0"/>
    <w:pPr>
      <w:widowControl/>
      <w:spacing w:line="300" w:lineRule="auto"/>
      <w:jc w:val="left"/>
    </w:pPr>
    <w:rPr>
      <w:rFonts w:ascii="宋体" w:hAnsi="宋体" w:cs="宋体"/>
      <w:kern w:val="0"/>
      <w:sz w:val="18"/>
      <w:szCs w:val="20"/>
    </w:rPr>
  </w:style>
  <w:style w:type="paragraph" w:customStyle="1" w:styleId="4037">
    <w:name w:val="Char Char Char Char Char Char Char52"/>
    <w:basedOn w:val="1"/>
    <w:qFormat/>
    <w:uiPriority w:val="0"/>
    <w:pPr>
      <w:widowControl/>
      <w:jc w:val="left"/>
    </w:pPr>
    <w:rPr>
      <w:rFonts w:ascii="宋体" w:hAnsi="宋体" w:cs="宋体"/>
      <w:kern w:val="0"/>
      <w:szCs w:val="24"/>
    </w:rPr>
  </w:style>
  <w:style w:type="paragraph" w:customStyle="1" w:styleId="4038">
    <w:name w:val="font13"/>
    <w:basedOn w:val="1"/>
    <w:qFormat/>
    <w:uiPriority w:val="0"/>
    <w:pPr>
      <w:widowControl/>
      <w:spacing w:before="100" w:beforeAutospacing="1" w:after="100" w:afterAutospacing="1"/>
      <w:jc w:val="left"/>
    </w:pPr>
    <w:rPr>
      <w:kern w:val="0"/>
      <w:szCs w:val="21"/>
    </w:rPr>
  </w:style>
  <w:style w:type="paragraph" w:customStyle="1" w:styleId="4039">
    <w:name w:val="Char Char Char Char Char Char Char23"/>
    <w:basedOn w:val="1"/>
    <w:qFormat/>
    <w:uiPriority w:val="0"/>
    <w:pPr>
      <w:widowControl/>
      <w:jc w:val="left"/>
    </w:pPr>
    <w:rPr>
      <w:rFonts w:ascii="宋体" w:hAnsi="宋体" w:cs="宋体"/>
      <w:kern w:val="0"/>
      <w:szCs w:val="24"/>
    </w:rPr>
  </w:style>
  <w:style w:type="paragraph" w:customStyle="1" w:styleId="4040">
    <w:name w:val="xl72"/>
    <w:basedOn w:val="1"/>
    <w:qFormat/>
    <w:uiPriority w:val="0"/>
    <w:pPr>
      <w:widowControl/>
      <w:pBdr>
        <w:bottom w:val="single" w:color="auto" w:sz="8" w:space="0"/>
        <w:right w:val="single" w:color="auto" w:sz="8" w:space="0"/>
      </w:pBdr>
      <w:spacing w:before="100" w:beforeAutospacing="1" w:after="100" w:afterAutospacing="1"/>
      <w:jc w:val="center"/>
    </w:pPr>
    <w:rPr>
      <w:rFonts w:ascii="仿宋" w:hAnsi="仿宋" w:eastAsia="仿宋" w:cs="宋体"/>
      <w:kern w:val="0"/>
      <w:szCs w:val="21"/>
    </w:rPr>
  </w:style>
  <w:style w:type="paragraph" w:customStyle="1" w:styleId="4041">
    <w:name w:val="表题211"/>
    <w:basedOn w:val="1"/>
    <w:qFormat/>
    <w:uiPriority w:val="0"/>
    <w:pPr>
      <w:widowControl/>
      <w:jc w:val="center"/>
    </w:pPr>
    <w:rPr>
      <w:rFonts w:ascii="黑体" w:hAnsi="宋体" w:eastAsia="黑体" w:cs="宋体"/>
      <w:kern w:val="0"/>
      <w:szCs w:val="24"/>
    </w:rPr>
  </w:style>
  <w:style w:type="paragraph" w:customStyle="1" w:styleId="4042">
    <w:name w:val="表题161"/>
    <w:basedOn w:val="17"/>
    <w:qFormat/>
    <w:uiPriority w:val="0"/>
    <w:pPr>
      <w:widowControl/>
      <w:ind w:firstLine="0" w:firstLineChars="0"/>
      <w:jc w:val="center"/>
    </w:pPr>
    <w:rPr>
      <w:rFonts w:ascii="黑体" w:cs="Arial"/>
      <w:b/>
    </w:rPr>
  </w:style>
  <w:style w:type="paragraph" w:customStyle="1" w:styleId="4043">
    <w:name w:val="表内541321"/>
    <w:basedOn w:val="1"/>
    <w:qFormat/>
    <w:uiPriority w:val="0"/>
    <w:pPr>
      <w:widowControl/>
      <w:spacing w:line="300" w:lineRule="auto"/>
      <w:jc w:val="center"/>
    </w:pPr>
    <w:rPr>
      <w:rFonts w:ascii="宋体" w:hAnsi="宋体" w:cs="宋体"/>
      <w:kern w:val="0"/>
      <w:szCs w:val="20"/>
    </w:rPr>
  </w:style>
  <w:style w:type="paragraph" w:customStyle="1" w:styleId="4044">
    <w:name w:val="Char Char Char Char Char Char Char1112"/>
    <w:basedOn w:val="1"/>
    <w:qFormat/>
    <w:uiPriority w:val="0"/>
    <w:pPr>
      <w:widowControl/>
      <w:jc w:val="left"/>
    </w:pPr>
    <w:rPr>
      <w:rFonts w:ascii="宋体" w:hAnsi="宋体" w:cs="宋体"/>
      <w:kern w:val="0"/>
      <w:szCs w:val="24"/>
    </w:rPr>
  </w:style>
  <w:style w:type="paragraph" w:customStyle="1" w:styleId="4045">
    <w:name w:val="标题43124"/>
    <w:basedOn w:val="1"/>
    <w:qFormat/>
    <w:uiPriority w:val="0"/>
    <w:pPr>
      <w:widowControl/>
      <w:spacing w:line="480" w:lineRule="exact"/>
      <w:jc w:val="center"/>
    </w:pPr>
    <w:rPr>
      <w:rFonts w:ascii="宋体" w:hAnsi="宋体" w:cs="宋体"/>
      <w:kern w:val="0"/>
      <w:szCs w:val="24"/>
    </w:rPr>
  </w:style>
  <w:style w:type="paragraph" w:customStyle="1" w:styleId="4046">
    <w:name w:val="表内文字小21312"/>
    <w:basedOn w:val="1"/>
    <w:qFormat/>
    <w:uiPriority w:val="0"/>
    <w:pPr>
      <w:widowControl/>
      <w:jc w:val="center"/>
      <w:textAlignment w:val="baseline"/>
    </w:pPr>
    <w:rPr>
      <w:rFonts w:ascii="宋体" w:hAnsi="Times" w:cs="宋体"/>
      <w:bCs/>
      <w:kern w:val="0"/>
      <w:szCs w:val="20"/>
    </w:rPr>
  </w:style>
  <w:style w:type="paragraph" w:customStyle="1" w:styleId="4047">
    <w:name w:val="黑体三号221"/>
    <w:basedOn w:val="418"/>
    <w:qFormat/>
    <w:uiPriority w:val="0"/>
    <w:pPr>
      <w:jc w:val="center"/>
    </w:pPr>
    <w:rPr>
      <w:rFonts w:ascii="黑体" w:hAnsi="宋体" w:eastAsia="黑体" w:cs="宋体"/>
      <w:b/>
      <w:bCs/>
      <w:sz w:val="32"/>
      <w:szCs w:val="20"/>
    </w:rPr>
  </w:style>
  <w:style w:type="paragraph" w:customStyle="1" w:styleId="4048">
    <w:name w:val="Char329"/>
    <w:basedOn w:val="1"/>
    <w:qFormat/>
    <w:uiPriority w:val="0"/>
    <w:pPr>
      <w:widowControl/>
      <w:ind w:left="-48"/>
      <w:jc w:val="left"/>
    </w:pPr>
    <w:rPr>
      <w:rFonts w:ascii="宋体" w:hAnsi="宋体" w:cs="宋体"/>
      <w:kern w:val="0"/>
      <w:szCs w:val="24"/>
    </w:rPr>
  </w:style>
  <w:style w:type="paragraph" w:customStyle="1" w:styleId="4049">
    <w:name w:val="图题注11"/>
    <w:basedOn w:val="17"/>
    <w:qFormat/>
    <w:uiPriority w:val="0"/>
    <w:pPr>
      <w:widowControl/>
      <w:ind w:firstLine="0" w:firstLineChars="0"/>
      <w:jc w:val="center"/>
    </w:pPr>
    <w:rPr>
      <w:rFonts w:ascii="黑体" w:cs="宋体"/>
      <w:b/>
      <w:bCs/>
    </w:rPr>
  </w:style>
  <w:style w:type="paragraph" w:customStyle="1" w:styleId="4050">
    <w:name w:val="默认段落字体 Para Char Char Char Char Char3"/>
    <w:basedOn w:val="1"/>
    <w:qFormat/>
    <w:uiPriority w:val="0"/>
    <w:pPr>
      <w:widowControl/>
      <w:jc w:val="left"/>
    </w:pPr>
    <w:rPr>
      <w:rFonts w:ascii="宋体" w:hAnsi="宋体" w:cs="宋体"/>
      <w:kern w:val="0"/>
      <w:szCs w:val="24"/>
    </w:rPr>
  </w:style>
  <w:style w:type="paragraph" w:customStyle="1" w:styleId="4051">
    <w:name w:val="正文修改312"/>
    <w:basedOn w:val="786"/>
    <w:qFormat/>
    <w:uiPriority w:val="0"/>
    <w:rPr>
      <w:rFonts w:hAnsi="宋体" w:eastAsia="宋体" w:cs="宋体"/>
      <w:szCs w:val="24"/>
    </w:rPr>
  </w:style>
  <w:style w:type="paragraph" w:customStyle="1" w:styleId="4052">
    <w:name w:val="燕山正文3111"/>
    <w:basedOn w:val="1"/>
    <w:qFormat/>
    <w:uiPriority w:val="0"/>
    <w:pPr>
      <w:widowControl/>
      <w:tabs>
        <w:tab w:val="left" w:pos="4680"/>
      </w:tabs>
      <w:spacing w:line="480" w:lineRule="exact"/>
      <w:jc w:val="left"/>
    </w:pPr>
    <w:rPr>
      <w:rFonts w:ascii="宋体" w:hAnsi="宋体" w:cs="宋体"/>
      <w:kern w:val="0"/>
      <w:szCs w:val="24"/>
    </w:rPr>
  </w:style>
  <w:style w:type="paragraph" w:customStyle="1" w:styleId="4053">
    <w:name w:val="表格内字体122"/>
    <w:basedOn w:val="418"/>
    <w:next w:val="418"/>
    <w:qFormat/>
    <w:uiPriority w:val="0"/>
    <w:pPr>
      <w:spacing w:line="240" w:lineRule="auto"/>
      <w:ind w:firstLine="0"/>
      <w:jc w:val="center"/>
    </w:pPr>
    <w:rPr>
      <w:rFonts w:hAnsi="宋体"/>
      <w:sz w:val="21"/>
      <w:szCs w:val="24"/>
    </w:rPr>
  </w:style>
  <w:style w:type="paragraph" w:customStyle="1" w:styleId="4054">
    <w:name w:val="表题2111"/>
    <w:basedOn w:val="1"/>
    <w:qFormat/>
    <w:uiPriority w:val="0"/>
    <w:pPr>
      <w:widowControl/>
      <w:jc w:val="center"/>
    </w:pPr>
    <w:rPr>
      <w:rFonts w:ascii="黑体" w:hAnsi="宋体" w:eastAsia="黑体" w:cs="宋体"/>
      <w:kern w:val="0"/>
      <w:szCs w:val="24"/>
    </w:rPr>
  </w:style>
  <w:style w:type="paragraph" w:customStyle="1" w:styleId="4055">
    <w:name w:val="表内512"/>
    <w:basedOn w:val="1"/>
    <w:qFormat/>
    <w:uiPriority w:val="0"/>
    <w:pPr>
      <w:widowControl/>
      <w:jc w:val="center"/>
    </w:pPr>
    <w:rPr>
      <w:rFonts w:ascii="宋体" w:hAnsi="宋体" w:cs="宋体"/>
      <w:kern w:val="0"/>
      <w:sz w:val="20"/>
      <w:szCs w:val="20"/>
    </w:rPr>
  </w:style>
  <w:style w:type="paragraph" w:customStyle="1" w:styleId="4056">
    <w:name w:val="图题11"/>
    <w:basedOn w:val="418"/>
    <w:next w:val="418"/>
    <w:qFormat/>
    <w:uiPriority w:val="0"/>
    <w:pPr>
      <w:ind w:firstLine="0"/>
      <w:jc w:val="center"/>
    </w:pPr>
    <w:rPr>
      <w:rFonts w:ascii="黑体" w:hAnsi="宋体" w:eastAsia="黑体" w:cs="宋体"/>
      <w:b/>
      <w:bCs/>
      <w:szCs w:val="24"/>
    </w:rPr>
  </w:style>
  <w:style w:type="paragraph" w:customStyle="1" w:styleId="4057">
    <w:name w:val="Char426"/>
    <w:basedOn w:val="1"/>
    <w:qFormat/>
    <w:uiPriority w:val="0"/>
    <w:pPr>
      <w:widowControl/>
      <w:ind w:left="-48"/>
      <w:jc w:val="left"/>
    </w:pPr>
    <w:rPr>
      <w:rFonts w:ascii="宋体" w:hAnsi="宋体" w:cs="宋体"/>
      <w:kern w:val="0"/>
      <w:szCs w:val="24"/>
    </w:rPr>
  </w:style>
  <w:style w:type="paragraph" w:customStyle="1" w:styleId="4058">
    <w:name w:val="Char1021"/>
    <w:basedOn w:val="1"/>
    <w:qFormat/>
    <w:uiPriority w:val="0"/>
    <w:pPr>
      <w:widowControl/>
      <w:jc w:val="left"/>
    </w:pPr>
    <w:rPr>
      <w:rFonts w:ascii="宋体" w:hAnsi="宋体" w:cs="宋体"/>
      <w:kern w:val="0"/>
      <w:szCs w:val="24"/>
    </w:rPr>
  </w:style>
  <w:style w:type="paragraph" w:customStyle="1" w:styleId="4059">
    <w:name w:val="正文格式＝112"/>
    <w:basedOn w:val="418"/>
    <w:next w:val="418"/>
    <w:qFormat/>
    <w:uiPriority w:val="0"/>
    <w:rPr>
      <w:rFonts w:hAnsi="宋体"/>
      <w:szCs w:val="24"/>
    </w:rPr>
  </w:style>
  <w:style w:type="paragraph" w:customStyle="1" w:styleId="4060">
    <w:name w:val="列表接续 51"/>
    <w:basedOn w:val="1"/>
    <w:qFormat/>
    <w:uiPriority w:val="0"/>
    <w:pPr>
      <w:widowControl/>
      <w:spacing w:after="120"/>
      <w:ind w:left="2100" w:leftChars="1000"/>
      <w:jc w:val="left"/>
    </w:pPr>
    <w:rPr>
      <w:rFonts w:ascii="宋体" w:hAnsi="宋体" w:cs="宋体"/>
      <w:kern w:val="0"/>
      <w:szCs w:val="24"/>
    </w:rPr>
  </w:style>
  <w:style w:type="paragraph" w:customStyle="1" w:styleId="4061">
    <w:name w:val="表内文字小31312"/>
    <w:basedOn w:val="1"/>
    <w:qFormat/>
    <w:uiPriority w:val="0"/>
    <w:pPr>
      <w:widowControl/>
      <w:jc w:val="center"/>
    </w:pPr>
    <w:rPr>
      <w:rFonts w:ascii="宋体" w:hAnsi="Times" w:cs="宋体"/>
      <w:bCs/>
      <w:color w:val="003366"/>
      <w:kern w:val="0"/>
      <w:szCs w:val="20"/>
    </w:rPr>
  </w:style>
  <w:style w:type="paragraph" w:customStyle="1" w:styleId="4062">
    <w:name w:val="正文图五"/>
    <w:basedOn w:val="1"/>
    <w:qFormat/>
    <w:uiPriority w:val="0"/>
    <w:pPr>
      <w:widowControl/>
      <w:jc w:val="center"/>
    </w:pPr>
    <w:rPr>
      <w:rFonts w:ascii="宋体" w:hAnsi="宋体" w:cs="宋体"/>
      <w:snapToGrid w:val="0"/>
      <w:spacing w:val="6"/>
      <w:kern w:val="0"/>
      <w:szCs w:val="20"/>
    </w:rPr>
  </w:style>
  <w:style w:type="paragraph" w:customStyle="1" w:styleId="4063">
    <w:name w:val="Char512"/>
    <w:basedOn w:val="1"/>
    <w:qFormat/>
    <w:uiPriority w:val="0"/>
    <w:pPr>
      <w:widowControl/>
      <w:ind w:left="-45"/>
      <w:jc w:val="left"/>
    </w:pPr>
    <w:rPr>
      <w:rFonts w:ascii="宋体" w:hAnsi="宋体" w:cs="宋体"/>
      <w:kern w:val="0"/>
      <w:szCs w:val="24"/>
    </w:rPr>
  </w:style>
  <w:style w:type="paragraph" w:customStyle="1" w:styleId="4064">
    <w:name w:val="Char Char Char Char Char Char Char61"/>
    <w:basedOn w:val="1"/>
    <w:qFormat/>
    <w:uiPriority w:val="0"/>
    <w:pPr>
      <w:widowControl/>
      <w:jc w:val="left"/>
    </w:pPr>
    <w:rPr>
      <w:rFonts w:ascii="宋体" w:hAnsi="宋体" w:cs="宋体"/>
      <w:kern w:val="0"/>
      <w:szCs w:val="20"/>
    </w:rPr>
  </w:style>
  <w:style w:type="paragraph" w:customStyle="1" w:styleId="4065">
    <w:name w:val="正文修改8"/>
    <w:basedOn w:val="786"/>
    <w:qFormat/>
    <w:uiPriority w:val="0"/>
    <w:rPr>
      <w:rFonts w:hAnsi="宋体" w:eastAsia="宋体" w:cs="宋体"/>
      <w:szCs w:val="24"/>
    </w:rPr>
  </w:style>
  <w:style w:type="paragraph" w:customStyle="1" w:styleId="4066">
    <w:name w:val="图题1"/>
    <w:basedOn w:val="418"/>
    <w:next w:val="418"/>
    <w:qFormat/>
    <w:uiPriority w:val="0"/>
    <w:pPr>
      <w:ind w:firstLine="0"/>
      <w:jc w:val="center"/>
    </w:pPr>
    <w:rPr>
      <w:rFonts w:ascii="黑体" w:hAnsi="宋体" w:eastAsia="黑体" w:cs="宋体"/>
      <w:b/>
      <w:bCs/>
      <w:szCs w:val="24"/>
    </w:rPr>
  </w:style>
  <w:style w:type="paragraph" w:customStyle="1" w:styleId="4067">
    <w:name w:val="Char4311"/>
    <w:basedOn w:val="1"/>
    <w:qFormat/>
    <w:uiPriority w:val="0"/>
    <w:pPr>
      <w:widowControl/>
      <w:ind w:left="-48"/>
      <w:jc w:val="left"/>
    </w:pPr>
    <w:rPr>
      <w:rFonts w:ascii="宋体" w:hAnsi="宋体" w:cs="宋体"/>
      <w:kern w:val="0"/>
      <w:szCs w:val="24"/>
    </w:rPr>
  </w:style>
  <w:style w:type="paragraph" w:customStyle="1" w:styleId="4068">
    <w:name w:val="表内文字小4"/>
    <w:basedOn w:val="1"/>
    <w:qFormat/>
    <w:uiPriority w:val="0"/>
    <w:pPr>
      <w:widowControl/>
      <w:jc w:val="center"/>
    </w:pPr>
    <w:rPr>
      <w:rFonts w:ascii="宋体" w:hAnsi="Times" w:cs="宋体"/>
      <w:kern w:val="0"/>
      <w:szCs w:val="20"/>
    </w:rPr>
  </w:style>
  <w:style w:type="paragraph" w:customStyle="1" w:styleId="4069">
    <w:name w:val="图表名称21"/>
    <w:basedOn w:val="482"/>
    <w:qFormat/>
    <w:uiPriority w:val="0"/>
    <w:pPr>
      <w:spacing w:after="0" w:line="480" w:lineRule="exact"/>
      <w:ind w:firstLine="0" w:firstLineChars="0"/>
      <w:jc w:val="center"/>
    </w:pPr>
    <w:rPr>
      <w:rFonts w:ascii="宋体" w:hAnsi="宋体"/>
      <w:bCs/>
      <w:szCs w:val="24"/>
    </w:rPr>
  </w:style>
  <w:style w:type="paragraph" w:customStyle="1" w:styleId="4070">
    <w:name w:val="表格内字体521"/>
    <w:basedOn w:val="418"/>
    <w:next w:val="418"/>
    <w:qFormat/>
    <w:uiPriority w:val="0"/>
    <w:pPr>
      <w:spacing w:line="240" w:lineRule="auto"/>
      <w:ind w:firstLine="0"/>
    </w:pPr>
    <w:rPr>
      <w:rFonts w:hAnsi="宋体"/>
      <w:sz w:val="21"/>
      <w:szCs w:val="24"/>
    </w:rPr>
  </w:style>
  <w:style w:type="paragraph" w:customStyle="1" w:styleId="4071">
    <w:name w:val="xl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hint="eastAsia" w:ascii="PMingLiU" w:eastAsia="PMingLiU"/>
      <w:kern w:val="0"/>
      <w:sz w:val="16"/>
      <w:szCs w:val="16"/>
      <w:lang w:eastAsia="zh-TW"/>
    </w:rPr>
  </w:style>
  <w:style w:type="paragraph" w:customStyle="1" w:styleId="4072">
    <w:name w:val="表内文字小221"/>
    <w:basedOn w:val="1"/>
    <w:qFormat/>
    <w:uiPriority w:val="0"/>
    <w:pPr>
      <w:widowControl/>
      <w:jc w:val="center"/>
    </w:pPr>
    <w:rPr>
      <w:rFonts w:ascii="宋体" w:hAnsi="Times" w:cs="宋体"/>
      <w:bCs/>
      <w:kern w:val="0"/>
      <w:szCs w:val="20"/>
    </w:rPr>
  </w:style>
  <w:style w:type="paragraph" w:customStyle="1" w:styleId="4073">
    <w:name w:val="正文格式＝62"/>
    <w:basedOn w:val="418"/>
    <w:next w:val="418"/>
    <w:qFormat/>
    <w:uiPriority w:val="0"/>
    <w:rPr>
      <w:rFonts w:hAnsi="宋体"/>
      <w:szCs w:val="24"/>
    </w:rPr>
  </w:style>
  <w:style w:type="paragraph" w:customStyle="1" w:styleId="4074">
    <w:name w:val="样式 标题 3 + 五号 加粗 段前: 0 磅 段后: 0 磅 行距: 单倍行距"/>
    <w:basedOn w:val="4"/>
    <w:qFormat/>
    <w:uiPriority w:val="0"/>
    <w:pPr>
      <w:widowControl/>
      <w:spacing w:line="240" w:lineRule="auto"/>
    </w:pPr>
    <w:rPr>
      <w:rFonts w:cs="宋体"/>
      <w:b w:val="0"/>
      <w:szCs w:val="21"/>
    </w:rPr>
  </w:style>
  <w:style w:type="paragraph" w:customStyle="1" w:styleId="4075">
    <w:name w:val="默认段落字体 Para Char34"/>
    <w:basedOn w:val="1"/>
    <w:qFormat/>
    <w:uiPriority w:val="0"/>
    <w:pPr>
      <w:widowControl/>
      <w:jc w:val="left"/>
    </w:pPr>
    <w:rPr>
      <w:rFonts w:ascii="宋体" w:hAnsi="宋体" w:cs="宋体"/>
      <w:kern w:val="0"/>
      <w:szCs w:val="24"/>
    </w:rPr>
  </w:style>
  <w:style w:type="paragraph" w:customStyle="1" w:styleId="4076">
    <w:name w:val="黑体三号211"/>
    <w:basedOn w:val="418"/>
    <w:qFormat/>
    <w:uiPriority w:val="0"/>
    <w:pPr>
      <w:jc w:val="center"/>
    </w:pPr>
    <w:rPr>
      <w:rFonts w:ascii="黑体" w:hAnsi="宋体" w:eastAsia="黑体" w:cs="宋体"/>
      <w:b/>
      <w:bCs/>
      <w:sz w:val="32"/>
      <w:szCs w:val="20"/>
    </w:rPr>
  </w:style>
  <w:style w:type="paragraph" w:customStyle="1" w:styleId="4077">
    <w:name w:val="表内54131"/>
    <w:basedOn w:val="1"/>
    <w:qFormat/>
    <w:uiPriority w:val="0"/>
    <w:pPr>
      <w:widowControl/>
      <w:spacing w:line="300" w:lineRule="auto"/>
      <w:jc w:val="center"/>
    </w:pPr>
    <w:rPr>
      <w:rFonts w:ascii="宋体" w:hAnsi="宋体" w:cs="宋体"/>
      <w:kern w:val="0"/>
      <w:szCs w:val="20"/>
    </w:rPr>
  </w:style>
  <w:style w:type="paragraph" w:customStyle="1" w:styleId="4078">
    <w:name w:val="我的正文"/>
    <w:basedOn w:val="1"/>
    <w:qFormat/>
    <w:uiPriority w:val="0"/>
    <w:pPr>
      <w:ind w:firstLine="480"/>
    </w:pPr>
    <w:rPr>
      <w:rFonts w:cs="宋体"/>
      <w:szCs w:val="20"/>
    </w:rPr>
  </w:style>
  <w:style w:type="paragraph" w:customStyle="1" w:styleId="4079">
    <w:name w:val="Char Char Char Char Char Char Char36"/>
    <w:basedOn w:val="1"/>
    <w:qFormat/>
    <w:uiPriority w:val="0"/>
    <w:pPr>
      <w:widowControl/>
      <w:jc w:val="left"/>
    </w:pPr>
    <w:rPr>
      <w:rFonts w:ascii="宋体" w:hAnsi="宋体" w:cs="宋体"/>
      <w:kern w:val="0"/>
      <w:szCs w:val="24"/>
    </w:rPr>
  </w:style>
  <w:style w:type="paragraph" w:customStyle="1" w:styleId="4080">
    <w:name w:val="样式14"/>
    <w:basedOn w:val="1586"/>
    <w:qFormat/>
    <w:uiPriority w:val="0"/>
    <w:pPr>
      <w:spacing w:line="240" w:lineRule="auto"/>
      <w:ind w:firstLine="0"/>
      <w:jc w:val="center"/>
    </w:pPr>
    <w:rPr>
      <w:rFonts w:cs="Times New Roman"/>
      <w:b/>
      <w:color w:val="auto"/>
      <w:szCs w:val="20"/>
    </w:rPr>
  </w:style>
  <w:style w:type="paragraph" w:customStyle="1" w:styleId="4081">
    <w:name w:val="Char361"/>
    <w:basedOn w:val="1"/>
    <w:qFormat/>
    <w:uiPriority w:val="0"/>
    <w:pPr>
      <w:widowControl/>
      <w:ind w:left="-48"/>
      <w:jc w:val="left"/>
    </w:pPr>
    <w:rPr>
      <w:rFonts w:ascii="宋体" w:hAnsi="宋体" w:cs="宋体"/>
      <w:kern w:val="0"/>
      <w:szCs w:val="24"/>
    </w:rPr>
  </w:style>
  <w:style w:type="paragraph" w:customStyle="1" w:styleId="4082">
    <w:name w:val="表格内字体23"/>
    <w:basedOn w:val="418"/>
    <w:next w:val="418"/>
    <w:qFormat/>
    <w:uiPriority w:val="0"/>
    <w:pPr>
      <w:spacing w:line="240" w:lineRule="auto"/>
      <w:ind w:firstLine="0"/>
      <w:jc w:val="center"/>
    </w:pPr>
    <w:rPr>
      <w:rFonts w:hAnsi="宋体"/>
      <w:sz w:val="21"/>
      <w:szCs w:val="24"/>
    </w:rPr>
  </w:style>
  <w:style w:type="paragraph" w:customStyle="1" w:styleId="4083">
    <w:name w:val="Char Char Char Char Char Char Char Char Char Char Char Char Char Char Char1"/>
    <w:basedOn w:val="1"/>
    <w:qFormat/>
    <w:uiPriority w:val="0"/>
    <w:pPr>
      <w:widowControl/>
      <w:jc w:val="left"/>
    </w:pPr>
    <w:rPr>
      <w:rFonts w:ascii="宋体" w:hAnsi="宋体" w:cs="宋体"/>
      <w:kern w:val="0"/>
      <w:szCs w:val="24"/>
    </w:rPr>
  </w:style>
  <w:style w:type="paragraph" w:customStyle="1" w:styleId="4084">
    <w:name w:val="黑体三号121"/>
    <w:basedOn w:val="418"/>
    <w:qFormat/>
    <w:uiPriority w:val="0"/>
    <w:pPr>
      <w:jc w:val="center"/>
    </w:pPr>
    <w:rPr>
      <w:rFonts w:ascii="黑体" w:hAnsi="宋体" w:eastAsia="黑体" w:cs="宋体"/>
      <w:b/>
      <w:bCs/>
      <w:sz w:val="32"/>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67.emf"/><Relationship Id="rId98" Type="http://schemas.openxmlformats.org/officeDocument/2006/relationships/image" Target="media/image66.png"/><Relationship Id="rId97" Type="http://schemas.openxmlformats.org/officeDocument/2006/relationships/image" Target="media/image65.png"/><Relationship Id="rId96" Type="http://schemas.openxmlformats.org/officeDocument/2006/relationships/image" Target="media/image64.png"/><Relationship Id="rId95" Type="http://schemas.openxmlformats.org/officeDocument/2006/relationships/image" Target="media/image63.png"/><Relationship Id="rId94" Type="http://schemas.openxmlformats.org/officeDocument/2006/relationships/image" Target="media/image62.png"/><Relationship Id="rId93" Type="http://schemas.openxmlformats.org/officeDocument/2006/relationships/image" Target="media/image61.png"/><Relationship Id="rId92" Type="http://schemas.openxmlformats.org/officeDocument/2006/relationships/image" Target="media/image60.png"/><Relationship Id="rId91" Type="http://schemas.openxmlformats.org/officeDocument/2006/relationships/image" Target="media/image59.png"/><Relationship Id="rId90" Type="http://schemas.openxmlformats.org/officeDocument/2006/relationships/image" Target="media/image58.png"/><Relationship Id="rId9" Type="http://schemas.openxmlformats.org/officeDocument/2006/relationships/footer" Target="footer2.xml"/><Relationship Id="rId89" Type="http://schemas.openxmlformats.org/officeDocument/2006/relationships/image" Target="media/image57.png"/><Relationship Id="rId88" Type="http://schemas.openxmlformats.org/officeDocument/2006/relationships/image" Target="media/image56.png"/><Relationship Id="rId87" Type="http://schemas.openxmlformats.org/officeDocument/2006/relationships/image" Target="media/image55.png"/><Relationship Id="rId86" Type="http://schemas.openxmlformats.org/officeDocument/2006/relationships/image" Target="media/image54.png"/><Relationship Id="rId85" Type="http://schemas.openxmlformats.org/officeDocument/2006/relationships/image" Target="media/image53.png"/><Relationship Id="rId84" Type="http://schemas.openxmlformats.org/officeDocument/2006/relationships/image" Target="media/image52.png"/><Relationship Id="rId83" Type="http://schemas.openxmlformats.org/officeDocument/2006/relationships/image" Target="media/image51.png"/><Relationship Id="rId82" Type="http://schemas.openxmlformats.org/officeDocument/2006/relationships/image" Target="media/image50.png"/><Relationship Id="rId81" Type="http://schemas.openxmlformats.org/officeDocument/2006/relationships/image" Target="media/image49.png"/><Relationship Id="rId80" Type="http://schemas.openxmlformats.org/officeDocument/2006/relationships/image" Target="media/image48.png"/><Relationship Id="rId8" Type="http://schemas.openxmlformats.org/officeDocument/2006/relationships/footer" Target="footer1.xml"/><Relationship Id="rId79" Type="http://schemas.openxmlformats.org/officeDocument/2006/relationships/image" Target="media/image47.png"/><Relationship Id="rId78" Type="http://schemas.openxmlformats.org/officeDocument/2006/relationships/image" Target="media/image46.png"/><Relationship Id="rId77" Type="http://schemas.openxmlformats.org/officeDocument/2006/relationships/image" Target="media/image45.png"/><Relationship Id="rId76" Type="http://schemas.openxmlformats.org/officeDocument/2006/relationships/image" Target="media/image44.png"/><Relationship Id="rId75" Type="http://schemas.openxmlformats.org/officeDocument/2006/relationships/image" Target="media/image43.png"/><Relationship Id="rId74" Type="http://schemas.openxmlformats.org/officeDocument/2006/relationships/image" Target="media/image42.png"/><Relationship Id="rId73" Type="http://schemas.openxmlformats.org/officeDocument/2006/relationships/image" Target="media/image41.wmf"/><Relationship Id="rId72" Type="http://schemas.openxmlformats.org/officeDocument/2006/relationships/oleObject" Target="embeddings/oleObject11.bin"/><Relationship Id="rId71" Type="http://schemas.openxmlformats.org/officeDocument/2006/relationships/image" Target="media/image40.wmf"/><Relationship Id="rId70" Type="http://schemas.openxmlformats.org/officeDocument/2006/relationships/oleObject" Target="embeddings/oleObject10.bin"/><Relationship Id="rId7" Type="http://schemas.openxmlformats.org/officeDocument/2006/relationships/header" Target="header3.xml"/><Relationship Id="rId69" Type="http://schemas.openxmlformats.org/officeDocument/2006/relationships/image" Target="media/image39.png"/><Relationship Id="rId68" Type="http://schemas.openxmlformats.org/officeDocument/2006/relationships/image" Target="media/image38.png"/><Relationship Id="rId67" Type="http://schemas.openxmlformats.org/officeDocument/2006/relationships/image" Target="media/image37.png"/><Relationship Id="rId66" Type="http://schemas.openxmlformats.org/officeDocument/2006/relationships/image" Target="media/image36.png"/><Relationship Id="rId65" Type="http://schemas.openxmlformats.org/officeDocument/2006/relationships/image" Target="media/image35.png"/><Relationship Id="rId64" Type="http://schemas.openxmlformats.org/officeDocument/2006/relationships/image" Target="media/image34.wmf"/><Relationship Id="rId63" Type="http://schemas.openxmlformats.org/officeDocument/2006/relationships/oleObject" Target="embeddings/oleObject9.bin"/><Relationship Id="rId62" Type="http://schemas.openxmlformats.org/officeDocument/2006/relationships/oleObject" Target="embeddings/oleObject8.bin"/><Relationship Id="rId61" Type="http://schemas.openxmlformats.org/officeDocument/2006/relationships/image" Target="media/image33.wmf"/><Relationship Id="rId60" Type="http://schemas.openxmlformats.org/officeDocument/2006/relationships/oleObject" Target="embeddings/oleObject7.bin"/><Relationship Id="rId6" Type="http://schemas.openxmlformats.org/officeDocument/2006/relationships/header" Target="header2.xml"/><Relationship Id="rId59" Type="http://schemas.openxmlformats.org/officeDocument/2006/relationships/image" Target="media/image32.wmf"/><Relationship Id="rId58" Type="http://schemas.openxmlformats.org/officeDocument/2006/relationships/oleObject" Target="embeddings/oleObject6.bin"/><Relationship Id="rId57" Type="http://schemas.openxmlformats.org/officeDocument/2006/relationships/image" Target="media/image31.png"/><Relationship Id="rId56" Type="http://schemas.openxmlformats.org/officeDocument/2006/relationships/image" Target="media/image30.jpeg"/><Relationship Id="rId55" Type="http://schemas.openxmlformats.org/officeDocument/2006/relationships/image" Target="media/image29.png"/><Relationship Id="rId54" Type="http://schemas.openxmlformats.org/officeDocument/2006/relationships/image" Target="media/image28.jpeg"/><Relationship Id="rId53" Type="http://schemas.openxmlformats.org/officeDocument/2006/relationships/image" Target="media/image27.png"/><Relationship Id="rId52" Type="http://schemas.openxmlformats.org/officeDocument/2006/relationships/image" Target="media/image26.png"/><Relationship Id="rId51" Type="http://schemas.openxmlformats.org/officeDocument/2006/relationships/image" Target="media/image25.png"/><Relationship Id="rId50" Type="http://schemas.openxmlformats.org/officeDocument/2006/relationships/image" Target="media/image24.png"/><Relationship Id="rId5" Type="http://schemas.openxmlformats.org/officeDocument/2006/relationships/header" Target="header1.xml"/><Relationship Id="rId49" Type="http://schemas.openxmlformats.org/officeDocument/2006/relationships/image" Target="media/image23.png"/><Relationship Id="rId48" Type="http://schemas.openxmlformats.org/officeDocument/2006/relationships/image" Target="media/image22.png"/><Relationship Id="rId47" Type="http://schemas.openxmlformats.org/officeDocument/2006/relationships/image" Target="media/image21.png"/><Relationship Id="rId46" Type="http://schemas.openxmlformats.org/officeDocument/2006/relationships/image" Target="media/image20.png"/><Relationship Id="rId45" Type="http://schemas.openxmlformats.org/officeDocument/2006/relationships/image" Target="media/image19.png"/><Relationship Id="rId44" Type="http://schemas.openxmlformats.org/officeDocument/2006/relationships/image" Target="media/image18.png"/><Relationship Id="rId43" Type="http://schemas.openxmlformats.org/officeDocument/2006/relationships/image" Target="media/image17.jpeg"/><Relationship Id="rId42" Type="http://schemas.openxmlformats.org/officeDocument/2006/relationships/image" Target="media/image16.png"/><Relationship Id="rId41" Type="http://schemas.openxmlformats.org/officeDocument/2006/relationships/image" Target="media/image15.jpeg"/><Relationship Id="rId40" Type="http://schemas.openxmlformats.org/officeDocument/2006/relationships/image" Target="media/image14.png"/><Relationship Id="rId4" Type="http://schemas.openxmlformats.org/officeDocument/2006/relationships/endnotes" Target="endnotes.xml"/><Relationship Id="rId39" Type="http://schemas.openxmlformats.org/officeDocument/2006/relationships/image" Target="media/image13.png"/><Relationship Id="rId38" Type="http://schemas.openxmlformats.org/officeDocument/2006/relationships/image" Target="media/image12.png"/><Relationship Id="rId37" Type="http://schemas.openxmlformats.org/officeDocument/2006/relationships/image" Target="media/image11.png"/><Relationship Id="rId36" Type="http://schemas.openxmlformats.org/officeDocument/2006/relationships/image" Target="media/image10.png"/><Relationship Id="rId35" Type="http://schemas.openxmlformats.org/officeDocument/2006/relationships/image" Target="media/image9.jpeg"/><Relationship Id="rId34" Type="http://schemas.openxmlformats.org/officeDocument/2006/relationships/image" Target="media/image8.png"/><Relationship Id="rId33" Type="http://schemas.openxmlformats.org/officeDocument/2006/relationships/image" Target="media/image7.png"/><Relationship Id="rId32" Type="http://schemas.openxmlformats.org/officeDocument/2006/relationships/image" Target="media/image6.wmf"/><Relationship Id="rId31" Type="http://schemas.openxmlformats.org/officeDocument/2006/relationships/oleObject" Target="embeddings/oleObject5.bin"/><Relationship Id="rId30" Type="http://schemas.openxmlformats.org/officeDocument/2006/relationships/image" Target="media/image5.wmf"/><Relationship Id="rId3" Type="http://schemas.openxmlformats.org/officeDocument/2006/relationships/footnotes" Target="footnotes.xml"/><Relationship Id="rId29" Type="http://schemas.openxmlformats.org/officeDocument/2006/relationships/oleObject" Target="embeddings/oleObject4.bin"/><Relationship Id="rId28" Type="http://schemas.openxmlformats.org/officeDocument/2006/relationships/image" Target="media/image4.wmf"/><Relationship Id="rId27" Type="http://schemas.openxmlformats.org/officeDocument/2006/relationships/oleObject" Target="embeddings/oleObject3.bin"/><Relationship Id="rId26" Type="http://schemas.openxmlformats.org/officeDocument/2006/relationships/image" Target="media/image3.wmf"/><Relationship Id="rId25" Type="http://schemas.openxmlformats.org/officeDocument/2006/relationships/oleObject" Target="embeddings/oleObject2.bin"/><Relationship Id="rId24" Type="http://schemas.openxmlformats.org/officeDocument/2006/relationships/image" Target="media/image2.emf"/><Relationship Id="rId239" Type="http://schemas.openxmlformats.org/officeDocument/2006/relationships/fontTable" Target="fontTable.xml"/><Relationship Id="rId238" Type="http://schemas.openxmlformats.org/officeDocument/2006/relationships/numbering" Target="numbering.xml"/><Relationship Id="rId237" Type="http://schemas.openxmlformats.org/officeDocument/2006/relationships/customXml" Target="../customXml/item1.xml"/><Relationship Id="rId236" Type="http://schemas.openxmlformats.org/officeDocument/2006/relationships/image" Target="media/image177.jpeg"/><Relationship Id="rId235" Type="http://schemas.openxmlformats.org/officeDocument/2006/relationships/image" Target="media/image176.png"/><Relationship Id="rId234" Type="http://schemas.openxmlformats.org/officeDocument/2006/relationships/image" Target="media/image175.png"/><Relationship Id="rId233" Type="http://schemas.openxmlformats.org/officeDocument/2006/relationships/image" Target="media/image174.png"/><Relationship Id="rId232" Type="http://schemas.openxmlformats.org/officeDocument/2006/relationships/image" Target="media/image173.jpeg"/><Relationship Id="rId231" Type="http://schemas.openxmlformats.org/officeDocument/2006/relationships/image" Target="media/image172.jpeg"/><Relationship Id="rId230" Type="http://schemas.openxmlformats.org/officeDocument/2006/relationships/image" Target="media/image171.png"/><Relationship Id="rId23" Type="http://schemas.openxmlformats.org/officeDocument/2006/relationships/oleObject" Target="embeddings/oleObject1.bin"/><Relationship Id="rId229" Type="http://schemas.openxmlformats.org/officeDocument/2006/relationships/image" Target="media/image170.png"/><Relationship Id="rId228" Type="http://schemas.openxmlformats.org/officeDocument/2006/relationships/image" Target="media/image169.png"/><Relationship Id="rId227" Type="http://schemas.openxmlformats.org/officeDocument/2006/relationships/image" Target="media/image168.png"/><Relationship Id="rId226" Type="http://schemas.openxmlformats.org/officeDocument/2006/relationships/image" Target="media/image167.png"/><Relationship Id="rId225" Type="http://schemas.openxmlformats.org/officeDocument/2006/relationships/image" Target="media/image166.png"/><Relationship Id="rId224" Type="http://schemas.openxmlformats.org/officeDocument/2006/relationships/image" Target="media/image165.wmf"/><Relationship Id="rId223" Type="http://schemas.openxmlformats.org/officeDocument/2006/relationships/oleObject" Target="embeddings/oleObject37.bin"/><Relationship Id="rId222" Type="http://schemas.openxmlformats.org/officeDocument/2006/relationships/image" Target="media/image164.wmf"/><Relationship Id="rId221" Type="http://schemas.openxmlformats.org/officeDocument/2006/relationships/oleObject" Target="embeddings/oleObject36.bin"/><Relationship Id="rId220" Type="http://schemas.openxmlformats.org/officeDocument/2006/relationships/image" Target="media/image163.wmf"/><Relationship Id="rId22" Type="http://schemas.openxmlformats.org/officeDocument/2006/relationships/image" Target="media/image1.png"/><Relationship Id="rId219" Type="http://schemas.openxmlformats.org/officeDocument/2006/relationships/oleObject" Target="embeddings/oleObject35.bin"/><Relationship Id="rId218" Type="http://schemas.openxmlformats.org/officeDocument/2006/relationships/image" Target="media/image162.wmf"/><Relationship Id="rId217" Type="http://schemas.openxmlformats.org/officeDocument/2006/relationships/oleObject" Target="embeddings/oleObject34.bin"/><Relationship Id="rId216" Type="http://schemas.openxmlformats.org/officeDocument/2006/relationships/image" Target="media/image161.wmf"/><Relationship Id="rId215" Type="http://schemas.openxmlformats.org/officeDocument/2006/relationships/image" Target="media/image160.wmf"/><Relationship Id="rId214" Type="http://schemas.openxmlformats.org/officeDocument/2006/relationships/oleObject" Target="embeddings/oleObject33.bin"/><Relationship Id="rId213" Type="http://schemas.openxmlformats.org/officeDocument/2006/relationships/image" Target="media/image159.wmf"/><Relationship Id="rId212" Type="http://schemas.openxmlformats.org/officeDocument/2006/relationships/oleObject" Target="embeddings/oleObject32.bin"/><Relationship Id="rId211" Type="http://schemas.openxmlformats.org/officeDocument/2006/relationships/image" Target="media/image158.wmf"/><Relationship Id="rId210" Type="http://schemas.openxmlformats.org/officeDocument/2006/relationships/oleObject" Target="embeddings/oleObject31.bin"/><Relationship Id="rId21" Type="http://schemas.openxmlformats.org/officeDocument/2006/relationships/theme" Target="theme/theme1.xml"/><Relationship Id="rId209" Type="http://schemas.openxmlformats.org/officeDocument/2006/relationships/image" Target="media/image157.wmf"/><Relationship Id="rId208" Type="http://schemas.openxmlformats.org/officeDocument/2006/relationships/oleObject" Target="embeddings/oleObject30.bin"/><Relationship Id="rId207" Type="http://schemas.openxmlformats.org/officeDocument/2006/relationships/image" Target="media/image156.wmf"/><Relationship Id="rId206" Type="http://schemas.openxmlformats.org/officeDocument/2006/relationships/oleObject" Target="embeddings/oleObject29.bin"/><Relationship Id="rId205" Type="http://schemas.openxmlformats.org/officeDocument/2006/relationships/image" Target="media/image155.wmf"/><Relationship Id="rId204" Type="http://schemas.openxmlformats.org/officeDocument/2006/relationships/oleObject" Target="embeddings/oleObject28.bin"/><Relationship Id="rId203" Type="http://schemas.openxmlformats.org/officeDocument/2006/relationships/image" Target="media/image154.wmf"/><Relationship Id="rId202" Type="http://schemas.openxmlformats.org/officeDocument/2006/relationships/oleObject" Target="embeddings/oleObject27.bin"/><Relationship Id="rId201" Type="http://schemas.openxmlformats.org/officeDocument/2006/relationships/image" Target="media/image153.wmf"/><Relationship Id="rId200" Type="http://schemas.openxmlformats.org/officeDocument/2006/relationships/oleObject" Target="embeddings/oleObject26.bin"/><Relationship Id="rId20" Type="http://schemas.openxmlformats.org/officeDocument/2006/relationships/header" Target="header11.xml"/><Relationship Id="rId2" Type="http://schemas.openxmlformats.org/officeDocument/2006/relationships/settings" Target="settings.xml"/><Relationship Id="rId199" Type="http://schemas.openxmlformats.org/officeDocument/2006/relationships/image" Target="media/image152.wmf"/><Relationship Id="rId198" Type="http://schemas.openxmlformats.org/officeDocument/2006/relationships/oleObject" Target="embeddings/oleObject25.bin"/><Relationship Id="rId197" Type="http://schemas.openxmlformats.org/officeDocument/2006/relationships/image" Target="media/image151.wmf"/><Relationship Id="rId196" Type="http://schemas.openxmlformats.org/officeDocument/2006/relationships/oleObject" Target="embeddings/oleObject24.bin"/><Relationship Id="rId195" Type="http://schemas.openxmlformats.org/officeDocument/2006/relationships/image" Target="media/image150.wmf"/><Relationship Id="rId194" Type="http://schemas.openxmlformats.org/officeDocument/2006/relationships/oleObject" Target="embeddings/oleObject23.bin"/><Relationship Id="rId193" Type="http://schemas.openxmlformats.org/officeDocument/2006/relationships/image" Target="media/image149.wmf"/><Relationship Id="rId192" Type="http://schemas.openxmlformats.org/officeDocument/2006/relationships/oleObject" Target="embeddings/oleObject22.bin"/><Relationship Id="rId191" Type="http://schemas.openxmlformats.org/officeDocument/2006/relationships/image" Target="media/image148.png"/><Relationship Id="rId190" Type="http://schemas.openxmlformats.org/officeDocument/2006/relationships/image" Target="media/image147.png"/><Relationship Id="rId19" Type="http://schemas.openxmlformats.org/officeDocument/2006/relationships/header" Target="header10.xml"/><Relationship Id="rId189" Type="http://schemas.openxmlformats.org/officeDocument/2006/relationships/image" Target="media/image146.jpeg"/><Relationship Id="rId188" Type="http://schemas.openxmlformats.org/officeDocument/2006/relationships/image" Target="media/image145.png"/><Relationship Id="rId187" Type="http://schemas.openxmlformats.org/officeDocument/2006/relationships/image" Target="media/image144.png"/><Relationship Id="rId186" Type="http://schemas.openxmlformats.org/officeDocument/2006/relationships/image" Target="media/image143.png"/><Relationship Id="rId185" Type="http://schemas.openxmlformats.org/officeDocument/2006/relationships/image" Target="media/image142.png"/><Relationship Id="rId184" Type="http://schemas.openxmlformats.org/officeDocument/2006/relationships/image" Target="media/image141.png"/><Relationship Id="rId183" Type="http://schemas.openxmlformats.org/officeDocument/2006/relationships/image" Target="media/image140.jpeg"/><Relationship Id="rId182" Type="http://schemas.openxmlformats.org/officeDocument/2006/relationships/image" Target="media/image139.jpeg"/><Relationship Id="rId181" Type="http://schemas.openxmlformats.org/officeDocument/2006/relationships/image" Target="media/image138.wmf"/><Relationship Id="rId180" Type="http://schemas.openxmlformats.org/officeDocument/2006/relationships/image" Target="media/image137.png"/><Relationship Id="rId18" Type="http://schemas.openxmlformats.org/officeDocument/2006/relationships/header" Target="header9.xml"/><Relationship Id="rId179" Type="http://schemas.openxmlformats.org/officeDocument/2006/relationships/image" Target="media/image136.png"/><Relationship Id="rId178" Type="http://schemas.openxmlformats.org/officeDocument/2006/relationships/image" Target="media/image135.png"/><Relationship Id="rId177" Type="http://schemas.openxmlformats.org/officeDocument/2006/relationships/image" Target="media/image134.jpeg"/><Relationship Id="rId176" Type="http://schemas.microsoft.com/office/2007/relationships/hdphoto" Target="media/image133.wdp"/><Relationship Id="rId175" Type="http://schemas.openxmlformats.org/officeDocument/2006/relationships/image" Target="media/image132.png"/><Relationship Id="rId174" Type="http://schemas.openxmlformats.org/officeDocument/2006/relationships/image" Target="media/image131.jpeg"/><Relationship Id="rId173" Type="http://schemas.openxmlformats.org/officeDocument/2006/relationships/image" Target="media/image130.jpeg"/><Relationship Id="rId172" Type="http://schemas.openxmlformats.org/officeDocument/2006/relationships/image" Target="media/image129.jpeg"/><Relationship Id="rId171" Type="http://schemas.openxmlformats.org/officeDocument/2006/relationships/image" Target="media/image128.jpeg"/><Relationship Id="rId170" Type="http://schemas.openxmlformats.org/officeDocument/2006/relationships/image" Target="media/image127.png"/><Relationship Id="rId17" Type="http://schemas.openxmlformats.org/officeDocument/2006/relationships/header" Target="header8.xml"/><Relationship Id="rId169" Type="http://schemas.openxmlformats.org/officeDocument/2006/relationships/image" Target="media/image126.png"/><Relationship Id="rId168" Type="http://schemas.openxmlformats.org/officeDocument/2006/relationships/image" Target="media/image125.png"/><Relationship Id="rId167" Type="http://schemas.openxmlformats.org/officeDocument/2006/relationships/image" Target="media/image124.png"/><Relationship Id="rId166" Type="http://schemas.openxmlformats.org/officeDocument/2006/relationships/image" Target="media/image123.emf"/><Relationship Id="rId165" Type="http://schemas.openxmlformats.org/officeDocument/2006/relationships/image" Target="media/image122.emf"/><Relationship Id="rId164" Type="http://schemas.openxmlformats.org/officeDocument/2006/relationships/image" Target="media/image121.wmf"/><Relationship Id="rId163" Type="http://schemas.openxmlformats.org/officeDocument/2006/relationships/image" Target="media/image120.wmf"/><Relationship Id="rId162" Type="http://schemas.openxmlformats.org/officeDocument/2006/relationships/image" Target="media/image119.wmf"/><Relationship Id="rId161" Type="http://schemas.openxmlformats.org/officeDocument/2006/relationships/image" Target="media/image118.wmf"/><Relationship Id="rId160" Type="http://schemas.openxmlformats.org/officeDocument/2006/relationships/image" Target="media/image117.wmf"/><Relationship Id="rId16" Type="http://schemas.openxmlformats.org/officeDocument/2006/relationships/header" Target="header7.xml"/><Relationship Id="rId159" Type="http://schemas.openxmlformats.org/officeDocument/2006/relationships/oleObject" Target="embeddings/oleObject21.bin"/><Relationship Id="rId158" Type="http://schemas.openxmlformats.org/officeDocument/2006/relationships/image" Target="media/image116.wmf"/><Relationship Id="rId157" Type="http://schemas.openxmlformats.org/officeDocument/2006/relationships/image" Target="media/image115.wmf"/><Relationship Id="rId156" Type="http://schemas.openxmlformats.org/officeDocument/2006/relationships/image" Target="media/image114.jpeg"/><Relationship Id="rId155" Type="http://schemas.openxmlformats.org/officeDocument/2006/relationships/image" Target="media/image113.jpeg"/><Relationship Id="rId154" Type="http://schemas.openxmlformats.org/officeDocument/2006/relationships/image" Target="media/image112.jpeg"/><Relationship Id="rId153" Type="http://schemas.openxmlformats.org/officeDocument/2006/relationships/image" Target="media/image111.png"/><Relationship Id="rId152" Type="http://schemas.openxmlformats.org/officeDocument/2006/relationships/image" Target="media/image110.jpeg"/><Relationship Id="rId151" Type="http://schemas.openxmlformats.org/officeDocument/2006/relationships/image" Target="media/image109.jpeg"/><Relationship Id="rId150" Type="http://schemas.openxmlformats.org/officeDocument/2006/relationships/image" Target="media/image108.jpeg"/><Relationship Id="rId15" Type="http://schemas.openxmlformats.org/officeDocument/2006/relationships/header" Target="header6.xml"/><Relationship Id="rId149" Type="http://schemas.openxmlformats.org/officeDocument/2006/relationships/image" Target="media/image107.jpeg"/><Relationship Id="rId148" Type="http://schemas.openxmlformats.org/officeDocument/2006/relationships/image" Target="media/image106.png"/><Relationship Id="rId147" Type="http://schemas.openxmlformats.org/officeDocument/2006/relationships/image" Target="media/image105.png"/><Relationship Id="rId146" Type="http://schemas.openxmlformats.org/officeDocument/2006/relationships/chart" Target="charts/chart1.xml"/><Relationship Id="rId145" Type="http://schemas.openxmlformats.org/officeDocument/2006/relationships/image" Target="media/image104.jpeg"/><Relationship Id="rId144" Type="http://schemas.openxmlformats.org/officeDocument/2006/relationships/image" Target="media/image103.jpeg"/><Relationship Id="rId143" Type="http://schemas.openxmlformats.org/officeDocument/2006/relationships/image" Target="media/image102.jpeg"/><Relationship Id="rId142" Type="http://schemas.openxmlformats.org/officeDocument/2006/relationships/image" Target="media/image101.jpeg"/><Relationship Id="rId141" Type="http://schemas.openxmlformats.org/officeDocument/2006/relationships/image" Target="media/image100.jpeg"/><Relationship Id="rId140" Type="http://schemas.openxmlformats.org/officeDocument/2006/relationships/image" Target="media/image99.jpeg"/><Relationship Id="rId14" Type="http://schemas.openxmlformats.org/officeDocument/2006/relationships/footer" Target="footer5.xml"/><Relationship Id="rId139" Type="http://schemas.openxmlformats.org/officeDocument/2006/relationships/image" Target="media/image98.jpeg"/><Relationship Id="rId138" Type="http://schemas.openxmlformats.org/officeDocument/2006/relationships/image" Target="media/image97.jpeg"/><Relationship Id="rId137" Type="http://schemas.openxmlformats.org/officeDocument/2006/relationships/image" Target="media/image96.png"/><Relationship Id="rId136" Type="http://schemas.openxmlformats.org/officeDocument/2006/relationships/image" Target="media/image95.png"/><Relationship Id="rId135" Type="http://schemas.openxmlformats.org/officeDocument/2006/relationships/image" Target="media/image94.jpeg"/><Relationship Id="rId134" Type="http://schemas.openxmlformats.org/officeDocument/2006/relationships/image" Target="media/image93.png"/><Relationship Id="rId133" Type="http://schemas.openxmlformats.org/officeDocument/2006/relationships/image" Target="media/image92.png"/><Relationship Id="rId132" Type="http://schemas.openxmlformats.org/officeDocument/2006/relationships/image" Target="media/image91.png"/><Relationship Id="rId131" Type="http://schemas.openxmlformats.org/officeDocument/2006/relationships/image" Target="media/image90.jpeg"/><Relationship Id="rId130" Type="http://schemas.openxmlformats.org/officeDocument/2006/relationships/image" Target="media/image89.png"/><Relationship Id="rId13" Type="http://schemas.openxmlformats.org/officeDocument/2006/relationships/header" Target="header5.xml"/><Relationship Id="rId129" Type="http://schemas.openxmlformats.org/officeDocument/2006/relationships/image" Target="media/image88.png"/><Relationship Id="rId128" Type="http://schemas.openxmlformats.org/officeDocument/2006/relationships/image" Target="media/image87.png"/><Relationship Id="rId127" Type="http://schemas.openxmlformats.org/officeDocument/2006/relationships/image" Target="media/image86.jpeg"/><Relationship Id="rId126" Type="http://schemas.openxmlformats.org/officeDocument/2006/relationships/image" Target="media/image85.png"/><Relationship Id="rId125" Type="http://schemas.openxmlformats.org/officeDocument/2006/relationships/image" Target="media/image84.wmf"/><Relationship Id="rId124" Type="http://schemas.openxmlformats.org/officeDocument/2006/relationships/oleObject" Target="embeddings/oleObject20.bin"/><Relationship Id="rId123" Type="http://schemas.openxmlformats.org/officeDocument/2006/relationships/image" Target="media/image83.wmf"/><Relationship Id="rId122" Type="http://schemas.openxmlformats.org/officeDocument/2006/relationships/oleObject" Target="embeddings/oleObject19.bin"/><Relationship Id="rId121" Type="http://schemas.openxmlformats.org/officeDocument/2006/relationships/image" Target="media/image82.wmf"/><Relationship Id="rId120" Type="http://schemas.openxmlformats.org/officeDocument/2006/relationships/oleObject" Target="embeddings/oleObject18.bin"/><Relationship Id="rId12" Type="http://schemas.openxmlformats.org/officeDocument/2006/relationships/footer" Target="footer4.xml"/><Relationship Id="rId119" Type="http://schemas.openxmlformats.org/officeDocument/2006/relationships/image" Target="media/image81.wmf"/><Relationship Id="rId118" Type="http://schemas.openxmlformats.org/officeDocument/2006/relationships/oleObject" Target="embeddings/oleObject17.bin"/><Relationship Id="rId117" Type="http://schemas.openxmlformats.org/officeDocument/2006/relationships/image" Target="media/image80.wmf"/><Relationship Id="rId116" Type="http://schemas.openxmlformats.org/officeDocument/2006/relationships/oleObject" Target="embeddings/oleObject16.bin"/><Relationship Id="rId115" Type="http://schemas.openxmlformats.org/officeDocument/2006/relationships/image" Target="media/image79.wmf"/><Relationship Id="rId114" Type="http://schemas.openxmlformats.org/officeDocument/2006/relationships/oleObject" Target="embeddings/oleObject15.bin"/><Relationship Id="rId113" Type="http://schemas.openxmlformats.org/officeDocument/2006/relationships/image" Target="media/image78.wmf"/><Relationship Id="rId112" Type="http://schemas.openxmlformats.org/officeDocument/2006/relationships/oleObject" Target="embeddings/oleObject14.bin"/><Relationship Id="rId111" Type="http://schemas.openxmlformats.org/officeDocument/2006/relationships/image" Target="media/image77.png"/><Relationship Id="rId110" Type="http://schemas.openxmlformats.org/officeDocument/2006/relationships/image" Target="media/image76.png"/><Relationship Id="rId11" Type="http://schemas.openxmlformats.org/officeDocument/2006/relationships/header" Target="header4.xml"/><Relationship Id="rId109" Type="http://schemas.openxmlformats.org/officeDocument/2006/relationships/image" Target="media/image75.png"/><Relationship Id="rId108" Type="http://schemas.openxmlformats.org/officeDocument/2006/relationships/image" Target="media/image74.png"/><Relationship Id="rId107" Type="http://schemas.openxmlformats.org/officeDocument/2006/relationships/image" Target="media/image73.png"/><Relationship Id="rId106" Type="http://schemas.openxmlformats.org/officeDocument/2006/relationships/image" Target="media/image72.png"/><Relationship Id="rId105" Type="http://schemas.openxmlformats.org/officeDocument/2006/relationships/image" Target="media/image71.emf"/><Relationship Id="rId104" Type="http://schemas.openxmlformats.org/officeDocument/2006/relationships/oleObject" Target="embeddings/oleObject13.bin"/><Relationship Id="rId103" Type="http://schemas.openxmlformats.org/officeDocument/2006/relationships/image" Target="media/image70.emf"/><Relationship Id="rId102" Type="http://schemas.openxmlformats.org/officeDocument/2006/relationships/oleObject" Target="embeddings/oleObject12.bin"/><Relationship Id="rId101" Type="http://schemas.openxmlformats.org/officeDocument/2006/relationships/image" Target="media/image69.emf"/><Relationship Id="rId100" Type="http://schemas.openxmlformats.org/officeDocument/2006/relationships/image" Target="media/image68.emf"/><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themeOverride" Target="../theme/themeOverrid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true"/>
    <c:plotArea>
      <c:layout>
        <c:manualLayout>
          <c:layoutTarget val="inner"/>
          <c:xMode val="edge"/>
          <c:yMode val="edge"/>
          <c:x val="0.0686411495860315"/>
          <c:y val="0.125550878378163"/>
          <c:w val="0.916237970253718"/>
          <c:h val="0.622466462525518"/>
        </c:manualLayout>
      </c:layout>
      <c:barChart>
        <c:barDir val="col"/>
        <c:grouping val="stacked"/>
        <c:varyColors val="false"/>
        <c:ser>
          <c:idx val="0"/>
          <c:order val="0"/>
          <c:spPr>
            <a:solidFill>
              <a:schemeClr val="accent1">
                <a:alpha val="85000"/>
              </a:schemeClr>
            </a:solidFill>
            <a:ln w="9525" cap="flat" cmpd="sng" algn="ctr">
              <a:solidFill>
                <a:schemeClr val="lt1">
                  <a:alpha val="50000"/>
                </a:schemeClr>
              </a:solidFill>
              <a:round/>
            </a:ln>
            <a:effectLst/>
          </c:spPr>
          <c:invertIfNegative val="false"/>
          <c:dLbls>
            <c:spPr>
              <a:noFill/>
              <a:ln>
                <a:noFill/>
              </a:ln>
              <a:effectLst/>
            </c:spPr>
            <c:txPr>
              <a:bodyPr rot="0" spcFirstLastPara="1" vertOverflow="ellipsis" vert="horz" wrap="square" lIns="38100" tIns="19050" rIns="38100" bIns="19050" anchor="ctr" anchorCtr="true">
                <a:spAutoFit/>
              </a:bodyPr>
              <a:lstStyle/>
              <a:p>
                <a:pPr>
                  <a:defRPr lang="zh-CN" sz="900" b="1" i="0" u="none" strike="noStrike" kern="1200" baseline="0">
                    <a:solidFill>
                      <a:schemeClr val="lt1"/>
                    </a:solidFill>
                    <a:latin typeface="+mn-lt"/>
                    <a:ea typeface="+mn-ea"/>
                    <a:cs typeface="+mn-cs"/>
                  </a:defRPr>
                </a:pPr>
              </a:p>
            </c:txPr>
            <c:dLblPos val="ctr"/>
            <c:showLegendKey val="false"/>
            <c:showVal val="true"/>
            <c:showCatName val="false"/>
            <c:showSerName val="false"/>
            <c:showPercent val="false"/>
            <c:showBubbleSize val="false"/>
            <c:showLeaderLines val="false"/>
            <c:extLst>
              <c:ext xmlns:c15="http://schemas.microsoft.com/office/drawing/2012/chart" uri="{CE6537A1-D6FC-4f65-9D91-7224C49458BB}">
                <c15:layout/>
                <c15:showLeaderLines val="true"/>
                <c15:leaderLines>
                  <c:spPr>
                    <a:ln w="9525">
                      <a:solidFill>
                        <a:schemeClr val="dk1">
                          <a:lumMod val="50000"/>
                          <a:lumOff val="50000"/>
                        </a:schemeClr>
                      </a:solidFill>
                    </a:ln>
                    <a:effectLst/>
                  </c:spPr>
                </c15:leaderLines>
              </c:ext>
            </c:extLst>
          </c:dLbls>
          <c:cat>
            <c:strRef>
              <c:f>Sheet1!$K$85:$K$100</c:f>
              <c:strCache>
                <c:ptCount val="16"/>
                <c:pt idx="0">
                  <c:v>䴙䴘目</c:v>
                </c:pt>
                <c:pt idx="1">
                  <c:v>鲣鸟目</c:v>
                </c:pt>
                <c:pt idx="2">
                  <c:v>鹈形目</c:v>
                </c:pt>
                <c:pt idx="3">
                  <c:v>鹳形目</c:v>
                </c:pt>
                <c:pt idx="4">
                  <c:v>雁形目</c:v>
                </c:pt>
                <c:pt idx="5">
                  <c:v>鹤形目</c:v>
                </c:pt>
                <c:pt idx="6">
                  <c:v>鸻形目</c:v>
                </c:pt>
                <c:pt idx="7">
                  <c:v>鹰形目</c:v>
                </c:pt>
                <c:pt idx="8">
                  <c:v>隼形目</c:v>
                </c:pt>
                <c:pt idx="9">
                  <c:v>鸡形目</c:v>
                </c:pt>
                <c:pt idx="10">
                  <c:v>鴷形目</c:v>
                </c:pt>
                <c:pt idx="11">
                  <c:v>戴胜目</c:v>
                </c:pt>
                <c:pt idx="12">
                  <c:v>佛法僧目</c:v>
                </c:pt>
                <c:pt idx="13">
                  <c:v>鹃形目</c:v>
                </c:pt>
                <c:pt idx="14">
                  <c:v>鸽形目</c:v>
                </c:pt>
                <c:pt idx="15">
                  <c:v>雀形目</c:v>
                </c:pt>
              </c:strCache>
            </c:strRef>
          </c:cat>
          <c:val>
            <c:numRef>
              <c:f>Sheet1!$L$85:$L$100</c:f>
              <c:numCache>
                <c:formatCode>General</c:formatCode>
                <c:ptCount val="16"/>
                <c:pt idx="0">
                  <c:v>2</c:v>
                </c:pt>
                <c:pt idx="1">
                  <c:v>1</c:v>
                </c:pt>
                <c:pt idx="2">
                  <c:v>12</c:v>
                </c:pt>
                <c:pt idx="3">
                  <c:v>1</c:v>
                </c:pt>
                <c:pt idx="4">
                  <c:v>10</c:v>
                </c:pt>
                <c:pt idx="5">
                  <c:v>4</c:v>
                </c:pt>
                <c:pt idx="6">
                  <c:v>20</c:v>
                </c:pt>
                <c:pt idx="7">
                  <c:v>3</c:v>
                </c:pt>
                <c:pt idx="8">
                  <c:v>1</c:v>
                </c:pt>
                <c:pt idx="9">
                  <c:v>2</c:v>
                </c:pt>
                <c:pt idx="10">
                  <c:v>2</c:v>
                </c:pt>
                <c:pt idx="11">
                  <c:v>1</c:v>
                </c:pt>
                <c:pt idx="12">
                  <c:v>3</c:v>
                </c:pt>
                <c:pt idx="13">
                  <c:v>4</c:v>
                </c:pt>
                <c:pt idx="14">
                  <c:v>3</c:v>
                </c:pt>
                <c:pt idx="15">
                  <c:v>56</c:v>
                </c:pt>
              </c:numCache>
            </c:numRef>
          </c:val>
        </c:ser>
        <c:dLbls>
          <c:showLegendKey val="false"/>
          <c:showVal val="true"/>
          <c:showCatName val="false"/>
          <c:showSerName val="false"/>
          <c:showPercent val="false"/>
          <c:showBubbleSize val="false"/>
        </c:dLbls>
        <c:gapWidth val="150"/>
        <c:overlap val="100"/>
        <c:axId val="757026992"/>
        <c:axId val="757029616"/>
      </c:barChart>
      <c:catAx>
        <c:axId val="757026992"/>
        <c:scaling>
          <c:orientation val="minMax"/>
        </c:scaling>
        <c:delete val="false"/>
        <c:axPos val="b"/>
        <c:title>
          <c:tx>
            <c:rich>
              <a:bodyPr rot="0" spcFirstLastPara="1" vertOverflow="ellipsis" vert="horz" wrap="square" anchor="ctr" anchorCtr="true"/>
              <a:lstStyle/>
              <a:p>
                <a:pPr>
                  <a:defRPr lang="zh-CN" sz="900" b="1" i="0" u="none" strike="noStrike" kern="1200" baseline="0">
                    <a:solidFill>
                      <a:schemeClr val="dk1">
                        <a:lumMod val="75000"/>
                        <a:lumOff val="25000"/>
                      </a:schemeClr>
                    </a:solidFill>
                    <a:latin typeface="+mn-lt"/>
                    <a:ea typeface="+mn-ea"/>
                    <a:cs typeface="+mn-cs"/>
                  </a:defRPr>
                </a:pPr>
                <a:r>
                  <a:rPr lang="zh-CN" altLang="en-US" sz="1200"/>
                  <a:t>各目鸟种分布</a:t>
                </a:r>
                <a:endParaRPr lang="zh-CN" sz="1200"/>
              </a:p>
            </c:rich>
          </c:tx>
          <c:layout/>
          <c:overlay val="false"/>
          <c:spPr>
            <a:noFill/>
            <a:ln>
              <a:noFill/>
            </a:ln>
            <a:effectLst/>
          </c:spPr>
        </c:title>
        <c:numFmt formatCode="General" sourceLinked="true"/>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true"/>
          <a:lstStyle/>
          <a:p>
            <a:pPr>
              <a:defRPr lang="zh-CN" sz="900" b="0" i="0" u="none" strike="noStrike" kern="1200" cap="all" baseline="0">
                <a:solidFill>
                  <a:schemeClr val="dk1">
                    <a:lumMod val="75000"/>
                    <a:lumOff val="25000"/>
                  </a:schemeClr>
                </a:solidFill>
                <a:latin typeface="+mn-lt"/>
                <a:ea typeface="+mn-ea"/>
                <a:cs typeface="+mn-cs"/>
              </a:defRPr>
            </a:pPr>
          </a:p>
        </c:txPr>
        <c:crossAx val="757029616"/>
        <c:crosses val="autoZero"/>
        <c:auto val="true"/>
        <c:lblAlgn val="ctr"/>
        <c:lblOffset val="100"/>
        <c:noMultiLvlLbl val="false"/>
      </c:catAx>
      <c:valAx>
        <c:axId val="757029616"/>
        <c:scaling>
          <c:orientation val="minMax"/>
        </c:scaling>
        <c:delete val="true"/>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false"/>
              </a:gradFill>
              <a:round/>
            </a:ln>
            <a:effectLst/>
          </c:spPr>
        </c:majorGridlines>
        <c:numFmt formatCode="General" sourceLinked="true"/>
        <c:majorTickMark val="none"/>
        <c:minorTickMark val="none"/>
        <c:tickLblPos val="nextTo"/>
        <c:txPr>
          <a:bodyPr rot="-60000000" spcFirstLastPara="0" vertOverflow="ellipsis" vert="horz" wrap="square" anchor="ctr" anchorCtr="true"/>
          <a:lstStyle/>
          <a:p>
            <a:pPr>
              <a:defRPr lang="zh-CN" sz="900" b="0" i="0" u="none" strike="noStrike" kern="1200" baseline="0">
                <a:solidFill>
                  <a:schemeClr val="dk1">
                    <a:lumMod val="75000"/>
                    <a:lumOff val="25000"/>
                  </a:schemeClr>
                </a:solidFill>
                <a:latin typeface="+mn-lt"/>
                <a:ea typeface="+mn-ea"/>
                <a:cs typeface="+mn-cs"/>
              </a:defRPr>
            </a:pPr>
          </a:p>
        </c:txPr>
        <c:crossAx val="757026992"/>
        <c:crosses val="autoZero"/>
        <c:crossBetween val="between"/>
      </c:valAx>
      <c:spPr>
        <a:noFill/>
        <a:ln>
          <a:noFill/>
        </a:ln>
        <a:effectLst/>
      </c:spPr>
    </c:plotArea>
    <c:plotVisOnly val="true"/>
    <c:dispBlanksAs val="gap"/>
    <c:showDLblsOverMax val="false"/>
  </c:chart>
  <c:spPr>
    <a:gradFill flip="none" rotWithShape="true">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lang="zh-CN"/>
      </a:pPr>
    </a:p>
  </c:txPr>
  <c:externalData r:id="rId1">
    <c:autoUpdate val="false"/>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true">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true">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false"/>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false"/>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520</Pages>
  <Words>62411</Words>
  <Characters>355745</Characters>
  <Lines>2964</Lines>
  <Paragraphs>834</Paragraphs>
  <TotalTime>4226</TotalTime>
  <ScaleCrop>false</ScaleCrop>
  <LinksUpToDate>false</LinksUpToDate>
  <CharactersWithSpaces>417322</CharactersWithSpaces>
  <Application>WPS Office_11.8.2.10251_F1E327BC-269C-435d-A152-05C5408002CA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2022-05-29T00:10:00Z</dcterms:created>
  <dc:creator>Administrator</dc:creator>
  <cp:lastModifiedBy>徐越</cp:lastModifiedBy>
  <cp:lastPrinted>2019-12-29T02:18:00Z</cp:lastPrinted>
  <dcterms:modified xsi:type="dcterms:W3CDTF">2022-06-22T09:24:38Z</dcterms:modified>
  <cp:revision>50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2052-11.8.2.10251</vt:lpwstr>
  </property>
  <property fmtid="{D5CDD505-2E9C-101B-9397-08002B2CF9AE}" pid="3" name="ICV">
    <vt:lpwstr>0134DB423D864F73AA31A086BD269BBB</vt:lpwstr>
  </property>
</Properties>
</file>